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ura-20260805.htm"/>
      <w:bookmarkStart w:id="1" w:name="ksaura20260805"/>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ind w:left="4320" w:right="4320" w:hanging="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ind w:left="4320" w:right="4320" w:hanging="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04" w:type="dxa"/>
        <w:jc w:val="left"/>
        <w:tblInd w:w="0" w:type="dxa"/>
        <w:tblLayout w:type="fixed"/>
        <w:tblCellMar>
          <w:top w:w="28" w:type="dxa"/>
          <w:left w:w="28" w:type="dxa"/>
          <w:bottom w:w="28" w:type="dxa"/>
          <w:right w:w="28" w:type="dxa"/>
        </w:tblCellMar>
      </w:tblPr>
      <w:tblGrid>
        <w:gridCol w:w="5504"/>
      </w:tblGrid>
      <w:tr>
        <w:trPr/>
        <w:tc>
          <w:tcPr>
            <w:tcW w:w="5504" w:type="dxa"/>
            <w:tcBorders/>
            <w:vAlign w:val="center"/>
          </w:tcPr>
          <w:p>
            <w:pPr>
              <w:pStyle w:val="TableContents"/>
              <w:bidi w:val="0"/>
              <w:spacing w:before="0" w:after="283"/>
              <w:jc w:val="left"/>
              <w:rPr>
                <w:sz w:val="4"/>
                <w:szCs w:val="4"/>
              </w:rPr>
            </w:pPr>
            <w:r>
              <w:rPr>
                <w:sz w:val="4"/>
                <w:szCs w:val="4"/>
              </w:rPr>
            </w:r>
          </w:p>
        </w:tc>
      </w:tr>
      <w:tr>
        <w:trPr/>
        <w:tc>
          <w:tcPr>
            <w:tcW w:w="550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August 5, 2026</w:t>
            </w:r>
          </w:p>
        </w:tc>
      </w:tr>
    </w:tbl>
    <w:p>
      <w:pPr>
        <w:pStyle w:val="TextBody"/>
        <w:pBdr>
          <w:bottom w:val="single" w:sz="6" w:space="1" w:color="000000"/>
        </w:pBdr>
        <w:bidi w:val="0"/>
        <w:spacing w:before="100" w:after="283"/>
        <w:ind w:left="4320" w:right="4320" w:hanging="0"/>
        <w:jc w:val="left"/>
        <w:rPr/>
      </w:pPr>
      <w:r>
        <w:rPr/>
        <w:t> </w:t>
      </w:r>
    </w:p>
    <w:p>
      <w:pPr>
        <w:pStyle w:val="TextBody"/>
        <w:bidi w:val="0"/>
        <w:jc w:val="left"/>
        <w:rPr/>
      </w:pPr>
      <w:r>
        <w:rPr/>
        <w:t> </w:t>
      </w:r>
    </w:p>
    <w:p>
      <w:pPr>
        <w:pStyle w:val="TextBody"/>
        <w:bidi w:val="0"/>
        <w:spacing w:before="100" w:after="283"/>
        <w:jc w:val="center"/>
        <w:rPr>
          <w:rFonts w:ascii="Times New Roman" w:hAnsi="Times New Roman"/>
          <w:sz w:val="20"/>
        </w:rPr>
      </w:pPr>
      <w:r>
        <w:rPr>
          <w:rFonts w:ascii="Times New Roman" w:hAnsi="Times New Roman"/>
          <w:b/>
          <w:color w:val="000000"/>
          <w:sz w:val="48"/>
        </w:rPr>
        <w:t>Aura Biosciences, Inc.</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ind w:left="4320" w:right="4320" w:hanging="0"/>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001-40971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32-0271970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 Guest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02135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5999"/>
      </w:tblGrid>
      <w:tr>
        <w:trPr/>
        <w:tc>
          <w:tcPr>
            <w:tcW w:w="5999" w:type="dxa"/>
            <w:tcBorders/>
            <w:vAlign w:val="center"/>
          </w:tcPr>
          <w:p>
            <w:pPr>
              <w:pStyle w:val="TableContents"/>
              <w:bidi w:val="0"/>
              <w:spacing w:before="0" w:after="283"/>
              <w:jc w:val="left"/>
              <w:rPr>
                <w:sz w:val="4"/>
                <w:szCs w:val="4"/>
              </w:rPr>
            </w:pPr>
            <w:r>
              <w:rPr>
                <w:sz w:val="4"/>
                <w:szCs w:val="4"/>
              </w:rPr>
            </w:r>
          </w:p>
        </w:tc>
      </w:tr>
      <w:tr>
        <w:trPr/>
        <w:tc>
          <w:tcPr>
            <w:tcW w:w="599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500-8864</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ind w:left="4320" w:right="4320" w:hanging="0"/>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AURA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August 5, 2026, Aura Biosciences, Inc. (the “Company”) held a Special Meeting of Stockholders (the “Special Meeting”). As of June 12, 2026, the record date for the Special Meeting, there were 103,436,416 shares of the Company’s common stock, par value $0.00001 per share (the “Common Stock”) outstanding and entitled to vote. At the Special Meeting, 89,490,726 shares of common stock were represented in person or by proxy, constituting a quorum for the transaction of business. The final voting results for each of the proposals submitted to a vote of the Company’s stockholders are set forth below.</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For more information about the proposals considered and voted upon at the Special Meeting, please see the Company's Definitive Proxy Statement on Schedule 14A filed with the U.S. Securities and Exchange Commission on June 29, 2026.</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Proposal 1 — Approval of an Amendment to the Company’s Tenth Amended and Restated Certificate of Incorporation to Increase Authorized Shares of Common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Company’s stockholders approved an amendment to the Company’s Tenth Amended and Restated Certificate of Incorporation to increase the number of authorized shares of common stock from 150,000,000 to 500,000,000. The proposal was approved based on the following votes:</w:t>
      </w:r>
    </w:p>
    <w:tbl>
      <w:tblPr>
        <w:tblW w:w="5267" w:type="dxa"/>
        <w:jc w:val="left"/>
        <w:tblInd w:w="0" w:type="dxa"/>
        <w:tblLayout w:type="fixed"/>
        <w:tblCellMar>
          <w:top w:w="28" w:type="dxa"/>
          <w:left w:w="28" w:type="dxa"/>
          <w:bottom w:w="28" w:type="dxa"/>
          <w:right w:w="28" w:type="dxa"/>
        </w:tblCellMar>
      </w:tblPr>
      <w:tblGrid>
        <w:gridCol w:w="1051"/>
        <w:gridCol w:w="109"/>
        <w:gridCol w:w="146"/>
        <w:gridCol w:w="1039"/>
        <w:gridCol w:w="146"/>
        <w:gridCol w:w="146"/>
        <w:gridCol w:w="266"/>
        <w:gridCol w:w="770"/>
        <w:gridCol w:w="146"/>
        <w:gridCol w:w="146"/>
        <w:gridCol w:w="380"/>
        <w:gridCol w:w="551"/>
        <w:gridCol w:w="371"/>
      </w:tblGrid>
      <w:tr>
        <w:trPr/>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8"/>
              </w:rPr>
            </w:pPr>
            <w:r>
              <w:rPr>
                <w:rFonts w:ascii="Times New Roman" w:hAnsi="Times New Roman"/>
                <w:b/>
                <w:color w:val="000000"/>
                <w:sz w:val="18"/>
              </w:rPr>
              <w:t>Votes For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Votes Against</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Abstentions</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Broker</w:t>
              <w:br/>
              <w:t>Non-Votes</w:t>
            </w:r>
          </w:p>
        </w:tc>
        <w:tc>
          <w:tcPr>
            <w:tcW w:w="371" w:type="dxa"/>
            <w:tcBorders>
              <w:bottom w:val="single" w:sz="8"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051" w:type="dxa"/>
            <w:tcBorders/>
            <w:shd w:fill="CCEEFF" w:val="clear"/>
            <w:tcMar>
              <w:top w:w="0" w:type="dxa"/>
              <w:left w:w="0" w:type="dxa"/>
              <w:bottom w:w="0" w:type="dxa"/>
              <w:right w:w="0" w:type="dxa"/>
            </w:tcMar>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62,993,701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26,496,186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839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Proposal 2 — Approval of Amendment No. 1 to the Company’s 2021 Stock Option and Incentive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Company’s stockholders approved Amendment No. 1 to the Company’s 2021 Stock Option and Incentive Plan. The proposal was approved based on the following votes:</w:t>
      </w:r>
    </w:p>
    <w:tbl>
      <w:tblPr>
        <w:tblW w:w="5518" w:type="dxa"/>
        <w:jc w:val="left"/>
        <w:tblInd w:w="0" w:type="dxa"/>
        <w:tblLayout w:type="fixed"/>
        <w:tblCellMar>
          <w:top w:w="28" w:type="dxa"/>
          <w:left w:w="28" w:type="dxa"/>
          <w:bottom w:w="28" w:type="dxa"/>
          <w:right w:w="28" w:type="dxa"/>
        </w:tblCellMar>
      </w:tblPr>
      <w:tblGrid>
        <w:gridCol w:w="1051"/>
        <w:gridCol w:w="109"/>
        <w:gridCol w:w="146"/>
        <w:gridCol w:w="1039"/>
        <w:gridCol w:w="146"/>
        <w:gridCol w:w="146"/>
        <w:gridCol w:w="266"/>
        <w:gridCol w:w="770"/>
        <w:gridCol w:w="146"/>
        <w:gridCol w:w="146"/>
        <w:gridCol w:w="146"/>
        <w:gridCol w:w="1036"/>
        <w:gridCol w:w="371"/>
      </w:tblGrid>
      <w:tr>
        <w:trPr/>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8"/>
              </w:rPr>
            </w:pPr>
            <w:r>
              <w:rPr>
                <w:rFonts w:ascii="Times New Roman" w:hAnsi="Times New Roman"/>
                <w:b/>
                <w:color w:val="000000"/>
                <w:sz w:val="18"/>
              </w:rPr>
              <w:t>Votes For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Votes Against</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Abstentions</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Broker</w:t>
              <w:br/>
              <w:t>Non-Votes</w:t>
            </w:r>
          </w:p>
        </w:tc>
        <w:tc>
          <w:tcPr>
            <w:tcW w:w="371" w:type="dxa"/>
            <w:tcBorders>
              <w:bottom w:val="single" w:sz="8"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051" w:type="dxa"/>
            <w:tcBorders/>
            <w:shd w:fill="CCEEFF" w:val="clear"/>
            <w:tcMar>
              <w:top w:w="0" w:type="dxa"/>
              <w:left w:w="0" w:type="dxa"/>
              <w:bottom w:w="0" w:type="dxa"/>
              <w:right w:w="0" w:type="dxa"/>
            </w:tcMar>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46,369,676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27,372,773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15,747,458</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No other matters were submitted to a vote of the Company’s stockholders at the Special Meeting.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top w:val="single" w:sz="4" w:space="1" w:color="000000"/>
        </w:pBdr>
        <w:bidi w:val="0"/>
        <w:spacing w:before="200" w:after="120"/>
        <w:jc w:val="left"/>
        <w:rPr/>
      </w:pPr>
      <w:r>
        <w:rPr/>
        <w:t> </w:t>
      </w:r>
    </w:p>
    <w:p>
      <w:pPr>
        <w:pStyle w:val="TextBody"/>
        <w:bidi w:val="0"/>
        <w:jc w:val="both"/>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689" w:type="dxa"/>
        <w:jc w:val="left"/>
        <w:tblInd w:w="0" w:type="dxa"/>
        <w:tblLayout w:type="fixed"/>
        <w:tblCellMar>
          <w:top w:w="28" w:type="dxa"/>
          <w:left w:w="28" w:type="dxa"/>
          <w:bottom w:w="28" w:type="dxa"/>
          <w:right w:w="28" w:type="dxa"/>
        </w:tblCellMar>
      </w:tblPr>
      <w:tblGrid>
        <w:gridCol w:w="556"/>
        <w:gridCol w:w="1351"/>
        <w:gridCol w:w="451"/>
        <w:gridCol w:w="333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Aura Biosciences,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2026</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333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Natalie Holles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Natalie Holles</w:t>
            </w:r>
          </w:p>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President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3531</Characters>
  <CharactersWithSpaces>4169</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