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460" w:right="1540" w:hanging="3439"/>
        <w:spacing w:after="0" w:line="320"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172085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AURA BIOSCIENCES,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32-0271970</w:t>
      </w:r>
    </w:p>
    <w:p>
      <w:pPr>
        <w:spacing w:after="0" w:line="21"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1" w:lineRule="exact"/>
        <w:rPr>
          <w:sz w:val="24"/>
          <w:szCs w:val="24"/>
          <w:color w:val="auto"/>
        </w:rPr>
      </w:pPr>
    </w:p>
    <w:p>
      <w:pPr>
        <w:sectPr>
          <w:pgSz w:w="11900" w:h="16838" w:orient="portrait"/>
          <w:cols w:equalWidth="0" w:num="2">
            <w:col w:w="7180" w:space="720"/>
            <w:col w:w="3340"/>
          </w:cols>
          <w:pgMar w:left="320" w:top="892" w:right="339" w:bottom="1440" w:gutter="0" w:footer="0" w:header="0"/>
          <w:type w:val="continuous"/>
        </w:sectPr>
      </w:pPr>
    </w:p>
    <w:tbl>
      <w:tblPr>
        <w:tblLayout w:type="fixed"/>
        <w:tblInd w:w="1640" w:type="dxa"/>
        <w:tblCellMar>
          <w:top w:w="0" w:type="dxa"/>
          <w:left w:w="0" w:type="dxa"/>
          <w:bottom w:w="0" w:type="dxa"/>
          <w:right w:w="0" w:type="dxa"/>
        </w:tblCellMar>
      </w:tblPr>
      <w:tr>
        <w:trPr>
          <w:trHeight w:val="207"/>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80 Guest Street</w:t>
            </w:r>
          </w:p>
        </w:tc>
        <w:tc>
          <w:tcPr>
            <w:tcW w:w="2680" w:type="dxa"/>
            <w:vAlign w:val="bottom"/>
          </w:tcPr>
          <w:p>
            <w:pPr>
              <w:spacing w:after="0"/>
              <w:rPr>
                <w:sz w:val="18"/>
                <w:szCs w:val="18"/>
                <w:color w:val="auto"/>
              </w:rPr>
            </w:pPr>
          </w:p>
        </w:tc>
      </w:tr>
      <w:tr>
        <w:trPr>
          <w:trHeight w:val="230"/>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Boston,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02135</w:t>
            </w:r>
          </w:p>
        </w:tc>
      </w:tr>
      <w:tr>
        <w:trPr>
          <w:trHeight w:val="172"/>
        </w:trPr>
        <w:tc>
          <w:tcPr>
            <w:tcW w:w="4420" w:type="dxa"/>
            <w:vAlign w:val="bottom"/>
          </w:tcPr>
          <w:p>
            <w:pPr>
              <w:jc w:val="center"/>
              <w:ind w:right="1979"/>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4"/>
              <w:spacing w:after="0"/>
              <w:rPr>
                <w:sz w:val="20"/>
                <w:szCs w:val="20"/>
                <w:color w:val="auto"/>
              </w:rPr>
            </w:pPr>
            <w:r>
              <w:rPr>
                <w:rFonts w:ascii="Arial" w:cs="Arial" w:eastAsia="Arial" w:hAnsi="Arial"/>
                <w:sz w:val="13"/>
                <w:szCs w:val="13"/>
                <w:b w:val="1"/>
                <w:bCs w:val="1"/>
                <w:color w:val="auto"/>
                <w:w w:val="96"/>
              </w:rPr>
              <w:t>(Zip Code)</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500-8864</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AURA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Market LLC</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120" w:firstLine="599"/>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right="40" w:firstLine="599"/>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2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26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2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4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jc w:val="both"/>
        <w:ind w:right="60" w:firstLine="599"/>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900" w:val="left"/>
          <w:tab w:leader="none" w:pos="96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8" w:lineRule="exact"/>
        <w:rPr>
          <w:sz w:val="24"/>
          <w:szCs w:val="24"/>
          <w:color w:val="auto"/>
        </w:rPr>
      </w:pPr>
    </w:p>
    <w:p>
      <w:pPr>
        <w:ind w:right="220" w:firstLine="599"/>
        <w:spacing w:after="0" w:line="209"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November 7, 2022, the registrant had 29,334,729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risks are described more fully in Part II, “Item 1A—Risk Factors,” and include, but are not limited to, the following:</w:t>
      </w:r>
    </w:p>
    <w:p>
      <w:pPr>
        <w:spacing w:after="0" w:line="59" w:lineRule="exact"/>
        <w:rPr>
          <w:sz w:val="20"/>
          <w:szCs w:val="20"/>
          <w:color w:val="auto"/>
        </w:rPr>
      </w:pPr>
    </w:p>
    <w:p>
      <w:pPr>
        <w:ind w:left="1020" w:right="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and commercialization of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success of belzupacap sarotalocan (AU-011), our only product candidate to date.</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for belzupacap sarotalocan, we will not be able to commercialize, or will be delayed in commercializing, our product candidates, and our ability to generate revenue will be materially impaired.</w:t>
      </w:r>
    </w:p>
    <w:p>
      <w:pPr>
        <w:ind w:left="1020" w:hanging="503"/>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not yet successfully initiated or completed any pivotal clinical trials nor commercialized any pharmaceutical products, which may make it difficult to evaluate our future prospects.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rely on third-party contract manufacturing organizations, or CMOs, for the production of clinical supply of belzupacap sarotalocan and may continue to rely on CMOs for the production of commercial supply of belzupacap sarotalocan,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belzupacap sarotalocan or any future product candidates do not achieve broad market acceptance, the revenue that we generate from their sales may be limited, and we may never become profitable.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the market opportunity for belzupacap sarotalocan is smaller than we estimate or if any regulatory approval that we obtain is based on a narrower definition of the patient population, our revenue and ability to achieve profitability will be adversely affected, possibly materially.</w:t>
      </w: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Quarterly Report on Form 10-Q, or the Quarterly Report, contains forward-looking statements which are made pursuant to the safe harbor provisions of Section 27A of the Securities Act of 1933, as amended, or the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6" w:lineRule="exact"/>
        <w:rPr>
          <w:sz w:val="20"/>
          <w:szCs w:val="20"/>
          <w:color w:val="auto"/>
        </w:rPr>
      </w:pPr>
    </w:p>
    <w:p>
      <w:pPr>
        <w:jc w:val="both"/>
        <w:ind w:left="10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3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products, if approved;</w:t>
      </w:r>
    </w:p>
    <w:p>
      <w:pPr>
        <w:spacing w:after="0" w:line="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laws and regulations;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macroeconomic conditions, including rising interest rates and inflation, on our business operations;</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60" w:type="dxa"/>
            <w:vAlign w:val="bottom"/>
            <w:gridSpan w:val="9"/>
          </w:tcPr>
          <w:p>
            <w:pPr>
              <w:ind w:left="3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r>
      <w:tr>
        <w:trPr>
          <w:trHeight w:val="353"/>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358"/>
        </w:trPr>
        <w:tc>
          <w:tcPr>
            <w:tcW w:w="1140" w:type="dxa"/>
            <w:vAlign w:val="bottom"/>
          </w:tcPr>
          <w:p>
            <w:pPr>
              <w:spacing w:after="0"/>
              <w:rPr>
                <w:sz w:val="24"/>
                <w:szCs w:val="24"/>
                <w:color w:val="auto"/>
              </w:rPr>
            </w:pPr>
          </w:p>
        </w:tc>
        <w:tc>
          <w:tcPr>
            <w:tcW w:w="18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SUMMARY OF RISKS</w:t>
            </w:r>
          </w:p>
        </w:tc>
        <w:tc>
          <w:tcPr>
            <w:tcW w:w="40" w:type="dxa"/>
            <w:vAlign w:val="bottom"/>
            <w:tcBorders>
              <w:bottom w:val="single" w:sz="8" w:color="0000EE"/>
            </w:tcBorders>
          </w:tcPr>
          <w:p>
            <w:pPr>
              <w:spacing w:after="0"/>
              <w:rPr>
                <w:sz w:val="24"/>
                <w:szCs w:val="24"/>
                <w:color w:val="auto"/>
              </w:rPr>
            </w:pPr>
          </w:p>
        </w:tc>
        <w:tc>
          <w:tcPr>
            <w:tcW w:w="744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5"/>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66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140" w:type="dxa"/>
            <w:vAlign w:val="bottom"/>
          </w:tcPr>
          <w:p>
            <w:pPr>
              <w:spacing w:after="0"/>
              <w:rPr>
                <w:sz w:val="15"/>
                <w:szCs w:val="15"/>
                <w:color w:val="auto"/>
              </w:rPr>
            </w:pPr>
          </w:p>
        </w:tc>
        <w:tc>
          <w:tcPr>
            <w:tcW w:w="2700" w:type="dxa"/>
            <w:vAlign w:val="bottom"/>
            <w:gridSpan w:val="15"/>
          </w:tcPr>
          <w:p>
            <w:pPr>
              <w:spacing w:after="0" w:line="182" w:lineRule="exact"/>
              <w:rPr>
                <w:sz w:val="20"/>
                <w:szCs w:val="20"/>
                <w:color w:val="auto"/>
              </w:rPr>
            </w:pPr>
            <w:r>
              <w:rPr>
                <w:rFonts w:ascii="Arial" w:cs="Arial" w:eastAsia="Arial" w:hAnsi="Arial"/>
                <w:sz w:val="18"/>
                <w:szCs w:val="18"/>
                <w:color w:val="0000FF"/>
                <w:w w:val="98"/>
              </w:rPr>
              <w:t>Condensed Consolidated Balance</w:t>
            </w:r>
          </w:p>
        </w:tc>
        <w:tc>
          <w:tcPr>
            <w:tcW w:w="6600" w:type="dxa"/>
            <w:vAlign w:val="bottom"/>
            <w:gridSpan w:val="10"/>
          </w:tcPr>
          <w:p>
            <w:pPr>
              <w:ind w:left="80"/>
              <w:spacing w:after="0" w:line="182" w:lineRule="exact"/>
              <w:rPr>
                <w:sz w:val="20"/>
                <w:szCs w:val="20"/>
                <w:color w:val="auto"/>
              </w:rPr>
            </w:pPr>
            <w:r>
              <w:rPr>
                <w:rFonts w:ascii="Arial" w:cs="Arial" w:eastAsia="Arial" w:hAnsi="Arial"/>
                <w:sz w:val="18"/>
                <w:szCs w:val="18"/>
                <w:color w:val="0000FF"/>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114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288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6"/>
              </w:rPr>
              <w:t>Operations and Comprehensive Loss</w:t>
            </w:r>
          </w:p>
        </w:tc>
        <w:tc>
          <w:tcPr>
            <w:tcW w:w="308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1140" w:type="dxa"/>
            <w:vAlign w:val="bottom"/>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Condensed Consolidated Statements of Convertible Preferred Stock and Stockholders’ Equity (Deficit)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14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3940" w:type="dxa"/>
            <w:vAlign w:val="bottom"/>
            <w:tcBorders>
              <w:top w:val="single" w:sz="8" w:color="0000FF"/>
            </w:tcBorders>
            <w:gridSpan w:val="6"/>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1140" w:type="dxa"/>
            <w:vAlign w:val="bottom"/>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53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940" w:type="dxa"/>
            <w:vAlign w:val="bottom"/>
            <w:gridSpan w:val="4"/>
          </w:tcPr>
          <w:p>
            <w:pPr>
              <w:spacing w:after="0" w:line="182" w:lineRule="exact"/>
              <w:rPr>
                <w:sz w:val="20"/>
                <w:szCs w:val="20"/>
                <w:color w:val="auto"/>
              </w:rPr>
            </w:pPr>
            <w:r>
              <w:rPr>
                <w:rFonts w:ascii="Arial" w:cs="Arial" w:eastAsia="Arial" w:hAnsi="Arial"/>
                <w:sz w:val="18"/>
                <w:szCs w:val="18"/>
                <w:color w:val="0000FF"/>
              </w:rPr>
              <w:t>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20" w:type="dxa"/>
            <w:vAlign w:val="bottom"/>
            <w:tcBorders>
              <w:top w:val="single" w:sz="8" w:color="0000FF"/>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38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OTHER INFORMATION</w:t>
            </w:r>
          </w:p>
        </w:tc>
        <w:tc>
          <w:tcPr>
            <w:tcW w:w="73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gridSpan w:val="3"/>
          </w:tcPr>
          <w:p>
            <w:pPr>
              <w:spacing w:after="0"/>
              <w:rPr>
                <w:sz w:val="15"/>
                <w:szCs w:val="15"/>
                <w:color w:val="auto"/>
              </w:rPr>
            </w:pPr>
          </w:p>
        </w:tc>
        <w:tc>
          <w:tcPr>
            <w:tcW w:w="620" w:type="dxa"/>
            <w:vAlign w:val="bottom"/>
            <w:gridSpan w:val="3"/>
          </w:tcPr>
          <w:p>
            <w:pPr>
              <w:spacing w:after="0"/>
              <w:rPr>
                <w:sz w:val="15"/>
                <w:szCs w:val="15"/>
                <w:color w:val="auto"/>
              </w:rPr>
            </w:pPr>
          </w:p>
        </w:tc>
        <w:tc>
          <w:tcPr>
            <w:tcW w:w="2300" w:type="dxa"/>
            <w:vAlign w:val="bottom"/>
            <w:gridSpan w:val="7"/>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280" w:type="dxa"/>
            <w:vAlign w:val="bottom"/>
            <w:gridSpan w:val="20"/>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Mine Safety Disclosures</w:t>
            </w:r>
          </w:p>
        </w:tc>
        <w:tc>
          <w:tcPr>
            <w:tcW w:w="674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736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5"/>
                <w:szCs w:val="15"/>
                <w:color w:val="auto"/>
              </w:rPr>
            </w:pPr>
          </w:p>
        </w:tc>
        <w:tc>
          <w:tcPr>
            <w:tcW w:w="740" w:type="dxa"/>
            <w:vAlign w:val="bottom"/>
            <w:tcBorders>
              <w:top w:val="single" w:sz="8" w:color="0000FF"/>
            </w:tcBorders>
            <w:gridSpan w:val="4"/>
          </w:tcPr>
          <w:p>
            <w:pPr>
              <w:spacing w:after="0"/>
              <w:rPr>
                <w:sz w:val="15"/>
                <w:szCs w:val="15"/>
                <w:color w:val="auto"/>
              </w:rPr>
            </w:pPr>
          </w:p>
        </w:tc>
        <w:tc>
          <w:tcPr>
            <w:tcW w:w="7900" w:type="dxa"/>
            <w:vAlign w:val="bottom"/>
            <w:gridSpan w:val="1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r>
        <w:trPr>
          <w:trHeight w:val="183"/>
        </w:trPr>
        <w:tc>
          <w:tcPr>
            <w:tcW w:w="1140" w:type="dxa"/>
            <w:vAlign w:val="bottom"/>
          </w:tcPr>
          <w:p>
            <w:pPr>
              <w:spacing w:after="0"/>
              <w:rPr>
                <w:sz w:val="15"/>
                <w:szCs w:val="15"/>
                <w:color w:val="auto"/>
              </w:rPr>
            </w:pPr>
          </w:p>
        </w:tc>
        <w:tc>
          <w:tcPr>
            <w:tcW w:w="9300" w:type="dxa"/>
            <w:vAlign w:val="bottom"/>
            <w:gridSpan w:val="25"/>
          </w:tcPr>
          <w:p>
            <w:pPr>
              <w:spacing w:after="0" w:line="182"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19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FF0FC"/>
          </w:tcPr>
          <w:p>
            <w:pPr>
              <w:spacing w:after="0"/>
              <w:rPr>
                <w:sz w:val="14"/>
                <w:szCs w:val="14"/>
                <w:color w:val="auto"/>
              </w:rPr>
            </w:pPr>
          </w:p>
        </w:tc>
        <w:tc>
          <w:tcPr>
            <w:tcW w:w="15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5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61,110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149,063</w:t>
            </w:r>
          </w:p>
        </w:tc>
        <w:tc>
          <w:tcPr>
            <w:tcW w:w="100" w:type="dxa"/>
            <w:vAlign w:val="bottom"/>
            <w:shd w:val="clear" w:color="auto" w:fill="CFF0FC"/>
          </w:tcPr>
          <w:p>
            <w:pPr>
              <w:spacing w:after="0"/>
              <w:rPr>
                <w:sz w:val="15"/>
                <w:szCs w:val="15"/>
                <w:color w:val="auto"/>
              </w:rPr>
            </w:pPr>
          </w:p>
        </w:tc>
      </w:tr>
      <w:tr>
        <w:trPr>
          <w:trHeight w:val="176"/>
        </w:trPr>
        <w:tc>
          <w:tcPr>
            <w:tcW w:w="752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50,409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cash and deposits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5"/>
                <w:szCs w:val="15"/>
                <w:color w:val="auto"/>
              </w:rPr>
            </w:pPr>
          </w:p>
        </w:tc>
      </w:tr>
      <w:tr>
        <w:trPr>
          <w:trHeight w:val="175"/>
        </w:trPr>
        <w:tc>
          <w:tcPr>
            <w:tcW w:w="752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4,618</w:t>
            </w:r>
          </w:p>
        </w:tc>
        <w:tc>
          <w:tcPr>
            <w:tcW w:w="100" w:type="dxa"/>
            <w:vAlign w:val="bottom"/>
          </w:tcPr>
          <w:p>
            <w:pPr>
              <w:spacing w:after="0"/>
              <w:rPr>
                <w:sz w:val="15"/>
                <w:szCs w:val="15"/>
                <w:color w:val="auto"/>
              </w:rPr>
            </w:pPr>
          </w:p>
        </w:tc>
      </w:tr>
      <w:tr>
        <w:trPr>
          <w:trHeight w:val="169"/>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115,908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153,704</w:t>
            </w:r>
          </w:p>
        </w:tc>
        <w:tc>
          <w:tcPr>
            <w:tcW w:w="100" w:type="dxa"/>
            <w:vAlign w:val="bottom"/>
            <w:shd w:val="clear" w:color="auto" w:fill="CFF0FC"/>
          </w:tcPr>
          <w:p>
            <w:pPr>
              <w:spacing w:after="0"/>
              <w:rPr>
                <w:sz w:val="14"/>
                <w:szCs w:val="14"/>
                <w:color w:val="auto"/>
              </w:rPr>
            </w:pPr>
          </w:p>
        </w:tc>
      </w:tr>
      <w:tr>
        <w:trPr>
          <w:trHeight w:val="175"/>
        </w:trPr>
        <w:tc>
          <w:tcPr>
            <w:tcW w:w="7520" w:type="dxa"/>
            <w:vAlign w:val="bottom"/>
          </w:tcPr>
          <w:p>
            <w:pPr>
              <w:ind w:left="20"/>
              <w:spacing w:after="0"/>
              <w:rPr>
                <w:sz w:val="20"/>
                <w:szCs w:val="20"/>
                <w:color w:val="auto"/>
              </w:rPr>
            </w:pPr>
            <w:r>
              <w:rPr>
                <w:rFonts w:ascii="Arial" w:cs="Arial" w:eastAsia="Arial" w:hAnsi="Arial"/>
                <w:sz w:val="14"/>
                <w:szCs w:val="14"/>
                <w:color w:val="auto"/>
              </w:rPr>
              <w:t>Restricted cash and deposits, net of current portion</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r>
      <w:tr>
        <w:trPr>
          <w:trHeight w:val="176"/>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Right of use assets - operating lease</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20,996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FF0FC"/>
          </w:tcPr>
          <w:p>
            <w:pPr>
              <w:spacing w:after="0"/>
              <w:rPr>
                <w:sz w:val="15"/>
                <w:szCs w:val="15"/>
                <w:color w:val="auto"/>
              </w:rPr>
            </w:pPr>
          </w:p>
        </w:tc>
      </w:tr>
      <w:tr>
        <w:trPr>
          <w:trHeight w:val="176"/>
        </w:trPr>
        <w:tc>
          <w:tcPr>
            <w:tcW w:w="75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5,251</w:t>
            </w:r>
          </w:p>
        </w:tc>
        <w:tc>
          <w:tcPr>
            <w:tcW w:w="100" w:type="dxa"/>
            <w:vAlign w:val="bottom"/>
          </w:tcPr>
          <w:p>
            <w:pPr>
              <w:spacing w:after="0"/>
              <w:rPr>
                <w:sz w:val="15"/>
                <w:szCs w:val="15"/>
                <w:color w:val="auto"/>
              </w:rPr>
            </w:pPr>
          </w:p>
        </w:tc>
      </w:tr>
      <w:tr>
        <w:trPr>
          <w:trHeight w:val="209"/>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143,147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160,030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5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5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2,401</w:t>
            </w:r>
          </w:p>
        </w:tc>
        <w:tc>
          <w:tcPr>
            <w:tcW w:w="100" w:type="dxa"/>
            <w:vAlign w:val="bottom"/>
          </w:tcPr>
          <w:p>
            <w:pPr>
              <w:spacing w:after="0"/>
              <w:rPr>
                <w:sz w:val="15"/>
                <w:szCs w:val="15"/>
                <w:color w:val="auto"/>
              </w:rPr>
            </w:pPr>
          </w:p>
        </w:tc>
      </w:tr>
      <w:tr>
        <w:trPr>
          <w:trHeight w:val="175"/>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Short-term operating lease liability</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FF0FC"/>
          </w:tcPr>
          <w:p>
            <w:pPr>
              <w:spacing w:after="0"/>
              <w:rPr>
                <w:sz w:val="15"/>
                <w:szCs w:val="15"/>
                <w:color w:val="auto"/>
              </w:rPr>
            </w:pPr>
          </w:p>
        </w:tc>
      </w:tr>
      <w:tr>
        <w:trPr>
          <w:trHeight w:val="176"/>
        </w:trPr>
        <w:tc>
          <w:tcPr>
            <w:tcW w:w="752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4,339</w:t>
            </w:r>
          </w:p>
        </w:tc>
        <w:tc>
          <w:tcPr>
            <w:tcW w:w="100" w:type="dxa"/>
            <w:vAlign w:val="bottom"/>
          </w:tcPr>
          <w:p>
            <w:pPr>
              <w:spacing w:after="0"/>
              <w:rPr>
                <w:sz w:val="15"/>
                <w:szCs w:val="15"/>
                <w:color w:val="auto"/>
              </w:rPr>
            </w:pPr>
          </w:p>
        </w:tc>
      </w:tr>
      <w:tr>
        <w:trPr>
          <w:trHeight w:val="169"/>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7,355</w:t>
            </w:r>
          </w:p>
        </w:tc>
        <w:tc>
          <w:tcPr>
            <w:tcW w:w="100" w:type="dxa"/>
            <w:vAlign w:val="bottom"/>
            <w:shd w:val="clear" w:color="auto" w:fill="CFF0FC"/>
          </w:tcPr>
          <w:p>
            <w:pPr>
              <w:spacing w:after="0"/>
              <w:rPr>
                <w:sz w:val="14"/>
                <w:szCs w:val="14"/>
                <w:color w:val="auto"/>
              </w:rPr>
            </w:pPr>
          </w:p>
        </w:tc>
      </w:tr>
      <w:tr>
        <w:trPr>
          <w:trHeight w:val="175"/>
        </w:trPr>
        <w:tc>
          <w:tcPr>
            <w:tcW w:w="7520" w:type="dxa"/>
            <w:vAlign w:val="bottom"/>
          </w:tcPr>
          <w:p>
            <w:pPr>
              <w:ind w:left="20"/>
              <w:spacing w:after="0"/>
              <w:rPr>
                <w:sz w:val="20"/>
                <w:szCs w:val="20"/>
                <w:color w:val="auto"/>
              </w:rPr>
            </w:pPr>
            <w:r>
              <w:rPr>
                <w:rFonts w:ascii="Arial" w:cs="Arial" w:eastAsia="Arial" w:hAnsi="Arial"/>
                <w:sz w:val="14"/>
                <w:szCs w:val="14"/>
                <w:color w:val="auto"/>
              </w:rPr>
              <w:t>Long-term operating lease liability</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18,129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5"/>
                <w:szCs w:val="15"/>
                <w:color w:val="auto"/>
              </w:rPr>
            </w:pPr>
          </w:p>
        </w:tc>
      </w:tr>
      <w:tr>
        <w:trPr>
          <w:trHeight w:val="176"/>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28,093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7,715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12)</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39"/>
        </w:trPr>
        <w:tc>
          <w:tcPr>
            <w:tcW w:w="7520" w:type="dxa"/>
            <w:vAlign w:val="bottom"/>
          </w:tcPr>
          <w:p>
            <w:pPr>
              <w:ind w:left="20"/>
              <w:spacing w:after="0" w:line="139" w:lineRule="exact"/>
              <w:rPr>
                <w:sz w:val="20"/>
                <w:szCs w:val="20"/>
                <w:color w:val="auto"/>
              </w:rPr>
            </w:pPr>
            <w:r>
              <w:rPr>
                <w:rFonts w:ascii="Arial" w:cs="Arial" w:eastAsia="Arial" w:hAnsi="Arial"/>
                <w:sz w:val="14"/>
                <w:szCs w:val="14"/>
                <w:color w:val="auto"/>
              </w:rPr>
              <w:t>Common stock, $0.00001 par value, 150,000,000 authorized at September 30, 2022 and December 31, 2021, and</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520" w:type="dxa"/>
            <w:vAlign w:val="bottom"/>
          </w:tcPr>
          <w:p>
            <w:pPr>
              <w:ind w:left="20"/>
              <w:spacing w:after="0" w:line="149" w:lineRule="exact"/>
              <w:rPr>
                <w:sz w:val="20"/>
                <w:szCs w:val="20"/>
                <w:color w:val="auto"/>
              </w:rPr>
            </w:pPr>
            <w:r>
              <w:rPr>
                <w:rFonts w:ascii="Arial" w:cs="Arial" w:eastAsia="Arial" w:hAnsi="Arial"/>
                <w:sz w:val="14"/>
                <w:szCs w:val="14"/>
                <w:color w:val="auto"/>
              </w:rPr>
              <w:t>29,283,285 and 29,211,643 shares issued and outstanding at September 30, 2022 and December 31, 2021,</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8"/>
        </w:trPr>
        <w:tc>
          <w:tcPr>
            <w:tcW w:w="7520" w:type="dxa"/>
            <w:vAlign w:val="bottom"/>
          </w:tcPr>
          <w:p>
            <w:pPr>
              <w:ind w:left="20"/>
              <w:spacing w:after="0"/>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7"/>
                <w:szCs w:val="17"/>
                <w:color w:val="auto"/>
              </w:rPr>
            </w:pPr>
          </w:p>
        </w:tc>
        <w:tc>
          <w:tcPr>
            <w:tcW w:w="17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309,542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304,452</w:t>
            </w:r>
          </w:p>
        </w:tc>
        <w:tc>
          <w:tcPr>
            <w:tcW w:w="100" w:type="dxa"/>
            <w:vAlign w:val="bottom"/>
            <w:shd w:val="clear" w:color="auto" w:fill="CFF0FC"/>
          </w:tcPr>
          <w:p>
            <w:pPr>
              <w:spacing w:after="0"/>
              <w:rPr>
                <w:sz w:val="15"/>
                <w:szCs w:val="15"/>
                <w:color w:val="auto"/>
              </w:rPr>
            </w:pPr>
          </w:p>
        </w:tc>
      </w:tr>
      <w:tr>
        <w:trPr>
          <w:trHeight w:val="175"/>
        </w:trPr>
        <w:tc>
          <w:tcPr>
            <w:tcW w:w="752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(194,341 )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(152,137 )</w:t>
            </w:r>
          </w:p>
        </w:tc>
      </w:tr>
      <w:tr>
        <w:trPr>
          <w:trHeight w:val="175"/>
        </w:trPr>
        <w:tc>
          <w:tcPr>
            <w:tcW w:w="7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(147 )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7520" w:type="dxa"/>
            <w:vAlign w:val="bottom"/>
            <w:tcBorders>
              <w:top w:val="single" w:sz="8" w:color="CFF0FC"/>
            </w:tcBorders>
          </w:tcPr>
          <w:p>
            <w:pPr>
              <w:ind w:left="200"/>
              <w:spacing w:after="0"/>
              <w:rPr>
                <w:sz w:val="20"/>
                <w:szCs w:val="20"/>
                <w:color w:val="auto"/>
              </w:rPr>
            </w:pPr>
            <w:r>
              <w:rPr>
                <w:rFonts w:ascii="Arial" w:cs="Arial" w:eastAsia="Arial" w:hAnsi="Arial"/>
                <w:sz w:val="14"/>
                <w:szCs w:val="14"/>
                <w:b w:val="1"/>
                <w:bCs w:val="1"/>
                <w:color w:val="auto"/>
              </w:rPr>
              <w:t>Total Stockholders’ Equity</w:t>
            </w:r>
          </w:p>
        </w:tc>
        <w:tc>
          <w:tcPr>
            <w:tcW w:w="12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115,054</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152,315</w:t>
            </w:r>
          </w:p>
        </w:tc>
        <w:tc>
          <w:tcPr>
            <w:tcW w:w="100" w:type="dxa"/>
            <w:vAlign w:val="bottom"/>
            <w:tcBorders>
              <w:top w:val="single" w:sz="8" w:color="CFF0FC"/>
            </w:tcBorders>
          </w:tcPr>
          <w:p>
            <w:pPr>
              <w:spacing w:after="0"/>
              <w:rPr>
                <w:sz w:val="14"/>
                <w:szCs w:val="14"/>
                <w:color w:val="auto"/>
              </w:rPr>
            </w:pPr>
          </w:p>
        </w:tc>
      </w:tr>
      <w:tr>
        <w:trPr>
          <w:trHeight w:val="209"/>
        </w:trPr>
        <w:tc>
          <w:tcPr>
            <w:tcW w:w="75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143,147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160,030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-2065655</wp:posOffset>
            </wp:positionV>
            <wp:extent cx="132905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9055"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-1139190</wp:posOffset>
            </wp:positionV>
            <wp:extent cx="6858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-265430</wp:posOffset>
            </wp:positionV>
            <wp:extent cx="6858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7180" w:type="dxa"/>
            <w:vAlign w:val="bottom"/>
            <w:gridSpan w:val="5"/>
          </w:tcPr>
          <w:p>
            <w:pPr>
              <w:jc w:val="center"/>
              <w:ind w:left="3970"/>
              <w:spacing w:after="0"/>
              <w:rPr>
                <w:sz w:val="20"/>
                <w:szCs w:val="20"/>
                <w:color w:val="auto"/>
              </w:rPr>
            </w:pPr>
            <w:r>
              <w:rPr>
                <w:rFonts w:ascii="Arial" w:cs="Arial" w:eastAsia="Arial" w:hAnsi="Arial"/>
                <w:sz w:val="18"/>
                <w:szCs w:val="18"/>
                <w:b w:val="1"/>
                <w:bCs w:val="1"/>
                <w:color w:val="auto"/>
                <w:w w:val="99"/>
              </w:rPr>
              <w:t>Aura Biosciences, Inc.</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0020" w:type="dxa"/>
            <w:vAlign w:val="bottom"/>
            <w:gridSpan w:val="12"/>
          </w:tcPr>
          <w:p>
            <w:pPr>
              <w:jc w:val="center"/>
              <w:ind w:left="109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80" w:type="dxa"/>
            <w:vAlign w:val="bottom"/>
            <w:gridSpan w:val="5"/>
          </w:tcPr>
          <w:p>
            <w:pPr>
              <w:jc w:val="center"/>
              <w:ind w:left="3970"/>
              <w:spacing w:after="0" w:line="202" w:lineRule="exact"/>
              <w:rPr>
                <w:sz w:val="20"/>
                <w:szCs w:val="20"/>
                <w:color w:val="auto"/>
              </w:rPr>
            </w:pPr>
            <w:r>
              <w:rPr>
                <w:rFonts w:ascii="Arial" w:cs="Arial" w:eastAsia="Arial" w:hAnsi="Arial"/>
                <w:sz w:val="18"/>
                <w:szCs w:val="18"/>
                <w:b w:val="1"/>
                <w:bCs w:val="1"/>
                <w:color w:val="auto"/>
                <w:w w:val="99"/>
              </w:rPr>
              <w:t>(Unaudited)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8660" w:type="dxa"/>
            <w:vAlign w:val="bottom"/>
            <w:gridSpan w:val="8"/>
          </w:tcPr>
          <w:p>
            <w:pPr>
              <w:jc w:val="center"/>
              <w:ind w:left="2490"/>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420" w:type="dxa"/>
            <w:vAlign w:val="bottom"/>
            <w:gridSpan w:val="6"/>
          </w:tcPr>
          <w:p>
            <w:pPr>
              <w:jc w:val="right"/>
              <w:ind w:right="42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5"/>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jc w:val="right"/>
              <w:ind w:right="921"/>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420" w:type="dxa"/>
            <w:vAlign w:val="bottom"/>
            <w:gridSpan w:val="6"/>
          </w:tcPr>
          <w:p>
            <w:pPr>
              <w:jc w:val="right"/>
              <w:ind w:right="64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6,365</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8,895</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loss</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(8,895</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and accretion income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Realized loss on marketable securities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(15,901 )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(8,838 )</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(42,204 )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(23,617 )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78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Net loss attributable to common stockholders—basic and diluted (Note</w:t>
            </w:r>
          </w:p>
        </w:tc>
        <w:tc>
          <w:tcPr>
            <w:tcW w:w="18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(15,901 )</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jc w:val="right"/>
              <w:ind w:right="201"/>
              <w:spacing w:after="0"/>
              <w:rPr>
                <w:sz w:val="20"/>
                <w:szCs w:val="20"/>
                <w:color w:val="auto"/>
              </w:rPr>
            </w:pPr>
            <w:r>
              <w:rPr>
                <w:rFonts w:ascii="Arial" w:cs="Arial" w:eastAsia="Arial" w:hAnsi="Arial"/>
                <w:sz w:val="18"/>
                <w:szCs w:val="18"/>
                <w:color w:val="auto"/>
              </w:rPr>
              <w:t>(12,506 )</w:t>
            </w:r>
          </w:p>
        </w:tc>
        <w:tc>
          <w:tcPr>
            <w:tcW w:w="16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(42,204 )</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(33,244 )</w:t>
            </w:r>
          </w:p>
        </w:tc>
        <w:tc>
          <w:tcPr>
            <w:tcW w:w="0" w:type="dxa"/>
            <w:vAlign w:val="bottom"/>
          </w:tcPr>
          <w:p>
            <w:pPr>
              <w:spacing w:after="0"/>
              <w:rPr>
                <w:sz w:val="1"/>
                <w:szCs w:val="1"/>
                <w:color w:val="auto"/>
              </w:rPr>
            </w:pPr>
          </w:p>
        </w:tc>
      </w:tr>
      <w:tr>
        <w:trPr>
          <w:trHeight w:val="235"/>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780" w:type="dxa"/>
            <w:vAlign w:val="bottom"/>
          </w:tcPr>
          <w:p>
            <w:pPr>
              <w:ind w:left="20"/>
              <w:spacing w:after="0" w:line="170" w:lineRule="exact"/>
              <w:rPr>
                <w:sz w:val="20"/>
                <w:szCs w:val="20"/>
                <w:color w:val="auto"/>
              </w:rPr>
            </w:pPr>
            <w:r>
              <w:rPr>
                <w:rFonts w:ascii="Arial" w:cs="Arial" w:eastAsia="Arial" w:hAnsi="Arial"/>
                <w:sz w:val="18"/>
                <w:szCs w:val="18"/>
                <w:color w:val="auto"/>
              </w:rPr>
              <w:t>Net loss per share attributable to common stockholders—basic and</w:t>
            </w:r>
          </w:p>
        </w:tc>
        <w:tc>
          <w:tcPr>
            <w:tcW w:w="18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(0.54 )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(28.33 )</w:t>
            </w:r>
          </w:p>
        </w:tc>
        <w:tc>
          <w:tcPr>
            <w:tcW w:w="16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(1.44 )</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(77.93 )</w:t>
            </w:r>
          </w:p>
        </w:tc>
        <w:tc>
          <w:tcPr>
            <w:tcW w:w="0" w:type="dxa"/>
            <w:vAlign w:val="bottom"/>
          </w:tcPr>
          <w:p>
            <w:pPr>
              <w:spacing w:after="0"/>
              <w:rPr>
                <w:sz w:val="1"/>
                <w:szCs w:val="1"/>
                <w:color w:val="auto"/>
              </w:rPr>
            </w:pPr>
          </w:p>
        </w:tc>
      </w:tr>
      <w:tr>
        <w:trPr>
          <w:trHeight w:val="221"/>
        </w:trPr>
        <w:tc>
          <w:tcPr>
            <w:tcW w:w="5780" w:type="dxa"/>
            <w:vAlign w:val="bottom"/>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stock outstanding—basic and diluted</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29,273,577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441,448</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29,246,449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(15,901 )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(8,838 )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(42,204 )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(23,617 )</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Other comprehensive items: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(8,838</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-2828290</wp:posOffset>
            </wp:positionV>
            <wp:extent cx="7747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-2828290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-2828290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-2536825</wp:posOffset>
            </wp:positionV>
            <wp:extent cx="7747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-2536825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-2536825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-1696720</wp:posOffset>
            </wp:positionV>
            <wp:extent cx="7747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-1696720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-1696720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-890905</wp:posOffset>
            </wp:positionV>
            <wp:extent cx="273431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34310" cy="1631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-316865</wp:posOffset>
            </wp:positionV>
            <wp:extent cx="7747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-316865</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-316865</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7"/>
                <w:szCs w:val="7"/>
                <w:b w:val="1"/>
                <w:bCs w:val="1"/>
                <w:color w:val="auto"/>
              </w:rPr>
              <w:t>Convertible Preferred Stock</w:t>
            </w: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7"/>
                <w:szCs w:val="7"/>
                <w:b w:val="1"/>
                <w:bCs w:val="1"/>
                <w:color w:val="auto"/>
                <w:w w:val="97"/>
              </w:rPr>
              <w:t>Series A</w:t>
            </w: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7"/>
                <w:szCs w:val="7"/>
                <w:b w:val="1"/>
                <w:bCs w:val="1"/>
                <w:color w:val="auto"/>
              </w:rPr>
              <w:t>Series A-1</w:t>
            </w:r>
          </w:p>
        </w:tc>
        <w:tc>
          <w:tcPr>
            <w:tcW w:w="60" w:type="dxa"/>
            <w:vAlign w:val="bottom"/>
          </w:tcPr>
          <w:p>
            <w:pPr>
              <w:spacing w:after="0"/>
              <w:rPr>
                <w:sz w:val="5"/>
                <w:szCs w:val="5"/>
                <w:color w:val="auto"/>
              </w:rPr>
            </w:pPr>
          </w:p>
        </w:tc>
        <w:tc>
          <w:tcPr>
            <w:tcW w:w="96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7"/>
                <w:szCs w:val="7"/>
                <w:b w:val="1"/>
                <w:bCs w:val="1"/>
                <w:color w:val="auto"/>
              </w:rPr>
              <w:t>Series A-2</w:t>
            </w:r>
          </w:p>
        </w:tc>
        <w:tc>
          <w:tcPr>
            <w:tcW w:w="580" w:type="dxa"/>
            <w:vAlign w:val="bottom"/>
            <w:gridSpan w:val="3"/>
            <w:vMerge w:val="restart"/>
          </w:tcPr>
          <w:p>
            <w:pPr>
              <w:ind w:left="260"/>
              <w:spacing w:after="0"/>
              <w:rPr>
                <w:sz w:val="20"/>
                <w:szCs w:val="20"/>
                <w:color w:val="auto"/>
              </w:rPr>
            </w:pPr>
            <w:r>
              <w:rPr>
                <w:rFonts w:ascii="Times New Roman" w:cs="Times New Roman" w:eastAsia="Times New Roman" w:hAnsi="Times New Roman"/>
                <w:sz w:val="7"/>
                <w:szCs w:val="7"/>
                <w:b w:val="1"/>
                <w:bCs w:val="1"/>
                <w:color w:val="auto"/>
              </w:rPr>
              <w:t>Series B</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4"/>
            <w:vMerge w:val="restart"/>
          </w:tcPr>
          <w:p>
            <w:pPr>
              <w:jc w:val="right"/>
              <w:ind w:right="44"/>
              <w:spacing w:after="0"/>
              <w:rPr>
                <w:sz w:val="20"/>
                <w:szCs w:val="20"/>
                <w:color w:val="auto"/>
              </w:rPr>
            </w:pPr>
            <w:r>
              <w:rPr>
                <w:rFonts w:ascii="Times New Roman" w:cs="Times New Roman" w:eastAsia="Times New Roman" w:hAnsi="Times New Roman"/>
                <w:sz w:val="7"/>
                <w:szCs w:val="7"/>
                <w:b w:val="1"/>
                <w:bCs w:val="1"/>
                <w:color w:val="auto"/>
              </w:rPr>
              <w:t>Series C-1 and C-2</w:t>
            </w:r>
          </w:p>
        </w:tc>
        <w:tc>
          <w:tcPr>
            <w:tcW w:w="100" w:type="dxa"/>
            <w:vAlign w:val="bottom"/>
          </w:tcPr>
          <w:p>
            <w:pPr>
              <w:spacing w:after="0"/>
              <w:rPr>
                <w:sz w:val="5"/>
                <w:szCs w:val="5"/>
                <w:color w:val="auto"/>
              </w:rPr>
            </w:pPr>
          </w:p>
        </w:tc>
        <w:tc>
          <w:tcPr>
            <w:tcW w:w="740" w:type="dxa"/>
            <w:vAlign w:val="bottom"/>
            <w:gridSpan w:val="4"/>
            <w:vMerge w:val="restart"/>
          </w:tcPr>
          <w:p>
            <w:pPr>
              <w:jc w:val="right"/>
              <w:ind w:right="44"/>
              <w:spacing w:after="0"/>
              <w:rPr>
                <w:sz w:val="20"/>
                <w:szCs w:val="20"/>
                <w:color w:val="auto"/>
              </w:rPr>
            </w:pPr>
            <w:r>
              <w:rPr>
                <w:rFonts w:ascii="Times New Roman" w:cs="Times New Roman" w:eastAsia="Times New Roman" w:hAnsi="Times New Roman"/>
                <w:sz w:val="7"/>
                <w:szCs w:val="7"/>
                <w:b w:val="1"/>
                <w:bCs w:val="1"/>
                <w:color w:val="auto"/>
              </w:rPr>
              <w:t>Series D-1 and D-2</w:t>
            </w:r>
          </w:p>
        </w:tc>
        <w:tc>
          <w:tcPr>
            <w:tcW w:w="100" w:type="dxa"/>
            <w:vAlign w:val="bottom"/>
          </w:tcPr>
          <w:p>
            <w:pPr>
              <w:spacing w:after="0"/>
              <w:rPr>
                <w:sz w:val="5"/>
                <w:szCs w:val="5"/>
                <w:color w:val="auto"/>
              </w:rPr>
            </w:pPr>
          </w:p>
        </w:tc>
        <w:tc>
          <w:tcPr>
            <w:tcW w:w="940" w:type="dxa"/>
            <w:vAlign w:val="bottom"/>
            <w:tcBorders>
              <w:right w:val="single" w:sz="8" w:color="auto"/>
            </w:tcBorders>
            <w:gridSpan w:val="5"/>
            <w:vMerge w:val="restart"/>
          </w:tcPr>
          <w:p>
            <w:pPr>
              <w:jc w:val="right"/>
              <w:ind w:right="400"/>
              <w:spacing w:after="0"/>
              <w:rPr>
                <w:sz w:val="20"/>
                <w:szCs w:val="20"/>
                <w:color w:val="auto"/>
              </w:rPr>
            </w:pPr>
            <w:r>
              <w:rPr>
                <w:rFonts w:ascii="Times New Roman" w:cs="Times New Roman" w:eastAsia="Times New Roman" w:hAnsi="Times New Roman"/>
                <w:sz w:val="7"/>
                <w:szCs w:val="7"/>
                <w:b w:val="1"/>
                <w:bCs w:val="1"/>
                <w:color w:val="auto"/>
              </w:rPr>
              <w:t>Series E</w:t>
            </w:r>
          </w:p>
        </w:tc>
        <w:tc>
          <w:tcPr>
            <w:tcW w:w="80" w:type="dxa"/>
            <w:vAlign w:val="bottom"/>
          </w:tcPr>
          <w:p>
            <w:pPr>
              <w:spacing w:after="0"/>
              <w:rPr>
                <w:sz w:val="5"/>
                <w:szCs w:val="5"/>
                <w:color w:val="auto"/>
              </w:rPr>
            </w:pPr>
          </w:p>
        </w:tc>
        <w:tc>
          <w:tcPr>
            <w:tcW w:w="820" w:type="dxa"/>
            <w:vAlign w:val="bottom"/>
            <w:gridSpan w:val="4"/>
            <w:vMerge w:val="restart"/>
          </w:tcPr>
          <w:p>
            <w:pPr>
              <w:ind w:left="120"/>
              <w:spacing w:after="0"/>
              <w:rPr>
                <w:sz w:val="20"/>
                <w:szCs w:val="20"/>
                <w:color w:val="auto"/>
              </w:rPr>
            </w:pPr>
            <w:r>
              <w:rPr>
                <w:rFonts w:ascii="Times New Roman" w:cs="Times New Roman" w:eastAsia="Times New Roman" w:hAnsi="Times New Roman"/>
                <w:sz w:val="7"/>
                <w:szCs w:val="7"/>
                <w:b w:val="1"/>
                <w:bCs w:val="1"/>
                <w:color w:val="auto"/>
              </w:rPr>
              <w:t>Common Stock</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restart"/>
          </w:tcPr>
          <w:p>
            <w:pPr>
              <w:jc w:val="right"/>
              <w:ind w:right="44"/>
              <w:spacing w:after="0"/>
              <w:rPr>
                <w:sz w:val="20"/>
                <w:szCs w:val="20"/>
                <w:color w:val="auto"/>
              </w:rPr>
            </w:pPr>
            <w:r>
              <w:rPr>
                <w:rFonts w:ascii="Times New Roman" w:cs="Times New Roman" w:eastAsia="Times New Roman" w:hAnsi="Times New Roman"/>
                <w:sz w:val="7"/>
                <w:szCs w:val="7"/>
                <w:b w:val="1"/>
                <w:bCs w:val="1"/>
                <w:color w:val="auto"/>
                <w:w w:val="97"/>
              </w:rPr>
              <w:t>Paid-In</w:t>
            </w:r>
          </w:p>
        </w:tc>
        <w:tc>
          <w:tcPr>
            <w:tcW w:w="100" w:type="dxa"/>
            <w:vAlign w:val="bottom"/>
          </w:tcPr>
          <w:p>
            <w:pPr>
              <w:spacing w:after="0"/>
              <w:rPr>
                <w:sz w:val="5"/>
                <w:szCs w:val="5"/>
                <w:color w:val="auto"/>
              </w:rPr>
            </w:pPr>
          </w:p>
        </w:tc>
        <w:tc>
          <w:tcPr>
            <w:tcW w:w="540" w:type="dxa"/>
            <w:vAlign w:val="bottom"/>
            <w:gridSpan w:val="3"/>
          </w:tcPr>
          <w:p>
            <w:pPr>
              <w:ind w:left="40"/>
              <w:spacing w:after="0" w:line="61" w:lineRule="exact"/>
              <w:rPr>
                <w:sz w:val="20"/>
                <w:szCs w:val="20"/>
                <w:color w:val="auto"/>
              </w:rPr>
            </w:pPr>
            <w:r>
              <w:rPr>
                <w:rFonts w:ascii="Arial" w:cs="Arial" w:eastAsia="Arial" w:hAnsi="Arial"/>
                <w:sz w:val="7"/>
                <w:szCs w:val="7"/>
                <w:b w:val="1"/>
                <w:bCs w:val="1"/>
                <w:color w:val="auto"/>
              </w:rPr>
              <w:t>Accumulat</w:t>
            </w:r>
          </w:p>
        </w:tc>
        <w:tc>
          <w:tcPr>
            <w:tcW w:w="160" w:type="dxa"/>
            <w:vAlign w:val="bottom"/>
          </w:tcPr>
          <w:p>
            <w:pPr>
              <w:spacing w:after="0"/>
              <w:rPr>
                <w:sz w:val="5"/>
                <w:szCs w:val="5"/>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5"/>
            <w:vMerge w:val="continue"/>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right w:val="single" w:sz="8" w:color="auto"/>
            </w:tcBorders>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7"/>
                <w:szCs w:val="7"/>
                <w:b w:val="1"/>
                <w:bCs w:val="1"/>
                <w:color w:val="auto"/>
              </w:rPr>
              <w:t>ed</w:t>
            </w: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b w:val="1"/>
                <w:bCs w:val="1"/>
                <w:color w:val="auto"/>
                <w:w w:val="97"/>
              </w:rPr>
              <w:t>Amount</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center"/>
              <w:ind w:right="4"/>
              <w:spacing w:after="0"/>
              <w:rPr>
                <w:sz w:val="20"/>
                <w:szCs w:val="20"/>
                <w:color w:val="auto"/>
              </w:rPr>
            </w:pPr>
            <w:r>
              <w:rPr>
                <w:rFonts w:ascii="Times New Roman" w:cs="Times New Roman" w:eastAsia="Times New Roman" w:hAnsi="Times New Roman"/>
                <w:sz w:val="7"/>
                <w:szCs w:val="7"/>
                <w:b w:val="1"/>
                <w:bCs w:val="1"/>
                <w:color w:val="auto"/>
                <w:w w:val="98"/>
              </w:rPr>
              <w:t>Shares</w:t>
            </w: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7"/>
                <w:szCs w:val="7"/>
                <w:b w:val="1"/>
                <w:bCs w:val="1"/>
                <w:color w:val="auto"/>
                <w:w w:val="97"/>
              </w:rPr>
              <w:t>Amount</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center"/>
              <w:ind w:right="24"/>
              <w:spacing w:after="0"/>
              <w:rPr>
                <w:sz w:val="20"/>
                <w:szCs w:val="20"/>
                <w:color w:val="auto"/>
              </w:rPr>
            </w:pPr>
            <w:r>
              <w:rPr>
                <w:rFonts w:ascii="Times New Roman" w:cs="Times New Roman" w:eastAsia="Times New Roman" w:hAnsi="Times New Roman"/>
                <w:sz w:val="7"/>
                <w:szCs w:val="7"/>
                <w:b w:val="1"/>
                <w:bCs w:val="1"/>
                <w:color w:val="auto"/>
                <w:w w:val="97"/>
              </w:rPr>
              <w:t>Amount</w:t>
            </w:r>
          </w:p>
        </w:tc>
        <w:tc>
          <w:tcPr>
            <w:tcW w:w="12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7"/>
                <w:szCs w:val="7"/>
                <w:b w:val="1"/>
                <w:bCs w:val="1"/>
                <w:color w:val="auto"/>
                <w:w w:val="97"/>
              </w:rPr>
              <w:t>Amount</w:t>
            </w:r>
          </w:p>
        </w:tc>
        <w:tc>
          <w:tcPr>
            <w:tcW w:w="10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7"/>
                <w:szCs w:val="7"/>
                <w:b w:val="1"/>
                <w:bCs w:val="1"/>
                <w:color w:val="auto"/>
              </w:rPr>
              <w:t>Amount</w:t>
            </w:r>
          </w:p>
        </w:tc>
        <w:tc>
          <w:tcPr>
            <w:tcW w:w="10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7"/>
                <w:szCs w:val="7"/>
                <w:b w:val="1"/>
                <w:bCs w:val="1"/>
                <w:color w:val="auto"/>
              </w:rPr>
              <w:t>Amount</w:t>
            </w:r>
          </w:p>
        </w:tc>
        <w:tc>
          <w:tcPr>
            <w:tcW w:w="10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b w:val="1"/>
                <w:bCs w:val="1"/>
                <w:color w:val="auto"/>
                <w:w w:val="97"/>
              </w:rPr>
              <w:t>Amount</w:t>
            </w:r>
          </w:p>
        </w:tc>
        <w:tc>
          <w:tcPr>
            <w:tcW w:w="120" w:type="dxa"/>
            <w:vAlign w:val="bottom"/>
            <w:tcBorders>
              <w:right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b w:val="1"/>
                <w:bCs w:val="1"/>
                <w:color w:val="auto"/>
                <w:w w:val="98"/>
              </w:rPr>
              <w:t>Shares</w:t>
            </w: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7"/>
                <w:szCs w:val="7"/>
                <w:b w:val="1"/>
                <w:bCs w:val="1"/>
                <w:color w:val="auto"/>
              </w:rPr>
              <w:t>Amount</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7"/>
                <w:szCs w:val="7"/>
                <w:b w:val="1"/>
                <w:bCs w:val="1"/>
                <w:color w:val="auto"/>
                <w:w w:val="99"/>
              </w:rPr>
              <w:t>Capital</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Deficit</w:t>
            </w: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center"/>
              <w:ind w:right="144"/>
              <w:spacing w:after="0"/>
              <w:rPr>
                <w:sz w:val="20"/>
                <w:szCs w:val="20"/>
                <w:color w:val="auto"/>
              </w:rPr>
            </w:pPr>
            <w:r>
              <w:rPr>
                <w:rFonts w:ascii="Arial" w:cs="Arial" w:eastAsia="Arial" w:hAnsi="Arial"/>
                <w:sz w:val="7"/>
                <w:szCs w:val="7"/>
                <w:b w:val="1"/>
                <w:bCs w:val="1"/>
                <w:color w:val="auto"/>
              </w:rPr>
              <w:t>Deficit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00" w:type="dxa"/>
            <w:vAlign w:val="bottom"/>
            <w:shd w:val="clear" w:color="auto" w:fill="CFF0FC"/>
          </w:tcPr>
          <w:p>
            <w:pPr>
              <w:ind w:left="20"/>
              <w:spacing w:after="0" w:line="68" w:lineRule="exact"/>
              <w:rPr>
                <w:sz w:val="20"/>
                <w:szCs w:val="20"/>
                <w:color w:val="auto"/>
              </w:rPr>
            </w:pPr>
            <w:r>
              <w:rPr>
                <w:rFonts w:ascii="Arial" w:cs="Arial" w:eastAsia="Arial" w:hAnsi="Arial"/>
                <w:sz w:val="7"/>
                <w:szCs w:val="7"/>
                <w:b w:val="1"/>
                <w:bCs w:val="1"/>
                <w:color w:val="auto"/>
              </w:rPr>
              <w:t>Balance, December 31, 2020</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1,701,141</w:t>
            </w:r>
          </w:p>
        </w:tc>
        <w:tc>
          <w:tcPr>
            <w:tcW w:w="120" w:type="dxa"/>
            <w:vAlign w:val="bottom"/>
            <w:shd w:val="clear" w:color="auto" w:fill="CFF0FC"/>
          </w:tcPr>
          <w:p>
            <w:pPr>
              <w:spacing w:after="0"/>
              <w:rPr>
                <w:sz w:val="5"/>
                <w:szCs w:val="5"/>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3,368</w:t>
            </w: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28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3,298</w:t>
            </w:r>
          </w:p>
        </w:tc>
        <w:tc>
          <w:tcPr>
            <w:tcW w:w="180" w:type="dxa"/>
            <w:vAlign w:val="bottom"/>
            <w:gridSpan w:val="2"/>
            <w:vMerge w:val="restart"/>
            <w:shd w:val="clear" w:color="auto" w:fill="CFF0FC"/>
          </w:tcPr>
          <w:p>
            <w:pPr>
              <w:ind w:left="140"/>
              <w:spacing w:after="0"/>
              <w:rPr>
                <w:sz w:val="20"/>
                <w:szCs w:val="20"/>
                <w:color w:val="auto"/>
              </w:rPr>
            </w:pPr>
            <w:r>
              <w:rPr>
                <w:rFonts w:ascii="Arial" w:cs="Arial" w:eastAsia="Arial" w:hAnsi="Arial"/>
                <w:sz w:val="5"/>
                <w:szCs w:val="5"/>
                <w:color w:val="auto"/>
                <w:w w:val="70"/>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7,837</w:t>
            </w: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36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4,324,9</w:t>
            </w:r>
          </w:p>
        </w:tc>
        <w:tc>
          <w:tcPr>
            <w:tcW w:w="120" w:type="dxa"/>
            <w:vAlign w:val="bottom"/>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5,373</w:t>
            </w:r>
          </w:p>
        </w:tc>
        <w:tc>
          <w:tcPr>
            <w:tcW w:w="120" w:type="dxa"/>
            <w:vAlign w:val="bottom"/>
            <w:shd w:val="clear" w:color="auto" w:fill="CFF0FC"/>
          </w:tcPr>
          <w:p>
            <w:pPr>
              <w:spacing w:after="0"/>
              <w:rPr>
                <w:sz w:val="5"/>
                <w:szCs w:val="5"/>
                <w:color w:val="auto"/>
              </w:rPr>
            </w:pPr>
          </w:p>
        </w:tc>
        <w:tc>
          <w:tcPr>
            <w:tcW w:w="36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22,53</w:t>
            </w:r>
          </w:p>
        </w:tc>
        <w:tc>
          <w:tcPr>
            <w:tcW w:w="220" w:type="dxa"/>
            <w:vAlign w:val="bottom"/>
            <w:gridSpan w:val="2"/>
            <w:vMerge w:val="restart"/>
            <w:shd w:val="clear" w:color="auto" w:fill="CFF0FC"/>
          </w:tcPr>
          <w:p>
            <w:pPr>
              <w:ind w:left="140"/>
              <w:spacing w:after="0"/>
              <w:rPr>
                <w:sz w:val="20"/>
                <w:szCs w:val="20"/>
                <w:color w:val="auto"/>
              </w:rPr>
            </w:pPr>
            <w:r>
              <w:rPr>
                <w:rFonts w:ascii="Arial" w:cs="Arial" w:eastAsia="Arial" w:hAnsi="Arial"/>
                <w:sz w:val="7"/>
                <w:szCs w:val="7"/>
                <w:color w:val="auto"/>
              </w:rPr>
              <w:t>$</w:t>
            </w:r>
          </w:p>
        </w:tc>
        <w:tc>
          <w:tcPr>
            <w:tcW w:w="18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20,8</w:t>
            </w:r>
          </w:p>
        </w:tc>
        <w:tc>
          <w:tcPr>
            <w:tcW w:w="100" w:type="dxa"/>
            <w:vAlign w:val="bottom"/>
            <w:shd w:val="clear" w:color="auto" w:fill="CFF0FC"/>
          </w:tcPr>
          <w:p>
            <w:pPr>
              <w:spacing w:after="0"/>
              <w:rPr>
                <w:sz w:val="5"/>
                <w:szCs w:val="5"/>
                <w:color w:val="auto"/>
              </w:rPr>
            </w:pPr>
          </w:p>
        </w:tc>
        <w:tc>
          <w:tcPr>
            <w:tcW w:w="34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91,32</w:t>
            </w:r>
          </w:p>
        </w:tc>
        <w:tc>
          <w:tcPr>
            <w:tcW w:w="200" w:type="dxa"/>
            <w:vAlign w:val="bottom"/>
            <w:gridSpan w:val="2"/>
            <w:vMerge w:val="restart"/>
            <w:shd w:val="clear" w:color="auto" w:fill="CFF0FC"/>
          </w:tcPr>
          <w:p>
            <w:pPr>
              <w:ind w:left="120"/>
              <w:spacing w:after="0"/>
              <w:rPr>
                <w:sz w:val="20"/>
                <w:szCs w:val="20"/>
                <w:color w:val="auto"/>
              </w:rPr>
            </w:pPr>
            <w:r>
              <w:rPr>
                <w:rFonts w:ascii="Arial" w:cs="Arial" w:eastAsia="Arial" w:hAnsi="Arial"/>
                <w:sz w:val="7"/>
                <w:szCs w:val="7"/>
                <w:color w:val="auto"/>
              </w:rPr>
              <w:t>$</w:t>
            </w:r>
          </w:p>
        </w:tc>
        <w:tc>
          <w:tcPr>
            <w:tcW w:w="20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41,0</w:t>
            </w:r>
          </w:p>
        </w:tc>
        <w:tc>
          <w:tcPr>
            <w:tcW w:w="100" w:type="dxa"/>
            <w:vAlign w:val="bottom"/>
            <w:shd w:val="clear" w:color="auto" w:fill="CFF0FC"/>
          </w:tcPr>
          <w:p>
            <w:pPr>
              <w:spacing w:after="0"/>
              <w:rPr>
                <w:sz w:val="5"/>
                <w:szCs w:val="5"/>
                <w:color w:val="auto"/>
              </w:rPr>
            </w:pPr>
          </w:p>
        </w:tc>
        <w:tc>
          <w:tcPr>
            <w:tcW w:w="34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72,34</w:t>
            </w:r>
          </w:p>
        </w:tc>
        <w:tc>
          <w:tcPr>
            <w:tcW w:w="200" w:type="dxa"/>
            <w:vAlign w:val="bottom"/>
            <w:gridSpan w:val="2"/>
            <w:vMerge w:val="restart"/>
            <w:shd w:val="clear" w:color="auto" w:fill="CFF0FC"/>
          </w:tcPr>
          <w:p>
            <w:pPr>
              <w:ind w:left="120"/>
              <w:spacing w:after="0"/>
              <w:rPr>
                <w:sz w:val="20"/>
                <w:szCs w:val="20"/>
                <w:color w:val="auto"/>
              </w:rPr>
            </w:pPr>
            <w:r>
              <w:rPr>
                <w:rFonts w:ascii="Arial" w:cs="Arial" w:eastAsia="Arial" w:hAnsi="Arial"/>
                <w:sz w:val="7"/>
                <w:szCs w:val="7"/>
                <w:color w:val="auto"/>
              </w:rPr>
              <w:t>$</w:t>
            </w:r>
          </w:p>
        </w:tc>
        <w:tc>
          <w:tcPr>
            <w:tcW w:w="20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49,5</w:t>
            </w:r>
          </w:p>
        </w:tc>
        <w:tc>
          <w:tcPr>
            <w:tcW w:w="100" w:type="dxa"/>
            <w:vAlign w:val="bottom"/>
            <w:shd w:val="clear" w:color="auto" w:fill="CFF0FC"/>
          </w:tcPr>
          <w:p>
            <w:pPr>
              <w:spacing w:after="0"/>
              <w:rPr>
                <w:sz w:val="5"/>
                <w:szCs w:val="5"/>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44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5"/>
                <w:szCs w:val="5"/>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381,123</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40" w:type="dxa"/>
            <w:vAlign w:val="bottom"/>
            <w:vMerge w:val="restart"/>
            <w:shd w:val="clear" w:color="auto" w:fill="CFF0FC"/>
          </w:tcPr>
          <w:p>
            <w:pPr>
              <w:ind w:left="260"/>
              <w:spacing w:after="0"/>
              <w:rPr>
                <w:sz w:val="20"/>
                <w:szCs w:val="20"/>
                <w:color w:val="auto"/>
              </w:rPr>
            </w:pPr>
            <w:r>
              <w:rPr>
                <w:rFonts w:ascii="Arial" w:cs="Arial" w:eastAsia="Arial" w:hAnsi="Arial"/>
                <w:sz w:val="7"/>
                <w:szCs w:val="7"/>
                <w:color w:val="auto"/>
                <w:w w:val="85"/>
              </w:rPr>
              <w:t>—</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8,173</w:t>
            </w:r>
          </w:p>
        </w:tc>
        <w:tc>
          <w:tcPr>
            <w:tcW w:w="180" w:type="dxa"/>
            <w:vAlign w:val="bottom"/>
            <w:gridSpan w:val="2"/>
            <w:vMerge w:val="restart"/>
            <w:shd w:val="clear" w:color="auto" w:fill="CFF0FC"/>
          </w:tcPr>
          <w:p>
            <w:pPr>
              <w:ind w:left="120"/>
              <w:spacing w:after="0"/>
              <w:rPr>
                <w:sz w:val="20"/>
                <w:szCs w:val="20"/>
                <w:color w:val="auto"/>
              </w:rPr>
            </w:pPr>
            <w:r>
              <w:rPr>
                <w:rFonts w:ascii="Arial" w:cs="Arial" w:eastAsia="Arial" w:hAnsi="Arial"/>
                <w:sz w:val="7"/>
                <w:szCs w:val="7"/>
                <w:color w:val="auto"/>
              </w:rPr>
              <w:t>$</w:t>
            </w:r>
          </w:p>
        </w:tc>
        <w:tc>
          <w:tcPr>
            <w:tcW w:w="4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(116,886 )</w:t>
            </w:r>
          </w:p>
        </w:tc>
        <w:tc>
          <w:tcPr>
            <w:tcW w:w="160" w:type="dxa"/>
            <w:vAlign w:val="bottom"/>
            <w:vMerge w:val="restart"/>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10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(108,713 )</w:t>
            </w:r>
          </w:p>
        </w:tc>
        <w:tc>
          <w:tcPr>
            <w:tcW w:w="0" w:type="dxa"/>
            <w:vAlign w:val="bottom"/>
          </w:tcPr>
          <w:p>
            <w:pPr>
              <w:spacing w:after="0"/>
              <w:rPr>
                <w:sz w:val="1"/>
                <w:szCs w:val="1"/>
                <w:color w:val="auto"/>
              </w:rPr>
            </w:pPr>
          </w:p>
        </w:tc>
      </w:tr>
      <w:tr>
        <w:trPr>
          <w:trHeight w:val="142"/>
        </w:trPr>
        <w:tc>
          <w:tcPr>
            <w:tcW w:w="130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3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,732</w:t>
            </w:r>
          </w:p>
        </w:tc>
        <w:tc>
          <w:tcPr>
            <w:tcW w:w="180" w:type="dxa"/>
            <w:vAlign w:val="bottom"/>
            <w:gridSpan w:val="2"/>
            <w:vMerge w:val="continue"/>
            <w:shd w:val="clear" w:color="auto" w:fill="CFF0FC"/>
          </w:tcPr>
          <w:p>
            <w:pPr>
              <w:spacing w:after="0"/>
              <w:rPr>
                <w:sz w:val="12"/>
                <w:szCs w:val="12"/>
                <w:color w:val="auto"/>
              </w:rPr>
            </w:pPr>
          </w:p>
        </w:tc>
        <w:tc>
          <w:tcPr>
            <w:tcW w:w="3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98</w:t>
            </w:r>
          </w:p>
        </w:tc>
        <w:tc>
          <w:tcPr>
            <w:tcW w:w="120" w:type="dxa"/>
            <w:vAlign w:val="bottom"/>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3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1,819</w:t>
            </w:r>
          </w:p>
        </w:tc>
        <w:tc>
          <w:tcPr>
            <w:tcW w:w="22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06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7,903</w:t>
            </w:r>
          </w:p>
        </w:tc>
        <w:tc>
          <w:tcPr>
            <w:tcW w:w="20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99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8,452</w:t>
            </w:r>
          </w:p>
        </w:tc>
        <w:tc>
          <w:tcPr>
            <w:tcW w:w="20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93</w:t>
            </w:r>
          </w:p>
        </w:tc>
        <w:tc>
          <w:tcPr>
            <w:tcW w:w="100" w:type="dxa"/>
            <w:vAlign w:val="bottom"/>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160" w:type="dxa"/>
            <w:vAlign w:val="bottom"/>
            <w:gridSpan w:val="2"/>
            <w:vMerge w:val="continue"/>
            <w:shd w:val="clear" w:color="auto" w:fill="CFF0FC"/>
          </w:tcPr>
          <w:p>
            <w:pPr>
              <w:spacing w:after="0"/>
              <w:rPr>
                <w:sz w:val="12"/>
                <w:szCs w:val="12"/>
                <w:color w:val="auto"/>
              </w:rPr>
            </w:pPr>
          </w:p>
        </w:tc>
        <w:tc>
          <w:tcPr>
            <w:tcW w:w="440" w:type="dxa"/>
            <w:vAlign w:val="bottom"/>
            <w:tcBorders>
              <w:right w:val="single" w:sz="8" w:color="auto"/>
            </w:tcBorders>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160" w:type="dxa"/>
            <w:vAlign w:val="bottom"/>
            <w:gridSpan w:val="2"/>
            <w:vMerge w:val="continue"/>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180" w:type="dxa"/>
            <w:vAlign w:val="bottom"/>
            <w:gridSpan w:val="2"/>
            <w:vMerge w:val="continue"/>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180" w:type="dxa"/>
            <w:vAlign w:val="bottom"/>
            <w:gridSpan w:val="2"/>
            <w:vMerge w:val="continue"/>
            <w:shd w:val="clear" w:color="auto" w:fill="CFF0FC"/>
          </w:tcPr>
          <w:p>
            <w:pPr>
              <w:spacing w:after="0"/>
              <w:rPr>
                <w:sz w:val="12"/>
                <w:szCs w:val="12"/>
                <w:color w:val="auto"/>
              </w:rPr>
            </w:pPr>
          </w:p>
        </w:tc>
        <w:tc>
          <w:tcPr>
            <w:tcW w:w="460" w:type="dxa"/>
            <w:vAlign w:val="bottom"/>
            <w:gridSpan w:val="2"/>
            <w:vMerge w:val="continue"/>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300" w:type="dxa"/>
            <w:vAlign w:val="bottom"/>
            <w:tcBorders>
              <w:top w:val="single" w:sz="8" w:color="CFF0FC"/>
            </w:tcBorders>
          </w:tcPr>
          <w:p>
            <w:pPr>
              <w:ind w:left="20"/>
              <w:spacing w:after="0" w:line="55" w:lineRule="exact"/>
              <w:rPr>
                <w:sz w:val="20"/>
                <w:szCs w:val="20"/>
                <w:color w:val="auto"/>
              </w:rPr>
            </w:pPr>
            <w:r>
              <w:rPr>
                <w:rFonts w:ascii="Arial" w:cs="Arial" w:eastAsia="Arial" w:hAnsi="Arial"/>
                <w:sz w:val="6"/>
                <w:szCs w:val="6"/>
                <w:color w:val="auto"/>
              </w:rPr>
              <w:t>Issuance of Series D Tranche 2,</w:t>
            </w:r>
          </w:p>
        </w:tc>
        <w:tc>
          <w:tcPr>
            <w:tcW w:w="60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20" w:type="dxa"/>
            <w:vAlign w:val="bottom"/>
            <w:tcBorders>
              <w:top w:val="single" w:sz="8" w:color="CFF0FC"/>
              <w:right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300" w:type="dxa"/>
            <w:vAlign w:val="bottom"/>
          </w:tcPr>
          <w:p>
            <w:pPr>
              <w:ind w:left="20"/>
              <w:spacing w:after="0"/>
              <w:rPr>
                <w:sz w:val="20"/>
                <w:szCs w:val="20"/>
                <w:color w:val="auto"/>
              </w:rPr>
            </w:pPr>
            <w:r>
              <w:rPr>
                <w:rFonts w:ascii="Arial" w:cs="Arial" w:eastAsia="Arial" w:hAnsi="Arial"/>
                <w:sz w:val="7"/>
                <w:szCs w:val="7"/>
                <w:color w:val="auto"/>
              </w:rPr>
              <w:t>convertible preferred stock, net of</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7"/>
                <w:szCs w:val="7"/>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7"/>
                <w:szCs w:val="7"/>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spacing w:after="0"/>
              <w:rPr>
                <w:sz w:val="20"/>
                <w:szCs w:val="20"/>
                <w:color w:val="auto"/>
              </w:rPr>
            </w:pPr>
            <w:r>
              <w:rPr>
                <w:rFonts w:ascii="Arial" w:cs="Arial" w:eastAsia="Arial" w:hAnsi="Arial"/>
                <w:sz w:val="7"/>
                <w:szCs w:val="7"/>
                <w:color w:val="auto"/>
              </w:rPr>
              <w:t>10,12</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6,98</w:t>
            </w:r>
          </w:p>
        </w:tc>
        <w:tc>
          <w:tcPr>
            <w:tcW w:w="10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restart"/>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rPr>
                <w:sz w:val="20"/>
                <w:szCs w:val="20"/>
                <w:color w:val="auto"/>
              </w:rPr>
            </w:pPr>
            <w:r>
              <w:rPr>
                <w:rFonts w:ascii="Arial" w:cs="Arial" w:eastAsia="Arial" w:hAnsi="Arial"/>
                <w:sz w:val="7"/>
                <w:szCs w:val="7"/>
                <w:color w:val="auto"/>
              </w:rPr>
              <w:t>issuance costs of $18</w:t>
            </w: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440" w:type="dxa"/>
            <w:vAlign w:val="bottom"/>
            <w:gridSpan w:val="2"/>
          </w:tcPr>
          <w:p>
            <w:pPr>
              <w:jc w:val="right"/>
              <w:spacing w:after="0"/>
              <w:rPr>
                <w:sz w:val="20"/>
                <w:szCs w:val="20"/>
                <w:color w:val="auto"/>
              </w:rPr>
            </w:pPr>
            <w:r>
              <w:rPr>
                <w:rFonts w:ascii="Arial" w:cs="Arial" w:eastAsia="Arial" w:hAnsi="Arial"/>
                <w:sz w:val="7"/>
                <w:szCs w:val="7"/>
                <w:color w:val="auto"/>
              </w:rPr>
              <w:t>8,771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2</w:t>
            </w:r>
          </w:p>
        </w:tc>
        <w:tc>
          <w:tcPr>
            <w:tcW w:w="1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300" w:type="dxa"/>
            <w:vAlign w:val="bottom"/>
            <w:shd w:val="clear" w:color="auto" w:fill="CFF0FC"/>
          </w:tcPr>
          <w:p>
            <w:pPr>
              <w:ind w:left="20"/>
              <w:spacing w:after="0" w:line="75" w:lineRule="exact"/>
              <w:rPr>
                <w:sz w:val="20"/>
                <w:szCs w:val="20"/>
                <w:color w:val="auto"/>
              </w:rPr>
            </w:pPr>
            <w:r>
              <w:rPr>
                <w:rFonts w:ascii="Arial" w:cs="Arial" w:eastAsia="Arial" w:hAnsi="Arial"/>
                <w:sz w:val="7"/>
                <w:szCs w:val="7"/>
                <w:color w:val="auto"/>
              </w:rPr>
              <w:t>Issuance of Series E convertible</w:t>
            </w:r>
          </w:p>
        </w:tc>
        <w:tc>
          <w:tcPr>
            <w:tcW w:w="6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440" w:type="dxa"/>
            <w:vAlign w:val="bottom"/>
            <w:gridSpan w:val="2"/>
            <w:shd w:val="clear" w:color="auto" w:fill="CFF0FC"/>
          </w:tcPr>
          <w:p>
            <w:pPr>
              <w:jc w:val="right"/>
              <w:spacing w:after="0" w:line="75" w:lineRule="exact"/>
              <w:rPr>
                <w:sz w:val="20"/>
                <w:szCs w:val="20"/>
                <w:color w:val="auto"/>
              </w:rPr>
            </w:pPr>
            <w:r>
              <w:rPr>
                <w:rFonts w:ascii="Arial" w:cs="Arial" w:eastAsia="Arial" w:hAnsi="Arial"/>
                <w:sz w:val="7"/>
                <w:szCs w:val="7"/>
                <w:color w:val="auto"/>
              </w:rPr>
              <w:t>102,6</w:t>
            </w:r>
          </w:p>
        </w:tc>
        <w:tc>
          <w:tcPr>
            <w:tcW w:w="1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20" w:type="dxa"/>
            <w:vAlign w:val="bottom"/>
            <w:tcBorders>
              <w:right w:val="single" w:sz="8" w:color="auto"/>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300" w:type="dxa"/>
            <w:vAlign w:val="bottom"/>
            <w:shd w:val="clear" w:color="auto" w:fill="CFF0FC"/>
          </w:tcPr>
          <w:p>
            <w:pPr>
              <w:ind w:left="20"/>
              <w:spacing w:after="0" w:line="78" w:lineRule="exact"/>
              <w:rPr>
                <w:sz w:val="20"/>
                <w:szCs w:val="20"/>
                <w:color w:val="auto"/>
              </w:rPr>
            </w:pPr>
            <w:r>
              <w:rPr>
                <w:rFonts w:ascii="Arial" w:cs="Arial" w:eastAsia="Arial" w:hAnsi="Arial"/>
                <w:sz w:val="7"/>
                <w:szCs w:val="7"/>
                <w:color w:val="auto"/>
              </w:rPr>
              <w:t>preferred stock, net of issuance costs</w:t>
            </w:r>
          </w:p>
        </w:tc>
        <w:tc>
          <w:tcPr>
            <w:tcW w:w="6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440" w:type="dxa"/>
            <w:vAlign w:val="bottom"/>
            <w:gridSpan w:val="2"/>
            <w:shd w:val="clear" w:color="auto" w:fill="CFF0FC"/>
          </w:tcPr>
          <w:p>
            <w:pPr>
              <w:jc w:val="right"/>
              <w:spacing w:after="0" w:line="78" w:lineRule="exact"/>
              <w:rPr>
                <w:sz w:val="20"/>
                <w:szCs w:val="20"/>
                <w:color w:val="auto"/>
              </w:rPr>
            </w:pPr>
            <w:r>
              <w:rPr>
                <w:rFonts w:ascii="Arial" w:cs="Arial" w:eastAsia="Arial" w:hAnsi="Arial"/>
                <w:sz w:val="7"/>
                <w:szCs w:val="7"/>
                <w:color w:val="auto"/>
              </w:rPr>
              <w:t>71,04</w:t>
            </w:r>
          </w:p>
        </w:tc>
        <w:tc>
          <w:tcPr>
            <w:tcW w:w="1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20" w:type="dxa"/>
            <w:vAlign w:val="bottom"/>
            <w:tcBorders>
              <w:right w:val="single" w:sz="8" w:color="auto"/>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of $232</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9"/>
                <w:szCs w:val="9"/>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1</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7"/>
                <w:szCs w:val="7"/>
                <w:color w:val="auto"/>
              </w:rPr>
              <w:t>80,251</w:t>
            </w:r>
          </w:p>
        </w:tc>
        <w:tc>
          <w:tcPr>
            <w:tcW w:w="12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40" w:type="dxa"/>
            <w:vAlign w:val="bottom"/>
            <w:shd w:val="clear" w:color="auto" w:fill="CFF0FC"/>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6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rPr>
                <w:sz w:val="20"/>
                <w:szCs w:val="20"/>
                <w:color w:val="auto"/>
              </w:rPr>
            </w:pPr>
            <w:r>
              <w:rPr>
                <w:rFonts w:ascii="Arial" w:cs="Arial" w:eastAsia="Arial" w:hAnsi="Arial"/>
                <w:sz w:val="7"/>
                <w:szCs w:val="7"/>
                <w:color w:val="auto"/>
              </w:rPr>
              <w:t>Stock-based compensation expense</w:t>
            </w:r>
          </w:p>
        </w:tc>
        <w:tc>
          <w:tcPr>
            <w:tcW w:w="7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185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185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Stock option exercises</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54,296</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7"/>
                <w:szCs w:val="7"/>
                <w:color w:val="auto"/>
              </w:rPr>
              <w:t>265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7"/>
                <w:szCs w:val="7"/>
                <w:color w:val="auto"/>
              </w:rPr>
              <w:t>265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300" w:type="dxa"/>
            <w:vAlign w:val="bottom"/>
          </w:tcPr>
          <w:p>
            <w:pPr>
              <w:ind w:left="20"/>
              <w:spacing w:after="0"/>
              <w:rPr>
                <w:sz w:val="20"/>
                <w:szCs w:val="20"/>
                <w:color w:val="auto"/>
              </w:rPr>
            </w:pPr>
            <w:r>
              <w:rPr>
                <w:rFonts w:ascii="Arial" w:cs="Arial" w:eastAsia="Arial" w:hAnsi="Arial"/>
                <w:sz w:val="7"/>
                <w:szCs w:val="7"/>
                <w:color w:val="auto"/>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7"/>
                <w:szCs w:val="7"/>
                <w:color w:val="auto"/>
              </w:rPr>
              <w:t>(5,927 )</w:t>
            </w:r>
          </w:p>
        </w:tc>
        <w:tc>
          <w:tcPr>
            <w:tcW w:w="160" w:type="dxa"/>
            <w:vAlign w:val="bottom"/>
          </w:tcPr>
          <w:p>
            <w:pPr>
              <w:spacing w:after="0"/>
              <w:rPr>
                <w:sz w:val="8"/>
                <w:szCs w:val="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7"/>
                <w:szCs w:val="7"/>
                <w:color w:val="auto"/>
              </w:rPr>
              <w:t>(5,927 )</w:t>
            </w:r>
          </w:p>
        </w:tc>
        <w:tc>
          <w:tcPr>
            <w:tcW w:w="0" w:type="dxa"/>
            <w:vAlign w:val="bottom"/>
          </w:tcPr>
          <w:p>
            <w:pPr>
              <w:spacing w:after="0"/>
              <w:rPr>
                <w:sz w:val="1"/>
                <w:szCs w:val="1"/>
                <w:color w:val="auto"/>
              </w:rPr>
            </w:pPr>
          </w:p>
        </w:tc>
      </w:tr>
      <w:tr>
        <w:trPr>
          <w:trHeight w:val="68"/>
        </w:trPr>
        <w:tc>
          <w:tcPr>
            <w:tcW w:w="1300" w:type="dxa"/>
            <w:vAlign w:val="bottom"/>
            <w:shd w:val="clear" w:color="auto" w:fill="CFF0FC"/>
          </w:tcPr>
          <w:p>
            <w:pPr>
              <w:ind w:left="20"/>
              <w:spacing w:after="0" w:line="68" w:lineRule="exact"/>
              <w:rPr>
                <w:sz w:val="20"/>
                <w:szCs w:val="20"/>
                <w:color w:val="auto"/>
              </w:rPr>
            </w:pPr>
            <w:r>
              <w:rPr>
                <w:rFonts w:ascii="Arial" w:cs="Arial" w:eastAsia="Arial" w:hAnsi="Arial"/>
                <w:sz w:val="7"/>
                <w:szCs w:val="7"/>
                <w:b w:val="1"/>
                <w:bCs w:val="1"/>
                <w:color w:val="auto"/>
              </w:rPr>
              <w:t>Balance, March 31, 2021</w:t>
            </w:r>
          </w:p>
        </w:tc>
        <w:tc>
          <w:tcPr>
            <w:tcW w:w="6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2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18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20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20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102,6</w:t>
            </w:r>
          </w:p>
        </w:tc>
        <w:tc>
          <w:tcPr>
            <w:tcW w:w="10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20" w:type="dxa"/>
            <w:vAlign w:val="bottom"/>
            <w:tcBorders>
              <w:top w:val="single" w:sz="8" w:color="auto"/>
            </w:tcBorders>
            <w:shd w:val="clear" w:color="auto" w:fill="CFF0FC"/>
          </w:tcPr>
          <w:p>
            <w:pPr>
              <w:spacing w:after="0"/>
              <w:rPr>
                <w:sz w:val="5"/>
                <w:szCs w:val="5"/>
                <w:color w:val="auto"/>
              </w:rPr>
            </w:pPr>
          </w:p>
        </w:tc>
        <w:tc>
          <w:tcPr>
            <w:tcW w:w="120" w:type="dxa"/>
            <w:vAlign w:val="bottom"/>
            <w:tcBorders>
              <w:right w:val="single" w:sz="8" w:color="auto"/>
            </w:tcBorders>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2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2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tcBorders>
              <w:top w:val="single" w:sz="8" w:color="auto"/>
            </w:tcBorders>
            <w:shd w:val="clear" w:color="auto" w:fill="CFF0FC"/>
          </w:tcPr>
          <w:p>
            <w:pPr>
              <w:spacing w:after="0"/>
              <w:rPr>
                <w:sz w:val="5"/>
                <w:szCs w:val="5"/>
                <w:color w:val="auto"/>
              </w:rPr>
            </w:pPr>
          </w:p>
        </w:tc>
        <w:tc>
          <w:tcPr>
            <w:tcW w:w="92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shd w:val="clear" w:color="auto" w:fill="CFF0FC"/>
          </w:tcPr>
          <w:p>
            <w:pPr>
              <w:spacing w:after="0"/>
              <w:rPr>
                <w:sz w:val="7"/>
                <w:szCs w:val="7"/>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1,701,141</w:t>
            </w:r>
          </w:p>
        </w:tc>
        <w:tc>
          <w:tcPr>
            <w:tcW w:w="120" w:type="dxa"/>
            <w:vAlign w:val="bottom"/>
            <w:shd w:val="clear" w:color="auto" w:fill="CFF0FC"/>
          </w:tcPr>
          <w:p>
            <w:pPr>
              <w:spacing w:after="0"/>
              <w:rPr>
                <w:sz w:val="7"/>
                <w:szCs w:val="7"/>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3,368</w:t>
            </w: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3,298</w:t>
            </w:r>
          </w:p>
        </w:tc>
        <w:tc>
          <w:tcPr>
            <w:tcW w:w="180" w:type="dxa"/>
            <w:vAlign w:val="bottom"/>
            <w:gridSpan w:val="2"/>
            <w:vMerge w:val="restart"/>
            <w:shd w:val="clear" w:color="auto" w:fill="CFF0FC"/>
          </w:tcPr>
          <w:p>
            <w:pPr>
              <w:ind w:left="140"/>
              <w:spacing w:after="0"/>
              <w:rPr>
                <w:sz w:val="20"/>
                <w:szCs w:val="20"/>
                <w:color w:val="auto"/>
              </w:rPr>
            </w:pPr>
            <w:r>
              <w:rPr>
                <w:rFonts w:ascii="Arial" w:cs="Arial" w:eastAsia="Arial" w:hAnsi="Arial"/>
                <w:sz w:val="5"/>
                <w:szCs w:val="5"/>
                <w:color w:val="auto"/>
                <w:w w:val="70"/>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7,837</w:t>
            </w: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4,324,9</w:t>
            </w:r>
          </w:p>
        </w:tc>
        <w:tc>
          <w:tcPr>
            <w:tcW w:w="120" w:type="dxa"/>
            <w:vAlign w:val="bottom"/>
            <w:shd w:val="clear" w:color="auto" w:fill="CFF0FC"/>
          </w:tcPr>
          <w:p>
            <w:pPr>
              <w:spacing w:after="0"/>
              <w:rPr>
                <w:sz w:val="7"/>
                <w:szCs w:val="7"/>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5,373</w:t>
            </w:r>
          </w:p>
        </w:tc>
        <w:tc>
          <w:tcPr>
            <w:tcW w:w="120" w:type="dxa"/>
            <w:vAlign w:val="bottom"/>
            <w:shd w:val="clear" w:color="auto" w:fill="CFF0FC"/>
          </w:tcPr>
          <w:p>
            <w:pPr>
              <w:spacing w:after="0"/>
              <w:rPr>
                <w:sz w:val="7"/>
                <w:szCs w:val="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22,53</w:t>
            </w:r>
          </w:p>
        </w:tc>
        <w:tc>
          <w:tcPr>
            <w:tcW w:w="220" w:type="dxa"/>
            <w:vAlign w:val="bottom"/>
            <w:gridSpan w:val="2"/>
            <w:vMerge w:val="restart"/>
            <w:shd w:val="clear" w:color="auto" w:fill="CFF0FC"/>
          </w:tcPr>
          <w:p>
            <w:pPr>
              <w:ind w:left="140"/>
              <w:spacing w:after="0"/>
              <w:rPr>
                <w:sz w:val="20"/>
                <w:szCs w:val="20"/>
                <w:color w:val="auto"/>
              </w:rPr>
            </w:pPr>
            <w:r>
              <w:rPr>
                <w:rFonts w:ascii="Arial" w:cs="Arial" w:eastAsia="Arial" w:hAnsi="Arial"/>
                <w:sz w:val="7"/>
                <w:szCs w:val="7"/>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20,8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91,32</w:t>
            </w:r>
          </w:p>
        </w:tc>
        <w:tc>
          <w:tcPr>
            <w:tcW w:w="200" w:type="dxa"/>
            <w:vAlign w:val="bottom"/>
            <w:gridSpan w:val="2"/>
            <w:vMerge w:val="restart"/>
            <w:shd w:val="clear" w:color="auto" w:fill="CFF0FC"/>
          </w:tcPr>
          <w:p>
            <w:pPr>
              <w:ind w:left="120"/>
              <w:spacing w:after="0"/>
              <w:rPr>
                <w:sz w:val="20"/>
                <w:szCs w:val="20"/>
                <w:color w:val="auto"/>
              </w:rPr>
            </w:pPr>
            <w:r>
              <w:rPr>
                <w:rFonts w:ascii="Arial" w:cs="Arial" w:eastAsia="Arial" w:hAnsi="Arial"/>
                <w:sz w:val="7"/>
                <w:szCs w:val="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41,0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82,47</w:t>
            </w:r>
          </w:p>
        </w:tc>
        <w:tc>
          <w:tcPr>
            <w:tcW w:w="200" w:type="dxa"/>
            <w:vAlign w:val="bottom"/>
            <w:gridSpan w:val="2"/>
            <w:vMerge w:val="restart"/>
            <w:shd w:val="clear" w:color="auto" w:fill="CFF0FC"/>
          </w:tcPr>
          <w:p>
            <w:pPr>
              <w:ind w:left="120"/>
              <w:spacing w:after="0"/>
              <w:rPr>
                <w:sz w:val="20"/>
                <w:szCs w:val="20"/>
                <w:color w:val="auto"/>
              </w:rPr>
            </w:pPr>
            <w:r>
              <w:rPr>
                <w:rFonts w:ascii="Arial" w:cs="Arial" w:eastAsia="Arial" w:hAnsi="Arial"/>
                <w:sz w:val="7"/>
                <w:szCs w:val="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56,5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71,04</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80,251</w:t>
            </w:r>
          </w:p>
        </w:tc>
        <w:tc>
          <w:tcPr>
            <w:tcW w:w="120" w:type="dxa"/>
            <w:vAlign w:val="bottom"/>
            <w:tcBorders>
              <w:right w:val="single" w:sz="8" w:color="auto"/>
            </w:tcBorders>
            <w:shd w:val="clear" w:color="auto" w:fill="CFF0FC"/>
          </w:tcPr>
          <w:p>
            <w:pPr>
              <w:spacing w:after="0"/>
              <w:rPr>
                <w:sz w:val="7"/>
                <w:szCs w:val="7"/>
                <w:color w:val="auto"/>
              </w:rPr>
            </w:pPr>
          </w:p>
        </w:tc>
        <w:tc>
          <w:tcPr>
            <w:tcW w:w="40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435,419</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40" w:type="dxa"/>
            <w:vAlign w:val="bottom"/>
            <w:vMerge w:val="restart"/>
            <w:shd w:val="clear" w:color="auto" w:fill="CFF0FC"/>
          </w:tcPr>
          <w:p>
            <w:pPr>
              <w:ind w:left="260"/>
              <w:spacing w:after="0"/>
              <w:rPr>
                <w:sz w:val="20"/>
                <w:szCs w:val="20"/>
                <w:color w:val="auto"/>
              </w:rPr>
            </w:pPr>
            <w:r>
              <w:rPr>
                <w:rFonts w:ascii="Arial" w:cs="Arial" w:eastAsia="Arial" w:hAnsi="Arial"/>
                <w:sz w:val="7"/>
                <w:szCs w:val="7"/>
                <w:color w:val="auto"/>
                <w:w w:val="85"/>
              </w:rPr>
              <w:t>—</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8,623</w:t>
            </w:r>
          </w:p>
        </w:tc>
        <w:tc>
          <w:tcPr>
            <w:tcW w:w="180" w:type="dxa"/>
            <w:vAlign w:val="bottom"/>
            <w:gridSpan w:val="2"/>
            <w:vMerge w:val="restart"/>
            <w:shd w:val="clear" w:color="auto" w:fill="CFF0FC"/>
          </w:tcPr>
          <w:p>
            <w:pPr>
              <w:ind w:left="120"/>
              <w:spacing w:after="0"/>
              <w:rPr>
                <w:sz w:val="20"/>
                <w:szCs w:val="20"/>
                <w:color w:val="auto"/>
              </w:rPr>
            </w:pPr>
            <w:r>
              <w:rPr>
                <w:rFonts w:ascii="Arial" w:cs="Arial" w:eastAsia="Arial" w:hAnsi="Arial"/>
                <w:sz w:val="7"/>
                <w:szCs w:val="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(122,81</w:t>
            </w:r>
          </w:p>
        </w:tc>
        <w:tc>
          <w:tcPr>
            <w:tcW w:w="120" w:type="dxa"/>
            <w:vAlign w:val="bottom"/>
            <w:shd w:val="clear" w:color="auto" w:fill="CFF0FC"/>
          </w:tcPr>
          <w:p>
            <w:pPr>
              <w:spacing w:after="0"/>
              <w:rPr>
                <w:sz w:val="7"/>
                <w:szCs w:val="7"/>
                <w:color w:val="auto"/>
              </w:rPr>
            </w:pPr>
          </w:p>
        </w:tc>
        <w:tc>
          <w:tcPr>
            <w:tcW w:w="160" w:type="dxa"/>
            <w:vAlign w:val="bottom"/>
            <w:vMerge w:val="restart"/>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10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(114,190 )</w:t>
            </w:r>
          </w:p>
        </w:tc>
        <w:tc>
          <w:tcPr>
            <w:tcW w:w="0" w:type="dxa"/>
            <w:vAlign w:val="bottom"/>
          </w:tcPr>
          <w:p>
            <w:pPr>
              <w:spacing w:after="0"/>
              <w:rPr>
                <w:sz w:val="1"/>
                <w:szCs w:val="1"/>
                <w:color w:val="auto"/>
              </w:rPr>
            </w:pPr>
          </w:p>
        </w:tc>
      </w:tr>
      <w:tr>
        <w:trPr>
          <w:trHeight w:val="108"/>
        </w:trPr>
        <w:tc>
          <w:tcPr>
            <w:tcW w:w="1300" w:type="dxa"/>
            <w:vAlign w:val="bottom"/>
            <w:shd w:val="clear" w:color="auto" w:fill="CFF0FC"/>
          </w:tcPr>
          <w:p>
            <w:pPr>
              <w:spacing w:after="0"/>
              <w:rPr>
                <w:sz w:val="9"/>
                <w:szCs w:val="9"/>
                <w:color w:val="auto"/>
              </w:rPr>
            </w:pPr>
          </w:p>
        </w:tc>
        <w:tc>
          <w:tcPr>
            <w:tcW w:w="6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vMerge w:val="continue"/>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,732</w:t>
            </w:r>
          </w:p>
        </w:tc>
        <w:tc>
          <w:tcPr>
            <w:tcW w:w="180" w:type="dxa"/>
            <w:vAlign w:val="bottom"/>
            <w:gridSpan w:val="2"/>
            <w:vMerge w:val="continue"/>
            <w:shd w:val="clear" w:color="auto" w:fill="CFF0FC"/>
          </w:tcPr>
          <w:p>
            <w:pPr>
              <w:spacing w:after="0"/>
              <w:rPr>
                <w:sz w:val="9"/>
                <w:szCs w:val="9"/>
                <w:color w:val="auto"/>
              </w:rPr>
            </w:pPr>
          </w:p>
        </w:tc>
        <w:tc>
          <w:tcPr>
            <w:tcW w:w="3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98</w:t>
            </w:r>
          </w:p>
        </w:tc>
        <w:tc>
          <w:tcPr>
            <w:tcW w:w="120" w:type="dxa"/>
            <w:vAlign w:val="bottom"/>
            <w:shd w:val="clear" w:color="auto" w:fill="CFF0FC"/>
          </w:tcPr>
          <w:p>
            <w:pPr>
              <w:spacing w:after="0"/>
              <w:rPr>
                <w:sz w:val="9"/>
                <w:szCs w:val="9"/>
                <w:color w:val="auto"/>
              </w:rPr>
            </w:pPr>
          </w:p>
        </w:tc>
        <w:tc>
          <w:tcPr>
            <w:tcW w:w="60" w:type="dxa"/>
            <w:vAlign w:val="bottom"/>
            <w:vMerge w:val="continue"/>
            <w:shd w:val="clear" w:color="auto" w:fill="CFF0FC"/>
          </w:tcPr>
          <w:p>
            <w:pPr>
              <w:spacing w:after="0"/>
              <w:rPr>
                <w:sz w:val="9"/>
                <w:szCs w:val="9"/>
                <w:color w:val="auto"/>
              </w:rPr>
            </w:pPr>
          </w:p>
        </w:tc>
        <w:tc>
          <w:tcPr>
            <w:tcW w:w="3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1,819</w:t>
            </w:r>
          </w:p>
        </w:tc>
        <w:tc>
          <w:tcPr>
            <w:tcW w:w="220" w:type="dxa"/>
            <w:vAlign w:val="bottom"/>
            <w:gridSpan w:val="2"/>
            <w:vMerge w:val="continue"/>
            <w:shd w:val="clear" w:color="auto" w:fill="CFF0FC"/>
          </w:tcPr>
          <w:p>
            <w:pPr>
              <w:spacing w:after="0"/>
              <w:rPr>
                <w:sz w:val="9"/>
                <w:szCs w:val="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06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7,903</w:t>
            </w:r>
          </w:p>
        </w:tc>
        <w:tc>
          <w:tcPr>
            <w:tcW w:w="20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99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7,223</w:t>
            </w:r>
          </w:p>
        </w:tc>
        <w:tc>
          <w:tcPr>
            <w:tcW w:w="20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75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1</w:t>
            </w:r>
          </w:p>
        </w:tc>
        <w:tc>
          <w:tcPr>
            <w:tcW w:w="160" w:type="dxa"/>
            <w:vAlign w:val="bottom"/>
            <w:gridSpan w:val="2"/>
            <w:vMerge w:val="continue"/>
            <w:shd w:val="clear" w:color="auto" w:fill="CFF0FC"/>
          </w:tcPr>
          <w:p>
            <w:pPr>
              <w:spacing w:after="0"/>
              <w:rPr>
                <w:sz w:val="9"/>
                <w:szCs w:val="9"/>
                <w:color w:val="auto"/>
              </w:rPr>
            </w:pPr>
          </w:p>
        </w:tc>
        <w:tc>
          <w:tcPr>
            <w:tcW w:w="320" w:type="dxa"/>
            <w:vAlign w:val="bottom"/>
            <w:vMerge w:val="continue"/>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400" w:type="dxa"/>
            <w:vAlign w:val="bottom"/>
            <w:gridSpan w:val="2"/>
            <w:vMerge w:val="continue"/>
            <w:shd w:val="clear" w:color="auto" w:fill="CFF0FC"/>
          </w:tcPr>
          <w:p>
            <w:pPr>
              <w:spacing w:after="0"/>
              <w:rPr>
                <w:sz w:val="9"/>
                <w:szCs w:val="9"/>
                <w:color w:val="auto"/>
              </w:rPr>
            </w:pPr>
          </w:p>
        </w:tc>
        <w:tc>
          <w:tcPr>
            <w:tcW w:w="160" w:type="dxa"/>
            <w:vAlign w:val="bottom"/>
            <w:gridSpan w:val="2"/>
            <w:vMerge w:val="continue"/>
            <w:shd w:val="clear" w:color="auto" w:fill="CFF0FC"/>
          </w:tcPr>
          <w:p>
            <w:pPr>
              <w:spacing w:after="0"/>
              <w:rPr>
                <w:sz w:val="9"/>
                <w:szCs w:val="9"/>
                <w:color w:val="auto"/>
              </w:rPr>
            </w:pPr>
          </w:p>
        </w:tc>
        <w:tc>
          <w:tcPr>
            <w:tcW w:w="340" w:type="dxa"/>
            <w:vAlign w:val="bottom"/>
            <w:vMerge w:val="continue"/>
            <w:shd w:val="clear" w:color="auto" w:fill="CFF0FC"/>
          </w:tcPr>
          <w:p>
            <w:pPr>
              <w:spacing w:after="0"/>
              <w:rPr>
                <w:sz w:val="9"/>
                <w:szCs w:val="9"/>
                <w:color w:val="auto"/>
              </w:rPr>
            </w:pPr>
          </w:p>
        </w:tc>
        <w:tc>
          <w:tcPr>
            <w:tcW w:w="180" w:type="dxa"/>
            <w:vAlign w:val="bottom"/>
            <w:gridSpan w:val="2"/>
            <w:vMerge w:val="continue"/>
            <w:shd w:val="clear" w:color="auto" w:fill="CFF0FC"/>
          </w:tcPr>
          <w:p>
            <w:pPr>
              <w:spacing w:after="0"/>
              <w:rPr>
                <w:sz w:val="9"/>
                <w:szCs w:val="9"/>
                <w:color w:val="auto"/>
              </w:rPr>
            </w:pPr>
          </w:p>
        </w:tc>
        <w:tc>
          <w:tcPr>
            <w:tcW w:w="320" w:type="dxa"/>
            <w:vAlign w:val="bottom"/>
            <w:vMerge w:val="continue"/>
            <w:shd w:val="clear" w:color="auto" w:fill="CFF0FC"/>
          </w:tcPr>
          <w:p>
            <w:pPr>
              <w:spacing w:after="0"/>
              <w:rPr>
                <w:sz w:val="9"/>
                <w:szCs w:val="9"/>
                <w:color w:val="auto"/>
              </w:rPr>
            </w:pPr>
          </w:p>
        </w:tc>
        <w:tc>
          <w:tcPr>
            <w:tcW w:w="180" w:type="dxa"/>
            <w:vAlign w:val="bottom"/>
            <w:gridSpan w:val="2"/>
            <w:vMerge w:val="continue"/>
            <w:shd w:val="clear" w:color="auto" w:fill="CFF0FC"/>
          </w:tcPr>
          <w:p>
            <w:pPr>
              <w:spacing w:after="0"/>
              <w:rPr>
                <w:sz w:val="9"/>
                <w:szCs w:val="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3 )</w:t>
            </w:r>
          </w:p>
        </w:tc>
        <w:tc>
          <w:tcPr>
            <w:tcW w:w="160" w:type="dxa"/>
            <w:vAlign w:val="bottom"/>
            <w:vMerge w:val="continue"/>
            <w:shd w:val="clear" w:color="auto" w:fill="CFF0FC"/>
          </w:tcPr>
          <w:p>
            <w:pPr>
              <w:spacing w:after="0"/>
              <w:rPr>
                <w:sz w:val="9"/>
                <w:szCs w:val="9"/>
                <w:color w:val="auto"/>
              </w:rPr>
            </w:pPr>
          </w:p>
        </w:tc>
        <w:tc>
          <w:tcPr>
            <w:tcW w:w="10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rPr>
                <w:sz w:val="20"/>
                <w:szCs w:val="20"/>
                <w:color w:val="auto"/>
              </w:rPr>
            </w:pPr>
            <w:r>
              <w:rPr>
                <w:rFonts w:ascii="Arial" w:cs="Arial" w:eastAsia="Arial" w:hAnsi="Arial"/>
                <w:sz w:val="7"/>
                <w:szCs w:val="7"/>
                <w:color w:val="auto"/>
              </w:rPr>
              <w:t>Stock-based compensation expense</w:t>
            </w:r>
          </w:p>
        </w:tc>
        <w:tc>
          <w:tcPr>
            <w:tcW w:w="7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271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271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Stock option exercises</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3,649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7"/>
                <w:szCs w:val="7"/>
                <w:color w:val="auto"/>
              </w:rPr>
              <w:t>20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7"/>
                <w:szCs w:val="7"/>
                <w:color w:val="auto"/>
              </w:rPr>
              <w:t>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300" w:type="dxa"/>
            <w:vAlign w:val="bottom"/>
          </w:tcPr>
          <w:p>
            <w:pPr>
              <w:ind w:left="20"/>
              <w:spacing w:after="0"/>
              <w:rPr>
                <w:sz w:val="20"/>
                <w:szCs w:val="20"/>
                <w:color w:val="auto"/>
              </w:rPr>
            </w:pPr>
            <w:r>
              <w:rPr>
                <w:rFonts w:ascii="Arial" w:cs="Arial" w:eastAsia="Arial" w:hAnsi="Arial"/>
                <w:sz w:val="7"/>
                <w:szCs w:val="7"/>
                <w:color w:val="auto"/>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7"/>
                <w:szCs w:val="7"/>
                <w:color w:val="auto"/>
              </w:rPr>
              <w:t>(8,852 )</w:t>
            </w:r>
          </w:p>
        </w:tc>
        <w:tc>
          <w:tcPr>
            <w:tcW w:w="160" w:type="dxa"/>
            <w:vAlign w:val="bottom"/>
          </w:tcPr>
          <w:p>
            <w:pPr>
              <w:spacing w:after="0"/>
              <w:rPr>
                <w:sz w:val="8"/>
                <w:szCs w:val="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7"/>
                <w:szCs w:val="7"/>
                <w:color w:val="auto"/>
              </w:rPr>
              <w:t>(8,852 )</w:t>
            </w:r>
          </w:p>
        </w:tc>
        <w:tc>
          <w:tcPr>
            <w:tcW w:w="0" w:type="dxa"/>
            <w:vAlign w:val="bottom"/>
          </w:tcPr>
          <w:p>
            <w:pPr>
              <w:spacing w:after="0"/>
              <w:rPr>
                <w:sz w:val="1"/>
                <w:szCs w:val="1"/>
                <w:color w:val="auto"/>
              </w:rPr>
            </w:pPr>
          </w:p>
        </w:tc>
      </w:tr>
      <w:tr>
        <w:trPr>
          <w:trHeight w:val="68"/>
        </w:trPr>
        <w:tc>
          <w:tcPr>
            <w:tcW w:w="1300" w:type="dxa"/>
            <w:vAlign w:val="bottom"/>
            <w:shd w:val="clear" w:color="auto" w:fill="CFF0FC"/>
          </w:tcPr>
          <w:p>
            <w:pPr>
              <w:ind w:left="20"/>
              <w:spacing w:after="0" w:line="68" w:lineRule="exact"/>
              <w:rPr>
                <w:sz w:val="20"/>
                <w:szCs w:val="20"/>
                <w:color w:val="auto"/>
              </w:rPr>
            </w:pPr>
            <w:r>
              <w:rPr>
                <w:rFonts w:ascii="Arial" w:cs="Arial" w:eastAsia="Arial" w:hAnsi="Arial"/>
                <w:sz w:val="7"/>
                <w:szCs w:val="7"/>
                <w:b w:val="1"/>
                <w:bCs w:val="1"/>
                <w:color w:val="auto"/>
              </w:rPr>
              <w:t>Balance, June 30, 2021</w:t>
            </w:r>
          </w:p>
        </w:tc>
        <w:tc>
          <w:tcPr>
            <w:tcW w:w="6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28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0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tcBorders>
              <w:top w:val="single" w:sz="8" w:color="auto"/>
            </w:tcBorders>
            <w:shd w:val="clear" w:color="auto" w:fill="CFF0FC"/>
          </w:tcPr>
          <w:p>
            <w:pPr>
              <w:spacing w:after="0"/>
              <w:rPr>
                <w:sz w:val="5"/>
                <w:szCs w:val="5"/>
                <w:color w:val="auto"/>
              </w:rPr>
            </w:pPr>
          </w:p>
        </w:tc>
        <w:tc>
          <w:tcPr>
            <w:tcW w:w="18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20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20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jc w:val="right"/>
              <w:spacing w:after="0" w:line="68" w:lineRule="exact"/>
              <w:rPr>
                <w:sz w:val="20"/>
                <w:szCs w:val="20"/>
                <w:color w:val="auto"/>
              </w:rPr>
            </w:pPr>
            <w:r>
              <w:rPr>
                <w:rFonts w:ascii="Arial" w:cs="Arial" w:eastAsia="Arial" w:hAnsi="Arial"/>
                <w:sz w:val="7"/>
                <w:szCs w:val="7"/>
                <w:color w:val="auto"/>
              </w:rPr>
              <w:t>102,6</w:t>
            </w:r>
          </w:p>
        </w:tc>
        <w:tc>
          <w:tcPr>
            <w:tcW w:w="10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20" w:type="dxa"/>
            <w:vAlign w:val="bottom"/>
            <w:tcBorders>
              <w:top w:val="single" w:sz="8" w:color="auto"/>
            </w:tcBorders>
            <w:shd w:val="clear" w:color="auto" w:fill="CFF0FC"/>
          </w:tcPr>
          <w:p>
            <w:pPr>
              <w:spacing w:after="0"/>
              <w:rPr>
                <w:sz w:val="5"/>
                <w:szCs w:val="5"/>
                <w:color w:val="auto"/>
              </w:rPr>
            </w:pPr>
          </w:p>
        </w:tc>
        <w:tc>
          <w:tcPr>
            <w:tcW w:w="120" w:type="dxa"/>
            <w:vAlign w:val="bottom"/>
            <w:tcBorders>
              <w:right w:val="single" w:sz="8" w:color="auto"/>
            </w:tcBorders>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2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2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tcBorders>
              <w:top w:val="single" w:sz="8" w:color="auto"/>
            </w:tcBorders>
            <w:shd w:val="clear" w:color="auto" w:fill="CFF0FC"/>
          </w:tcPr>
          <w:p>
            <w:pPr>
              <w:spacing w:after="0"/>
              <w:rPr>
                <w:sz w:val="5"/>
                <w:szCs w:val="5"/>
                <w:color w:val="auto"/>
              </w:rPr>
            </w:pPr>
          </w:p>
        </w:tc>
        <w:tc>
          <w:tcPr>
            <w:tcW w:w="340" w:type="dxa"/>
            <w:vAlign w:val="bottom"/>
            <w:tcBorders>
              <w:top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tcBorders>
              <w:top w:val="single" w:sz="8" w:color="auto"/>
            </w:tcBorders>
            <w:shd w:val="clear" w:color="auto" w:fill="CFF0FC"/>
          </w:tcPr>
          <w:p>
            <w:pPr>
              <w:spacing w:after="0"/>
              <w:rPr>
                <w:sz w:val="5"/>
                <w:szCs w:val="5"/>
                <w:color w:val="auto"/>
              </w:rPr>
            </w:pPr>
          </w:p>
        </w:tc>
        <w:tc>
          <w:tcPr>
            <w:tcW w:w="920" w:type="dxa"/>
            <w:vAlign w:val="bottom"/>
            <w:tcBorders>
              <w:top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shd w:val="clear" w:color="auto" w:fill="CFF0FC"/>
          </w:tcPr>
          <w:p>
            <w:pPr>
              <w:spacing w:after="0"/>
              <w:rPr>
                <w:sz w:val="7"/>
                <w:szCs w:val="7"/>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1,701,141</w:t>
            </w:r>
          </w:p>
        </w:tc>
        <w:tc>
          <w:tcPr>
            <w:tcW w:w="120" w:type="dxa"/>
            <w:vAlign w:val="bottom"/>
            <w:shd w:val="clear" w:color="auto" w:fill="CFF0FC"/>
          </w:tcPr>
          <w:p>
            <w:pPr>
              <w:spacing w:after="0"/>
              <w:rPr>
                <w:sz w:val="7"/>
                <w:szCs w:val="7"/>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3,368</w:t>
            </w: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3,298</w:t>
            </w:r>
          </w:p>
        </w:tc>
        <w:tc>
          <w:tcPr>
            <w:tcW w:w="180" w:type="dxa"/>
            <w:vAlign w:val="bottom"/>
            <w:gridSpan w:val="2"/>
            <w:vMerge w:val="restart"/>
            <w:shd w:val="clear" w:color="auto" w:fill="CFF0FC"/>
          </w:tcPr>
          <w:p>
            <w:pPr>
              <w:ind w:left="140"/>
              <w:spacing w:after="0"/>
              <w:rPr>
                <w:sz w:val="20"/>
                <w:szCs w:val="20"/>
                <w:color w:val="auto"/>
              </w:rPr>
            </w:pPr>
            <w:r>
              <w:rPr>
                <w:rFonts w:ascii="Arial" w:cs="Arial" w:eastAsia="Arial" w:hAnsi="Arial"/>
                <w:sz w:val="5"/>
                <w:szCs w:val="5"/>
                <w:color w:val="auto"/>
                <w:w w:val="70"/>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7,837</w:t>
            </w: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4,324,9</w:t>
            </w:r>
          </w:p>
        </w:tc>
        <w:tc>
          <w:tcPr>
            <w:tcW w:w="120" w:type="dxa"/>
            <w:vAlign w:val="bottom"/>
            <w:shd w:val="clear" w:color="auto" w:fill="CFF0FC"/>
          </w:tcPr>
          <w:p>
            <w:pPr>
              <w:spacing w:after="0"/>
              <w:rPr>
                <w:sz w:val="7"/>
                <w:szCs w:val="7"/>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5,373</w:t>
            </w:r>
          </w:p>
        </w:tc>
        <w:tc>
          <w:tcPr>
            <w:tcW w:w="120" w:type="dxa"/>
            <w:vAlign w:val="bottom"/>
            <w:shd w:val="clear" w:color="auto" w:fill="CFF0FC"/>
          </w:tcPr>
          <w:p>
            <w:pPr>
              <w:spacing w:after="0"/>
              <w:rPr>
                <w:sz w:val="7"/>
                <w:szCs w:val="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22,53</w:t>
            </w:r>
          </w:p>
        </w:tc>
        <w:tc>
          <w:tcPr>
            <w:tcW w:w="220" w:type="dxa"/>
            <w:vAlign w:val="bottom"/>
            <w:gridSpan w:val="2"/>
            <w:vMerge w:val="restart"/>
            <w:shd w:val="clear" w:color="auto" w:fill="CFF0FC"/>
          </w:tcPr>
          <w:p>
            <w:pPr>
              <w:ind w:left="140"/>
              <w:spacing w:after="0"/>
              <w:rPr>
                <w:sz w:val="20"/>
                <w:szCs w:val="20"/>
                <w:color w:val="auto"/>
              </w:rPr>
            </w:pPr>
            <w:r>
              <w:rPr>
                <w:rFonts w:ascii="Arial" w:cs="Arial" w:eastAsia="Arial" w:hAnsi="Arial"/>
                <w:sz w:val="7"/>
                <w:szCs w:val="7"/>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20,8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91,32</w:t>
            </w:r>
          </w:p>
        </w:tc>
        <w:tc>
          <w:tcPr>
            <w:tcW w:w="200" w:type="dxa"/>
            <w:vAlign w:val="bottom"/>
            <w:gridSpan w:val="2"/>
            <w:vMerge w:val="restart"/>
            <w:shd w:val="clear" w:color="auto" w:fill="CFF0FC"/>
          </w:tcPr>
          <w:p>
            <w:pPr>
              <w:ind w:left="120"/>
              <w:spacing w:after="0"/>
              <w:rPr>
                <w:sz w:val="20"/>
                <w:szCs w:val="20"/>
                <w:color w:val="auto"/>
              </w:rPr>
            </w:pPr>
            <w:r>
              <w:rPr>
                <w:rFonts w:ascii="Arial" w:cs="Arial" w:eastAsia="Arial" w:hAnsi="Arial"/>
                <w:sz w:val="7"/>
                <w:szCs w:val="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41,0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82,47</w:t>
            </w:r>
          </w:p>
        </w:tc>
        <w:tc>
          <w:tcPr>
            <w:tcW w:w="200" w:type="dxa"/>
            <w:vAlign w:val="bottom"/>
            <w:gridSpan w:val="2"/>
            <w:vMerge w:val="restart"/>
            <w:shd w:val="clear" w:color="auto" w:fill="CFF0FC"/>
          </w:tcPr>
          <w:p>
            <w:pPr>
              <w:ind w:left="120"/>
              <w:spacing w:after="0"/>
              <w:rPr>
                <w:sz w:val="20"/>
                <w:szCs w:val="20"/>
                <w:color w:val="auto"/>
              </w:rPr>
            </w:pPr>
            <w:r>
              <w:rPr>
                <w:rFonts w:ascii="Arial" w:cs="Arial" w:eastAsia="Arial" w:hAnsi="Arial"/>
                <w:sz w:val="7"/>
                <w:szCs w:val="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56,5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71,04</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80,251</w:t>
            </w:r>
          </w:p>
        </w:tc>
        <w:tc>
          <w:tcPr>
            <w:tcW w:w="120" w:type="dxa"/>
            <w:vAlign w:val="bottom"/>
            <w:tcBorders>
              <w:right w:val="single" w:sz="8" w:color="auto"/>
            </w:tcBorders>
            <w:shd w:val="clear" w:color="auto" w:fill="CFF0FC"/>
          </w:tcPr>
          <w:p>
            <w:pPr>
              <w:spacing w:after="0"/>
              <w:rPr>
                <w:sz w:val="7"/>
                <w:szCs w:val="7"/>
                <w:color w:val="auto"/>
              </w:rPr>
            </w:pPr>
          </w:p>
        </w:tc>
        <w:tc>
          <w:tcPr>
            <w:tcW w:w="40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439,068</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40" w:type="dxa"/>
            <w:vAlign w:val="bottom"/>
            <w:vMerge w:val="restart"/>
            <w:shd w:val="clear" w:color="auto" w:fill="CFF0FC"/>
          </w:tcPr>
          <w:p>
            <w:pPr>
              <w:ind w:left="260"/>
              <w:spacing w:after="0"/>
              <w:rPr>
                <w:sz w:val="20"/>
                <w:szCs w:val="20"/>
                <w:color w:val="auto"/>
              </w:rPr>
            </w:pPr>
            <w:r>
              <w:rPr>
                <w:rFonts w:ascii="Arial" w:cs="Arial" w:eastAsia="Arial" w:hAnsi="Arial"/>
                <w:sz w:val="7"/>
                <w:szCs w:val="7"/>
                <w:color w:val="auto"/>
                <w:w w:val="85"/>
              </w:rPr>
              <w:t>—</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8,914</w:t>
            </w:r>
          </w:p>
        </w:tc>
        <w:tc>
          <w:tcPr>
            <w:tcW w:w="180" w:type="dxa"/>
            <w:vAlign w:val="bottom"/>
            <w:gridSpan w:val="2"/>
            <w:vMerge w:val="restart"/>
            <w:shd w:val="clear" w:color="auto" w:fill="CFF0FC"/>
          </w:tcPr>
          <w:p>
            <w:pPr>
              <w:ind w:left="120"/>
              <w:spacing w:after="0"/>
              <w:rPr>
                <w:sz w:val="20"/>
                <w:szCs w:val="20"/>
                <w:color w:val="auto"/>
              </w:rPr>
            </w:pPr>
            <w:r>
              <w:rPr>
                <w:rFonts w:ascii="Arial" w:cs="Arial" w:eastAsia="Arial" w:hAnsi="Arial"/>
                <w:sz w:val="7"/>
                <w:szCs w:val="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(131,66</w:t>
            </w:r>
          </w:p>
        </w:tc>
        <w:tc>
          <w:tcPr>
            <w:tcW w:w="120" w:type="dxa"/>
            <w:vAlign w:val="bottom"/>
            <w:shd w:val="clear" w:color="auto" w:fill="CFF0FC"/>
          </w:tcPr>
          <w:p>
            <w:pPr>
              <w:spacing w:after="0"/>
              <w:rPr>
                <w:sz w:val="7"/>
                <w:szCs w:val="7"/>
                <w:color w:val="auto"/>
              </w:rPr>
            </w:pPr>
          </w:p>
        </w:tc>
        <w:tc>
          <w:tcPr>
            <w:tcW w:w="160" w:type="dxa"/>
            <w:vAlign w:val="bottom"/>
            <w:vMerge w:val="restart"/>
            <w:shd w:val="clear" w:color="auto" w:fill="CFF0FC"/>
          </w:tcPr>
          <w:p>
            <w:pPr>
              <w:jc w:val="right"/>
              <w:ind w:right="96"/>
              <w:spacing w:after="0"/>
              <w:rPr>
                <w:sz w:val="20"/>
                <w:szCs w:val="20"/>
                <w:color w:val="auto"/>
              </w:rPr>
            </w:pPr>
            <w:r>
              <w:rPr>
                <w:rFonts w:ascii="Arial" w:cs="Arial" w:eastAsia="Arial" w:hAnsi="Arial"/>
                <w:sz w:val="5"/>
                <w:szCs w:val="5"/>
                <w:color w:val="auto"/>
                <w:w w:val="70"/>
              </w:rPr>
              <w:t>$</w:t>
            </w:r>
          </w:p>
        </w:tc>
        <w:tc>
          <w:tcPr>
            <w:tcW w:w="10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(122,751 )</w:t>
            </w:r>
          </w:p>
        </w:tc>
        <w:tc>
          <w:tcPr>
            <w:tcW w:w="0" w:type="dxa"/>
            <w:vAlign w:val="bottom"/>
          </w:tcPr>
          <w:p>
            <w:pPr>
              <w:spacing w:after="0"/>
              <w:rPr>
                <w:sz w:val="1"/>
                <w:szCs w:val="1"/>
                <w:color w:val="auto"/>
              </w:rPr>
            </w:pPr>
          </w:p>
        </w:tc>
      </w:tr>
      <w:tr>
        <w:trPr>
          <w:trHeight w:val="108"/>
        </w:trPr>
        <w:tc>
          <w:tcPr>
            <w:tcW w:w="1300" w:type="dxa"/>
            <w:vAlign w:val="bottom"/>
            <w:shd w:val="clear" w:color="auto" w:fill="CFF0FC"/>
          </w:tcPr>
          <w:p>
            <w:pPr>
              <w:spacing w:after="0"/>
              <w:rPr>
                <w:sz w:val="9"/>
                <w:szCs w:val="9"/>
                <w:color w:val="auto"/>
              </w:rPr>
            </w:pPr>
          </w:p>
        </w:tc>
        <w:tc>
          <w:tcPr>
            <w:tcW w:w="6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vMerge w:val="continue"/>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,732</w:t>
            </w:r>
          </w:p>
        </w:tc>
        <w:tc>
          <w:tcPr>
            <w:tcW w:w="180" w:type="dxa"/>
            <w:vAlign w:val="bottom"/>
            <w:gridSpan w:val="2"/>
            <w:vMerge w:val="continue"/>
            <w:shd w:val="clear" w:color="auto" w:fill="CFF0FC"/>
          </w:tcPr>
          <w:p>
            <w:pPr>
              <w:spacing w:after="0"/>
              <w:rPr>
                <w:sz w:val="9"/>
                <w:szCs w:val="9"/>
                <w:color w:val="auto"/>
              </w:rPr>
            </w:pPr>
          </w:p>
        </w:tc>
        <w:tc>
          <w:tcPr>
            <w:tcW w:w="3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98</w:t>
            </w:r>
          </w:p>
        </w:tc>
        <w:tc>
          <w:tcPr>
            <w:tcW w:w="120" w:type="dxa"/>
            <w:vAlign w:val="bottom"/>
            <w:shd w:val="clear" w:color="auto" w:fill="CFF0FC"/>
          </w:tcPr>
          <w:p>
            <w:pPr>
              <w:spacing w:after="0"/>
              <w:rPr>
                <w:sz w:val="9"/>
                <w:szCs w:val="9"/>
                <w:color w:val="auto"/>
              </w:rPr>
            </w:pPr>
          </w:p>
        </w:tc>
        <w:tc>
          <w:tcPr>
            <w:tcW w:w="60" w:type="dxa"/>
            <w:vAlign w:val="bottom"/>
            <w:vMerge w:val="continue"/>
            <w:shd w:val="clear" w:color="auto" w:fill="CFF0FC"/>
          </w:tcPr>
          <w:p>
            <w:pPr>
              <w:spacing w:after="0"/>
              <w:rPr>
                <w:sz w:val="9"/>
                <w:szCs w:val="9"/>
                <w:color w:val="auto"/>
              </w:rPr>
            </w:pPr>
          </w:p>
        </w:tc>
        <w:tc>
          <w:tcPr>
            <w:tcW w:w="3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1,819</w:t>
            </w:r>
          </w:p>
        </w:tc>
        <w:tc>
          <w:tcPr>
            <w:tcW w:w="220" w:type="dxa"/>
            <w:vAlign w:val="bottom"/>
            <w:gridSpan w:val="2"/>
            <w:vMerge w:val="continue"/>
            <w:shd w:val="clear" w:color="auto" w:fill="CFF0FC"/>
          </w:tcPr>
          <w:p>
            <w:pPr>
              <w:spacing w:after="0"/>
              <w:rPr>
                <w:sz w:val="9"/>
                <w:szCs w:val="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06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7,903</w:t>
            </w:r>
          </w:p>
        </w:tc>
        <w:tc>
          <w:tcPr>
            <w:tcW w:w="20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99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7,223</w:t>
            </w:r>
          </w:p>
        </w:tc>
        <w:tc>
          <w:tcPr>
            <w:tcW w:w="20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75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1</w:t>
            </w:r>
          </w:p>
        </w:tc>
        <w:tc>
          <w:tcPr>
            <w:tcW w:w="160" w:type="dxa"/>
            <w:vAlign w:val="bottom"/>
            <w:gridSpan w:val="2"/>
            <w:vMerge w:val="continue"/>
            <w:shd w:val="clear" w:color="auto" w:fill="CFF0FC"/>
          </w:tcPr>
          <w:p>
            <w:pPr>
              <w:spacing w:after="0"/>
              <w:rPr>
                <w:sz w:val="9"/>
                <w:szCs w:val="9"/>
                <w:color w:val="auto"/>
              </w:rPr>
            </w:pPr>
          </w:p>
        </w:tc>
        <w:tc>
          <w:tcPr>
            <w:tcW w:w="320" w:type="dxa"/>
            <w:vAlign w:val="bottom"/>
            <w:vMerge w:val="continue"/>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400" w:type="dxa"/>
            <w:vAlign w:val="bottom"/>
            <w:gridSpan w:val="2"/>
            <w:vMerge w:val="continue"/>
            <w:shd w:val="clear" w:color="auto" w:fill="CFF0FC"/>
          </w:tcPr>
          <w:p>
            <w:pPr>
              <w:spacing w:after="0"/>
              <w:rPr>
                <w:sz w:val="9"/>
                <w:szCs w:val="9"/>
                <w:color w:val="auto"/>
              </w:rPr>
            </w:pPr>
          </w:p>
        </w:tc>
        <w:tc>
          <w:tcPr>
            <w:tcW w:w="160" w:type="dxa"/>
            <w:vAlign w:val="bottom"/>
            <w:gridSpan w:val="2"/>
            <w:vMerge w:val="continue"/>
            <w:shd w:val="clear" w:color="auto" w:fill="CFF0FC"/>
          </w:tcPr>
          <w:p>
            <w:pPr>
              <w:spacing w:after="0"/>
              <w:rPr>
                <w:sz w:val="9"/>
                <w:szCs w:val="9"/>
                <w:color w:val="auto"/>
              </w:rPr>
            </w:pPr>
          </w:p>
        </w:tc>
        <w:tc>
          <w:tcPr>
            <w:tcW w:w="340" w:type="dxa"/>
            <w:vAlign w:val="bottom"/>
            <w:vMerge w:val="continue"/>
            <w:shd w:val="clear" w:color="auto" w:fill="CFF0FC"/>
          </w:tcPr>
          <w:p>
            <w:pPr>
              <w:spacing w:after="0"/>
              <w:rPr>
                <w:sz w:val="9"/>
                <w:szCs w:val="9"/>
                <w:color w:val="auto"/>
              </w:rPr>
            </w:pPr>
          </w:p>
        </w:tc>
        <w:tc>
          <w:tcPr>
            <w:tcW w:w="180" w:type="dxa"/>
            <w:vAlign w:val="bottom"/>
            <w:gridSpan w:val="2"/>
            <w:vMerge w:val="continue"/>
            <w:shd w:val="clear" w:color="auto" w:fill="CFF0FC"/>
          </w:tcPr>
          <w:p>
            <w:pPr>
              <w:spacing w:after="0"/>
              <w:rPr>
                <w:sz w:val="9"/>
                <w:szCs w:val="9"/>
                <w:color w:val="auto"/>
              </w:rPr>
            </w:pPr>
          </w:p>
        </w:tc>
        <w:tc>
          <w:tcPr>
            <w:tcW w:w="320" w:type="dxa"/>
            <w:vAlign w:val="bottom"/>
            <w:vMerge w:val="continue"/>
            <w:shd w:val="clear" w:color="auto" w:fill="CFF0FC"/>
          </w:tcPr>
          <w:p>
            <w:pPr>
              <w:spacing w:after="0"/>
              <w:rPr>
                <w:sz w:val="9"/>
                <w:szCs w:val="9"/>
                <w:color w:val="auto"/>
              </w:rPr>
            </w:pPr>
          </w:p>
        </w:tc>
        <w:tc>
          <w:tcPr>
            <w:tcW w:w="180" w:type="dxa"/>
            <w:vAlign w:val="bottom"/>
            <w:gridSpan w:val="2"/>
            <w:vMerge w:val="continue"/>
            <w:shd w:val="clear" w:color="auto" w:fill="CFF0FC"/>
          </w:tcPr>
          <w:p>
            <w:pPr>
              <w:spacing w:after="0"/>
              <w:rPr>
                <w:sz w:val="9"/>
                <w:szCs w:val="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5 )</w:t>
            </w:r>
          </w:p>
        </w:tc>
        <w:tc>
          <w:tcPr>
            <w:tcW w:w="160" w:type="dxa"/>
            <w:vAlign w:val="bottom"/>
            <w:vMerge w:val="continue"/>
            <w:shd w:val="clear" w:color="auto" w:fill="CFF0FC"/>
          </w:tcPr>
          <w:p>
            <w:pPr>
              <w:spacing w:after="0"/>
              <w:rPr>
                <w:sz w:val="9"/>
                <w:szCs w:val="9"/>
                <w:color w:val="auto"/>
              </w:rPr>
            </w:pPr>
          </w:p>
        </w:tc>
        <w:tc>
          <w:tcPr>
            <w:tcW w:w="10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rPr>
                <w:sz w:val="20"/>
                <w:szCs w:val="20"/>
                <w:color w:val="auto"/>
              </w:rPr>
            </w:pPr>
            <w:r>
              <w:rPr>
                <w:rFonts w:ascii="Arial" w:cs="Arial" w:eastAsia="Arial" w:hAnsi="Arial"/>
                <w:sz w:val="7"/>
                <w:szCs w:val="7"/>
                <w:color w:val="auto"/>
              </w:rPr>
              <w:t>Stock-based compensation expense</w:t>
            </w:r>
          </w:p>
        </w:tc>
        <w:tc>
          <w:tcPr>
            <w:tcW w:w="7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554</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554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Stock option exercises</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7"/>
                <w:szCs w:val="7"/>
                <w:color w:val="auto"/>
              </w:rPr>
              <w:t>3,649</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7"/>
                <w:szCs w:val="7"/>
                <w:color w:val="auto"/>
              </w:rPr>
              <w:t>20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7"/>
                <w:szCs w:val="7"/>
                <w:color w:val="auto"/>
              </w:rPr>
              <w:t>—</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7"/>
                <w:szCs w:val="7"/>
                <w:color w:val="auto"/>
              </w:rPr>
              <w:t>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rPr>
                <w:sz w:val="20"/>
                <w:szCs w:val="20"/>
                <w:color w:val="auto"/>
              </w:rPr>
            </w:pPr>
            <w:r>
              <w:rPr>
                <w:rFonts w:ascii="Arial" w:cs="Arial" w:eastAsia="Arial" w:hAnsi="Arial"/>
                <w:sz w:val="7"/>
                <w:szCs w:val="7"/>
                <w:color w:val="auto"/>
              </w:rPr>
              <w:t>Other</w:t>
            </w:r>
          </w:p>
        </w:tc>
        <w:tc>
          <w:tcPr>
            <w:tcW w:w="7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7"/>
                <w:szCs w:val="7"/>
                <w:color w:val="auto"/>
              </w:rPr>
              <w:t>(5 )</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9"/>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Net loss</w:t>
            </w:r>
          </w:p>
        </w:tc>
        <w:tc>
          <w:tcPr>
            <w:tcW w:w="6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40" w:type="dxa"/>
            <w:vAlign w:val="bottom"/>
            <w:shd w:val="clear" w:color="auto" w:fill="CFF0FC"/>
          </w:tcPr>
          <w:p>
            <w:pPr>
              <w:ind w:left="260"/>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(8,838 )</w:t>
            </w:r>
          </w:p>
        </w:tc>
        <w:tc>
          <w:tcPr>
            <w:tcW w:w="16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(8,838 )</w:t>
            </w:r>
          </w:p>
        </w:tc>
        <w:tc>
          <w:tcPr>
            <w:tcW w:w="0" w:type="dxa"/>
            <w:vAlign w:val="bottom"/>
          </w:tcPr>
          <w:p>
            <w:pPr>
              <w:spacing w:after="0"/>
              <w:rPr>
                <w:sz w:val="1"/>
                <w:szCs w:val="1"/>
                <w:color w:val="auto"/>
              </w:rPr>
            </w:pPr>
          </w:p>
        </w:tc>
      </w:tr>
      <w:tr>
        <w:trPr>
          <w:trHeight w:val="68"/>
        </w:trPr>
        <w:tc>
          <w:tcPr>
            <w:tcW w:w="1300" w:type="dxa"/>
            <w:vAlign w:val="bottom"/>
            <w:tcBorders>
              <w:top w:val="single" w:sz="8" w:color="CFF0FC"/>
            </w:tcBorders>
          </w:tcPr>
          <w:p>
            <w:pPr>
              <w:ind w:left="20"/>
              <w:spacing w:after="0" w:line="68" w:lineRule="exact"/>
              <w:rPr>
                <w:sz w:val="20"/>
                <w:szCs w:val="20"/>
                <w:color w:val="auto"/>
              </w:rPr>
            </w:pPr>
            <w:r>
              <w:rPr>
                <w:rFonts w:ascii="Arial" w:cs="Arial" w:eastAsia="Arial" w:hAnsi="Arial"/>
                <w:sz w:val="7"/>
                <w:szCs w:val="7"/>
                <w:b w:val="1"/>
                <w:bCs w:val="1"/>
                <w:color w:val="auto"/>
              </w:rPr>
              <w:t>Balance, September 30, 2021</w:t>
            </w:r>
          </w:p>
        </w:tc>
        <w:tc>
          <w:tcPr>
            <w:tcW w:w="60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c>
          <w:tcPr>
            <w:tcW w:w="340" w:type="dxa"/>
            <w:vAlign w:val="bottom"/>
            <w:tcBorders>
              <w:top w:val="single" w:sz="8" w:color="auto"/>
            </w:tcBorders>
          </w:tcPr>
          <w:p>
            <w:pPr>
              <w:jc w:val="right"/>
              <w:spacing w:after="0" w:line="68" w:lineRule="exact"/>
              <w:rPr>
                <w:sz w:val="20"/>
                <w:szCs w:val="20"/>
                <w:color w:val="auto"/>
              </w:rPr>
            </w:pPr>
            <w:r>
              <w:rPr>
                <w:rFonts w:ascii="Arial" w:cs="Arial" w:eastAsia="Arial" w:hAnsi="Arial"/>
                <w:sz w:val="7"/>
                <w:szCs w:val="7"/>
                <w:color w:val="auto"/>
              </w:rPr>
              <w:t>102,6</w:t>
            </w:r>
          </w:p>
        </w:tc>
        <w:tc>
          <w:tcPr>
            <w:tcW w:w="100" w:type="dxa"/>
            <w:vAlign w:val="bottom"/>
            <w:tcBorders>
              <w:top w:val="single" w:sz="8" w:color="CFF0FC"/>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20" w:type="dxa"/>
            <w:vAlign w:val="bottom"/>
            <w:tcBorders>
              <w:top w:val="single" w:sz="8" w:color="CFF0FC"/>
              <w:right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7"/>
                <w:szCs w:val="7"/>
                <w:color w:val="auto"/>
              </w:rPr>
              <w:t>1,701,141</w:t>
            </w:r>
          </w:p>
        </w:tc>
        <w:tc>
          <w:tcPr>
            <w:tcW w:w="12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360" w:type="dxa"/>
            <w:vAlign w:val="bottom"/>
            <w:vMerge w:val="restart"/>
          </w:tcPr>
          <w:p>
            <w:pPr>
              <w:jc w:val="right"/>
              <w:spacing w:after="0"/>
              <w:rPr>
                <w:sz w:val="20"/>
                <w:szCs w:val="20"/>
                <w:color w:val="auto"/>
              </w:rPr>
            </w:pPr>
            <w:r>
              <w:rPr>
                <w:rFonts w:ascii="Arial" w:cs="Arial" w:eastAsia="Arial" w:hAnsi="Arial"/>
                <w:sz w:val="7"/>
                <w:szCs w:val="7"/>
                <w:color w:val="auto"/>
              </w:rPr>
              <w:t>3,368</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3,298</w:t>
            </w:r>
          </w:p>
        </w:tc>
        <w:tc>
          <w:tcPr>
            <w:tcW w:w="180" w:type="dxa"/>
            <w:vAlign w:val="bottom"/>
            <w:gridSpan w:val="2"/>
            <w:vMerge w:val="restart"/>
          </w:tcPr>
          <w:p>
            <w:pPr>
              <w:ind w:left="140"/>
              <w:spacing w:after="0"/>
              <w:rPr>
                <w:sz w:val="20"/>
                <w:szCs w:val="20"/>
                <w:color w:val="auto"/>
              </w:rPr>
            </w:pPr>
            <w:r>
              <w:rPr>
                <w:rFonts w:ascii="Arial" w:cs="Arial" w:eastAsia="Arial" w:hAnsi="Arial"/>
                <w:sz w:val="5"/>
                <w:szCs w:val="5"/>
                <w:color w:val="auto"/>
                <w:w w:val="70"/>
              </w:rPr>
              <w:t>$</w:t>
            </w: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7,837</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4,324,9</w:t>
            </w:r>
          </w:p>
        </w:tc>
        <w:tc>
          <w:tcPr>
            <w:tcW w:w="120" w:type="dxa"/>
            <w:vAlign w:val="bottom"/>
          </w:tcPr>
          <w:p>
            <w:pPr>
              <w:spacing w:after="0"/>
              <w:rPr>
                <w:sz w:val="7"/>
                <w:szCs w:val="7"/>
                <w:color w:val="auto"/>
              </w:rPr>
            </w:pPr>
          </w:p>
        </w:tc>
        <w:tc>
          <w:tcPr>
            <w:tcW w:w="60" w:type="dxa"/>
            <w:vAlign w:val="bottom"/>
            <w:vMerge w:val="restart"/>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vMerge w:val="restart"/>
          </w:tcPr>
          <w:p>
            <w:pPr>
              <w:jc w:val="right"/>
              <w:spacing w:after="0"/>
              <w:rPr>
                <w:sz w:val="20"/>
                <w:szCs w:val="20"/>
                <w:color w:val="auto"/>
              </w:rPr>
            </w:pPr>
            <w:r>
              <w:rPr>
                <w:rFonts w:ascii="Arial" w:cs="Arial" w:eastAsia="Arial" w:hAnsi="Arial"/>
                <w:sz w:val="7"/>
                <w:szCs w:val="7"/>
                <w:color w:val="auto"/>
              </w:rPr>
              <w:t>5,373</w:t>
            </w:r>
          </w:p>
        </w:tc>
        <w:tc>
          <w:tcPr>
            <w:tcW w:w="12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22,53</w:t>
            </w:r>
          </w:p>
        </w:tc>
        <w:tc>
          <w:tcPr>
            <w:tcW w:w="220" w:type="dxa"/>
            <w:vAlign w:val="bottom"/>
            <w:gridSpan w:val="2"/>
            <w:vMerge w:val="restart"/>
          </w:tcPr>
          <w:p>
            <w:pPr>
              <w:ind w:left="140"/>
              <w:spacing w:after="0"/>
              <w:rPr>
                <w:sz w:val="20"/>
                <w:szCs w:val="20"/>
                <w:color w:val="auto"/>
              </w:rPr>
            </w:pPr>
            <w:r>
              <w:rPr>
                <w:rFonts w:ascii="Arial" w:cs="Arial" w:eastAsia="Arial" w:hAnsi="Arial"/>
                <w:sz w:val="7"/>
                <w:szCs w:val="7"/>
                <w:color w:val="auto"/>
              </w:rPr>
              <w:t>$</w:t>
            </w:r>
          </w:p>
        </w:tc>
        <w:tc>
          <w:tcPr>
            <w:tcW w:w="180" w:type="dxa"/>
            <w:vAlign w:val="bottom"/>
          </w:tcPr>
          <w:p>
            <w:pPr>
              <w:jc w:val="right"/>
              <w:spacing w:after="0"/>
              <w:rPr>
                <w:sz w:val="20"/>
                <w:szCs w:val="20"/>
                <w:color w:val="auto"/>
              </w:rPr>
            </w:pPr>
            <w:r>
              <w:rPr>
                <w:rFonts w:ascii="Arial" w:cs="Arial" w:eastAsia="Arial" w:hAnsi="Arial"/>
                <w:sz w:val="7"/>
                <w:szCs w:val="7"/>
                <w:color w:val="auto"/>
              </w:rPr>
              <w:t>20,8</w:t>
            </w:r>
          </w:p>
        </w:tc>
        <w:tc>
          <w:tcPr>
            <w:tcW w:w="440" w:type="dxa"/>
            <w:vAlign w:val="bottom"/>
            <w:gridSpan w:val="2"/>
          </w:tcPr>
          <w:p>
            <w:pPr>
              <w:jc w:val="right"/>
              <w:spacing w:after="0"/>
              <w:rPr>
                <w:sz w:val="20"/>
                <w:szCs w:val="20"/>
                <w:color w:val="auto"/>
              </w:rPr>
            </w:pPr>
            <w:r>
              <w:rPr>
                <w:rFonts w:ascii="Arial" w:cs="Arial" w:eastAsia="Arial" w:hAnsi="Arial"/>
                <w:sz w:val="7"/>
                <w:szCs w:val="7"/>
                <w:color w:val="auto"/>
              </w:rPr>
              <w:t>91,32</w:t>
            </w:r>
          </w:p>
        </w:tc>
        <w:tc>
          <w:tcPr>
            <w:tcW w:w="200" w:type="dxa"/>
            <w:vAlign w:val="bottom"/>
            <w:gridSpan w:val="2"/>
            <w:vMerge w:val="restart"/>
          </w:tcPr>
          <w:p>
            <w:pPr>
              <w:ind w:left="120"/>
              <w:spacing w:after="0"/>
              <w:rPr>
                <w:sz w:val="20"/>
                <w:szCs w:val="20"/>
                <w:color w:val="auto"/>
              </w:rPr>
            </w:pPr>
            <w:r>
              <w:rPr>
                <w:rFonts w:ascii="Arial" w:cs="Arial" w:eastAsia="Arial" w:hAnsi="Arial"/>
                <w:sz w:val="7"/>
                <w:szCs w:val="7"/>
                <w:color w:val="auto"/>
              </w:rPr>
              <w:t>$</w:t>
            </w:r>
          </w:p>
        </w:tc>
        <w:tc>
          <w:tcPr>
            <w:tcW w:w="200" w:type="dxa"/>
            <w:vAlign w:val="bottom"/>
          </w:tcPr>
          <w:p>
            <w:pPr>
              <w:jc w:val="right"/>
              <w:spacing w:after="0"/>
              <w:rPr>
                <w:sz w:val="20"/>
                <w:szCs w:val="20"/>
                <w:color w:val="auto"/>
              </w:rPr>
            </w:pPr>
            <w:r>
              <w:rPr>
                <w:rFonts w:ascii="Arial" w:cs="Arial" w:eastAsia="Arial" w:hAnsi="Arial"/>
                <w:sz w:val="7"/>
                <w:szCs w:val="7"/>
                <w:color w:val="auto"/>
              </w:rPr>
              <w:t>41,0</w:t>
            </w:r>
          </w:p>
        </w:tc>
        <w:tc>
          <w:tcPr>
            <w:tcW w:w="440" w:type="dxa"/>
            <w:vAlign w:val="bottom"/>
            <w:gridSpan w:val="2"/>
          </w:tcPr>
          <w:p>
            <w:pPr>
              <w:jc w:val="right"/>
              <w:spacing w:after="0"/>
              <w:rPr>
                <w:sz w:val="20"/>
                <w:szCs w:val="20"/>
                <w:color w:val="auto"/>
              </w:rPr>
            </w:pPr>
            <w:r>
              <w:rPr>
                <w:rFonts w:ascii="Arial" w:cs="Arial" w:eastAsia="Arial" w:hAnsi="Arial"/>
                <w:sz w:val="7"/>
                <w:szCs w:val="7"/>
                <w:color w:val="auto"/>
              </w:rPr>
              <w:t>82,47</w:t>
            </w:r>
          </w:p>
        </w:tc>
        <w:tc>
          <w:tcPr>
            <w:tcW w:w="200" w:type="dxa"/>
            <w:vAlign w:val="bottom"/>
            <w:gridSpan w:val="2"/>
            <w:vMerge w:val="restart"/>
          </w:tcPr>
          <w:p>
            <w:pPr>
              <w:ind w:left="120"/>
              <w:spacing w:after="0"/>
              <w:rPr>
                <w:sz w:val="20"/>
                <w:szCs w:val="20"/>
                <w:color w:val="auto"/>
              </w:rPr>
            </w:pPr>
            <w:r>
              <w:rPr>
                <w:rFonts w:ascii="Arial" w:cs="Arial" w:eastAsia="Arial" w:hAnsi="Arial"/>
                <w:sz w:val="7"/>
                <w:szCs w:val="7"/>
                <w:color w:val="auto"/>
              </w:rPr>
              <w:t>$</w:t>
            </w:r>
          </w:p>
        </w:tc>
        <w:tc>
          <w:tcPr>
            <w:tcW w:w="200" w:type="dxa"/>
            <w:vAlign w:val="bottom"/>
          </w:tcPr>
          <w:p>
            <w:pPr>
              <w:jc w:val="right"/>
              <w:spacing w:after="0"/>
              <w:rPr>
                <w:sz w:val="20"/>
                <w:szCs w:val="20"/>
                <w:color w:val="auto"/>
              </w:rPr>
            </w:pPr>
            <w:r>
              <w:rPr>
                <w:rFonts w:ascii="Arial" w:cs="Arial" w:eastAsia="Arial" w:hAnsi="Arial"/>
                <w:sz w:val="7"/>
                <w:szCs w:val="7"/>
                <w:color w:val="auto"/>
              </w:rPr>
              <w:t>56,5</w:t>
            </w:r>
          </w:p>
        </w:tc>
        <w:tc>
          <w:tcPr>
            <w:tcW w:w="440" w:type="dxa"/>
            <w:vAlign w:val="bottom"/>
            <w:gridSpan w:val="2"/>
          </w:tcPr>
          <w:p>
            <w:pPr>
              <w:jc w:val="right"/>
              <w:spacing w:after="0"/>
              <w:rPr>
                <w:sz w:val="20"/>
                <w:szCs w:val="20"/>
                <w:color w:val="auto"/>
              </w:rPr>
            </w:pPr>
            <w:r>
              <w:rPr>
                <w:rFonts w:ascii="Arial" w:cs="Arial" w:eastAsia="Arial" w:hAnsi="Arial"/>
                <w:sz w:val="7"/>
                <w:szCs w:val="7"/>
                <w:color w:val="auto"/>
              </w:rPr>
              <w:t>71,04</w:t>
            </w:r>
          </w:p>
        </w:tc>
        <w:tc>
          <w:tcPr>
            <w:tcW w:w="160" w:type="dxa"/>
            <w:vAlign w:val="bottom"/>
            <w:gridSpan w:val="2"/>
            <w:vMerge w:val="restart"/>
          </w:tcPr>
          <w:p>
            <w:pPr>
              <w:jc w:val="right"/>
              <w:spacing w:after="0"/>
              <w:rPr>
                <w:sz w:val="20"/>
                <w:szCs w:val="20"/>
                <w:color w:val="auto"/>
              </w:rPr>
            </w:pPr>
            <w:r>
              <w:rPr>
                <w:rFonts w:ascii="Arial" w:cs="Arial" w:eastAsia="Arial" w:hAnsi="Arial"/>
                <w:sz w:val="7"/>
                <w:szCs w:val="7"/>
                <w:color w:val="auto"/>
              </w:rPr>
              <w:t>$</w:t>
            </w:r>
          </w:p>
        </w:tc>
        <w:tc>
          <w:tcPr>
            <w:tcW w:w="320" w:type="dxa"/>
            <w:vAlign w:val="bottom"/>
            <w:vMerge w:val="restart"/>
          </w:tcPr>
          <w:p>
            <w:pPr>
              <w:jc w:val="right"/>
              <w:spacing w:after="0"/>
              <w:rPr>
                <w:sz w:val="20"/>
                <w:szCs w:val="20"/>
                <w:color w:val="auto"/>
              </w:rPr>
            </w:pPr>
            <w:r>
              <w:rPr>
                <w:rFonts w:ascii="Arial" w:cs="Arial" w:eastAsia="Arial" w:hAnsi="Arial"/>
                <w:sz w:val="7"/>
                <w:szCs w:val="7"/>
                <w:color w:val="auto"/>
              </w:rPr>
              <w:t>80,246</w:t>
            </w:r>
          </w:p>
        </w:tc>
        <w:tc>
          <w:tcPr>
            <w:tcW w:w="120" w:type="dxa"/>
            <w:vAlign w:val="bottom"/>
            <w:tcBorders>
              <w:right w:val="single" w:sz="8" w:color="auto"/>
            </w:tcBorders>
          </w:tcPr>
          <w:p>
            <w:pPr>
              <w:spacing w:after="0"/>
              <w:rPr>
                <w:sz w:val="7"/>
                <w:szCs w:val="7"/>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7"/>
                <w:szCs w:val="7"/>
                <w:color w:val="auto"/>
              </w:rPr>
              <w:t>442,717</w:t>
            </w:r>
          </w:p>
        </w:tc>
        <w:tc>
          <w:tcPr>
            <w:tcW w:w="160" w:type="dxa"/>
            <w:vAlign w:val="bottom"/>
            <w:gridSpan w:val="2"/>
            <w:vMerge w:val="restart"/>
          </w:tcPr>
          <w:p>
            <w:pPr>
              <w:jc w:val="right"/>
              <w:spacing w:after="0"/>
              <w:rPr>
                <w:sz w:val="20"/>
                <w:szCs w:val="20"/>
                <w:color w:val="auto"/>
              </w:rPr>
            </w:pPr>
            <w:r>
              <w:rPr>
                <w:rFonts w:ascii="Arial" w:cs="Arial" w:eastAsia="Arial" w:hAnsi="Arial"/>
                <w:sz w:val="7"/>
                <w:szCs w:val="7"/>
                <w:color w:val="auto"/>
              </w:rPr>
              <w:t>$</w:t>
            </w:r>
          </w:p>
        </w:tc>
        <w:tc>
          <w:tcPr>
            <w:tcW w:w="340" w:type="dxa"/>
            <w:vAlign w:val="bottom"/>
            <w:vMerge w:val="restart"/>
          </w:tcPr>
          <w:p>
            <w:pPr>
              <w:ind w:left="260"/>
              <w:spacing w:after="0"/>
              <w:rPr>
                <w:sz w:val="20"/>
                <w:szCs w:val="20"/>
                <w:color w:val="auto"/>
              </w:rPr>
            </w:pPr>
            <w:r>
              <w:rPr>
                <w:rFonts w:ascii="Arial" w:cs="Arial" w:eastAsia="Arial" w:hAnsi="Arial"/>
                <w:sz w:val="7"/>
                <w:szCs w:val="7"/>
                <w:color w:val="auto"/>
                <w:w w:val="85"/>
              </w:rPr>
              <w:t>—</w:t>
            </w:r>
          </w:p>
        </w:tc>
        <w:tc>
          <w:tcPr>
            <w:tcW w:w="180" w:type="dxa"/>
            <w:vAlign w:val="bottom"/>
            <w:gridSpan w:val="2"/>
            <w:vMerge w:val="restart"/>
          </w:tcPr>
          <w:p>
            <w:pPr>
              <w:jc w:val="right"/>
              <w:spacing w:after="0"/>
              <w:rPr>
                <w:sz w:val="20"/>
                <w:szCs w:val="20"/>
                <w:color w:val="auto"/>
              </w:rPr>
            </w:pPr>
            <w:r>
              <w:rPr>
                <w:rFonts w:ascii="Arial" w:cs="Arial" w:eastAsia="Arial" w:hAnsi="Arial"/>
                <w:sz w:val="7"/>
                <w:szCs w:val="7"/>
                <w:color w:val="auto"/>
              </w:rPr>
              <w:t>$</w:t>
            </w:r>
          </w:p>
        </w:tc>
        <w:tc>
          <w:tcPr>
            <w:tcW w:w="320" w:type="dxa"/>
            <w:vAlign w:val="bottom"/>
            <w:vMerge w:val="restart"/>
          </w:tcPr>
          <w:p>
            <w:pPr>
              <w:jc w:val="right"/>
              <w:spacing w:after="0"/>
              <w:rPr>
                <w:sz w:val="20"/>
                <w:szCs w:val="20"/>
                <w:color w:val="auto"/>
              </w:rPr>
            </w:pPr>
            <w:r>
              <w:rPr>
                <w:rFonts w:ascii="Arial" w:cs="Arial" w:eastAsia="Arial" w:hAnsi="Arial"/>
                <w:sz w:val="7"/>
                <w:szCs w:val="7"/>
                <w:color w:val="auto"/>
              </w:rPr>
              <w:t>9,488</w:t>
            </w:r>
          </w:p>
        </w:tc>
        <w:tc>
          <w:tcPr>
            <w:tcW w:w="180" w:type="dxa"/>
            <w:vAlign w:val="bottom"/>
            <w:gridSpan w:val="2"/>
            <w:vMerge w:val="restart"/>
          </w:tcPr>
          <w:p>
            <w:pPr>
              <w:ind w:left="120"/>
              <w:spacing w:after="0"/>
              <w:rPr>
                <w:sz w:val="20"/>
                <w:szCs w:val="20"/>
                <w:color w:val="auto"/>
              </w:rPr>
            </w:pPr>
            <w:r>
              <w:rPr>
                <w:rFonts w:ascii="Arial" w:cs="Arial" w:eastAsia="Arial" w:hAnsi="Arial"/>
                <w:sz w:val="7"/>
                <w:szCs w:val="7"/>
                <w:color w:val="auto"/>
              </w:rPr>
              <w:t>$</w:t>
            </w:r>
          </w:p>
        </w:tc>
        <w:tc>
          <w:tcPr>
            <w:tcW w:w="340" w:type="dxa"/>
            <w:vAlign w:val="bottom"/>
          </w:tcPr>
          <w:p>
            <w:pPr>
              <w:jc w:val="right"/>
              <w:spacing w:after="0"/>
              <w:rPr>
                <w:sz w:val="20"/>
                <w:szCs w:val="20"/>
                <w:color w:val="auto"/>
              </w:rPr>
            </w:pPr>
            <w:r>
              <w:rPr>
                <w:rFonts w:ascii="Arial" w:cs="Arial" w:eastAsia="Arial" w:hAnsi="Arial"/>
                <w:sz w:val="7"/>
                <w:szCs w:val="7"/>
                <w:color w:val="auto"/>
              </w:rPr>
              <w:t>(140,50</w:t>
            </w:r>
          </w:p>
        </w:tc>
        <w:tc>
          <w:tcPr>
            <w:tcW w:w="120" w:type="dxa"/>
            <w:vAlign w:val="bottom"/>
          </w:tcPr>
          <w:p>
            <w:pPr>
              <w:spacing w:after="0"/>
              <w:rPr>
                <w:sz w:val="7"/>
                <w:szCs w:val="7"/>
                <w:color w:val="auto"/>
              </w:rPr>
            </w:pPr>
          </w:p>
        </w:tc>
        <w:tc>
          <w:tcPr>
            <w:tcW w:w="160" w:type="dxa"/>
            <w:vAlign w:val="bottom"/>
            <w:vMerge w:val="restart"/>
          </w:tcPr>
          <w:p>
            <w:pPr>
              <w:jc w:val="right"/>
              <w:ind w:right="96"/>
              <w:spacing w:after="0"/>
              <w:rPr>
                <w:sz w:val="20"/>
                <w:szCs w:val="20"/>
                <w:color w:val="auto"/>
              </w:rPr>
            </w:pPr>
            <w:r>
              <w:rPr>
                <w:rFonts w:ascii="Arial" w:cs="Arial" w:eastAsia="Arial" w:hAnsi="Arial"/>
                <w:sz w:val="5"/>
                <w:szCs w:val="5"/>
                <w:color w:val="auto"/>
                <w:w w:val="70"/>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(131,015 )</w:t>
            </w: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,732</w:t>
            </w:r>
          </w:p>
        </w:tc>
        <w:tc>
          <w:tcPr>
            <w:tcW w:w="18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98</w:t>
            </w:r>
          </w:p>
        </w:tc>
        <w:tc>
          <w:tcPr>
            <w:tcW w:w="12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1,819</w:t>
            </w:r>
          </w:p>
        </w:tc>
        <w:tc>
          <w:tcPr>
            <w:tcW w:w="220" w:type="dxa"/>
            <w:vAlign w:val="bottom"/>
            <w:gridSpan w:val="2"/>
            <w:vMerge w:val="continue"/>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7"/>
                <w:szCs w:val="7"/>
                <w:color w:val="auto"/>
              </w:rPr>
              <w:t>06</w:t>
            </w:r>
          </w:p>
        </w:tc>
        <w:tc>
          <w:tcPr>
            <w:tcW w:w="440" w:type="dxa"/>
            <w:vAlign w:val="bottom"/>
            <w:gridSpan w:val="2"/>
          </w:tcPr>
          <w:p>
            <w:pPr>
              <w:jc w:val="right"/>
              <w:spacing w:after="0"/>
              <w:rPr>
                <w:sz w:val="20"/>
                <w:szCs w:val="20"/>
                <w:color w:val="auto"/>
              </w:rPr>
            </w:pPr>
            <w:r>
              <w:rPr>
                <w:rFonts w:ascii="Arial" w:cs="Arial" w:eastAsia="Arial" w:hAnsi="Arial"/>
                <w:sz w:val="7"/>
                <w:szCs w:val="7"/>
                <w:color w:val="auto"/>
              </w:rPr>
              <w:t>7,903</w:t>
            </w:r>
          </w:p>
        </w:tc>
        <w:tc>
          <w:tcPr>
            <w:tcW w:w="200" w:type="dxa"/>
            <w:vAlign w:val="bottom"/>
            <w:gridSpan w:val="2"/>
            <w:vMerge w:val="continue"/>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99</w:t>
            </w:r>
          </w:p>
        </w:tc>
        <w:tc>
          <w:tcPr>
            <w:tcW w:w="440" w:type="dxa"/>
            <w:vAlign w:val="bottom"/>
            <w:gridSpan w:val="2"/>
          </w:tcPr>
          <w:p>
            <w:pPr>
              <w:jc w:val="right"/>
              <w:spacing w:after="0"/>
              <w:rPr>
                <w:sz w:val="20"/>
                <w:szCs w:val="20"/>
                <w:color w:val="auto"/>
              </w:rPr>
            </w:pPr>
            <w:r>
              <w:rPr>
                <w:rFonts w:ascii="Arial" w:cs="Arial" w:eastAsia="Arial" w:hAnsi="Arial"/>
                <w:sz w:val="7"/>
                <w:szCs w:val="7"/>
                <w:color w:val="auto"/>
              </w:rPr>
              <w:t>7,223</w:t>
            </w:r>
          </w:p>
        </w:tc>
        <w:tc>
          <w:tcPr>
            <w:tcW w:w="200" w:type="dxa"/>
            <w:vAlign w:val="bottom"/>
            <w:gridSpan w:val="2"/>
            <w:vMerge w:val="continue"/>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7"/>
                <w:szCs w:val="7"/>
                <w:color w:val="auto"/>
              </w:rPr>
              <w:t>75</w:t>
            </w:r>
          </w:p>
        </w:tc>
        <w:tc>
          <w:tcPr>
            <w:tcW w:w="440" w:type="dxa"/>
            <w:vAlign w:val="bottom"/>
            <w:gridSpan w:val="2"/>
          </w:tcPr>
          <w:p>
            <w:pPr>
              <w:jc w:val="right"/>
              <w:spacing w:after="0"/>
              <w:rPr>
                <w:sz w:val="20"/>
                <w:szCs w:val="20"/>
                <w:color w:val="auto"/>
              </w:rPr>
            </w:pPr>
            <w:r>
              <w:rPr>
                <w:rFonts w:ascii="Arial" w:cs="Arial" w:eastAsia="Arial" w:hAnsi="Arial"/>
                <w:sz w:val="7"/>
                <w:szCs w:val="7"/>
                <w:color w:val="auto"/>
              </w:rPr>
              <w:t>1</w:t>
            </w:r>
          </w:p>
        </w:tc>
        <w:tc>
          <w:tcPr>
            <w:tcW w:w="16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7"/>
                <w:szCs w:val="7"/>
                <w:color w:val="auto"/>
              </w:rPr>
              <w:t>3 )</w:t>
            </w:r>
          </w:p>
        </w:tc>
        <w:tc>
          <w:tcPr>
            <w:tcW w:w="16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w w:val="99"/>
              </w:rPr>
              <w:t>Additiona</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ind w:left="20"/>
              <w:spacing w:after="0"/>
              <w:rPr>
                <w:sz w:val="20"/>
                <w:szCs w:val="20"/>
                <w:color w:val="auto"/>
              </w:rPr>
            </w:pPr>
            <w:r>
              <w:rPr>
                <w:rFonts w:ascii="Arial" w:cs="Arial" w:eastAsia="Arial" w:hAnsi="Arial"/>
                <w:sz w:val="7"/>
                <w:szCs w:val="7"/>
                <w:b w:val="1"/>
                <w:bCs w:val="1"/>
                <w:color w:val="auto"/>
              </w:rPr>
              <w:t>Accumulat</w:t>
            </w:r>
          </w:p>
        </w:tc>
        <w:tc>
          <w:tcPr>
            <w:tcW w:w="60" w:type="dxa"/>
            <w:vAlign w:val="bottom"/>
          </w:tcPr>
          <w:p>
            <w:pPr>
              <w:spacing w:after="0"/>
              <w:rPr>
                <w:sz w:val="21"/>
                <w:szCs w:val="21"/>
                <w:color w:val="auto"/>
              </w:rPr>
            </w:pPr>
          </w:p>
        </w:tc>
        <w:tc>
          <w:tcPr>
            <w:tcW w:w="420" w:type="dxa"/>
            <w:vAlign w:val="bottom"/>
            <w:gridSpan w:val="2"/>
            <w:vMerge w:val="restart"/>
          </w:tcPr>
          <w:p>
            <w:pPr>
              <w:jc w:val="center"/>
              <w:ind w:right="180"/>
              <w:spacing w:after="0"/>
              <w:rPr>
                <w:sz w:val="20"/>
                <w:szCs w:val="20"/>
                <w:color w:val="auto"/>
              </w:rPr>
            </w:pPr>
            <w:r>
              <w:rPr>
                <w:rFonts w:ascii="Arial" w:cs="Arial" w:eastAsia="Arial" w:hAnsi="Arial"/>
                <w:sz w:val="7"/>
                <w:szCs w:val="7"/>
                <w:b w:val="1"/>
                <w:bCs w:val="1"/>
                <w:color w:val="auto"/>
                <w:w w:val="95"/>
              </w:rPr>
              <w:t>Total</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l</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7"/>
                <w:szCs w:val="7"/>
                <w:b w:val="1"/>
                <w:bCs w:val="1"/>
                <w:color w:val="auto"/>
                <w:w w:val="97"/>
              </w:rPr>
              <w:t>ed</w:t>
            </w:r>
          </w:p>
        </w:tc>
        <w:tc>
          <w:tcPr>
            <w:tcW w:w="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Accumul</w:t>
            </w:r>
          </w:p>
        </w:tc>
        <w:tc>
          <w:tcPr>
            <w:tcW w:w="60" w:type="dxa"/>
            <w:vAlign w:val="bottom"/>
          </w:tcPr>
          <w:p>
            <w:pPr>
              <w:spacing w:after="0"/>
              <w:rPr>
                <w:sz w:val="6"/>
                <w:szCs w:val="6"/>
                <w:color w:val="auto"/>
              </w:rPr>
            </w:pPr>
          </w:p>
        </w:tc>
        <w:tc>
          <w:tcPr>
            <w:tcW w:w="480" w:type="dxa"/>
            <w:vAlign w:val="bottom"/>
            <w:gridSpan w:val="2"/>
          </w:tcPr>
          <w:p>
            <w:pPr>
              <w:jc w:val="center"/>
              <w:ind w:right="200"/>
              <w:spacing w:after="0" w:line="79" w:lineRule="exact"/>
              <w:rPr>
                <w:sz w:val="20"/>
                <w:szCs w:val="20"/>
                <w:color w:val="auto"/>
              </w:rPr>
            </w:pPr>
            <w:r>
              <w:rPr>
                <w:rFonts w:ascii="Arial" w:cs="Arial" w:eastAsia="Arial" w:hAnsi="Arial"/>
                <w:sz w:val="7"/>
                <w:szCs w:val="7"/>
                <w:b w:val="1"/>
                <w:bCs w:val="1"/>
                <w:color w:val="auto"/>
              </w:rPr>
              <w:t>Other</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540" w:type="dxa"/>
            <w:vAlign w:val="bottom"/>
            <w:gridSpan w:val="3"/>
            <w:vMerge w:val="restart"/>
          </w:tcPr>
          <w:p>
            <w:pPr>
              <w:jc w:val="center"/>
              <w:ind w:right="120"/>
              <w:spacing w:after="0"/>
              <w:rPr>
                <w:sz w:val="20"/>
                <w:szCs w:val="20"/>
                <w:color w:val="auto"/>
              </w:rPr>
            </w:pPr>
            <w:r>
              <w:rPr>
                <w:rFonts w:ascii="Arial" w:cs="Arial" w:eastAsia="Arial" w:hAnsi="Arial"/>
                <w:sz w:val="7"/>
                <w:szCs w:val="7"/>
                <w:b w:val="1"/>
                <w:bCs w:val="1"/>
                <w:color w:val="auto"/>
                <w:w w:val="98"/>
              </w:rPr>
              <w:t>Comprehe</w:t>
            </w:r>
          </w:p>
        </w:tc>
        <w:tc>
          <w:tcPr>
            <w:tcW w:w="48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Stockhol</w:t>
            </w: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1160" w:type="dxa"/>
            <w:vAlign w:val="bottom"/>
            <w:gridSpan w:val="4"/>
            <w:vMerge w:val="restart"/>
          </w:tcPr>
          <w:p>
            <w:pPr>
              <w:jc w:val="right"/>
              <w:ind w:right="304"/>
              <w:spacing w:after="0"/>
              <w:rPr>
                <w:sz w:val="20"/>
                <w:szCs w:val="20"/>
                <w:color w:val="auto"/>
              </w:rPr>
            </w:pPr>
            <w:r>
              <w:rPr>
                <w:rFonts w:ascii="Times New Roman" w:cs="Times New Roman" w:eastAsia="Times New Roman" w:hAnsi="Times New Roman"/>
                <w:sz w:val="7"/>
                <w:szCs w:val="7"/>
                <w:b w:val="1"/>
                <w:bCs w:val="1"/>
                <w:color w:val="auto"/>
              </w:rPr>
              <w:t>Common Stock</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vMerge w:val="restart"/>
          </w:tcPr>
          <w:p>
            <w:pPr>
              <w:jc w:val="center"/>
              <w:ind w:right="4"/>
              <w:spacing w:after="0"/>
              <w:rPr>
                <w:sz w:val="20"/>
                <w:szCs w:val="20"/>
                <w:color w:val="auto"/>
              </w:rPr>
            </w:pPr>
            <w:r>
              <w:rPr>
                <w:rFonts w:ascii="Times New Roman" w:cs="Times New Roman" w:eastAsia="Times New Roman" w:hAnsi="Times New Roman"/>
                <w:sz w:val="7"/>
                <w:szCs w:val="7"/>
                <w:b w:val="1"/>
                <w:bCs w:val="1"/>
                <w:color w:val="auto"/>
              </w:rPr>
              <w:t>Paid-In</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gridSpan w:val="2"/>
            <w:vMerge w:val="restart"/>
          </w:tcPr>
          <w:p>
            <w:pPr>
              <w:jc w:val="center"/>
              <w:ind w:right="180"/>
              <w:spacing w:after="0"/>
              <w:rPr>
                <w:sz w:val="20"/>
                <w:szCs w:val="20"/>
                <w:color w:val="auto"/>
              </w:rPr>
            </w:pPr>
            <w:r>
              <w:rPr>
                <w:rFonts w:ascii="Arial" w:cs="Arial" w:eastAsia="Arial" w:hAnsi="Arial"/>
                <w:sz w:val="7"/>
                <w:szCs w:val="7"/>
                <w:b w:val="1"/>
                <w:bCs w:val="1"/>
                <w:color w:val="auto"/>
              </w:rPr>
              <w:t>ated</w:t>
            </w:r>
          </w:p>
        </w:tc>
        <w:tc>
          <w:tcPr>
            <w:tcW w:w="540" w:type="dxa"/>
            <w:vAlign w:val="bottom"/>
            <w:gridSpan w:val="3"/>
            <w:vMerge w:val="continue"/>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
        </w:trPr>
        <w:tc>
          <w:tcPr>
            <w:tcW w:w="130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gridSpan w:val="2"/>
            <w:vMerge w:val="restart"/>
          </w:tcPr>
          <w:p>
            <w:pPr>
              <w:jc w:val="center"/>
              <w:ind w:right="180"/>
              <w:spacing w:after="0"/>
              <w:rPr>
                <w:sz w:val="20"/>
                <w:szCs w:val="20"/>
                <w:color w:val="auto"/>
              </w:rPr>
            </w:pPr>
            <w:r>
              <w:rPr>
                <w:rFonts w:ascii="Arial" w:cs="Arial" w:eastAsia="Arial" w:hAnsi="Arial"/>
                <w:sz w:val="7"/>
                <w:szCs w:val="7"/>
                <w:b w:val="1"/>
                <w:bCs w:val="1"/>
                <w:color w:val="auto"/>
              </w:rPr>
              <w:t>nsive</w:t>
            </w:r>
          </w:p>
        </w:tc>
        <w:tc>
          <w:tcPr>
            <w:tcW w:w="60" w:type="dxa"/>
            <w:vAlign w:val="bottom"/>
          </w:tcPr>
          <w:p>
            <w:pPr>
              <w:spacing w:after="0"/>
              <w:rPr>
                <w:sz w:val="4"/>
                <w:szCs w:val="4"/>
                <w:color w:val="auto"/>
              </w:rPr>
            </w:pPr>
          </w:p>
        </w:tc>
        <w:tc>
          <w:tcPr>
            <w:tcW w:w="420" w:type="dxa"/>
            <w:vAlign w:val="bottom"/>
            <w:gridSpan w:val="2"/>
            <w:vMerge w:val="restart"/>
          </w:tcPr>
          <w:p>
            <w:pPr>
              <w:jc w:val="center"/>
              <w:ind w:right="180"/>
              <w:spacing w:after="0"/>
              <w:rPr>
                <w:sz w:val="20"/>
                <w:szCs w:val="20"/>
                <w:color w:val="auto"/>
              </w:rPr>
            </w:pPr>
            <w:r>
              <w:rPr>
                <w:rFonts w:ascii="Arial" w:cs="Arial" w:eastAsia="Arial" w:hAnsi="Arial"/>
                <w:sz w:val="7"/>
                <w:szCs w:val="7"/>
                <w:b w:val="1"/>
                <w:bCs w:val="1"/>
                <w:color w:val="auto"/>
                <w:w w:val="95"/>
              </w:rPr>
              <w:t>ders’</w:t>
            </w: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300" w:type="dxa"/>
            <w:vAlign w:val="bottom"/>
          </w:tcPr>
          <w:p>
            <w:pPr>
              <w:spacing w:after="0"/>
              <w:rPr>
                <w:sz w:val="3"/>
                <w:szCs w:val="3"/>
                <w:color w:val="auto"/>
              </w:rPr>
            </w:pPr>
          </w:p>
        </w:tc>
        <w:tc>
          <w:tcPr>
            <w:tcW w:w="1160" w:type="dxa"/>
            <w:vAlign w:val="bottom"/>
            <w:tcBorders>
              <w:bottom w:val="single" w:sz="8" w:color="auto"/>
            </w:tcBorders>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00" w:type="dxa"/>
            <w:vAlign w:val="bottom"/>
            <w:vMerge w:val="restart"/>
          </w:tcPr>
          <w:p>
            <w:pPr>
              <w:jc w:val="right"/>
              <w:ind w:right="16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2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b w:val="1"/>
                <w:bCs w:val="1"/>
                <w:color w:val="auto"/>
                <w:w w:val="97"/>
              </w:rPr>
              <w:t>Amount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jc w:val="center"/>
              <w:ind w:right="24"/>
              <w:spacing w:after="0"/>
              <w:rPr>
                <w:sz w:val="20"/>
                <w:szCs w:val="20"/>
                <w:color w:val="auto"/>
              </w:rPr>
            </w:pPr>
            <w:r>
              <w:rPr>
                <w:rFonts w:ascii="Times New Roman" w:cs="Times New Roman" w:eastAsia="Times New Roman" w:hAnsi="Times New Roman"/>
                <w:sz w:val="7"/>
                <w:szCs w:val="7"/>
                <w:b w:val="1"/>
                <w:bCs w:val="1"/>
                <w:color w:val="auto"/>
                <w:w w:val="99"/>
              </w:rPr>
              <w:t>Capital</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gridSpan w:val="2"/>
            <w:vMerge w:val="restart"/>
          </w:tcPr>
          <w:p>
            <w:pPr>
              <w:jc w:val="center"/>
              <w:ind w:right="160"/>
              <w:spacing w:after="0"/>
              <w:rPr>
                <w:sz w:val="20"/>
                <w:szCs w:val="20"/>
                <w:color w:val="auto"/>
              </w:rPr>
            </w:pPr>
            <w:r>
              <w:rPr>
                <w:rFonts w:ascii="Arial" w:cs="Arial" w:eastAsia="Arial" w:hAnsi="Arial"/>
                <w:sz w:val="7"/>
                <w:szCs w:val="7"/>
                <w:b w:val="1"/>
                <w:bCs w:val="1"/>
                <w:color w:val="auto"/>
              </w:rPr>
              <w:t>Deficit</w:t>
            </w:r>
          </w:p>
        </w:tc>
        <w:tc>
          <w:tcPr>
            <w:tcW w:w="60" w:type="dxa"/>
            <w:vAlign w:val="bottom"/>
          </w:tcPr>
          <w:p>
            <w:pPr>
              <w:spacing w:after="0"/>
              <w:rPr>
                <w:sz w:val="5"/>
                <w:szCs w:val="5"/>
                <w:color w:val="auto"/>
              </w:rPr>
            </w:pPr>
          </w:p>
        </w:tc>
        <w:tc>
          <w:tcPr>
            <w:tcW w:w="48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w w:val="97"/>
              </w:rPr>
              <w:t>Loss</w:t>
            </w: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7"/>
                <w:szCs w:val="7"/>
                <w:b w:val="1"/>
                <w:bCs w:val="1"/>
                <w:color w:val="auto"/>
                <w:w w:val="98"/>
              </w:rPr>
              <w:t>Amount</w:t>
            </w:r>
          </w:p>
        </w:tc>
        <w:tc>
          <w:tcPr>
            <w:tcW w:w="1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restart"/>
          </w:tcPr>
          <w:p>
            <w:pPr>
              <w:jc w:val="center"/>
              <w:ind w:right="4"/>
              <w:spacing w:after="0"/>
              <w:rPr>
                <w:sz w:val="20"/>
                <w:szCs w:val="20"/>
                <w:color w:val="auto"/>
              </w:rPr>
            </w:pPr>
            <w:r>
              <w:rPr>
                <w:rFonts w:ascii="Arial" w:cs="Arial" w:eastAsia="Arial" w:hAnsi="Arial"/>
                <w:sz w:val="7"/>
                <w:szCs w:val="7"/>
                <w:b w:val="1"/>
                <w:bCs w:val="1"/>
                <w:color w:val="auto"/>
              </w:rPr>
              <w:t>Equity</w:t>
            </w:r>
          </w:p>
        </w:tc>
        <w:tc>
          <w:tcPr>
            <w:tcW w:w="1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6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300" w:type="dxa"/>
            <w:vAlign w:val="bottom"/>
            <w:shd w:val="clear" w:color="auto" w:fill="CFF0FC"/>
          </w:tcPr>
          <w:p>
            <w:pPr>
              <w:ind w:left="20"/>
              <w:spacing w:after="0" w:line="67" w:lineRule="exact"/>
              <w:rPr>
                <w:sz w:val="20"/>
                <w:szCs w:val="20"/>
                <w:color w:val="auto"/>
              </w:rPr>
            </w:pPr>
            <w:r>
              <w:rPr>
                <w:rFonts w:ascii="Arial" w:cs="Arial" w:eastAsia="Arial" w:hAnsi="Arial"/>
                <w:sz w:val="7"/>
                <w:szCs w:val="7"/>
                <w:b w:val="1"/>
                <w:bCs w:val="1"/>
                <w:color w:val="auto"/>
              </w:rPr>
              <w:t>Balance, December 31, 2021</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29,211,643</w:t>
            </w:r>
          </w:p>
        </w:tc>
        <w:tc>
          <w:tcPr>
            <w:tcW w:w="120" w:type="dxa"/>
            <w:vAlign w:val="bottom"/>
            <w:shd w:val="clear" w:color="auto" w:fill="CFF0FC"/>
          </w:tcPr>
          <w:p>
            <w:pPr>
              <w:spacing w:after="0"/>
              <w:rPr>
                <w:sz w:val="5"/>
                <w:szCs w:val="5"/>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FF0FC"/>
          </w:tcPr>
          <w:p>
            <w:pPr>
              <w:jc w:val="right"/>
              <w:spacing w:after="0" w:line="67" w:lineRule="exact"/>
              <w:rPr>
                <w:sz w:val="20"/>
                <w:szCs w:val="20"/>
                <w:color w:val="auto"/>
              </w:rPr>
            </w:pPr>
            <w:r>
              <w:rPr>
                <w:rFonts w:ascii="Arial" w:cs="Arial" w:eastAsia="Arial" w:hAnsi="Arial"/>
                <w:sz w:val="7"/>
                <w:szCs w:val="7"/>
                <w:color w:val="auto"/>
              </w:rPr>
              <w:t>304,4</w:t>
            </w:r>
          </w:p>
        </w:tc>
        <w:tc>
          <w:tcPr>
            <w:tcW w:w="120" w:type="dxa"/>
            <w:vAlign w:val="bottom"/>
            <w:vMerge w:val="restart"/>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FF0FC"/>
          </w:tcPr>
          <w:p>
            <w:pPr>
              <w:jc w:val="right"/>
              <w:spacing w:after="0" w:line="67" w:lineRule="exact"/>
              <w:rPr>
                <w:sz w:val="20"/>
                <w:szCs w:val="20"/>
                <w:color w:val="auto"/>
              </w:rPr>
            </w:pPr>
            <w:r>
              <w:rPr>
                <w:rFonts w:ascii="Arial" w:cs="Arial" w:eastAsia="Arial" w:hAnsi="Arial"/>
                <w:sz w:val="7"/>
                <w:szCs w:val="7"/>
                <w:color w:val="auto"/>
              </w:rPr>
              <w:t>(152,</w:t>
            </w:r>
          </w:p>
        </w:tc>
        <w:tc>
          <w:tcPr>
            <w:tcW w:w="120" w:type="dxa"/>
            <w:vAlign w:val="bottom"/>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FF0FC"/>
          </w:tcPr>
          <w:p>
            <w:pPr>
              <w:jc w:val="right"/>
              <w:spacing w:after="0" w:line="67" w:lineRule="exact"/>
              <w:rPr>
                <w:sz w:val="20"/>
                <w:szCs w:val="20"/>
                <w:color w:val="auto"/>
              </w:rPr>
            </w:pPr>
            <w:r>
              <w:rPr>
                <w:rFonts w:ascii="Arial" w:cs="Arial" w:eastAsia="Arial" w:hAnsi="Arial"/>
                <w:sz w:val="7"/>
                <w:szCs w:val="7"/>
                <w:color w:val="auto"/>
              </w:rPr>
              <w:t>152,3</w:t>
            </w:r>
          </w:p>
        </w:tc>
        <w:tc>
          <w:tcPr>
            <w:tcW w:w="120" w:type="dxa"/>
            <w:vAlign w:val="bottom"/>
            <w:shd w:val="clear" w:color="auto" w:fill="CFF0FC"/>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30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36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52</w:t>
            </w:r>
          </w:p>
        </w:tc>
        <w:tc>
          <w:tcPr>
            <w:tcW w:w="120" w:type="dxa"/>
            <w:vAlign w:val="bottom"/>
            <w:vMerge w:val="continue"/>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137 )</w:t>
            </w:r>
          </w:p>
        </w:tc>
        <w:tc>
          <w:tcPr>
            <w:tcW w:w="60" w:type="dxa"/>
            <w:vAlign w:val="bottom"/>
            <w:vMerge w:val="continue"/>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15</w:t>
            </w:r>
          </w:p>
        </w:tc>
        <w:tc>
          <w:tcPr>
            <w:tcW w:w="120" w:type="dxa"/>
            <w:vAlign w:val="bottom"/>
            <w:shd w:val="clear" w:color="auto" w:fill="CFF0FC"/>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300" w:type="dxa"/>
            <w:vAlign w:val="bottom"/>
            <w:tcBorders>
              <w:top w:val="single" w:sz="8" w:color="CFF0FC"/>
            </w:tcBorders>
            <w:shd w:val="clear" w:color="auto" w:fill="CFF0FC"/>
          </w:tcPr>
          <w:p>
            <w:pPr>
              <w:ind w:left="20"/>
              <w:spacing w:after="0" w:line="77" w:lineRule="exact"/>
              <w:rPr>
                <w:sz w:val="20"/>
                <w:szCs w:val="20"/>
                <w:color w:val="auto"/>
              </w:rPr>
            </w:pPr>
            <w:r>
              <w:rPr>
                <w:rFonts w:ascii="Arial" w:cs="Arial" w:eastAsia="Arial" w:hAnsi="Arial"/>
                <w:sz w:val="7"/>
                <w:szCs w:val="7"/>
                <w:color w:val="auto"/>
              </w:rPr>
              <w:t>Stock-based compensation expense</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top w:val="single" w:sz="8" w:color="CFF0FC"/>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7"/>
                <w:szCs w:val="7"/>
                <w:color w:val="auto"/>
              </w:rPr>
              <w:t>1,594</w:t>
            </w:r>
          </w:p>
        </w:tc>
        <w:tc>
          <w:tcPr>
            <w:tcW w:w="120" w:type="dxa"/>
            <w:vAlign w:val="bottom"/>
            <w:tcBorders>
              <w:top w:val="single" w:sz="8" w:color="CFF0FC"/>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top w:val="single" w:sz="8" w:color="CFF0FC"/>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7"/>
                <w:szCs w:val="7"/>
                <w:color w:val="auto"/>
              </w:rPr>
              <w:t>—</w:t>
            </w:r>
          </w:p>
        </w:tc>
        <w:tc>
          <w:tcPr>
            <w:tcW w:w="120" w:type="dxa"/>
            <w:vAlign w:val="bottom"/>
            <w:tcBorders>
              <w:top w:val="single" w:sz="8" w:color="CFF0FC"/>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7"/>
                <w:szCs w:val="7"/>
                <w:color w:val="auto"/>
              </w:rPr>
              <w:t>1,594</w:t>
            </w:r>
          </w:p>
        </w:tc>
        <w:tc>
          <w:tcPr>
            <w:tcW w:w="120" w:type="dxa"/>
            <w:vAlign w:val="bottom"/>
            <w:tcBorders>
              <w:top w:val="single" w:sz="8" w:color="CFF0FC"/>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Stock option exercises</w:t>
            </w:r>
          </w:p>
        </w:tc>
        <w:tc>
          <w:tcPr>
            <w:tcW w:w="600" w:type="dxa"/>
            <w:vAlign w:val="bottom"/>
            <w:shd w:val="clear" w:color="auto" w:fill="CFF0FC"/>
          </w:tcPr>
          <w:p>
            <w:pPr>
              <w:jc w:val="right"/>
              <w:spacing w:after="0"/>
              <w:rPr>
                <w:sz w:val="20"/>
                <w:szCs w:val="20"/>
                <w:color w:val="auto"/>
              </w:rPr>
            </w:pPr>
            <w:r>
              <w:rPr>
                <w:rFonts w:ascii="Arial" w:cs="Arial" w:eastAsia="Arial" w:hAnsi="Arial"/>
                <w:sz w:val="7"/>
                <w:szCs w:val="7"/>
                <w:color w:val="auto"/>
              </w:rPr>
              <w:t>5,593</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17</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17</w:t>
            </w:r>
          </w:p>
        </w:tc>
        <w:tc>
          <w:tcPr>
            <w:tcW w:w="120" w:type="dxa"/>
            <w:vAlign w:val="bottom"/>
            <w:shd w:val="clear" w:color="auto" w:fill="CFF0FC"/>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00" w:type="dxa"/>
            <w:vAlign w:val="bottom"/>
          </w:tcPr>
          <w:p>
            <w:pPr>
              <w:ind w:left="20"/>
              <w:spacing w:after="0" w:line="68" w:lineRule="exact"/>
              <w:rPr>
                <w:sz w:val="20"/>
                <w:szCs w:val="20"/>
                <w:color w:val="auto"/>
              </w:rPr>
            </w:pPr>
            <w:r>
              <w:rPr>
                <w:rFonts w:ascii="Arial" w:cs="Arial" w:eastAsia="Arial" w:hAnsi="Arial"/>
                <w:sz w:val="7"/>
                <w:szCs w:val="7"/>
                <w:color w:val="auto"/>
              </w:rPr>
              <w:t>Unrealized loss on marketable</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5"/>
                <w:szCs w:val="5"/>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(5 )</w:t>
            </w:r>
          </w:p>
        </w:tc>
        <w:tc>
          <w:tcPr>
            <w:tcW w:w="60" w:type="dxa"/>
            <w:vAlign w:val="bottom"/>
          </w:tcPr>
          <w:p>
            <w:pPr>
              <w:spacing w:after="0"/>
              <w:rPr>
                <w:sz w:val="5"/>
                <w:szCs w:val="5"/>
                <w:color w:val="auto"/>
              </w:rPr>
            </w:pP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(5 )</w:t>
            </w: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rPr>
                <w:sz w:val="20"/>
                <w:szCs w:val="20"/>
                <w:color w:val="auto"/>
              </w:rPr>
            </w:pPr>
            <w:r>
              <w:rPr>
                <w:rFonts w:ascii="Arial" w:cs="Arial" w:eastAsia="Arial" w:hAnsi="Arial"/>
                <w:sz w:val="7"/>
                <w:szCs w:val="7"/>
                <w:color w:val="auto"/>
              </w:rPr>
              <w:t>securities</w:t>
            </w: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300" w:type="dxa"/>
            <w:vAlign w:val="bottom"/>
            <w:shd w:val="clear" w:color="auto" w:fill="CFF0FC"/>
          </w:tcPr>
          <w:p>
            <w:pPr>
              <w:ind w:left="20"/>
              <w:spacing w:after="0" w:line="75" w:lineRule="exact"/>
              <w:rPr>
                <w:sz w:val="20"/>
                <w:szCs w:val="20"/>
                <w:color w:val="auto"/>
              </w:rPr>
            </w:pPr>
            <w:r>
              <w:rPr>
                <w:rFonts w:ascii="Arial" w:cs="Arial" w:eastAsia="Arial" w:hAnsi="Arial"/>
                <w:sz w:val="7"/>
                <w:szCs w:val="7"/>
                <w:color w:val="auto"/>
              </w:rPr>
              <w:t>Net loss</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300" w:type="dxa"/>
            <w:vAlign w:val="bottom"/>
            <w:shd w:val="clear" w:color="auto" w:fill="CFF0FC"/>
          </w:tcPr>
          <w:p>
            <w:pPr>
              <w:jc w:val="right"/>
              <w:spacing w:after="0" w:line="75" w:lineRule="exact"/>
              <w:rPr>
                <w:sz w:val="20"/>
                <w:szCs w:val="20"/>
                <w:color w:val="auto"/>
              </w:rPr>
            </w:pPr>
            <w:r>
              <w:rPr>
                <w:rFonts w:ascii="Arial" w:cs="Arial" w:eastAsia="Arial" w:hAnsi="Arial"/>
                <w:sz w:val="7"/>
                <w:szCs w:val="7"/>
                <w:color w:val="auto"/>
              </w:rPr>
              <w:t>(12,8</w:t>
            </w: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6"/>
                <w:szCs w:val="6"/>
                <w:color w:val="auto"/>
              </w:rPr>
            </w:pPr>
          </w:p>
        </w:tc>
        <w:tc>
          <w:tcPr>
            <w:tcW w:w="300" w:type="dxa"/>
            <w:vAlign w:val="bottom"/>
            <w:shd w:val="clear" w:color="auto" w:fill="CFF0FC"/>
          </w:tcPr>
          <w:p>
            <w:pPr>
              <w:jc w:val="right"/>
              <w:spacing w:after="0" w:line="75" w:lineRule="exact"/>
              <w:rPr>
                <w:sz w:val="20"/>
                <w:szCs w:val="20"/>
                <w:color w:val="auto"/>
              </w:rPr>
            </w:pPr>
            <w:r>
              <w:rPr>
                <w:rFonts w:ascii="Arial" w:cs="Arial" w:eastAsia="Arial" w:hAnsi="Arial"/>
                <w:sz w:val="7"/>
                <w:szCs w:val="7"/>
                <w:color w:val="auto"/>
              </w:rPr>
              <w:t>(12,83</w:t>
            </w:r>
          </w:p>
        </w:tc>
        <w:tc>
          <w:tcPr>
            <w:tcW w:w="120" w:type="dxa"/>
            <w:vAlign w:val="bottom"/>
            <w:shd w:val="clear" w:color="auto" w:fill="CFF0FC"/>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300" w:type="dxa"/>
            <w:vAlign w:val="bottom"/>
            <w:shd w:val="clear" w:color="auto" w:fill="CFF0FC"/>
          </w:tcPr>
          <w:p>
            <w:pPr>
              <w:spacing w:after="0"/>
              <w:rPr>
                <w:sz w:val="8"/>
                <w:szCs w:val="8"/>
                <w:color w:val="auto"/>
              </w:rPr>
            </w:pPr>
          </w:p>
        </w:tc>
        <w:tc>
          <w:tcPr>
            <w:tcW w:w="600" w:type="dxa"/>
            <w:vAlign w:val="bottom"/>
            <w:vMerge w:val="continue"/>
            <w:shd w:val="clear" w:color="auto" w:fill="CFF0FC"/>
          </w:tcPr>
          <w:p>
            <w:pPr>
              <w:spacing w:after="0"/>
              <w:rPr>
                <w:sz w:val="8"/>
                <w:szCs w:val="8"/>
                <w:color w:val="auto"/>
              </w:rPr>
            </w:pPr>
          </w:p>
        </w:tc>
        <w:tc>
          <w:tcPr>
            <w:tcW w:w="1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35 )</w:t>
            </w:r>
          </w:p>
        </w:tc>
        <w:tc>
          <w:tcPr>
            <w:tcW w:w="60" w:type="dxa"/>
            <w:vAlign w:val="bottom"/>
            <w:shd w:val="clear" w:color="auto" w:fill="CFF0FC"/>
          </w:tcPr>
          <w:p>
            <w:pPr>
              <w:spacing w:after="0"/>
              <w:rPr>
                <w:sz w:val="8"/>
                <w:szCs w:val="8"/>
                <w:color w:val="auto"/>
              </w:rPr>
            </w:pPr>
          </w:p>
        </w:tc>
        <w:tc>
          <w:tcPr>
            <w:tcW w:w="480" w:type="dxa"/>
            <w:vAlign w:val="bottom"/>
            <w:gridSpan w:val="2"/>
            <w:vMerge w:val="continue"/>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5 )</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30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Balance, March 31, 2022</w:t>
            </w:r>
          </w:p>
        </w:tc>
        <w:tc>
          <w:tcPr>
            <w:tcW w:w="600" w:type="dxa"/>
            <w:vAlign w:val="bottom"/>
            <w:vMerge w:val="restart"/>
          </w:tcPr>
          <w:p>
            <w:pPr>
              <w:jc w:val="right"/>
              <w:spacing w:after="0"/>
              <w:rPr>
                <w:sz w:val="20"/>
                <w:szCs w:val="20"/>
                <w:color w:val="auto"/>
              </w:rPr>
            </w:pPr>
            <w:r>
              <w:rPr>
                <w:rFonts w:ascii="Arial" w:cs="Arial" w:eastAsia="Arial" w:hAnsi="Arial"/>
                <w:sz w:val="7"/>
                <w:szCs w:val="7"/>
                <w:color w:val="auto"/>
              </w:rPr>
              <w:t>29,217,236</w:t>
            </w:r>
          </w:p>
        </w:tc>
        <w:tc>
          <w:tcPr>
            <w:tcW w:w="120" w:type="dxa"/>
            <w:vAlign w:val="bottom"/>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3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tcPr>
          <w:p>
            <w:pPr>
              <w:spacing w:after="0"/>
              <w:rPr>
                <w:sz w:val="5"/>
                <w:szCs w:val="5"/>
                <w:color w:val="auto"/>
              </w:rPr>
            </w:pPr>
          </w:p>
        </w:tc>
        <w:tc>
          <w:tcPr>
            <w:tcW w:w="60" w:type="dxa"/>
            <w:vAlign w:val="bottom"/>
            <w:vMerge w:val="restart"/>
          </w:tcPr>
          <w:p>
            <w:pPr>
              <w:ind w:left="20"/>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line="68" w:lineRule="exact"/>
              <w:rPr>
                <w:sz w:val="20"/>
                <w:szCs w:val="20"/>
                <w:color w:val="auto"/>
              </w:rPr>
            </w:pPr>
            <w:r>
              <w:rPr>
                <w:rFonts w:ascii="Arial" w:cs="Arial" w:eastAsia="Arial" w:hAnsi="Arial"/>
                <w:sz w:val="7"/>
                <w:szCs w:val="7"/>
                <w:color w:val="auto"/>
              </w:rPr>
              <w:t>306,0</w:t>
            </w:r>
          </w:p>
        </w:tc>
        <w:tc>
          <w:tcPr>
            <w:tcW w:w="120" w:type="dxa"/>
            <w:vAlign w:val="bottom"/>
            <w:vMerge w:val="restart"/>
          </w:tcPr>
          <w:p>
            <w:pPr>
              <w:spacing w:after="0"/>
              <w:rPr>
                <w:sz w:val="5"/>
                <w:szCs w:val="5"/>
                <w:color w:val="auto"/>
              </w:rPr>
            </w:pPr>
          </w:p>
        </w:tc>
        <w:tc>
          <w:tcPr>
            <w:tcW w:w="60" w:type="dxa"/>
            <w:vAlign w:val="bottom"/>
            <w:vMerge w:val="restart"/>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line="68" w:lineRule="exact"/>
              <w:rPr>
                <w:sz w:val="20"/>
                <w:szCs w:val="20"/>
                <w:color w:val="auto"/>
              </w:rPr>
            </w:pPr>
            <w:r>
              <w:rPr>
                <w:rFonts w:ascii="Arial" w:cs="Arial" w:eastAsia="Arial" w:hAnsi="Arial"/>
                <w:sz w:val="7"/>
                <w:szCs w:val="7"/>
                <w:color w:val="auto"/>
              </w:rPr>
              <w:t>(164,</w:t>
            </w:r>
          </w:p>
        </w:tc>
        <w:tc>
          <w:tcPr>
            <w:tcW w:w="120" w:type="dxa"/>
            <w:vAlign w:val="bottom"/>
          </w:tcPr>
          <w:p>
            <w:pPr>
              <w:spacing w:after="0"/>
              <w:rPr>
                <w:sz w:val="5"/>
                <w:szCs w:val="5"/>
                <w:color w:val="auto"/>
              </w:rPr>
            </w:pPr>
          </w:p>
        </w:tc>
        <w:tc>
          <w:tcPr>
            <w:tcW w:w="60" w:type="dxa"/>
            <w:vAlign w:val="bottom"/>
            <w:vMerge w:val="restart"/>
          </w:tcPr>
          <w:p>
            <w:pPr>
              <w:ind w:left="20"/>
              <w:spacing w:after="0"/>
              <w:rPr>
                <w:sz w:val="20"/>
                <w:szCs w:val="20"/>
                <w:color w:val="auto"/>
              </w:rPr>
            </w:pPr>
            <w:r>
              <w:rPr>
                <w:rFonts w:ascii="Arial" w:cs="Arial" w:eastAsia="Arial" w:hAnsi="Arial"/>
                <w:sz w:val="5"/>
                <w:szCs w:val="5"/>
                <w:color w:val="auto"/>
                <w:w w:val="70"/>
              </w:rPr>
              <w:t>$</w:t>
            </w: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(5 )</w:t>
            </w:r>
          </w:p>
        </w:tc>
        <w:tc>
          <w:tcPr>
            <w:tcW w:w="60" w:type="dxa"/>
            <w:vAlign w:val="bottom"/>
            <w:vMerge w:val="restart"/>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line="68" w:lineRule="exact"/>
              <w:rPr>
                <w:sz w:val="20"/>
                <w:szCs w:val="20"/>
                <w:color w:val="auto"/>
              </w:rPr>
            </w:pPr>
            <w:r>
              <w:rPr>
                <w:rFonts w:ascii="Arial" w:cs="Arial" w:eastAsia="Arial" w:hAnsi="Arial"/>
                <w:sz w:val="7"/>
                <w:szCs w:val="7"/>
                <w:color w:val="auto"/>
              </w:rPr>
              <w:t>141,0</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63</w:t>
            </w:r>
          </w:p>
        </w:tc>
        <w:tc>
          <w:tcPr>
            <w:tcW w:w="1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972 )</w:t>
            </w:r>
          </w:p>
        </w:tc>
        <w:tc>
          <w:tcPr>
            <w:tcW w:w="6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86</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Stock-based compensation expense</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1,287</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1,287</w:t>
            </w:r>
          </w:p>
        </w:tc>
        <w:tc>
          <w:tcPr>
            <w:tcW w:w="120" w:type="dxa"/>
            <w:vAlign w:val="bottom"/>
            <w:shd w:val="clear" w:color="auto" w:fill="CFF0FC"/>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rPr>
                <w:sz w:val="20"/>
                <w:szCs w:val="20"/>
                <w:color w:val="auto"/>
              </w:rPr>
            </w:pPr>
            <w:r>
              <w:rPr>
                <w:rFonts w:ascii="Arial" w:cs="Arial" w:eastAsia="Arial" w:hAnsi="Arial"/>
                <w:sz w:val="7"/>
                <w:szCs w:val="7"/>
                <w:color w:val="auto"/>
              </w:rPr>
              <w:t>Stock option exercises</w:t>
            </w:r>
          </w:p>
        </w:tc>
        <w:tc>
          <w:tcPr>
            <w:tcW w:w="600" w:type="dxa"/>
            <w:vAlign w:val="bottom"/>
          </w:tcPr>
          <w:p>
            <w:pPr>
              <w:jc w:val="right"/>
              <w:spacing w:after="0"/>
              <w:rPr>
                <w:sz w:val="20"/>
                <w:szCs w:val="20"/>
                <w:color w:val="auto"/>
              </w:rPr>
            </w:pPr>
            <w:r>
              <w:rPr>
                <w:rFonts w:ascii="Arial" w:cs="Arial" w:eastAsia="Arial" w:hAnsi="Arial"/>
                <w:sz w:val="7"/>
                <w:szCs w:val="7"/>
                <w:color w:val="auto"/>
              </w:rPr>
              <w:t>49,612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309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309</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300" w:type="dxa"/>
            <w:vAlign w:val="bottom"/>
            <w:shd w:val="clear" w:color="auto" w:fill="CFF0FC"/>
          </w:tcPr>
          <w:p>
            <w:pPr>
              <w:ind w:left="20"/>
              <w:spacing w:after="0" w:line="75" w:lineRule="exact"/>
              <w:rPr>
                <w:sz w:val="20"/>
                <w:szCs w:val="20"/>
                <w:color w:val="auto"/>
              </w:rPr>
            </w:pPr>
            <w:r>
              <w:rPr>
                <w:rFonts w:ascii="Arial" w:cs="Arial" w:eastAsia="Arial" w:hAnsi="Arial"/>
                <w:sz w:val="7"/>
                <w:szCs w:val="7"/>
                <w:color w:val="auto"/>
              </w:rPr>
              <w:t>Unrealized loss on marketable</w:t>
            </w:r>
          </w:p>
        </w:tc>
        <w:tc>
          <w:tcPr>
            <w:tcW w:w="7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6"/>
                <w:szCs w:val="6"/>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4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6"/>
                <w:szCs w:val="6"/>
                <w:color w:val="auto"/>
              </w:rPr>
            </w:pPr>
          </w:p>
        </w:tc>
        <w:tc>
          <w:tcPr>
            <w:tcW w:w="4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(123 )</w:t>
            </w:r>
          </w:p>
        </w:tc>
        <w:tc>
          <w:tcPr>
            <w:tcW w:w="60" w:type="dxa"/>
            <w:vAlign w:val="bottom"/>
            <w:shd w:val="clear" w:color="auto" w:fill="CFF0FC"/>
          </w:tcPr>
          <w:p>
            <w:pPr>
              <w:spacing w:after="0"/>
              <w:rPr>
                <w:sz w:val="6"/>
                <w:szCs w:val="6"/>
                <w:color w:val="auto"/>
              </w:rPr>
            </w:pPr>
          </w:p>
        </w:tc>
        <w:tc>
          <w:tcPr>
            <w:tcW w:w="4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(123 )</w:t>
            </w: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securities</w:t>
            </w:r>
          </w:p>
        </w:tc>
        <w:tc>
          <w:tcPr>
            <w:tcW w:w="72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gridSpan w:val="2"/>
            <w:vMerge w:val="continue"/>
            <w:shd w:val="clear" w:color="auto" w:fill="CFF0FC"/>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00" w:type="dxa"/>
            <w:vAlign w:val="bottom"/>
          </w:tcPr>
          <w:p>
            <w:pPr>
              <w:ind w:left="20"/>
              <w:spacing w:after="0" w:line="68" w:lineRule="exact"/>
              <w:rPr>
                <w:sz w:val="20"/>
                <w:szCs w:val="20"/>
                <w:color w:val="auto"/>
              </w:rPr>
            </w:pPr>
            <w:r>
              <w:rPr>
                <w:rFonts w:ascii="Arial" w:cs="Arial" w:eastAsia="Arial" w:hAnsi="Arial"/>
                <w:sz w:val="7"/>
                <w:szCs w:val="7"/>
                <w:color w:val="auto"/>
              </w:rPr>
              <w:t>Net loss</w:t>
            </w:r>
          </w:p>
        </w:tc>
        <w:tc>
          <w:tcPr>
            <w:tcW w:w="6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Arial" w:cs="Arial" w:eastAsia="Arial" w:hAnsi="Arial"/>
                <w:sz w:val="7"/>
                <w:szCs w:val="7"/>
                <w:color w:val="auto"/>
              </w:rPr>
              <w:t>(13,4</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Arial" w:cs="Arial" w:eastAsia="Arial" w:hAnsi="Arial"/>
                <w:sz w:val="7"/>
                <w:szCs w:val="7"/>
                <w:color w:val="auto"/>
              </w:rPr>
              <w:t>(13,46</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68 )</w:t>
            </w:r>
          </w:p>
        </w:tc>
        <w:tc>
          <w:tcPr>
            <w:tcW w:w="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8 )</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300" w:type="dxa"/>
            <w:vAlign w:val="bottom"/>
            <w:shd w:val="clear" w:color="auto" w:fill="CFF0FC"/>
          </w:tcPr>
          <w:p>
            <w:pPr>
              <w:ind w:left="20"/>
              <w:spacing w:after="0" w:line="68" w:lineRule="exact"/>
              <w:rPr>
                <w:sz w:val="20"/>
                <w:szCs w:val="20"/>
                <w:color w:val="auto"/>
              </w:rPr>
            </w:pPr>
            <w:r>
              <w:rPr>
                <w:rFonts w:ascii="Arial" w:cs="Arial" w:eastAsia="Arial" w:hAnsi="Arial"/>
                <w:sz w:val="7"/>
                <w:szCs w:val="7"/>
                <w:b w:val="1"/>
                <w:bCs w:val="1"/>
                <w:color w:val="auto"/>
              </w:rPr>
              <w:t>Balance, June 30, 2022</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29,266,848</w:t>
            </w:r>
          </w:p>
        </w:tc>
        <w:tc>
          <w:tcPr>
            <w:tcW w:w="120" w:type="dxa"/>
            <w:vAlign w:val="bottom"/>
            <w:shd w:val="clear" w:color="auto" w:fill="CFF0FC"/>
          </w:tcPr>
          <w:p>
            <w:pPr>
              <w:spacing w:after="0"/>
              <w:rPr>
                <w:sz w:val="5"/>
                <w:szCs w:val="5"/>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307,6</w:t>
            </w:r>
          </w:p>
        </w:tc>
        <w:tc>
          <w:tcPr>
            <w:tcW w:w="120" w:type="dxa"/>
            <w:vAlign w:val="bottom"/>
            <w:vMerge w:val="restart"/>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(178,</w:t>
            </w:r>
          </w:p>
        </w:tc>
        <w:tc>
          <w:tcPr>
            <w:tcW w:w="120" w:type="dxa"/>
            <w:vAlign w:val="bottom"/>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4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(128 )</w:t>
            </w: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129,0</w:t>
            </w:r>
          </w:p>
        </w:tc>
        <w:tc>
          <w:tcPr>
            <w:tcW w:w="120" w:type="dxa"/>
            <w:vAlign w:val="bottom"/>
            <w:shd w:val="clear" w:color="auto" w:fill="CFF0FC"/>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300" w:type="dxa"/>
            <w:vAlign w:val="bottom"/>
            <w:shd w:val="clear" w:color="auto" w:fill="CFF0FC"/>
          </w:tcPr>
          <w:p>
            <w:pPr>
              <w:spacing w:after="0"/>
              <w:rPr>
                <w:sz w:val="9"/>
                <w:szCs w:val="9"/>
                <w:color w:val="auto"/>
              </w:rPr>
            </w:pPr>
          </w:p>
        </w:tc>
        <w:tc>
          <w:tcPr>
            <w:tcW w:w="6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vMerge w:val="continue"/>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120" w:type="dxa"/>
            <w:vAlign w:val="bottom"/>
            <w:vMerge w:val="continue"/>
            <w:shd w:val="clear" w:color="auto" w:fill="CFF0FC"/>
          </w:tcPr>
          <w:p>
            <w:pPr>
              <w:spacing w:after="0"/>
              <w:rPr>
                <w:sz w:val="9"/>
                <w:szCs w:val="9"/>
                <w:color w:val="auto"/>
              </w:rPr>
            </w:pPr>
          </w:p>
        </w:tc>
        <w:tc>
          <w:tcPr>
            <w:tcW w:w="6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59</w:t>
            </w:r>
          </w:p>
        </w:tc>
        <w:tc>
          <w:tcPr>
            <w:tcW w:w="120" w:type="dxa"/>
            <w:vAlign w:val="bottom"/>
            <w:vMerge w:val="continue"/>
            <w:shd w:val="clear" w:color="auto" w:fill="CFF0FC"/>
          </w:tcPr>
          <w:p>
            <w:pPr>
              <w:spacing w:after="0"/>
              <w:rPr>
                <w:sz w:val="9"/>
                <w:szCs w:val="9"/>
                <w:color w:val="auto"/>
              </w:rPr>
            </w:pPr>
          </w:p>
        </w:tc>
        <w:tc>
          <w:tcPr>
            <w:tcW w:w="60" w:type="dxa"/>
            <w:vAlign w:val="bottom"/>
            <w:vMerge w:val="continue"/>
            <w:shd w:val="clear" w:color="auto" w:fill="CFF0FC"/>
          </w:tcPr>
          <w:p>
            <w:pPr>
              <w:spacing w:after="0"/>
              <w:rPr>
                <w:sz w:val="9"/>
                <w:szCs w:val="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440 )</w:t>
            </w:r>
          </w:p>
        </w:tc>
        <w:tc>
          <w:tcPr>
            <w:tcW w:w="60" w:type="dxa"/>
            <w:vAlign w:val="bottom"/>
            <w:vMerge w:val="continue"/>
            <w:shd w:val="clear" w:color="auto" w:fill="CFF0FC"/>
          </w:tcPr>
          <w:p>
            <w:pPr>
              <w:spacing w:after="0"/>
              <w:rPr>
                <w:sz w:val="9"/>
                <w:szCs w:val="9"/>
                <w:color w:val="auto"/>
              </w:rPr>
            </w:pPr>
          </w:p>
        </w:tc>
        <w:tc>
          <w:tcPr>
            <w:tcW w:w="480" w:type="dxa"/>
            <w:vAlign w:val="bottom"/>
            <w:gridSpan w:val="2"/>
            <w:vMerge w:val="continue"/>
            <w:shd w:val="clear" w:color="auto" w:fill="CFF0FC"/>
          </w:tcPr>
          <w:p>
            <w:pPr>
              <w:spacing w:after="0"/>
              <w:rPr>
                <w:sz w:val="9"/>
                <w:szCs w:val="9"/>
                <w:color w:val="auto"/>
              </w:rPr>
            </w:pPr>
          </w:p>
        </w:tc>
        <w:tc>
          <w:tcPr>
            <w:tcW w:w="60" w:type="dxa"/>
            <w:vAlign w:val="bottom"/>
            <w:vMerge w:val="continue"/>
            <w:shd w:val="clear" w:color="auto" w:fill="CFF0FC"/>
          </w:tcPr>
          <w:p>
            <w:pPr>
              <w:spacing w:after="0"/>
              <w:rPr>
                <w:sz w:val="9"/>
                <w:szCs w:val="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91</w:t>
            </w:r>
          </w:p>
        </w:tc>
        <w:tc>
          <w:tcPr>
            <w:tcW w:w="120" w:type="dxa"/>
            <w:vAlign w:val="bottom"/>
            <w:shd w:val="clear" w:color="auto" w:fill="CFF0FC"/>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rPr>
                <w:sz w:val="20"/>
                <w:szCs w:val="20"/>
                <w:color w:val="auto"/>
              </w:rPr>
            </w:pPr>
            <w:r>
              <w:rPr>
                <w:rFonts w:ascii="Arial" w:cs="Arial" w:eastAsia="Arial" w:hAnsi="Arial"/>
                <w:sz w:val="7"/>
                <w:szCs w:val="7"/>
                <w:color w:val="auto"/>
              </w:rPr>
              <w:t>Stock-based compensation expense</w:t>
            </w:r>
          </w:p>
        </w:tc>
        <w:tc>
          <w:tcPr>
            <w:tcW w:w="7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1,717</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1,717</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Stock option exercises</w:t>
            </w:r>
          </w:p>
        </w:tc>
        <w:tc>
          <w:tcPr>
            <w:tcW w:w="600" w:type="dxa"/>
            <w:vAlign w:val="bottom"/>
            <w:shd w:val="clear" w:color="auto" w:fill="CFF0FC"/>
          </w:tcPr>
          <w:p>
            <w:pPr>
              <w:jc w:val="right"/>
              <w:spacing w:after="0"/>
              <w:rPr>
                <w:sz w:val="20"/>
                <w:szCs w:val="20"/>
                <w:color w:val="auto"/>
              </w:rPr>
            </w:pPr>
            <w:r>
              <w:rPr>
                <w:rFonts w:ascii="Arial" w:cs="Arial" w:eastAsia="Arial" w:hAnsi="Arial"/>
                <w:sz w:val="7"/>
                <w:szCs w:val="7"/>
                <w:color w:val="auto"/>
              </w:rPr>
              <w:t>16,437</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104</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104</w:t>
            </w:r>
          </w:p>
        </w:tc>
        <w:tc>
          <w:tcPr>
            <w:tcW w:w="120" w:type="dxa"/>
            <w:vAlign w:val="bottom"/>
            <w:shd w:val="clear" w:color="auto" w:fill="CFF0FC"/>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rPr>
                <w:sz w:val="20"/>
                <w:szCs w:val="20"/>
                <w:color w:val="auto"/>
              </w:rPr>
            </w:pPr>
            <w:r>
              <w:rPr>
                <w:rFonts w:ascii="Arial" w:cs="Arial" w:eastAsia="Arial" w:hAnsi="Arial"/>
                <w:sz w:val="7"/>
                <w:szCs w:val="7"/>
                <w:color w:val="auto"/>
              </w:rPr>
              <w:t>Other</w:t>
            </w:r>
          </w:p>
        </w:tc>
        <w:tc>
          <w:tcPr>
            <w:tcW w:w="7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7"/>
                <w:szCs w:val="7"/>
                <w:color w:val="auto"/>
              </w:rPr>
              <w:t>62</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7"/>
                <w:szCs w:val="7"/>
                <w:color w:val="auto"/>
              </w:rPr>
              <w:t>62</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300" w:type="dxa"/>
            <w:vAlign w:val="bottom"/>
            <w:shd w:val="clear" w:color="auto" w:fill="CFF0FC"/>
          </w:tcPr>
          <w:p>
            <w:pPr>
              <w:ind w:left="20"/>
              <w:spacing w:after="0" w:line="75" w:lineRule="exact"/>
              <w:rPr>
                <w:sz w:val="20"/>
                <w:szCs w:val="20"/>
                <w:color w:val="auto"/>
              </w:rPr>
            </w:pPr>
            <w:r>
              <w:rPr>
                <w:rFonts w:ascii="Arial" w:cs="Arial" w:eastAsia="Arial" w:hAnsi="Arial"/>
                <w:sz w:val="7"/>
                <w:szCs w:val="7"/>
                <w:color w:val="auto"/>
              </w:rPr>
              <w:t>Unrealized loss on marketable</w:t>
            </w:r>
          </w:p>
        </w:tc>
        <w:tc>
          <w:tcPr>
            <w:tcW w:w="7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80" w:type="dxa"/>
            <w:vAlign w:val="bottom"/>
            <w:shd w:val="clear" w:color="auto" w:fill="CFF0FC"/>
          </w:tcPr>
          <w:p>
            <w:pPr>
              <w:spacing w:after="0"/>
              <w:rPr>
                <w:sz w:val="6"/>
                <w:szCs w:val="6"/>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4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FF0FC"/>
          </w:tcPr>
          <w:p>
            <w:pPr>
              <w:spacing w:after="0"/>
              <w:rPr>
                <w:sz w:val="6"/>
                <w:szCs w:val="6"/>
                <w:color w:val="auto"/>
              </w:rPr>
            </w:pPr>
          </w:p>
        </w:tc>
        <w:tc>
          <w:tcPr>
            <w:tcW w:w="4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(19 )</w:t>
            </w:r>
          </w:p>
        </w:tc>
        <w:tc>
          <w:tcPr>
            <w:tcW w:w="60" w:type="dxa"/>
            <w:vAlign w:val="bottom"/>
            <w:shd w:val="clear" w:color="auto" w:fill="CFF0FC"/>
          </w:tcPr>
          <w:p>
            <w:pPr>
              <w:spacing w:after="0"/>
              <w:rPr>
                <w:sz w:val="6"/>
                <w:szCs w:val="6"/>
                <w:color w:val="auto"/>
              </w:rPr>
            </w:pPr>
          </w:p>
        </w:tc>
        <w:tc>
          <w:tcPr>
            <w:tcW w:w="4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(19 )</w:t>
            </w: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300" w:type="dxa"/>
            <w:vAlign w:val="bottom"/>
            <w:shd w:val="clear" w:color="auto" w:fill="CFF0FC"/>
          </w:tcPr>
          <w:p>
            <w:pPr>
              <w:ind w:left="20"/>
              <w:spacing w:after="0"/>
              <w:rPr>
                <w:sz w:val="20"/>
                <w:szCs w:val="20"/>
                <w:color w:val="auto"/>
              </w:rPr>
            </w:pPr>
            <w:r>
              <w:rPr>
                <w:rFonts w:ascii="Arial" w:cs="Arial" w:eastAsia="Arial" w:hAnsi="Arial"/>
                <w:sz w:val="7"/>
                <w:szCs w:val="7"/>
                <w:color w:val="auto"/>
              </w:rPr>
              <w:t>securities</w:t>
            </w:r>
          </w:p>
        </w:tc>
        <w:tc>
          <w:tcPr>
            <w:tcW w:w="72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gridSpan w:val="2"/>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20" w:type="dxa"/>
            <w:vAlign w:val="bottom"/>
            <w:gridSpan w:val="2"/>
            <w:vMerge w:val="continue"/>
            <w:shd w:val="clear" w:color="auto" w:fill="CFF0FC"/>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00" w:type="dxa"/>
            <w:vAlign w:val="bottom"/>
          </w:tcPr>
          <w:p>
            <w:pPr>
              <w:ind w:left="20"/>
              <w:spacing w:after="0" w:line="68" w:lineRule="exact"/>
              <w:rPr>
                <w:sz w:val="20"/>
                <w:szCs w:val="20"/>
                <w:color w:val="auto"/>
              </w:rPr>
            </w:pPr>
            <w:r>
              <w:rPr>
                <w:rFonts w:ascii="Arial" w:cs="Arial" w:eastAsia="Arial" w:hAnsi="Arial"/>
                <w:sz w:val="7"/>
                <w:szCs w:val="7"/>
                <w:color w:val="auto"/>
              </w:rPr>
              <w:t>Net loss</w:t>
            </w:r>
          </w:p>
        </w:tc>
        <w:tc>
          <w:tcPr>
            <w:tcW w:w="60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Arial" w:cs="Arial" w:eastAsia="Arial" w:hAnsi="Arial"/>
                <w:sz w:val="7"/>
                <w:szCs w:val="7"/>
                <w:color w:val="auto"/>
              </w:rPr>
              <w:t>(15,9</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Arial" w:cs="Arial" w:eastAsia="Arial" w:hAnsi="Arial"/>
                <w:sz w:val="7"/>
                <w:szCs w:val="7"/>
                <w:color w:val="auto"/>
              </w:rPr>
              <w:t>(15,90</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01 )</w:t>
            </w:r>
          </w:p>
        </w:tc>
        <w:tc>
          <w:tcPr>
            <w:tcW w:w="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1 )</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300" w:type="dxa"/>
            <w:vAlign w:val="bottom"/>
            <w:shd w:val="clear" w:color="auto" w:fill="CFF0FC"/>
          </w:tcPr>
          <w:p>
            <w:pPr>
              <w:ind w:left="20"/>
              <w:spacing w:after="0" w:line="68" w:lineRule="exact"/>
              <w:rPr>
                <w:sz w:val="20"/>
                <w:szCs w:val="20"/>
                <w:color w:val="auto"/>
              </w:rPr>
            </w:pPr>
            <w:r>
              <w:rPr>
                <w:rFonts w:ascii="Arial" w:cs="Arial" w:eastAsia="Arial" w:hAnsi="Arial"/>
                <w:sz w:val="7"/>
                <w:szCs w:val="7"/>
                <w:b w:val="1"/>
                <w:bCs w:val="1"/>
                <w:color w:val="auto"/>
              </w:rPr>
              <w:t>Balance, September 30, 2022</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29,283,285</w:t>
            </w:r>
          </w:p>
        </w:tc>
        <w:tc>
          <w:tcPr>
            <w:tcW w:w="120" w:type="dxa"/>
            <w:vAlign w:val="bottom"/>
            <w:shd w:val="clear" w:color="auto" w:fill="CFF0FC"/>
          </w:tcPr>
          <w:p>
            <w:pPr>
              <w:spacing w:after="0"/>
              <w:rPr>
                <w:sz w:val="5"/>
                <w:szCs w:val="5"/>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7"/>
                <w:szCs w:val="7"/>
                <w:color w:val="auto"/>
              </w:rPr>
              <w:t>—</w:t>
            </w:r>
          </w:p>
        </w:tc>
        <w:tc>
          <w:tcPr>
            <w:tcW w:w="120" w:type="dxa"/>
            <w:vAlign w:val="bottom"/>
            <w:vMerge w:val="restart"/>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309,5</w:t>
            </w:r>
          </w:p>
        </w:tc>
        <w:tc>
          <w:tcPr>
            <w:tcW w:w="120" w:type="dxa"/>
            <w:vAlign w:val="bottom"/>
            <w:vMerge w:val="restart"/>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(194,</w:t>
            </w:r>
          </w:p>
        </w:tc>
        <w:tc>
          <w:tcPr>
            <w:tcW w:w="120" w:type="dxa"/>
            <w:vAlign w:val="bottom"/>
            <w:shd w:val="clear" w:color="auto" w:fill="CFF0FC"/>
          </w:tcPr>
          <w:p>
            <w:pPr>
              <w:spacing w:after="0"/>
              <w:rPr>
                <w:sz w:val="5"/>
                <w:szCs w:val="5"/>
                <w:color w:val="auto"/>
              </w:rPr>
            </w:pP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4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7"/>
                <w:szCs w:val="7"/>
                <w:color w:val="auto"/>
              </w:rPr>
              <w:t>(147 )</w:t>
            </w:r>
          </w:p>
        </w:tc>
        <w:tc>
          <w:tcPr>
            <w:tcW w:w="60" w:type="dxa"/>
            <w:vAlign w:val="bottom"/>
            <w:vMerge w:val="restart"/>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FF0FC"/>
          </w:tcPr>
          <w:p>
            <w:pPr>
              <w:jc w:val="right"/>
              <w:spacing w:after="0" w:line="68" w:lineRule="exact"/>
              <w:rPr>
                <w:sz w:val="20"/>
                <w:szCs w:val="20"/>
                <w:color w:val="auto"/>
              </w:rPr>
            </w:pPr>
            <w:r>
              <w:rPr>
                <w:rFonts w:ascii="Arial" w:cs="Arial" w:eastAsia="Arial" w:hAnsi="Arial"/>
                <w:sz w:val="7"/>
                <w:szCs w:val="7"/>
                <w:color w:val="auto"/>
              </w:rPr>
              <w:t>115,05</w:t>
            </w:r>
          </w:p>
        </w:tc>
        <w:tc>
          <w:tcPr>
            <w:tcW w:w="120" w:type="dxa"/>
            <w:vAlign w:val="bottom"/>
            <w:shd w:val="clear" w:color="auto" w:fill="CFF0FC"/>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360" w:type="dxa"/>
            <w:vAlign w:val="bottom"/>
            <w:vMerge w:val="continue"/>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7"/>
                <w:szCs w:val="7"/>
                <w:color w:val="auto"/>
              </w:rPr>
              <w:t>42</w:t>
            </w:r>
          </w:p>
        </w:tc>
        <w:tc>
          <w:tcPr>
            <w:tcW w:w="120" w:type="dxa"/>
            <w:vAlign w:val="bottom"/>
            <w:vMerge w:val="continue"/>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7"/>
                <w:szCs w:val="7"/>
                <w:color w:val="auto"/>
              </w:rPr>
              <w:t>341 )</w:t>
            </w:r>
          </w:p>
        </w:tc>
        <w:tc>
          <w:tcPr>
            <w:tcW w:w="60" w:type="dxa"/>
            <w:vAlign w:val="bottom"/>
            <w:vMerge w:val="continue"/>
            <w:shd w:val="clear" w:color="auto" w:fill="CFF0FC"/>
          </w:tcPr>
          <w:p>
            <w:pPr>
              <w:spacing w:after="0"/>
              <w:rPr>
                <w:sz w:val="10"/>
                <w:szCs w:val="10"/>
                <w:color w:val="auto"/>
              </w:rPr>
            </w:pPr>
          </w:p>
        </w:tc>
        <w:tc>
          <w:tcPr>
            <w:tcW w:w="480" w:type="dxa"/>
            <w:vAlign w:val="bottom"/>
            <w:gridSpan w:val="2"/>
            <w:vMerge w:val="continue"/>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7"/>
                <w:szCs w:val="7"/>
                <w:color w:val="auto"/>
              </w:rPr>
              <w:t>4</w:t>
            </w:r>
          </w:p>
        </w:tc>
        <w:tc>
          <w:tcPr>
            <w:tcW w:w="120" w:type="dxa"/>
            <w:vAlign w:val="bottom"/>
            <w:shd w:val="clear" w:color="auto" w:fill="CFF0FC"/>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-3779520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-3762375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-3779520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-3762375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-3779520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-3762375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-3779520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-3762375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-3779520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-3762375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-3779520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-3762375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-3779520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-3762375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-3779520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-3762375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-3779520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-3762375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-3779520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-3762375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-3779520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-3762375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-3779520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-3762375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-3779520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-3762375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-3779520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-3762375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-3779520</wp:posOffset>
            </wp:positionV>
            <wp:extent cx="179133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91335" cy="1885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-2399665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-2399665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-2399665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-2399665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-2399665</wp:posOffset>
            </wp:positionV>
            <wp:extent cx="7747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9685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-2399665</wp:posOffset>
            </wp:positionV>
            <wp:extent cx="76835"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-2399665</wp:posOffset>
            </wp:positionV>
            <wp:extent cx="76835"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-2399665</wp:posOffset>
            </wp:positionV>
            <wp:extent cx="76835"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-2399665</wp:posOffset>
            </wp:positionV>
            <wp:extent cx="76835" cy="196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-2399665</wp:posOffset>
            </wp:positionV>
            <wp:extent cx="76835" cy="196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-2399665</wp:posOffset>
            </wp:positionV>
            <wp:extent cx="68580"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-2399665</wp:posOffset>
            </wp:positionV>
            <wp:extent cx="68580" cy="196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-2399665</wp:posOffset>
            </wp:positionV>
            <wp:extent cx="68580"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-2399665</wp:posOffset>
            </wp:positionV>
            <wp:extent cx="68580"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-2399665</wp:posOffset>
            </wp:positionV>
            <wp:extent cx="6858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-2399665</wp:posOffset>
            </wp:positionV>
            <wp:extent cx="68580" cy="196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-2399665</wp:posOffset>
            </wp:positionV>
            <wp:extent cx="6858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-2399665</wp:posOffset>
            </wp:positionV>
            <wp:extent cx="6858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-1559560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-1559560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-1559560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-1559560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-1559560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-1559560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-1542415</wp:posOffset>
            </wp:positionV>
            <wp:extent cx="77470" cy="768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-1542415</wp:posOffset>
            </wp:positionV>
            <wp:extent cx="76835" cy="768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-1542415</wp:posOffset>
            </wp:positionV>
            <wp:extent cx="76835" cy="76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-1542415</wp:posOffset>
            </wp:positionV>
            <wp:extent cx="76835" cy="768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-1542415</wp:posOffset>
            </wp:positionV>
            <wp:extent cx="76835" cy="768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-1542415</wp:posOffset>
            </wp:positionV>
            <wp:extent cx="76835" cy="768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-1174115</wp:posOffset>
            </wp:positionV>
            <wp:extent cx="7747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-1174115</wp:posOffset>
            </wp:positionV>
            <wp:extent cx="76835"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-1174115</wp:posOffset>
            </wp:positionV>
            <wp:extent cx="76835"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-1174115</wp:posOffset>
            </wp:positionV>
            <wp:extent cx="76835"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-1174115</wp:posOffset>
            </wp:positionV>
            <wp:extent cx="76835"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-1174115</wp:posOffset>
            </wp:positionV>
            <wp:extent cx="76835"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-24765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-8255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-8255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-8255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-8255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-24765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-8255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7780" w:type="dxa"/>
            <w:vAlign w:val="bottom"/>
          </w:tcPr>
          <w:p>
            <w:pPr>
              <w:jc w:val="center"/>
              <w:ind w:left="3370"/>
              <w:spacing w:after="0"/>
              <w:rPr>
                <w:sz w:val="20"/>
                <w:szCs w:val="20"/>
                <w:color w:val="auto"/>
              </w:rPr>
            </w:pPr>
            <w:r>
              <w:rPr>
                <w:rFonts w:ascii="Arial" w:cs="Arial" w:eastAsia="Arial" w:hAnsi="Arial"/>
                <w:sz w:val="18"/>
                <w:szCs w:val="18"/>
                <w:b w:val="1"/>
                <w:bCs w:val="1"/>
                <w:color w:val="auto"/>
                <w:w w:val="99"/>
              </w:rPr>
              <w:t>Aura Biosciences, Inc.</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812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tcPr>
          <w:p>
            <w:pPr>
              <w:jc w:val="center"/>
              <w:ind w:left="3370"/>
              <w:spacing w:after="0" w:line="202" w:lineRule="exact"/>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780" w:type="dxa"/>
            <w:vAlign w:val="bottom"/>
          </w:tcPr>
          <w:p>
            <w:pPr>
              <w:jc w:val="center"/>
              <w:ind w:left="3370"/>
              <w:spacing w:after="0"/>
              <w:rPr>
                <w:sz w:val="20"/>
                <w:szCs w:val="20"/>
                <w:color w:val="auto"/>
              </w:rPr>
            </w:pPr>
            <w:r>
              <w:rPr>
                <w:rFonts w:ascii="Arial" w:cs="Arial" w:eastAsia="Arial" w:hAnsi="Arial"/>
                <w:sz w:val="18"/>
                <w:szCs w:val="18"/>
                <w:b w:val="1"/>
                <w:bCs w:val="1"/>
                <w:color w:val="auto"/>
                <w:w w:val="99"/>
              </w:rPr>
              <w:t>(in thousands)</w:t>
            </w:r>
          </w:p>
        </w:tc>
        <w:tc>
          <w:tcPr>
            <w:tcW w:w="340" w:type="dxa"/>
            <w:vAlign w:val="bottom"/>
          </w:tcPr>
          <w:p>
            <w:pPr>
              <w:spacing w:after="0"/>
              <w:rPr>
                <w:sz w:val="21"/>
                <w:szCs w:val="21"/>
                <w:color w:val="auto"/>
              </w:rPr>
            </w:pPr>
          </w:p>
        </w:tc>
        <w:tc>
          <w:tcPr>
            <w:tcW w:w="3120" w:type="dxa"/>
            <w:vAlign w:val="bottom"/>
            <w:gridSpan w:val="5"/>
            <w:vMerge w:val="restart"/>
          </w:tcPr>
          <w:p>
            <w:pPr>
              <w:jc w:val="right"/>
              <w:ind w:right="86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58"/>
        </w:trPr>
        <w:tc>
          <w:tcPr>
            <w:tcW w:w="7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(42,204 )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(23,617 )</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Accretion on marketable securities</w:t>
            </w:r>
          </w:p>
        </w:tc>
        <w:tc>
          <w:tcPr>
            <w:tcW w:w="34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(299 )</w:t>
            </w:r>
          </w:p>
        </w:tc>
        <w:tc>
          <w:tcPr>
            <w:tcW w:w="5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(318 )</w:t>
            </w:r>
          </w:p>
        </w:tc>
        <w:tc>
          <w:tcPr>
            <w:tcW w:w="5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7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(566 )</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(678 )</w:t>
            </w: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78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(736 )</w:t>
            </w:r>
          </w:p>
        </w:tc>
        <w:tc>
          <w:tcPr>
            <w:tcW w:w="5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(1,306 )</w:t>
            </w: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(71,266 )</w:t>
            </w:r>
          </w:p>
        </w:tc>
        <w:tc>
          <w:tcPr>
            <w:tcW w:w="5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sale of marketable securities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(50,993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780" w:type="dxa"/>
            <w:vAlign w:val="bottom"/>
          </w:tcPr>
          <w:p>
            <w:pPr>
              <w:ind w:left="20"/>
              <w:spacing w:after="0" w:line="170" w:lineRule="exact"/>
              <w:rPr>
                <w:sz w:val="20"/>
                <w:szCs w:val="20"/>
                <w:color w:val="auto"/>
              </w:rPr>
            </w:pPr>
            <w:r>
              <w:rPr>
                <w:rFonts w:ascii="Arial" w:cs="Arial" w:eastAsia="Arial" w:hAnsi="Arial"/>
                <w:sz w:val="18"/>
                <w:szCs w:val="18"/>
                <w:color w:val="auto"/>
              </w:rPr>
              <w:t>Proceeds from issuance of Series D convertible preferred stock, net of</w:t>
            </w:r>
          </w:p>
        </w:tc>
        <w:tc>
          <w:tcPr>
            <w:tcW w:w="340" w:type="dxa"/>
            <w:vAlign w:val="bottom"/>
          </w:tcPr>
          <w:p>
            <w:pPr>
              <w:spacing w:after="0"/>
              <w:rPr>
                <w:sz w:val="14"/>
                <w:szCs w:val="14"/>
                <w:color w:val="auto"/>
              </w:rPr>
            </w:pPr>
          </w:p>
        </w:tc>
        <w:tc>
          <w:tcPr>
            <w:tcW w:w="148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6,982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780" w:type="dxa"/>
            <w:vAlign w:val="bottom"/>
          </w:tcPr>
          <w:p>
            <w:pPr>
              <w:ind w:left="80"/>
              <w:spacing w:after="0"/>
              <w:rPr>
                <w:sz w:val="20"/>
                <w:szCs w:val="20"/>
                <w:color w:val="auto"/>
              </w:rPr>
            </w:pPr>
            <w:r>
              <w:rPr>
                <w:rFonts w:ascii="Arial" w:cs="Arial" w:eastAsia="Arial" w:hAnsi="Arial"/>
                <w:sz w:val="18"/>
                <w:szCs w:val="18"/>
                <w:color w:val="auto"/>
              </w:rPr>
              <w:t>issuance costs</w:t>
            </w:r>
          </w:p>
        </w:tc>
        <w:tc>
          <w:tcPr>
            <w:tcW w:w="34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Series E convertible preferred stock, net of issuance costs</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Payment made for deferred offering costs</w:t>
            </w:r>
          </w:p>
        </w:tc>
        <w:tc>
          <w:tcPr>
            <w:tcW w:w="340" w:type="dxa"/>
            <w:vAlign w:val="bottom"/>
          </w:tcPr>
          <w:p>
            <w:pPr>
              <w:spacing w:after="0"/>
              <w:rPr>
                <w:sz w:val="18"/>
                <w:szCs w:val="18"/>
                <w:color w:val="auto"/>
              </w:rPr>
            </w:pPr>
          </w:p>
        </w:tc>
        <w:tc>
          <w:tcPr>
            <w:tcW w:w="1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(1,416 )</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4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(87,151 )</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149,211</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62,060</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780" w:type="dxa"/>
            <w:vAlign w:val="bottom"/>
          </w:tcPr>
          <w:p>
            <w:pPr>
              <w:ind w:left="20"/>
              <w:spacing w:after="0" w:line="170" w:lineRule="exact"/>
              <w:rPr>
                <w:sz w:val="20"/>
                <w:szCs w:val="20"/>
                <w:color w:val="auto"/>
              </w:rPr>
            </w:pPr>
            <w:r>
              <w:rPr>
                <w:rFonts w:ascii="Arial" w:cs="Arial" w:eastAsia="Arial" w:hAnsi="Arial"/>
                <w:sz w:val="18"/>
                <w:szCs w:val="18"/>
                <w:color w:val="auto"/>
              </w:rPr>
              <w:t>Purchases of property and equipment in accounts payable and accrued expenses and other</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4"/>
                <w:szCs w:val="14"/>
                <w:color w:val="auto"/>
              </w:rPr>
            </w:pPr>
          </w:p>
        </w:tc>
        <w:tc>
          <w:tcPr>
            <w:tcW w:w="520" w:type="dxa"/>
            <w:vAlign w:val="bottom"/>
            <w:vMerge w:val="restart"/>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7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Initial measurement of right-of-use assets and lease liabilities for operating lease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80" w:type="dxa"/>
            <w:vAlign w:val="bottom"/>
          </w:tcPr>
          <w:p>
            <w:pPr>
              <w:ind w:left="20"/>
              <w:spacing w:after="0" w:line="197" w:lineRule="exact"/>
              <w:rPr>
                <w:sz w:val="20"/>
                <w:szCs w:val="20"/>
                <w:color w:val="auto"/>
              </w:rPr>
            </w:pPr>
            <w:r>
              <w:rPr>
                <w:rFonts w:ascii="Arial" w:cs="Arial" w:eastAsia="Arial" w:hAnsi="Arial"/>
                <w:sz w:val="18"/>
                <w:szCs w:val="18"/>
                <w:color w:val="auto"/>
              </w:rPr>
              <w:t>Remeasurement of right-of-use assets and lease liabilities for lease modification</w:t>
            </w:r>
          </w:p>
        </w:tc>
        <w:tc>
          <w:tcPr>
            <w:tcW w:w="340" w:type="dxa"/>
            <w:vAlign w:val="bottom"/>
          </w:tcPr>
          <w:p>
            <w:pPr>
              <w:jc w:val="right"/>
              <w:ind w:right="130"/>
              <w:spacing w:after="0" w:line="197"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10"/>
              <w:spacing w:after="0" w:line="197"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line="197"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390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-3059430</wp:posOffset>
            </wp:positionV>
            <wp:extent cx="6858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-2219325</wp:posOffset>
            </wp:positionV>
            <wp:extent cx="6858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-1259205</wp:posOffset>
            </wp:positionV>
            <wp:extent cx="6858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-975995</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-975995</wp:posOffset>
            </wp:positionV>
            <wp:extent cx="685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right="320"/>
        <w:spacing w:after="0" w:line="23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such amounts shown in the unaudited condensed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61,110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Short-term restricted cash, end of period</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restricted cash, end of period</w:t>
            </w: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62,060</w:t>
            </w:r>
          </w:p>
        </w:tc>
        <w:tc>
          <w:tcPr>
            <w:tcW w:w="8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81,974</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Aura Biosciences, Inc. (the “Company” or “Aura”) is a clinical-stage biotechnology company envisioning a new way to treat cancer. Leveraging a novel targeted oncology platform, the Company has the goal to develop a new standard of care across multiple cancer indications. Within these unaudited condensed consolidated financial statements, unless the context otherwise requires, references to the Company or Aura refer to Aura Biosciences, Inc and its subsidiary on a consolidated basis. The Company's initial focus is on ocular and urologic oncology where the disease is diagnosed early and there is a high unmet medical need. The Company's proprietary platform enables the targeting of a broad range of solid tumors using Virus-Like Particles, or VLPs, that can be conjugated with drugs or loaded with nucleic acids to create Virus-Like Drug Conjugates, or VDCs. The Company's VDCs are largely agnostic to tumor type and can recognize tumor associated glycosaminoglycans with unique heparan sulphate epitopes that are expressed on the cell surface of many tumor cells and in the tumor microenvironment. Belzupacap sarotalocan, the Company's first VDC candidate, is being developed for the first-line treatment of early-stage choroidal melanoma, a rare disease with no drugs approved where the standard of care leaves many patients with blindness. The Company is also developing belzupacap sarotalocan for additional ocular oncology indications, including choroidal metastases, and in non-muscle invasive bladder cancer, or NMIBC. Aura’s headquarters are located in Boston, Massachusetts.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2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and collaborative partners, competition, customer demand, management of growth, and the effectiveness of marketing by the Company.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On October 22, 2021, the Company effected a reverse stock split of the Company’s common stock on a 1-for-13.7 basis, or the Reverse Stock Split. In connection with the Reverse Stock Split, the conversion ratio for the Company’s convertible preferred stock was proportionately adjusted such that the common stock issuable upon conversion of such preferred stock was decreased in proportion to the Reverse Stock Split. Accordingly, all common stock share and per share amounts, for all periods presented in these unaudited condensed consolidated financial statements, have been retroactively adjusted, to reflect this reverse stock split and adjustment of the convertible preferred stock conversion ratios.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On November 2, 2021, the Company completed its initial public offering, or the IPO, in which it issued and sold 6,210,000 shares of common stock, including the full exercise of the underwriters’ option to purchase additional shares at a price to the public of $14.00 per share for aggregate gross proceeds of $86.9 million. The Company received approximately $78.3 million in net proceeds after deducting underwriting discounts, commissions and offering expenses.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6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Through September 30, 2022, the Company has funded its operations primarily with proceeds from the initial closings and additional closings of its convertible preferred stock financings, through its license agreements, and through its IPO. The Company has incurred recurring losses and negative operating cash flows from operations since its inception, including net losses of $42.2 million and $23.6 million for the nine months ended September 30, 2022 and 2021, respectively. As of September 30, 2022, the Company had cash and cash equivalents and marketable securities of $111.5 million and an accumulated deficit of $194.3 million. The Company expects to continue to generate operating losses for the foreseeable future.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jc w:val="both"/>
        <w:ind w:firstLine="509"/>
        <w:spacing w:after="0" w:line="252" w:lineRule="auto"/>
        <w:rPr>
          <w:sz w:val="20"/>
          <w:szCs w:val="20"/>
          <w:color w:val="auto"/>
        </w:rPr>
      </w:pPr>
      <w:r>
        <w:rPr>
          <w:rFonts w:ascii="Arial" w:cs="Arial" w:eastAsia="Arial" w:hAnsi="Arial"/>
          <w:sz w:val="18"/>
          <w:szCs w:val="18"/>
          <w:color w:val="auto"/>
        </w:rPr>
        <w:t>As of the issuance date of these unaudited condensed consolidated financial statements for the nine months ended September 30, 2022, the Company expects that its cash and cash equivalents and marketable securities will be sufficient to fund its operating expenses and capital expenditure requirements through at least 12 months from the issuance of these condensed consolidated financial statements. The future viability of the Company beyond that point is dependent on its ability to raise additional capital to finance its operations.</w:t>
      </w:r>
    </w:p>
    <w:p>
      <w:pPr>
        <w:spacing w:after="0" w:line="184" w:lineRule="exact"/>
        <w:rPr>
          <w:sz w:val="20"/>
          <w:szCs w:val="20"/>
          <w:color w:val="auto"/>
        </w:rPr>
      </w:pPr>
    </w:p>
    <w:p>
      <w:pPr>
        <w:ind w:left="520" w:right="7260" w:hanging="512"/>
        <w:spacing w:after="0" w:line="320" w:lineRule="auto"/>
        <w:tabs>
          <w:tab w:leader="none" w:pos="21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months and nine months ended September 30, 2022 and 2021 are also unaudited. The unaudited condensed results of operations are not necessarily indicative of the operating results that may occur for the full fiscal year ending December 31, 2022.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2021, in the Company's Annual Report on Form 10-K filed with the SEC on March 23, 2022. There have been no changes to the Company's significant accounting policies except as noted below.</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7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All marketable securities have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Unrealized gains and losses are reported as the accumulated other comprehensive items in stockholders’ equity. Amortization and accretion of premiums and discounts are recorded in other income (expense) within the consolidated statements of operations and comprehensive loss. Realized gains or losses are included in interest income or interest expense, respectively. If any adjustment to fair value reflects a decline in value of the investment, the Company considers all available evidence such as industry, financial inputs, and capital markets data to evaluate the extent to which the decline is other than temporary and, if so, marks the investment to market on the Company’s condensed consolidated statement of operations and comprehensive loss.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assessed the recent accounting pronouncements for the nine months ended September 30, 2022 and determined no pronouncements have material impact to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0" w:name="page11"/>
    <w:bookmarkEnd w:id="10"/>
    <w:p>
      <w:pPr>
        <w:ind w:left="56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will be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does not expect adoption of this new guidance to have a material impact on its results of operations, financial condition, and financial statement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September 30, 2022 and December 31,</w:t>
      </w:r>
    </w:p>
    <w:p>
      <w:pPr>
        <w:spacing w:after="0"/>
        <w:rPr>
          <w:sz w:val="20"/>
          <w:szCs w:val="20"/>
          <w:color w:val="auto"/>
        </w:rPr>
      </w:pPr>
      <w:r>
        <w:rPr>
          <w:rFonts w:ascii="Arial" w:cs="Arial" w:eastAsia="Arial" w:hAnsi="Arial"/>
          <w:sz w:val="18"/>
          <w:szCs w:val="18"/>
          <w:color w:val="auto"/>
        </w:rPr>
        <w:t>2021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Quoted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center"/>
              <w:ind w:right="160"/>
              <w:spacing w:after="0" w:line="189" w:lineRule="exact"/>
              <w:rPr>
                <w:sz w:val="20"/>
                <w:szCs w:val="20"/>
                <w:color w:val="auto"/>
              </w:rPr>
            </w:pPr>
            <w:r>
              <w:rPr>
                <w:rFonts w:ascii="Arial" w:cs="Arial" w:eastAsia="Arial" w:hAnsi="Arial"/>
                <w:sz w:val="18"/>
                <w:szCs w:val="18"/>
                <w:b w:val="1"/>
                <w:bCs w:val="1"/>
                <w:color w:val="auto"/>
                <w:w w:val="97"/>
              </w:rPr>
              <w:t>prices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rPr>
              <w:t>active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7"/>
              </w:rPr>
              <w:t>Significant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September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center"/>
              <w:ind w:right="160"/>
              <w:spacing w:after="0" w:line="189" w:lineRule="exact"/>
              <w:rPr>
                <w:sz w:val="20"/>
                <w:szCs w:val="20"/>
                <w:color w:val="auto"/>
              </w:rPr>
            </w:pPr>
            <w:r>
              <w:rPr>
                <w:rFonts w:ascii="Arial" w:cs="Arial" w:eastAsia="Arial" w:hAnsi="Arial"/>
                <w:sz w:val="18"/>
                <w:szCs w:val="18"/>
                <w:b w:val="1"/>
                <w:bCs w:val="1"/>
                <w:color w:val="auto"/>
                <w:w w:val="98"/>
              </w:rPr>
              <w:t>markets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7"/>
              </w:rPr>
              <w:t>other</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4"/>
          </w:tcPr>
          <w:p>
            <w:pPr>
              <w:jc w:val="center"/>
              <w:spacing w:after="0" w:line="189" w:lineRule="exact"/>
              <w:rPr>
                <w:sz w:val="20"/>
                <w:szCs w:val="20"/>
                <w:color w:val="auto"/>
              </w:rPr>
            </w:pPr>
            <w:r>
              <w:rPr>
                <w:rFonts w:ascii="Arial" w:cs="Arial" w:eastAsia="Arial" w:hAnsi="Arial"/>
                <w:sz w:val="18"/>
                <w:szCs w:val="18"/>
                <w:b w:val="1"/>
                <w:bCs w:val="1"/>
                <w:color w:val="auto"/>
                <w:w w:val="99"/>
              </w:rPr>
              <w:t>for identical</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98"/>
              </w:rPr>
              <w:t>observable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8"/>
              </w:rPr>
              <w:t>observable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center"/>
              <w:ind w:right="160"/>
              <w:spacing w:after="0" w:line="189" w:lineRule="exact"/>
              <w:rPr>
                <w:sz w:val="20"/>
                <w:szCs w:val="20"/>
                <w:color w:val="auto"/>
              </w:rPr>
            </w:pPr>
            <w:r>
              <w:rPr>
                <w:rFonts w:ascii="Arial" w:cs="Arial" w:eastAsia="Arial" w:hAnsi="Arial"/>
                <w:sz w:val="18"/>
                <w:szCs w:val="18"/>
                <w:b w:val="1"/>
                <w:bCs w:val="1"/>
                <w:color w:val="auto"/>
                <w:w w:val="99"/>
              </w:rPr>
              <w:t>assets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9"/>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8"/>
              </w:rPr>
              <w:t>(Level 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(Level 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Financial assets</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58,100</w:t>
            </w: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58,100</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10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27,880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2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16,535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U.S. Government agencies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108,509</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58,100</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50,409</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5"/>
          </w:tcPr>
          <w:p>
            <w:pPr>
              <w:ind w:left="220"/>
              <w:spacing w:after="0"/>
              <w:rPr>
                <w:sz w:val="20"/>
                <w:szCs w:val="20"/>
                <w:color w:val="auto"/>
              </w:rPr>
            </w:pPr>
            <w:r>
              <w:rPr>
                <w:rFonts w:ascii="Arial" w:cs="Arial" w:eastAsia="Arial" w:hAnsi="Arial"/>
                <w:sz w:val="18"/>
                <w:szCs w:val="18"/>
                <w:b w:val="1"/>
                <w:bCs w:val="1"/>
                <w:color w:val="auto"/>
              </w:rPr>
              <w:t>Quoted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4"/>
          </w:tcPr>
          <w:p>
            <w:pPr>
              <w:jc w:val="center"/>
              <w:ind w:right="460"/>
              <w:spacing w:after="0" w:line="189" w:lineRule="exact"/>
              <w:rPr>
                <w:sz w:val="20"/>
                <w:szCs w:val="20"/>
                <w:color w:val="auto"/>
              </w:rPr>
            </w:pPr>
            <w:r>
              <w:rPr>
                <w:rFonts w:ascii="Arial" w:cs="Arial" w:eastAsia="Arial" w:hAnsi="Arial"/>
                <w:sz w:val="18"/>
                <w:szCs w:val="18"/>
                <w:b w:val="1"/>
                <w:bCs w:val="1"/>
                <w:color w:val="auto"/>
              </w:rPr>
              <w:t>prices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4"/>
          </w:tcPr>
          <w:p>
            <w:pPr>
              <w:jc w:val="center"/>
              <w:ind w:right="500"/>
              <w:spacing w:after="0" w:line="202" w:lineRule="exact"/>
              <w:rPr>
                <w:sz w:val="20"/>
                <w:szCs w:val="20"/>
                <w:color w:val="auto"/>
              </w:rPr>
            </w:pPr>
            <w:r>
              <w:rPr>
                <w:rFonts w:ascii="Arial" w:cs="Arial" w:eastAsia="Arial" w:hAnsi="Arial"/>
                <w:sz w:val="18"/>
                <w:szCs w:val="18"/>
                <w:b w:val="1"/>
                <w:bCs w:val="1"/>
                <w:color w:val="auto"/>
                <w:w w:val="97"/>
              </w:rPr>
              <w:t>active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Significant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7"/>
              </w:rPr>
              <w:t>Significant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5"/>
          </w:tcPr>
          <w:p>
            <w:pPr>
              <w:jc w:val="center"/>
              <w:ind w:right="240"/>
              <w:spacing w:after="0" w:line="189" w:lineRule="exact"/>
              <w:rPr>
                <w:sz w:val="20"/>
                <w:szCs w:val="20"/>
                <w:color w:val="auto"/>
              </w:rPr>
            </w:pPr>
            <w:r>
              <w:rPr>
                <w:rFonts w:ascii="Arial" w:cs="Arial" w:eastAsia="Arial" w:hAnsi="Arial"/>
                <w:sz w:val="18"/>
                <w:szCs w:val="18"/>
                <w:b w:val="1"/>
                <w:bCs w:val="1"/>
                <w:color w:val="auto"/>
              </w:rPr>
              <w:t>markets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70"/>
              <w:spacing w:after="0" w:line="189" w:lineRule="exact"/>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4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c>
          <w:tcPr>
            <w:tcW w:w="1340" w:type="dxa"/>
            <w:vAlign w:val="bottom"/>
            <w:gridSpan w:val="5"/>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for identical</w:t>
            </w:r>
          </w:p>
        </w:tc>
        <w:tc>
          <w:tcPr>
            <w:tcW w:w="160" w:type="dxa"/>
            <w:vAlign w:val="bottom"/>
          </w:tcPr>
          <w:p>
            <w:pPr>
              <w:spacing w:after="0"/>
              <w:rPr>
                <w:sz w:val="16"/>
                <w:szCs w:val="16"/>
                <w:color w:val="auto"/>
              </w:rPr>
            </w:pPr>
          </w:p>
        </w:tc>
        <w:tc>
          <w:tcPr>
            <w:tcW w:w="1240" w:type="dxa"/>
            <w:vAlign w:val="bottom"/>
            <w:gridSpan w:val="3"/>
          </w:tcPr>
          <w:p>
            <w:pPr>
              <w:jc w:val="center"/>
              <w:ind w:right="90"/>
              <w:spacing w:after="0" w:line="189" w:lineRule="exact"/>
              <w:rPr>
                <w:sz w:val="20"/>
                <w:szCs w:val="20"/>
                <w:color w:val="auto"/>
              </w:rPr>
            </w:pPr>
            <w:r>
              <w:rPr>
                <w:rFonts w:ascii="Arial" w:cs="Arial" w:eastAsia="Arial" w:hAnsi="Arial"/>
                <w:sz w:val="18"/>
                <w:szCs w:val="18"/>
                <w:b w:val="1"/>
                <w:bCs w:val="1"/>
                <w:color w:val="auto"/>
                <w:w w:val="98"/>
              </w:rPr>
              <w:t>observable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8"/>
              </w:rPr>
              <w:t>observable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4"/>
          </w:tcPr>
          <w:p>
            <w:pPr>
              <w:jc w:val="center"/>
              <w:ind w:right="440"/>
              <w:spacing w:after="0" w:line="189" w:lineRule="exact"/>
              <w:rPr>
                <w:sz w:val="20"/>
                <w:szCs w:val="20"/>
                <w:color w:val="auto"/>
              </w:rPr>
            </w:pPr>
            <w:r>
              <w:rPr>
                <w:rFonts w:ascii="Arial" w:cs="Arial" w:eastAsia="Arial" w:hAnsi="Arial"/>
                <w:sz w:val="18"/>
                <w:szCs w:val="18"/>
                <w:b w:val="1"/>
                <w:bCs w:val="1"/>
                <w:color w:val="auto"/>
                <w:w w:val="99"/>
              </w:rPr>
              <w:t>assets</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270"/>
              <w:spacing w:after="0" w:line="189"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9"/>
              </w:rPr>
              <w:t>inputs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Financial assets</w:t>
            </w: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24,063</w:t>
            </w:r>
          </w:p>
        </w:tc>
        <w:tc>
          <w:tcPr>
            <w:tcW w:w="240" w:type="dxa"/>
            <w:vAlign w:val="bottom"/>
          </w:tcPr>
          <w:p>
            <w:pPr>
              <w:spacing w:after="0"/>
              <w:rPr>
                <w:sz w:val="18"/>
                <w:szCs w:val="18"/>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10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24,063</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24,063</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-2108200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-2091055</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-2108200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-2091055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-2108200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-2091055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-513715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-496570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-513715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-496570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-513715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-496570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Property and Equipment,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20" w:type="dxa"/>
            <w:vAlign w:val="bottom"/>
          </w:tcPr>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under construction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IT equipment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furniture</w:t>
            </w:r>
          </w:p>
        </w:tc>
        <w:tc>
          <w:tcPr>
            <w:tcW w:w="1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8"/>
                <w:szCs w:val="18"/>
                <w:color w:val="auto"/>
              </w:rPr>
            </w:pPr>
          </w:p>
        </w:tc>
      </w:tr>
      <w:tr>
        <w:trPr>
          <w:trHeight w:val="209"/>
        </w:trPr>
        <w:tc>
          <w:tcPr>
            <w:tcW w:w="76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Borders>
              <w:top w:val="single" w:sz="8" w:color="CFF0FC"/>
            </w:tcBorders>
          </w:tcPr>
          <w:p>
            <w:pPr>
              <w:spacing w:after="0"/>
              <w:rPr>
                <w:sz w:val="18"/>
                <w:szCs w:val="18"/>
                <w:color w:val="auto"/>
              </w:rPr>
            </w:pPr>
          </w:p>
        </w:tc>
      </w:tr>
      <w:tr>
        <w:trPr>
          <w:trHeight w:val="210"/>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Less—accumulated depreciation</w:t>
            </w: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6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-462280</wp:posOffset>
            </wp:positionV>
            <wp:extent cx="6858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$0.3 million and $0.2 million for the three months ended September 30, 2022 and 2021,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$0.9 million and $0.6 million for the nine months ended September 30, 2022 and 2021,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7"/>
                <w:szCs w:val="17"/>
                <w:color w:val="auto"/>
              </w:rPr>
            </w:pPr>
          </w:p>
        </w:tc>
        <w:tc>
          <w:tcPr>
            <w:tcW w:w="162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center"/>
              <w:ind w:right="5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license agreements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center"/>
              <w:ind w:right="5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7"/>
        </w:trPr>
        <w:tc>
          <w:tcPr>
            <w:tcW w:w="5660" w:type="dxa"/>
            <w:vAlign w:val="bottom"/>
          </w:tcPr>
          <w:p>
            <w:pPr>
              <w:spacing w:after="0"/>
              <w:rPr>
                <w:sz w:val="20"/>
                <w:szCs w:val="20"/>
                <w:color w:val="auto"/>
              </w:rPr>
            </w:pPr>
            <w:r>
              <w:rPr>
                <w:rFonts w:ascii="Arial" w:cs="Arial" w:eastAsia="Arial" w:hAnsi="Arial"/>
                <w:sz w:val="18"/>
                <w:szCs w:val="18"/>
                <w:b w:val="1"/>
                <w:bCs w:val="1"/>
                <w:color w:val="auto"/>
              </w:rPr>
              <w:t>6. Marketable Securities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660" w:type="dxa"/>
            <w:vAlign w:val="bottom"/>
          </w:tcPr>
          <w:p>
            <w:pPr>
              <w:ind w:left="520"/>
              <w:spacing w:after="0"/>
              <w:rPr>
                <w:sz w:val="20"/>
                <w:szCs w:val="20"/>
                <w:color w:val="auto"/>
              </w:rPr>
            </w:pPr>
            <w:r>
              <w:rPr>
                <w:rFonts w:ascii="Arial" w:cs="Arial" w:eastAsia="Arial" w:hAnsi="Arial"/>
                <w:sz w:val="18"/>
                <w:szCs w:val="18"/>
                <w:color w:val="auto"/>
              </w:rPr>
              <w:t>Marketable securities consist of the following (in thousands):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5"/>
        </w:trPr>
        <w:tc>
          <w:tcPr>
            <w:tcW w:w="5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 2022</w:t>
            </w: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660" w:type="dxa"/>
            <w:vAlign w:val="bottom"/>
          </w:tcPr>
          <w:p>
            <w:pPr>
              <w:spacing w:after="0"/>
              <w:rPr>
                <w:sz w:val="14"/>
                <w:szCs w:val="14"/>
                <w:color w:val="auto"/>
              </w:rPr>
            </w:pPr>
          </w:p>
        </w:tc>
        <w:tc>
          <w:tcPr>
            <w:tcW w:w="1120" w:type="dxa"/>
            <w:vAlign w:val="bottom"/>
            <w:gridSpan w:val="2"/>
          </w:tcPr>
          <w:p>
            <w:pPr>
              <w:jc w:val="right"/>
              <w:ind w:right="70"/>
              <w:spacing w:after="0" w:line="163" w:lineRule="exact"/>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10"/>
              <w:spacing w:after="0" w:line="163"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jc w:val="center"/>
              <w:ind w:right="400"/>
              <w:spacing w:after="0" w:line="163"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4"/>
                <w:szCs w:val="14"/>
                <w:color w:val="auto"/>
              </w:rPr>
            </w:pPr>
          </w:p>
        </w:tc>
        <w:tc>
          <w:tcPr>
            <w:tcW w:w="980" w:type="dxa"/>
            <w:vAlign w:val="bottom"/>
          </w:tcPr>
          <w:p>
            <w:pPr>
              <w:jc w:val="right"/>
              <w:ind w:right="30"/>
              <w:spacing w:after="0" w:line="163" w:lineRule="exact"/>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9"/>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(140 )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50,556</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-1731010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-1713865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impairments of the Company’s assets measured and carried at fair value during the nine months ended September 30,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9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2,648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5,298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980" w:type="dxa"/>
            <w:vAlign w:val="bottom"/>
            <w:vMerge w:val="restart"/>
          </w:tcPr>
          <w:p>
            <w:pPr>
              <w:jc w:val="right"/>
              <w:ind w:right="1830"/>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6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620" w:type="dxa"/>
            <w:vAlign w:val="bottom"/>
            <w:tcBorders>
              <w:bottom w:val="single" w:sz="8" w:color="9A9A9A"/>
            </w:tcBorders>
          </w:tcPr>
          <w:p>
            <w:pPr>
              <w:spacing w:after="0"/>
              <w:rPr>
                <w:sz w:val="7"/>
                <w:szCs w:val="7"/>
                <w:color w:val="auto"/>
              </w:rPr>
            </w:pPr>
          </w:p>
        </w:tc>
        <w:tc>
          <w:tcPr>
            <w:tcW w:w="29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-642620</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Equity</w:t>
      </w:r>
    </w:p>
    <w:p>
      <w:pPr>
        <w:spacing w:after="0" w:line="6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8"/>
          <w:szCs w:val="18"/>
          <w:color w:val="auto"/>
        </w:rPr>
        <w:t>The Company had 150,000,000 authorized shares of common stock, par value $0.00001 per share, of which 29,283,285 and 29,211,643 shares were issued and outstanding at September 30, 2022 and December 31, 2021, respectively.</w:t>
      </w:r>
    </w:p>
    <w:p>
      <w:pPr>
        <w:spacing w:after="0" w:line="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Upon closing of the IPO on November 2, 2021, all of the Company's outstanding shares of convertible preferred stock automatically converted into 22,550,561 shares of common stock. In addition, the Company authorized 10,000,000 shares of preferred stock, par value $0.00001 per share, all of which shares of preferred stock will be undesignated.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198" w:lineRule="exact"/>
        <w:rPr>
          <w:sz w:val="20"/>
          <w:szCs w:val="20"/>
          <w:color w:val="auto"/>
        </w:rPr>
      </w:pPr>
    </w:p>
    <w:p>
      <w:pPr>
        <w:jc w:val="both"/>
        <w:ind w:firstLine="388"/>
        <w:spacing w:after="0" w:line="252" w:lineRule="auto"/>
        <w:rPr>
          <w:sz w:val="20"/>
          <w:szCs w:val="20"/>
          <w:color w:val="auto"/>
        </w:rPr>
      </w:pPr>
      <w:r>
        <w:rPr>
          <w:rFonts w:ascii="Arial" w:cs="Arial" w:eastAsia="Arial" w:hAnsi="Arial"/>
          <w:sz w:val="18"/>
          <w:szCs w:val="18"/>
          <w:color w:val="auto"/>
        </w:rPr>
        <w:t>On December 12, 2018, the Company adopted the Aura Biosciences, Inc. 2018 Equity Incentive Plan (the “2018 Plan”). The 2018 Plan will expire in 2028. Under the 2018 Plan, Aura may grant incentive stock options, non-qualified stock options, restricted and unrestricted stock awards and stock right. The Board of Directors (the "Board") has determined not to make any further awards under the 2018 Plan as of November 2, 2021. However, the 2018 Plan will continue to govern outstanding equity awards granted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12" w:lineRule="exact"/>
        <w:rPr>
          <w:sz w:val="20"/>
          <w:szCs w:val="20"/>
          <w:color w:val="auto"/>
        </w:rPr>
      </w:pPr>
    </w:p>
    <w:p>
      <w:pPr>
        <w:jc w:val="both"/>
        <w:ind w:firstLine="303"/>
        <w:spacing w:after="0" w:line="243"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2022, the shares reserved for issuance was increased to 4,812,748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98"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2022, the shares reserved for issuance was increased to 627,333 shares. The purchase price of the shares under the ESPP are at 85% of the lower of the fair market value of the Company’s common stock on the first trading day of the offering period or on the purchase date. As of September 30, 2022, 627,333 shares were available to be issued under the ESPP. The Company recognized $0.01 million share-based compensation expense related to the ESPP for the nine months ended September 30,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both"/>
        <w:ind w:firstLine="354"/>
        <w:spacing w:after="0" w:line="271" w:lineRule="auto"/>
        <w:rPr>
          <w:sz w:val="20"/>
          <w:szCs w:val="20"/>
          <w:color w:val="auto"/>
        </w:rPr>
      </w:pPr>
      <w:r>
        <w:rPr>
          <w:rFonts w:ascii="Arial" w:cs="Arial" w:eastAsia="Arial" w:hAnsi="Arial"/>
          <w:sz w:val="18"/>
          <w:szCs w:val="18"/>
          <w:color w:val="auto"/>
        </w:rPr>
        <w:t>With the transfer of the available options from the 2018 Plan to the 2021 Plan, there were 3,435,004 options available for grant under the 2021 Plan at September 30, 2022.</w:t>
      </w:r>
    </w:p>
    <w:p>
      <w:pPr>
        <w:spacing w:after="0" w:line="16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which employees, directors and consultants shall be granted awards;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common stock subject to options and other awards;</w:t>
      </w:r>
    </w:p>
    <w:p>
      <w:pPr>
        <w:spacing w:after="0" w:line="35"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cancellation provisions applicable to options;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3" w:name="page14"/>
    <w:bookmarkEnd w:id="13"/>
    <w:p>
      <w:pPr>
        <w:ind w:left="1020" w:right="60" w:hanging="368"/>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terms and conditions upon which each award may be granted in accordance with the 2018 Plan.</w:t>
      </w:r>
    </w:p>
    <w:p>
      <w:pPr>
        <w:spacing w:after="0" w:line="224"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2018 Plan and 2021 Plan for the nine months ended September 30,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Remaining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99"/>
              </w:rPr>
              <w:t>Intrinsic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Contractual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6"/>
                <w:szCs w:val="16"/>
                <w:color w:val="auto"/>
              </w:rPr>
            </w:pPr>
          </w:p>
        </w:tc>
        <w:tc>
          <w:tcPr>
            <w:tcW w:w="104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9"/>
              </w:rPr>
              <w:t>Exercise</w:t>
            </w:r>
          </w:p>
        </w:tc>
        <w:tc>
          <w:tcPr>
            <w:tcW w:w="22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7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Price</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(years)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4,232,991</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428,321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(71,642 )</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(333,777 )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4,255,893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Exercisable at September 30, 2022</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1,603,397</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4.35</w:t>
            </w: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6.87</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22,071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-187960</wp:posOffset>
            </wp:positionV>
            <wp:extent cx="28117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11780" cy="188595"/>
                    </a:xfrm>
                    <a:prstGeom prst="rect">
                      <a:avLst/>
                    </a:prstGeom>
                    <a:noFill/>
                  </pic:spPr>
                </pic:pic>
              </a:graphicData>
            </a:graphic>
          </wp:anchor>
        </w:drawing>
      </w:r>
    </w:p>
    <w:p>
      <w:pPr>
        <w:spacing w:after="0" w:line="177" w:lineRule="exact"/>
        <w:rPr>
          <w:sz w:val="20"/>
          <w:szCs w:val="20"/>
          <w:color w:val="auto"/>
        </w:rPr>
      </w:pPr>
    </w:p>
    <w:p>
      <w:pPr>
        <w:jc w:val="both"/>
        <w:ind w:right="60" w:firstLine="509"/>
        <w:spacing w:after="0" w:line="252" w:lineRule="auto"/>
        <w:rPr>
          <w:sz w:val="20"/>
          <w:szCs w:val="20"/>
          <w:color w:val="auto"/>
        </w:rPr>
      </w:pPr>
      <w:r>
        <w:rPr>
          <w:rFonts w:ascii="Arial" w:cs="Arial" w:eastAsia="Arial" w:hAnsi="Arial"/>
          <w:sz w:val="18"/>
          <w:szCs w:val="18"/>
          <w:color w:val="auto"/>
        </w:rPr>
        <w:t>The weighted-average grant date fair value of stock options granted during the nine months ended September 30, 2022 and 2021 was $11.09 and $3.97 per share, respectively. The fair value of options vested during the nine months ended September 30, 2022 and 2021 was $2.1 million and $1.0 million, respectively. The total intrinsic value of options exercised was $0.8 million and $0.01 million for the nine months ended September 30, 2022 and 2021, respectively.</w:t>
      </w:r>
    </w:p>
    <w:p>
      <w:pPr>
        <w:spacing w:after="0" w:line="170"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8"/>
          <w:szCs w:val="18"/>
          <w:color w:val="auto"/>
        </w:rPr>
        <w:t>The Company has elected to use the Black-Scholes option pricing model to determine the fair value of options granted and generally recognizes the compensation cost of stock-based awards on a straight-line basis over the vesting period of the award.</w:t>
      </w:r>
    </w:p>
    <w:p>
      <w:pPr>
        <w:spacing w:after="0" w:line="167"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The determination of the fair value of stock-based payment awards utilizing the Black-Scholes option pricing model is affected by the estimated fair value of the Company’s common stock and a number of other assumptions, including expected volatility, expected life, risk-free interest rate, and expected dividends.</w:t>
      </w:r>
    </w:p>
    <w:p>
      <w:pPr>
        <w:spacing w:after="0" w:line="182"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The fair value of the stock options issued for the nine months ended September 30, 2022 and 2021 was measured with the following weighted-average assumptions: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29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2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7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Risk-free interest rate</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1"/>
        </w:trPr>
        <w:tc>
          <w:tcPr>
            <w:tcW w:w="6080" w:type="dxa"/>
            <w:vAlign w:val="bottom"/>
            <w:vMerge w:val="continue"/>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color w:val="auto"/>
              </w:rPr>
              <w:t>2.73</w:t>
            </w:r>
          </w:p>
        </w:tc>
        <w:tc>
          <w:tcPr>
            <w:tcW w:w="240" w:type="dxa"/>
            <w:vAlign w:val="bottom"/>
            <w:vMerge w:val="continue"/>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color w:val="auto"/>
              </w:rPr>
              <w:t>1.06</w:t>
            </w:r>
          </w:p>
        </w:tc>
        <w:tc>
          <w:tcPr>
            <w:tcW w:w="220" w:type="dxa"/>
            <w:vAlign w:val="bottom"/>
            <w:gridSpan w:val="2"/>
            <w:vMerge w:val="continue"/>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Arial" w:cs="Arial" w:eastAsia="Arial" w:hAnsi="Arial"/>
                <w:sz w:val="18"/>
                <w:szCs w:val="18"/>
                <w:color w:val="auto"/>
              </w:rPr>
              <w:t>3.08</w:t>
            </w:r>
          </w:p>
        </w:tc>
        <w:tc>
          <w:tcPr>
            <w:tcW w:w="220" w:type="dxa"/>
            <w:vAlign w:val="bottom"/>
            <w:vMerge w:val="continue"/>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Arial" w:cs="Arial" w:eastAsia="Arial" w:hAnsi="Arial"/>
                <w:sz w:val="18"/>
                <w:szCs w:val="18"/>
                <w:color w:val="auto"/>
              </w:rPr>
              <w:t>1.00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240" w:type="dxa"/>
            <w:vAlign w:val="bottom"/>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Expected volatility of the underlying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76.76 %</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74.21 %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79.01 %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73.36 %</w:t>
            </w:r>
          </w:p>
        </w:tc>
        <w:tc>
          <w:tcPr>
            <w:tcW w:w="0" w:type="dxa"/>
            <w:vAlign w:val="bottom"/>
          </w:tcPr>
          <w:p>
            <w:pPr>
              <w:spacing w:after="0"/>
              <w:rPr>
                <w:sz w:val="1"/>
                <w:szCs w:val="1"/>
                <w:color w:val="auto"/>
              </w:rPr>
            </w:pPr>
          </w:p>
        </w:tc>
      </w:tr>
      <w:tr>
        <w:trPr>
          <w:trHeight w:val="239"/>
        </w:trPr>
        <w:tc>
          <w:tcPr>
            <w:tcW w:w="608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Company has granted restricted stock units with service-based vesting conditions. Unvested shares of restricted common stock may not be sold or transferred by the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stock units activity during the nine months ended September 30, 2022 is as follows: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4" w:right="2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tcPr>
          <w:p>
            <w:pPr>
              <w:spacing w:after="0"/>
              <w:rPr>
                <w:sz w:val="16"/>
                <w:szCs w:val="16"/>
                <w:color w:val="auto"/>
              </w:rPr>
            </w:pPr>
          </w:p>
        </w:tc>
        <w:tc>
          <w:tcPr>
            <w:tcW w:w="188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Restricted Stock</w:t>
            </w:r>
          </w:p>
        </w:tc>
        <w:tc>
          <w:tcPr>
            <w:tcW w:w="120" w:type="dxa"/>
            <w:vAlign w:val="bottom"/>
          </w:tcPr>
          <w:p>
            <w:pPr>
              <w:spacing w:after="0"/>
              <w:rPr>
                <w:sz w:val="16"/>
                <w:szCs w:val="16"/>
                <w:color w:val="auto"/>
              </w:rPr>
            </w:pPr>
          </w:p>
        </w:tc>
        <w:tc>
          <w:tcPr>
            <w:tcW w:w="150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99"/>
              </w:rPr>
              <w:t>Grant Date 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640" w:type="dxa"/>
            <w:vAlign w:val="bottom"/>
          </w:tcPr>
          <w:p>
            <w:pPr>
              <w:spacing w:after="0"/>
              <w:rPr>
                <w:sz w:val="20"/>
                <w:szCs w:val="20"/>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20"/>
                <w:szCs w:val="20"/>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2021</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231,920</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(26,192 )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September 30,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205,728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a result of the 2021 Equity Incentive Plan, the Company granted restricted stock units which vest in increments of 25% annually over a period of four years. No restricted stock units vested during the nine months ended September 30,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7"/>
                <w:szCs w:val="17"/>
                <w:color w:val="auto"/>
              </w:rPr>
            </w:pPr>
          </w:p>
        </w:tc>
      </w:t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ind w:left="3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r>
      <w:tr>
        <w:trPr>
          <w:trHeight w:val="235"/>
        </w:trPr>
        <w:tc>
          <w:tcPr>
            <w:tcW w:w="5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3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97"/>
              </w:rPr>
              <w:t>1,639</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w:t>
            </w:r>
          </w:p>
        </w:tc>
        <w:tc>
          <w:tcPr>
            <w:tcW w:w="10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8"/>
                <w:szCs w:val="18"/>
                <w:color w:val="auto"/>
                <w:w w:val="97"/>
              </w:rPr>
              <w:t>2,954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97"/>
              </w:rPr>
              <w:t>4,593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-25400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2022, there was $14.8 million of unrecognized compensation expense related to stock options, which is expected to be recognized over a weighted-average period of 2.69 years.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2022, there was $2.2 million of unrecognized compensation expense related to restricted stock units, which is expected to be recognized over a weighted-average period of 3.08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Warrants</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(the "Series B Warrants"). Each Series B Warrant was immediately exercisable and expires ten years from the original date of issuance. Pursuant to FASB ASC Topic 480, Distinguishing Liabilities from Equity,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and remain outstanding as of September 30,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Compensation</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$0.4 million and $0.2 million for the nine months ended September 30, 2022 and 2021, respectively.</w:t>
      </w:r>
    </w:p>
    <w:p>
      <w:pPr>
        <w:spacing w:after="0" w:line="190" w:lineRule="exact"/>
        <w:rPr>
          <w:sz w:val="20"/>
          <w:szCs w:val="20"/>
          <w:color w:val="auto"/>
        </w:rPr>
      </w:pPr>
    </w:p>
    <w:p>
      <w:pPr>
        <w:ind w:left="520" w:right="8080" w:hanging="512"/>
        <w:spacing w:after="0" w:line="339" w:lineRule="auto"/>
        <w:tabs>
          <w:tab w:leader="none" w:pos="311"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spacing w:after="0" w:line="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September 30, 2022 and one operating lease that was terminated in August 2022. For more information on these leases, please see sections below in this footnote.</w:t>
      </w:r>
    </w:p>
    <w:p>
      <w:pPr>
        <w:spacing w:after="0" w:line="16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On March 31, 2021, the Company executed an amendment to the facility lease which included an extension of the expiration date of the original leased premises, the addition of 4,516 square feet of laboratory space with a commencement date of May 1, 2021, and the addition of 1,000 square feet of laboratory space with a commencement date of June 15, 2021. The lease term for the original and new spaces will expire on July 31, 2023, with an option to renew for an additional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15" w:name="page16"/>
    <w:bookmarkEnd w:id="15"/>
    <w:p>
      <w:pPr>
        <w:ind w:right="60" w:firstLine="509"/>
        <w:spacing w:after="0" w:line="253" w:lineRule="auto"/>
        <w:rPr>
          <w:sz w:val="20"/>
          <w:szCs w:val="20"/>
          <w:color w:val="auto"/>
        </w:rPr>
      </w:pPr>
      <w:r>
        <w:rPr>
          <w:rFonts w:ascii="Arial" w:cs="Arial" w:eastAsia="Arial" w:hAnsi="Arial"/>
          <w:sz w:val="18"/>
          <w:szCs w:val="18"/>
          <w:color w:val="auto"/>
        </w:rPr>
        <w:t>Upon the execution of the amendment, which was deemed to be a lease modification, the Company re-evaluated the assumptions made at the original lease commencement date. The Company determined the amendment consists of two separate contracts under ASC</w:t>
      </w:r>
    </w:p>
    <w:p>
      <w:pPr>
        <w:jc w:val="both"/>
        <w:ind w:right="60" w:firstLine="8"/>
        <w:spacing w:after="0" w:line="245" w:lineRule="auto"/>
        <w:tabs>
          <w:tab w:leader="none" w:pos="426"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contract is related to the modification of term for the original space, and the other is related to a new right-of-use for the two additional spaces, which are to be accounted for as new leases. The Company remeasured the lease liability and corresponding right-of-use asset for the original space as of the effective date of the amendment to reflect the extended term and recorded in the second quarter of 2021 an additional right-of-use asset and lease liability upon lease commencement of each of the additional space.</w:t>
      </w:r>
    </w:p>
    <w:p>
      <w:pPr>
        <w:spacing w:after="0" w:line="176" w:lineRule="exact"/>
        <w:rPr>
          <w:sz w:val="20"/>
          <w:szCs w:val="20"/>
          <w:color w:val="auto"/>
        </w:rPr>
      </w:pPr>
    </w:p>
    <w:p>
      <w:pPr>
        <w:jc w:val="both"/>
        <w:ind w:right="60" w:firstLine="509"/>
        <w:spacing w:after="0" w:line="252" w:lineRule="auto"/>
        <w:rPr>
          <w:sz w:val="20"/>
          <w:szCs w:val="20"/>
          <w:color w:val="auto"/>
        </w:rPr>
      </w:pPr>
      <w:r>
        <w:rPr>
          <w:rFonts w:ascii="Arial" w:cs="Arial" w:eastAsia="Arial" w:hAnsi="Arial"/>
          <w:sz w:val="18"/>
          <w:szCs w:val="18"/>
          <w:color w:val="auto"/>
        </w:rPr>
        <w:t>In August 2022, the Company entered into a termination agreement with the landlord to the end lease effective August 31, 2022, which resulted in the Company paying the landlord a termination expense of $0.3 million. The Company recognized a loss on the lease of $0.3 million which was recorded as a loss on disposal of assets on the condensed statements of operations and comprehensive loss and derecognized $0.6 million in lease liabilities and corresponding right-of-use asset on the condensed balance sheets.</w:t>
      </w:r>
    </w:p>
    <w:p>
      <w:pPr>
        <w:spacing w:after="0" w:line="170"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The lease commenced on August 1, 2022, and estimated payments due under the initial term total $35.2 million. The lease requires a letter of credit totaling $0.8 million which is classified as long-term restricted cash and deposits on the condensed consolidated balance sheet. The landlord will reimburse the Company up to $0.5 million for certain costs related to expansion of the laboratory space. As of September 30, 2022, the Company has incurred an immaterial amount of expenses related to the expansion.</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leases office and laboratory equipment for which the related expense is immaterial.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three and nine months ended September 30, 2022 and 2021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5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7"/>
              </w:rPr>
              <w:t>September 30,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6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w w:val="99"/>
              </w:rPr>
              <w:t>September 30,</w:t>
            </w:r>
          </w:p>
        </w:tc>
      </w:tr>
      <w:tr>
        <w:trPr>
          <w:trHeight w:val="235"/>
        </w:trPr>
        <w:tc>
          <w:tcPr>
            <w:tcW w:w="49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9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Amortization of finance right-of-use assets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lease costs</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1,260</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48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748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liability—finance leases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gridSpan w:val="5"/>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liabilities—operating leases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922</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term—finance leases (years)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197"/>
        </w:trPr>
        <w:tc>
          <w:tcPr>
            <w:tcW w:w="584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Weighted-average remaining lease term—operating leases (years)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line="197" w:lineRule="exact"/>
              <w:rPr>
                <w:sz w:val="20"/>
                <w:szCs w:val="20"/>
                <w:color w:val="auto"/>
              </w:rPr>
            </w:pPr>
            <w:r>
              <w:rPr>
                <w:rFonts w:ascii="Arial" w:cs="Arial" w:eastAsia="Arial" w:hAnsi="Arial"/>
                <w:sz w:val="18"/>
                <w:szCs w:val="18"/>
                <w:color w:val="auto"/>
              </w:rPr>
              <w:t>9.84</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197" w:lineRule="exact"/>
              <w:rPr>
                <w:sz w:val="20"/>
                <w:szCs w:val="20"/>
                <w:color w:val="auto"/>
              </w:rPr>
            </w:pPr>
            <w:r>
              <w:rPr>
                <w:rFonts w:ascii="Arial" w:cs="Arial" w:eastAsia="Arial" w:hAnsi="Arial"/>
                <w:sz w:val="18"/>
                <w:szCs w:val="18"/>
                <w:color w:val="auto"/>
              </w:rPr>
              <w:t>1.83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Weighted-average discount rate—finance leases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7.94 %</w:t>
            </w:r>
          </w:p>
        </w:tc>
      </w:tr>
      <w:tr>
        <w:trPr>
          <w:trHeight w:val="239"/>
        </w:trPr>
        <w:tc>
          <w:tcPr>
            <w:tcW w:w="4940" w:type="dxa"/>
            <w:vAlign w:val="bottom"/>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10.71 %</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3.51 %</w:t>
            </w:r>
          </w:p>
        </w:tc>
      </w:tr>
      <w:tr>
        <w:trPr>
          <w:trHeight w:val="635"/>
        </w:trPr>
        <w:tc>
          <w:tcPr>
            <w:tcW w:w="49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1"/>
        </w:trPr>
        <w:tc>
          <w:tcPr>
            <w:tcW w:w="49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-1610995</wp:posOffset>
            </wp:positionV>
            <wp:extent cx="7683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-1610995</wp:posOffset>
            </wp:positionV>
            <wp:extent cx="6858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-1610995</wp:posOffset>
            </wp:positionV>
            <wp:extent cx="6858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39" w:right="279" w:bottom="1440" w:gutter="0" w:footer="0" w:header="0"/>
        </w:sectPr>
      </w:pPr>
    </w:p>
    <w:bookmarkStart w:id="16" w:name="page17"/>
    <w:bookmarkEnd w:id="16"/>
    <w:p>
      <w:pPr>
        <w:jc w:val="both"/>
        <w:ind w:right="20" w:firstLine="509"/>
        <w:spacing w:after="0" w:line="271"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September 30, 2022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Operating lease</w:t>
            </w:r>
          </w:p>
        </w:tc>
      </w:tr>
      <w:tr>
        <w:trPr>
          <w:trHeight w:val="189"/>
        </w:trPr>
        <w:tc>
          <w:tcPr>
            <w:tcW w:w="9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rPr>
              <w:t>payments as of</w:t>
            </w:r>
          </w:p>
        </w:tc>
      </w:tr>
      <w:tr>
        <w:trPr>
          <w:trHeight w:val="235"/>
        </w:trPr>
        <w:tc>
          <w:tcPr>
            <w:tcW w:w="9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September 30, 2022</w:t>
            </w:r>
          </w:p>
        </w:tc>
      </w:tr>
      <w:tr>
        <w:trPr>
          <w:trHeight w:val="20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20,932</w:t>
            </w:r>
          </w:p>
        </w:tc>
        <w:tc>
          <w:tcPr>
            <w:tcW w:w="100" w:type="dxa"/>
            <w:vAlign w:val="bottom"/>
          </w:tcPr>
          <w:p>
            <w:pPr>
              <w:spacing w:after="0"/>
              <w:rPr>
                <w:sz w:val="18"/>
                <w:szCs w:val="18"/>
                <w:color w:val="auto"/>
              </w:rPr>
            </w:pPr>
          </w:p>
        </w:tc>
      </w:tr>
      <w:tr>
        <w:trPr>
          <w:trHeight w:val="20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34,718</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20" w:type="dxa"/>
            <w:vAlign w:val="bottom"/>
          </w:tcPr>
          <w:p>
            <w:pPr>
              <w:spacing w:after="0"/>
              <w:rPr>
                <w:sz w:val="18"/>
                <w:szCs w:val="18"/>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(13,647 )</w:t>
            </w:r>
          </w:p>
        </w:tc>
      </w:tr>
      <w:tr>
        <w:trPr>
          <w:trHeight w:val="210"/>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 at September 30, 2022</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00" w:type="dxa"/>
            <w:vAlign w:val="bottom"/>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8"/>
                <w:szCs w:val="18"/>
                <w:color w:val="auto"/>
              </w:rPr>
            </w:pPr>
          </w:p>
        </w:tc>
      </w:tr>
      <w:tr>
        <w:trPr>
          <w:trHeight w:val="250"/>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Laser Purchasing Commitment</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April 5, 2019, the Company entered into a purchase agreement for equipment with future commitments payable in three installments of €0.2 million each. The first two installments of €0.2 million were paid by the Company in April 2019 and August 2019. Upon receipt of the laser systems, the Company will assess whether the laser systems have an alternative future use and, if so, will capitalize the lasers as a component of fixed assets.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2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Exclusive License and Supply Agreement</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January 2014, the Company entered into an Exclusive License and Supply Agreement, or the LI-COR Exclusive License agreement with LI-COR, Inc. (LI-COR) for the license of IRDye 700DC and related licensed patents for the treatment and diagnosis of ocular cancers in humans as amended in January 2016, July 2017, April 2018 and April 2019. The LI-COR Exclusive License Agreement required a one-time upfront license issue fee of $0.1 million and aggregate milestone payments of up to $0.2 million upon certain regulatory and development milestones. The Company is also required to pay LI-COR low-single digit royalties on net sales. The term of the LI-COR Exclusive Agreement expires on a country-by-country basis, until the longer of (i) ten years from the first commercial sale of a licensed product in such country and (ii) the last to expire valid claim in such country.</w:t>
      </w:r>
    </w:p>
    <w:p>
      <w:pPr>
        <w:spacing w:after="0" w:line="4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three and nine months ended September 30, 2022 and 2021, respectively.</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Non-Exclusive License and Supply Agreement</w:t>
      </w:r>
    </w:p>
    <w:p>
      <w:pPr>
        <w:spacing w:after="0" w:line="6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December 2014, the Company entered into a Non-Exclusive License Agreement with LI-COR for the supply of IRDye 700DX to the Company for the treatment and diagnosis of non-ocular solid tumor cancers in humans. Under the 2014 Non-Exclusive, the Company paid a license issue fee of $0.03 million on the effective date. The Company must also pay LI-COR a non-refundable, non-creditable fee of $0.03 million per each licensed product upon pre-IND designation, as defined of such licensed product, aggregate milestone payments of up to $0.3 million upon certain regulatory and development milestones; and during the term, the Company must pay LI-COR a low-single digit percentage royalty on net sales. LI-COR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nine months ended September 30, 2022 and 2021, the Company recognized immaterial milestones related to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7" w:name="page18"/>
    <w:bookmarkEnd w:id="17"/>
    <w:p>
      <w:pPr>
        <w:ind w:left="1020"/>
        <w:spacing w:after="0"/>
        <w:rPr>
          <w:sz w:val="20"/>
          <w:szCs w:val="20"/>
          <w:color w:val="auto"/>
        </w:rPr>
      </w:pPr>
      <w:r>
        <w:rPr>
          <w:rFonts w:ascii="Arial" w:cs="Arial" w:eastAsia="Arial" w:hAnsi="Arial"/>
          <w:sz w:val="18"/>
          <w:szCs w:val="18"/>
          <w:i w:val="1"/>
          <w:iCs w:val="1"/>
          <w:color w:val="auto"/>
        </w:rPr>
        <w:t>Life Technologies Corporation</w:t>
      </w:r>
    </w:p>
    <w:p>
      <w:pPr>
        <w:spacing w:after="0" w:line="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the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1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nine months ended September 30, 2022 and 2021, the Company recognized $0.1 million and $0.03 million of expenses related to this agreement, respectively.</w:t>
      </w:r>
    </w:p>
    <w:p>
      <w:pPr>
        <w:spacing w:after="0" w:line="17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nine months ended September 30, 2022, the Company recognized $0.4 million of expenses related to this agreement.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(NIH)-Biologic Materials License Agreement</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December 2010, the Company entered into a Biologic Materials License Agreement with NIH for a non-exclusive right to use materials described in Schiller et al., Virology 2004 Apr.10, 321(2):205-16. This agreement required a one-time non-refundable license issuance fee of $0.02 million. No future milestone payments or royalties are due under this agreement.</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July 2011, the Company entered into a Collaboration Research and Development Agreement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first amended in 2012, 2013, 2014, 2015, 2016, 2018 and most recently in September of 2020. During the nine months ended September 30, 2022 and 2021, the Company paid $nil million and $0.03 million of research collaboration fees related to this agreement.</w:t>
      </w:r>
    </w:p>
    <w:p>
      <w:pPr>
        <w:spacing w:after="0" w:line="1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 seventh amendment was made in October 2020, requiring payment of $0.04 million within 30 days of October 1, 2020, and another $0.03 million within 30 days of the 10th anniversary of the CRADA, which was paid in July 2021. This seventh amendment extended the term of the CRADA to September 30, 2022. The Company recognized no milestones related to this agreement and related amendments for the nine months ended September 30, 2022 and 2021.</w:t>
      </w:r>
    </w:p>
    <w:p>
      <w:pPr>
        <w:spacing w:after="0" w:line="18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An eighth amendment was effective in September 2022, requiring payment of $0.04 million within 30 days of November 1, 2022, and payment of another $0.03 million within 30 days of the 12th anniversary of the CRADA, which will be in August 2023. This eighth amendment extended the term of the CRADA to September 30, 2024. During the nine months ended September 30, 2022, the Company recognized $0.04 million of expenses related to this agreement.</w:t>
      </w:r>
    </w:p>
    <w:p>
      <w:pPr>
        <w:spacing w:after="0" w:line="17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September 2013, the Company entered into an exclusive patent license agreement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NIH a mid-single to low teen-digit percentage of any sublicensing revenue the Company receives. Additionally, the Company’s payment obligations to the NIH are subject to an annual minimum royalty payment of low five figures. The Company recognized $nil million and $0.03 million for patent licensing fees for the nine months ended September 30, 2022 and 2021,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8" w:name="page19"/>
    <w:bookmarkEnd w:id="18"/>
    <w:p>
      <w:pPr>
        <w:jc w:val="both"/>
        <w:ind w:firstLine="509"/>
        <w:spacing w:after="0" w:line="261"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and those milestones have not been achieved as of September 30, 2022.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 in the nine months ended September 30, 2022 and 2021.</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Clearside</w:t>
      </w:r>
    </w:p>
    <w:p>
      <w:pPr>
        <w:spacing w:after="0" w:line="7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July 2019, the Company entered into an exclusive license agreement with Clearside Biomedical, Inc. (“Clearside”), for the license of Clearside’s Suprachoroidal Microneedle Technology for use in the treatment of indeterminate lesions and choroidal tumors. Upon execution of the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17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13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nine months ended September 30,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7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spacing w:after="0" w:line="170"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8"/>
          <w:szCs w:val="18"/>
          <w:color w:val="auto"/>
        </w:rPr>
        <w:t>The Company has calculated basic and diluted net loss per share for the three and nine months ended September 30, 2022 and 2021 as follows (in thousands, except share and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6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(15,901 )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(8,838 )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(42,204 )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(23,617 )</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Accruals of dividends of preferred stock</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(3,668 )</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(9,627 )</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(15,901 )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(12,506 )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(42,204 )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(33,244 )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common stock outstanding</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29,273,577</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441,448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29,246,449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FF0FC"/>
          </w:tcPr>
          <w:p>
            <w:pPr>
              <w:ind w:left="20"/>
              <w:spacing w:after="0" w:line="163" w:lineRule="exact"/>
              <w:rPr>
                <w:sz w:val="20"/>
                <w:szCs w:val="20"/>
                <w:color w:val="auto"/>
              </w:rPr>
            </w:pPr>
            <w:r>
              <w:rPr>
                <w:rFonts w:ascii="Arial" w:cs="Arial" w:eastAsia="Arial" w:hAnsi="Arial"/>
                <w:sz w:val="18"/>
                <w:szCs w:val="18"/>
                <w:color w:val="auto"/>
              </w:rPr>
              <w:t>Net loss per share attributable to common stockholders—basic</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(0.54 )</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(28.33 )</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(1.44 )</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(77.93 )</w:t>
            </w: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and diluted</w:t>
            </w:r>
          </w:p>
        </w:tc>
        <w:tc>
          <w:tcPr>
            <w:tcW w:w="120" w:type="dxa"/>
            <w:vAlign w:val="bottom"/>
            <w:vMerge w:val="continue"/>
            <w:shd w:val="clear" w:color="auto" w:fill="CFF0FC"/>
          </w:tcPr>
          <w:p>
            <w:pPr>
              <w:spacing w:after="0"/>
              <w:rPr>
                <w:sz w:val="20"/>
                <w:szCs w:val="20"/>
                <w:color w:val="auto"/>
              </w:rPr>
            </w:pPr>
          </w:p>
        </w:tc>
        <w:tc>
          <w:tcPr>
            <w:tcW w:w="1420" w:type="dxa"/>
            <w:vAlign w:val="bottom"/>
            <w:gridSpan w:val="2"/>
            <w:vMerge w:val="continue"/>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33"/>
        </w:trPr>
        <w:tc>
          <w:tcPr>
            <w:tcW w:w="54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89"/>
              </w:rPr>
              <w:t>15</w:t>
            </w:r>
          </w:p>
        </w:tc>
        <w:tc>
          <w:tcPr>
            <w:tcW w:w="3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5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-1190625</wp:posOffset>
            </wp:positionV>
            <wp:extent cx="7683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-1190625</wp:posOffset>
            </wp:positionV>
            <wp:extent cx="685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-1190625</wp:posOffset>
            </wp:positionV>
            <wp:extent cx="685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-504825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-487680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-504825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-487680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-504825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-487680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9" w:name="page20"/>
    <w:bookmarkEnd w:id="19"/>
    <w:p>
      <w:pPr>
        <w:jc w:val="both"/>
        <w:ind w:firstLine="509"/>
        <w:spacing w:after="0" w:line="271"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spacing w:after="0" w:line="154"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Nine Months Ended</w:t>
      </w:r>
    </w:p>
    <w:p>
      <w:pPr>
        <w:jc w:val="center"/>
        <w:ind w:left="708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spacing w:after="0"/>
              <w:rPr>
                <w:sz w:val="18"/>
                <w:szCs w:val="18"/>
                <w:color w:val="auto"/>
              </w:rPr>
            </w:pPr>
          </w:p>
        </w:tc>
        <w:tc>
          <w:tcPr>
            <w:tcW w:w="1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212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preferred stock</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22,550,561</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820" w:type="dxa"/>
            <w:vAlign w:val="bottom"/>
          </w:tcPr>
          <w:p>
            <w:pPr>
              <w:jc w:val="right"/>
              <w:spacing w:after="0"/>
              <w:rPr>
                <w:sz w:val="20"/>
                <w:szCs w:val="20"/>
                <w:color w:val="auto"/>
              </w:rPr>
            </w:pPr>
            <w:r>
              <w:rPr>
                <w:rFonts w:ascii="Arial" w:cs="Arial" w:eastAsia="Arial" w:hAnsi="Arial"/>
                <w:sz w:val="18"/>
                <w:szCs w:val="18"/>
                <w:color w:val="auto"/>
              </w:rPr>
              <w:t>4,255,893</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3,164,949</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 that vest into common stock</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205,728</w:t>
            </w: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Warrants to purchase preferred stock</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Pr>
          <w:p>
            <w:pPr>
              <w:spacing w:after="0"/>
              <w:rPr>
                <w:sz w:val="18"/>
                <w:szCs w:val="18"/>
                <w:color w:val="auto"/>
              </w:rPr>
            </w:pPr>
          </w:p>
        </w:tc>
      </w:tr>
      <w:tr>
        <w:trPr>
          <w:trHeight w:val="216"/>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26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0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1820" w:type="dxa"/>
            <w:vAlign w:val="bottom"/>
          </w:tcPr>
          <w:p>
            <w:pPr>
              <w:jc w:val="right"/>
              <w:spacing w:after="0"/>
              <w:rPr>
                <w:sz w:val="20"/>
                <w:szCs w:val="20"/>
                <w:color w:val="auto"/>
              </w:rPr>
            </w:pPr>
            <w:r>
              <w:rPr>
                <w:rFonts w:ascii="Arial" w:cs="Arial" w:eastAsia="Arial" w:hAnsi="Arial"/>
                <w:sz w:val="18"/>
                <w:szCs w:val="18"/>
                <w:color w:val="auto"/>
              </w:rPr>
              <w:t>4,474,307</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25,728,196</w:t>
            </w:r>
          </w:p>
        </w:tc>
        <w:tc>
          <w:tcPr>
            <w:tcW w:w="10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estimates an annual effective tax rate of 0% for the year ending December 31, 2022 as the Company incurred losses for the three and nine months ended September 30, 2022, and is forecasting additional losses through the remainder of fiscal year ending December 31, 2022, resulting in an estimated net loss for both financial statement and tax purposes for the year ending December 31, 2022. Therefore, no federal or state income taxes are expected and none have been recorded at this time. Income taxes have been accounted for using the liability method.</w:t>
      </w:r>
    </w:p>
    <w:p>
      <w:pPr>
        <w:spacing w:after="0" w:line="17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As of September 30, 2022, the Company had no unrecognized income tax benefits that would reduce the Company’s effective tax rate if recognized.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Subsequent events have been evaluated through the date of filing of the unaudited condensed consolidated financial statements. The Company has identified the following subsequent events that require disclosure.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Financing</w:t>
      </w:r>
    </w:p>
    <w:p>
      <w:pPr>
        <w:spacing w:after="0" w:line="7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On November 1, 2022, the Company filed a shelf registration statement on Form S-3, or the 2022 Shelf, with the SEC in relation to the registration of up to an aggregate offering price of $250.0 million of common stock, preferred stock, debt securities, warrants and units or any combination thereof. The Company also simultaneously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the Company of up to an aggregate of $75.0 million of its common stock from time to time in “at-the-market” offerings under the 2022 Shelf and subject to the limitations thereof. The Company will pay to the Sales Agent cash commissions of up to 3.0 percent of the gross proceeds of sales of common stock under the Sales Agreement. The Company has not issued any shares or received any proceeds from any offerings under the 2022 Shelf through November 10, 2022.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are a clinical-stage biotechnology company envisioning a new way to treat cancer. Leveraging our novel targeted oncology platform, we have the goal to develop a new standard of care across multiple cancer indications. Our initial focus is on ocular and urologic oncology where the disease is diagnosed early and there is a high unmet medical need. Our proprietary platform enables the targeting of a broad range of solid tumors using Virus-Like Particles, or VLPs, that can be conjugated with drugs or loaded with nucleic acids to create Virus- Like Drug Conjugates, or VDCs. Our VDCs are largely agnostic to tumor type and can recognize tumor associated glycosaminoglycans with unique heparan sulphate epitopes that are expressed on the cell surface of many tumor cells and in the tumor microenvironment.</w:t>
      </w:r>
    </w:p>
    <w:p>
      <w:pPr>
        <w:spacing w:after="0" w:line="1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Belzupacap sarotalocan, our first VDC candidate, is being developed for the first-line treatment of early-stage choroidal melanoma, a rare disease with no drugs approved where the standard of care leaves many patients with blindness. The U.S Food and Drug Administration, or the FDA, has granted Orphan Drug Designation and Fast Track Designation for belzupacap sarotalocan for the treatment of uveal melanoma. We have completed a Phase 1b/2 trial using intravitreal administration that has demonstrated a statistically significant growth rate reduction in patients with prior active growth and high levels of tumor control with visual acuity preservation in a majority of patients, as assessed using clinical endpoints in alignment with the feedback from the FDA. We are currently evaluating suprachoroidal, or SC, administration of belzupacap sarotalocan in a Phase 2 study. We presented six-month interim safety and efficacy data from this trial in October 2022 at the American Academy of Ophthalmology’s Annual Meeting showing a favorable safety profile with minimal inflammation and no treatment-related SAEs reported as of August 19, 2022. The interim data also showed high levels of visual acuity preservation and tumor control, with a statistically significant growth rate reduction (p = 0.0007). We have aligned with regulatory agencies and finalized the design of the global Phase 3 trial. The trial will evaluate the efficacy and safety of belzupacap sarotalocan with suprachoroidal administration, for the first-line treatment of early-stage choroidal melanoma.</w:t>
      </w:r>
    </w:p>
    <w:p>
      <w:pPr>
        <w:spacing w:after="0" w:line="19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are also developing belzupacap sarotalocan for additional ocular oncology indications and plan to file an IND in the United States in the fourth quarter of 2022 for choroidal metastasis, the most common intraocular malignancy that is caused by multiple primary cancers in the body that metastasize to the eye and is treated by the same ocular oncologists that treat choroidal melanoma.</w:t>
      </w:r>
    </w:p>
    <w:p>
      <w:pPr>
        <w:spacing w:after="0" w:line="182"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In addition to our ocular oncology franchise, we are leveraging our targeted oncology platform to develop belzupacap sarotalocan for the treatment of non-muscle invasive bladder cancer, or NMIBC where we received Fast Track Designation by the FDA. We initiated enrollment in a Phase 1 trial in September 2022 and we plan to present initial data from this trial in 2023.</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were incorporated as a Delaware corporation in 2009 and, as of August 1, 2022,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September 30, 2022, we have raised an aggregate of approximately $219.0 million of gross proceeds primarily from private placements of our equity and convertible preferred stock as well as through the issuance of our common stock. In November 2021, we issued and sold 6,210,000 shares of our common stock, including the full exercise of the underwriters’ option to purchase additional shares at a price to the public of $ 14.00 per share for aggregate gross proceeds of $86.9 million in our initial public offering. We received approximately $78.3 million in net proceeds after deducting underwriting discounts, commissions and offering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 w:name="page22"/>
    <w:bookmarkEnd w:id="21"/>
    <w:p>
      <w:pPr>
        <w:jc w:val="both"/>
        <w:ind w:firstLine="509"/>
        <w:spacing w:after="0" w:line="248"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$42.2 million and $23.6 million for the nine months ended September 30, 2022 and 2021, respectively. As of September 30, 2022, we had an accumulated deficit of $194.3 million. In addition, our losses from operations may fluctuate significantly from quarter-to-quarter and year-to-year, depending on the timing of our clinical trials and our expenditures on other research and development activities.</w:t>
      </w:r>
    </w:p>
    <w:p>
      <w:pPr>
        <w:spacing w:after="0" w:line="17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2" w:lineRule="exact"/>
        <w:rPr>
          <w:sz w:val="20"/>
          <w:szCs w:val="20"/>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current and future clinical trials of belzupacap sarotalocan;</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progress the preclinical and clinical development of new indications;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our manufacturing capability, including developing our contract development and manufacturing relationships;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develop additional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right="20" w:hanging="508"/>
        <w:spacing w:after="0" w:line="257"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 and</w:t>
      </w:r>
    </w:p>
    <w:p>
      <w:pPr>
        <w:spacing w:after="0" w:line="35" w:lineRule="exact"/>
        <w:rPr>
          <w:rFonts w:ascii="Times New Roman" w:cs="Times New Roman" w:eastAsia="Times New Roman" w:hAnsi="Times New Roman"/>
          <w:sz w:val="18"/>
          <w:szCs w:val="18"/>
          <w:color w:val="auto"/>
        </w:rPr>
      </w:pPr>
    </w:p>
    <w:p>
      <w:pPr>
        <w:ind w:left="1160" w:right="20" w:hanging="508"/>
        <w:spacing w:after="0" w:line="286"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4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9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As of September 30, 2022, we had cash and cash equivalents and marketable securities of $111.5 million. We believe that our existing cash and cash equivalents and marketable securities will enable us to fund our operating expenses and capital expenditure requirements into 2024. We have based this estimate on assumptions that may prove to be wrong, and we could exhaust our available capital resources sooner than we expect. See “—Liquidity and Capital Resources” below.</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the Ongoing COVID-19 Pandemic</w:t>
      </w:r>
    </w:p>
    <w:p>
      <w:pPr>
        <w:spacing w:after="0" w:line="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ongoing COVID-19 pandemic continues to present substantial public health and economic challenges around the world, and to date has led to the implementation of various responses, including government-imposed quarantines, stay-at-home orders, travel restrictions, mandated business closures and other public health safety measures.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2" w:name="page23"/>
    <w:bookmarkEnd w:id="22"/>
    <w:p>
      <w:pPr>
        <w:jc w:val="both"/>
        <w:ind w:firstLine="509"/>
        <w:spacing w:after="0" w:line="246" w:lineRule="auto"/>
        <w:rPr>
          <w:sz w:val="20"/>
          <w:szCs w:val="20"/>
          <w:color w:val="auto"/>
        </w:rPr>
      </w:pPr>
      <w:r>
        <w:rPr>
          <w:rFonts w:ascii="Arial" w:cs="Arial" w:eastAsia="Arial" w:hAnsi="Arial"/>
          <w:sz w:val="18"/>
          <w:szCs w:val="18"/>
          <w:color w:val="auto"/>
        </w:rPr>
        <w:t>We continue to closely monitor the impact of the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For the safety of our employees and families, we have introduced enhanced safety measures for scientists to be present in our labs and increased the use of third party service providers for the conduct of certain experiments and studies for research programs. To date, we’ve only encountered minor delays in our manufacturing process due to a supply chain constraint with one of our vendors.</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Beyond the impact on our pipeline,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COVID-19 or treat its impact, including vaccination and booster shot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results of operations and financial condition. Although to date, our business has not been materially impacted by COVID-19, it is possible that our clinical development timelines could be negatively affected by COVID-19, which could materially and adversely affect our business, financial condition and results of operations. See Item 1A “Risk Factors” of this Quarterly Report on Form 10-Q for a discussion of the potential adverse impact of the COVID-19 pandemic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6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jc w:val="both"/>
        <w:ind w:right="20" w:firstLine="509"/>
        <w:spacing w:after="0" w:line="266"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belzupacap sarotalocan program, and include:</w:t>
      </w:r>
    </w:p>
    <w:p>
      <w:pPr>
        <w:ind w:left="1160" w:hanging="508"/>
        <w:spacing w:after="0" w:line="257"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related-benefits and stock-based compensation expense for employees engaged in research and development functions;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conducting preclinical studies performed by ourselves, outside vendors or academic collaborators;</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55"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belzupacap sarotalocan, including the potential cost of CMOs that manufacture product for use in our preclinical studies and clinical trials and perform analytical testing, scale-up and other services in connection with our development activities;</w:t>
      </w: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preclinical activities and development activities;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our intellectual property portfolio;</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 and</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allocated expenses for utilities and other facility-related costs.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3" w:name="page24"/>
    <w:bookmarkEnd w:id="23"/>
    <w:p>
      <w:pPr>
        <w:jc w:val="both"/>
        <w:ind w:firstLine="509"/>
        <w:spacing w:after="0" w:line="246" w:lineRule="auto"/>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belzupacap sarotalocan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belzupacap sarotalocan program.</w:t>
      </w:r>
    </w:p>
    <w:p>
      <w:pPr>
        <w:spacing w:after="0" w:line="18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belzupacap sarotalocan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7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being a public company, including costs of accounting, audit, legal, regulatory and tax compliance services; director and officer insurance costs; and investor and public relations costs.</w:t>
      </w:r>
    </w:p>
    <w:p>
      <w:pPr>
        <w:spacing w:after="0" w:line="17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other income (expense) consists of accretion, interest income and realized losses on marketable securities, loss on disposal of fixed assets, and interest income on our invested cash balances.</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Taxes</w:t>
      </w:r>
    </w:p>
    <w:p>
      <w:pPr>
        <w:spacing w:after="0" w:line="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any year or for our earned research and development tax credits, due to the uncertainty of realizing a benefit from those items. As of December 31, 2021, we had federal gross operating loss carryforwards of approximately $138.7 million which may be available to offset future taxable income, of which $44.2 million begin to expire in 2029 and go through 2037 and $94.5 million do not expire. The state gross operating loss carryforwards of $113.6 million, which may be available to offset future taxable income and which would begin to expire in 2030. As of December 31, 2021, we had federal and state research and experimentation credit carryforwards of $ 4.7 million and $1.4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5"/>
          </w:tcPr>
          <w:p>
            <w:pPr>
              <w:jc w:val="right"/>
              <w:ind w:right="1001"/>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w w:val="76"/>
              </w:rPr>
              <w:t>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11,293</w:t>
            </w:r>
          </w:p>
        </w:tc>
        <w:tc>
          <w:tcPr>
            <w:tcW w:w="28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6,365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4,762</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(9 )</w:t>
            </w:r>
          </w:p>
        </w:tc>
        <w:tc>
          <w:tcPr>
            <w:tcW w:w="28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Realized loss on marketable securities</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(313 )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16"/>
        </w:trPr>
        <w:tc>
          <w:tcPr>
            <w:tcW w:w="668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(7 )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(15,901 )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(8,838 )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(7,063 )</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items:</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28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(19 )</w:t>
            </w:r>
          </w:p>
        </w:tc>
        <w:tc>
          <w:tcPr>
            <w:tcW w:w="28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668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(15,920 )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(8,838 )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(7,082 )</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-1893570</wp:posOffset>
            </wp:positionV>
            <wp:extent cx="7747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-1893570</wp:posOffset>
            </wp:positionV>
            <wp:extent cx="6858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-1602105</wp:posOffset>
            </wp:positionV>
            <wp:extent cx="7747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-1602105</wp:posOffset>
            </wp:positionV>
            <wp:extent cx="68580"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-762000</wp:posOffset>
            </wp:positionV>
            <wp:extent cx="7747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-762000</wp:posOffset>
            </wp:positionV>
            <wp:extent cx="685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7747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September 30,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76"/>
              </w:rPr>
              <w:t>thousands)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11,293</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Research and development expenses increased to $ 11.3 million for the three months ended September 30, 2022 from $6.4 million for the three months ended September 30, 2021, primarily due to ongoing preclinical costs, manufacturing and development costs for belzupacap sarotalocan, and higher personnel expenses from growing headcount</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General and administrative expenses increased to $4.8 million for the three months ended September 30, 2022 from $2.5 million for the three months ended September 30, 2021, primarily driven by personnel expenses, as well as increases in general corporate expenses related to operating as a public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5"/>
          </w:tcPr>
          <w:p>
            <w:pPr>
              <w:jc w:val="right"/>
              <w:ind w:right="9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29,079</w:t>
            </w: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17,182</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(42,682</w:t>
            </w:r>
          </w:p>
        </w:tc>
        <w:tc>
          <w:tcPr>
            <w:tcW w:w="240" w:type="dxa"/>
            <w:vAlign w:val="bottom"/>
            <w:tcBorders>
              <w:bottom w:val="single" w:sz="8" w:color="CFF0FC"/>
            </w:tcBorders>
            <w:shd w:val="clear" w:color="auto" w:fill="CFF0FC"/>
          </w:tcPr>
          <w:p>
            <w:pPr>
              <w:jc w:val="right"/>
              <w:ind w:right="98"/>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18"/>
                <w:szCs w:val="18"/>
                <w:color w:val="auto"/>
              </w:rPr>
            </w:pPr>
          </w:p>
        </w:tc>
        <w:tc>
          <w:tcPr>
            <w:tcW w:w="1280" w:type="dxa"/>
            <w:vAlign w:val="bottom"/>
            <w:gridSpan w:val="2"/>
          </w:tcPr>
          <w:p>
            <w:pPr>
              <w:jc w:val="right"/>
              <w:ind w:right="98"/>
              <w:spacing w:after="0"/>
              <w:rPr>
                <w:sz w:val="20"/>
                <w:szCs w:val="20"/>
                <w:color w:val="auto"/>
              </w:rPr>
            </w:pPr>
            <w:r>
              <w:rPr>
                <w:rFonts w:ascii="Arial" w:cs="Arial" w:eastAsia="Arial" w:hAnsi="Arial"/>
                <w:sz w:val="18"/>
                <w:szCs w:val="18"/>
                <w:color w:val="auto"/>
              </w:rPr>
              <w:t>(318 )</w:t>
            </w:r>
          </w:p>
        </w:tc>
        <w:tc>
          <w:tcPr>
            <w:tcW w:w="3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Realized loss on marketable securities</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8"/>
              <w:spacing w:after="0"/>
              <w:rPr>
                <w:sz w:val="20"/>
                <w:szCs w:val="20"/>
                <w:color w:val="auto"/>
              </w:rPr>
            </w:pPr>
            <w:r>
              <w:rPr>
                <w:rFonts w:ascii="Arial" w:cs="Arial" w:eastAsia="Arial" w:hAnsi="Arial"/>
                <w:sz w:val="18"/>
                <w:szCs w:val="18"/>
                <w:color w:val="auto"/>
              </w:rPr>
              <w:t>(9 )</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67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98"/>
              <w:spacing w:after="0"/>
              <w:rPr>
                <w:sz w:val="20"/>
                <w:szCs w:val="20"/>
                <w:color w:val="auto"/>
              </w:rPr>
            </w:pPr>
            <w:r>
              <w:rPr>
                <w:rFonts w:ascii="Arial" w:cs="Arial" w:eastAsia="Arial" w:hAnsi="Arial"/>
                <w:sz w:val="18"/>
                <w:szCs w:val="18"/>
                <w:color w:val="auto"/>
              </w:rPr>
              <w:t>(42,204 )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(23,617 )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(18,587 )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items: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280" w:type="dxa"/>
            <w:vAlign w:val="bottom"/>
          </w:tcPr>
          <w:p>
            <w:pPr>
              <w:spacing w:after="0"/>
              <w:rPr>
                <w:sz w:val="18"/>
                <w:szCs w:val="18"/>
                <w:color w:val="auto"/>
              </w:rPr>
            </w:pPr>
          </w:p>
        </w:tc>
        <w:tc>
          <w:tcPr>
            <w:tcW w:w="1280" w:type="dxa"/>
            <w:vAlign w:val="bottom"/>
            <w:gridSpan w:val="2"/>
          </w:tcPr>
          <w:p>
            <w:pPr>
              <w:jc w:val="right"/>
              <w:ind w:right="98"/>
              <w:spacing w:after="0"/>
              <w:rPr>
                <w:sz w:val="20"/>
                <w:szCs w:val="20"/>
                <w:color w:val="auto"/>
              </w:rPr>
            </w:pPr>
            <w:r>
              <w:rPr>
                <w:rFonts w:ascii="Arial" w:cs="Arial" w:eastAsia="Arial" w:hAnsi="Arial"/>
                <w:sz w:val="18"/>
                <w:szCs w:val="18"/>
                <w:color w:val="auto"/>
              </w:rPr>
              <w:t>(147 )</w:t>
            </w:r>
          </w:p>
        </w:tc>
        <w:tc>
          <w:tcPr>
            <w:tcW w:w="30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FF0FC"/>
            </w:tcBorders>
            <w:shd w:val="clear" w:color="auto" w:fill="CFF0FC"/>
          </w:tcPr>
          <w:p>
            <w:pPr>
              <w:jc w:val="right"/>
              <w:ind w:right="98"/>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98"/>
              <w:spacing w:after="0"/>
              <w:rPr>
                <w:sz w:val="20"/>
                <w:szCs w:val="20"/>
                <w:color w:val="auto"/>
              </w:rPr>
            </w:pPr>
            <w:r>
              <w:rPr>
                <w:rFonts w:ascii="Arial" w:cs="Arial" w:eastAsia="Arial" w:hAnsi="Arial"/>
                <w:sz w:val="18"/>
                <w:szCs w:val="18"/>
                <w:color w:val="auto"/>
              </w:rPr>
              <w:t>(42,351 )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(23,617 )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(18,734 )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-1893570</wp:posOffset>
            </wp:positionV>
            <wp:extent cx="76835"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-1893570</wp:posOffset>
            </wp:positionV>
            <wp:extent cx="6858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-1602105</wp:posOffset>
            </wp:positionV>
            <wp:extent cx="76835"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-1602105</wp:posOffset>
            </wp:positionV>
            <wp:extent cx="6858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-762000</wp:posOffset>
            </wp:positionV>
            <wp:extent cx="76835"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-762000</wp:posOffset>
            </wp:positionV>
            <wp:extent cx="6858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76835"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nine months ended September 30,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5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Research and development expenses increased to $ 29.1 million for the nine months ended September 30, 2022 from $17.2 million for the nine months ended September 30, 2021, primarily due to ongoing preclinical costs, clinical costs for belzupacap sarotalocan, and higher personnel expenses from growing headcount.</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General and administrative expenses increased to $13.6 million for the nine months ended September 30, 2022 from $6.4 million for the nine months ended September 30, 2021, primarily driven by personnel expenses, as well as increases in general corporate expenses related to operating as a public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To date we have funded our operations primarily through the sale of convertible preferred stock, and common stock. Through September 30, 2022, we have raised an aggregate of approximately $219.0 million of gross proceeds primarily from private placements of our equity and convertible preferred stock and warrants, as well as through the issuance of our common stock. In November 2021, we issued and sold a total of 6,210,000 shares in our IPO of our common stock, including the full exercise of the underwriters’ option to purchase additional shares, at a price to the public of $14.00 per share for aggregate gross proceeds of $86.9 million. We received approximately $78.3 million in net proceeds after deducting underwriting discounts, commissions and offering expenses.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12"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Nine Months Ended</w:t>
      </w:r>
    </w:p>
    <w:p>
      <w:pPr>
        <w:jc w:val="center"/>
        <w:ind w:left="766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7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76"/>
              </w:rPr>
              <w:t>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(36,588 )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(20,324 )</w:t>
            </w:r>
          </w:p>
        </w:tc>
      </w:tr>
      <w:tr>
        <w:trPr>
          <w:trHeight w:val="216"/>
        </w:trPr>
        <w:tc>
          <w:tcPr>
            <w:tcW w:w="7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(50,993 )</w:t>
            </w:r>
          </w:p>
        </w:tc>
        <w:tc>
          <w:tcPr>
            <w:tcW w:w="5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(1,306 )</w:t>
            </w: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(87,151 )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64,487</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nine months ended September 30, 2022, net cash used in operating activities was $36.6 million, primarily due to our net loss of $42.2 million and decrease in accounts payable related to the timing of vendor invoicing and payments, partially offset by increases in stock compensation expense and accrued expenses and other liabilities related to personnel expenses and clinical trials .</w:t>
      </w:r>
    </w:p>
    <w:p>
      <w:pPr>
        <w:spacing w:after="0" w:line="16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During the nine months ended September 30, 2021, net cash used in operating activities was $20.3 million, primarily due to our net loss of $23.6 million, partially offset by increases in stock compensation expense and accrued expenses and other liabilities related to personnel expenses and clinical trials.</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used in investing activities during the nine months ended September 30, 2022 was $51.0 million due to purchases of marketable securities offset by purchases of property and equipment and maturities of marketable securities.</w:t>
      </w:r>
    </w:p>
    <w:p>
      <w:pPr>
        <w:spacing w:after="0" w:line="16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used in investing activities during the nine months ended September 30, 2021 was $1.3 million due to purchases of property and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nine months ended September 30, 2022, net cash provided by financing activities was $0.4 million from proceeds from stock options exercises.</w:t>
      </w:r>
    </w:p>
    <w:p>
      <w:pPr>
        <w:spacing w:after="0" w:line="16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nine months ended September 30, 2021, net cash provided by financing activities was $86.1 million from net proceeds from the sale of Series E, second tranche of the Series D-2, and proceeds from stock options exercises, offset by payments made for deferred offering costs.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6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plan of operation is to continue implementing our business strategy, continue research and development of belzupacap sarotalocan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spacing w:after="0" w:line="4" w:lineRule="exact"/>
        <w:rPr>
          <w:sz w:val="20"/>
          <w:szCs w:val="20"/>
          <w:color w:val="auto"/>
        </w:rPr>
      </w:pPr>
    </w:p>
    <w:p>
      <w:pPr>
        <w:ind w:left="1160" w:hanging="508"/>
        <w:spacing w:after="0" w:line="265"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31" w:lineRule="exact"/>
        <w:rPr>
          <w:rFonts w:ascii="Times New Roman" w:cs="Times New Roman" w:eastAsia="Times New Roman" w:hAnsi="Times New Roman"/>
          <w:sz w:val="18"/>
          <w:szCs w:val="18"/>
          <w:color w:val="auto"/>
        </w:rPr>
      </w:pPr>
    </w:p>
    <w:p>
      <w:pPr>
        <w:ind w:left="1160" w:hanging="508"/>
        <w:spacing w:after="0" w:line="275"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7" w:name="page28"/>
    <w:bookmarkEnd w:id="27"/>
    <w:p>
      <w:pPr>
        <w:jc w:val="both"/>
        <w:ind w:left="1160" w:hanging="508"/>
        <w:spacing w:after="0" w:line="255" w:lineRule="auto"/>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jc w:val="both"/>
        <w:ind w:left="1160" w:hanging="508"/>
        <w:spacing w:after="0" w:line="250" w:lineRule="auto"/>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ind w:left="1160" w:hanging="508"/>
        <w:spacing w:after="0"/>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potential interruptions or delays resulting from factors related to the ongoing COVID-19 pandemic;</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September 30, 2022, we had cash and cash equivalents and marketable securities of $111.5 million. Based on our research and development plans, we believe that our existing cash and cash equivalents, will be sufficient to fund our operations into 2024. We have based this estimate on assumptions that may prove to be wrong, and we could exhaust our available capital resources sooner than we expect.</w:t>
      </w:r>
    </w:p>
    <w:p>
      <w:pPr>
        <w:spacing w:after="0" w:line="17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September 30,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Payments Due by Period</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14"/>
                <w:szCs w:val="14"/>
                <w:color w:val="auto"/>
              </w:rPr>
            </w:pPr>
          </w:p>
        </w:tc>
        <w:tc>
          <w:tcPr>
            <w:tcW w:w="1060" w:type="dxa"/>
            <w:vAlign w:val="bottom"/>
          </w:tcPr>
          <w:p>
            <w:pPr>
              <w:jc w:val="right"/>
              <w:ind w:right="10"/>
              <w:spacing w:after="0" w:line="163" w:lineRule="exact"/>
              <w:rPr>
                <w:sz w:val="20"/>
                <w:szCs w:val="20"/>
                <w:color w:val="auto"/>
              </w:rPr>
            </w:pPr>
            <w:r>
              <w:rPr>
                <w:rFonts w:ascii="Arial" w:cs="Arial" w:eastAsia="Arial" w:hAnsi="Arial"/>
                <w:sz w:val="18"/>
                <w:szCs w:val="18"/>
                <w:b w:val="1"/>
                <w:bCs w:val="1"/>
                <w:color w:val="auto"/>
              </w:rPr>
              <w:t>Less than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160"/>
              <w:spacing w:after="0" w:line="163" w:lineRule="exact"/>
              <w:rPr>
                <w:sz w:val="20"/>
                <w:szCs w:val="20"/>
                <w:color w:val="auto"/>
              </w:rPr>
            </w:pPr>
            <w:r>
              <w:rPr>
                <w:rFonts w:ascii="Arial" w:cs="Arial" w:eastAsia="Arial" w:hAnsi="Arial"/>
                <w:sz w:val="18"/>
                <w:szCs w:val="18"/>
                <w:b w:val="1"/>
                <w:bCs w:val="1"/>
                <w:color w:val="auto"/>
              </w:rPr>
              <w:t>1 to 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50"/>
              <w:spacing w:after="0" w:line="163" w:lineRule="exact"/>
              <w:rPr>
                <w:sz w:val="20"/>
                <w:szCs w:val="20"/>
                <w:color w:val="auto"/>
              </w:rPr>
            </w:pPr>
            <w:r>
              <w:rPr>
                <w:rFonts w:ascii="Arial" w:cs="Arial" w:eastAsia="Arial" w:hAnsi="Arial"/>
                <w:sz w:val="18"/>
                <w:szCs w:val="18"/>
                <w:b w:val="1"/>
                <w:bCs w:val="1"/>
                <w:color w:val="auto"/>
              </w:rPr>
              <w:t>3 to 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70"/>
              <w:spacing w:after="0" w:line="163" w:lineRule="exact"/>
              <w:rPr>
                <w:sz w:val="20"/>
                <w:szCs w:val="20"/>
                <w:color w:val="auto"/>
              </w:rPr>
            </w:pPr>
            <w:r>
              <w:rPr>
                <w:rFonts w:ascii="Arial" w:cs="Arial" w:eastAsia="Arial" w:hAnsi="Arial"/>
                <w:sz w:val="18"/>
                <w:szCs w:val="18"/>
                <w:b w:val="1"/>
                <w:bCs w:val="1"/>
                <w:color w:val="auto"/>
              </w:rPr>
              <w:t>More than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commitments(1)</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34,718</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6,458</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6,851</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34,718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3,089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6,458</w:t>
            </w:r>
          </w:p>
        </w:tc>
        <w:tc>
          <w:tcPr>
            <w:tcW w:w="200" w:type="dxa"/>
            <w:vAlign w:val="bottom"/>
          </w:tcPr>
          <w:p>
            <w:pPr>
              <w:spacing w:after="0"/>
              <w:rPr>
                <w:sz w:val="18"/>
                <w:szCs w:val="18"/>
                <w:color w:val="auto"/>
              </w:rPr>
            </w:pPr>
          </w:p>
        </w:tc>
        <w:tc>
          <w:tcPr>
            <w:tcW w:w="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6,851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2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-273685</wp:posOffset>
            </wp:positionV>
            <wp:extent cx="76835"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-273685</wp:posOffset>
            </wp:positionV>
            <wp:extent cx="6858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-273685</wp:posOffset>
            </wp:positionV>
            <wp:extent cx="6858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-273685</wp:posOffset>
            </wp:positionV>
            <wp:extent cx="6858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9" w:lineRule="exact"/>
        <w:rPr>
          <w:sz w:val="20"/>
          <w:szCs w:val="20"/>
          <w:color w:val="auto"/>
        </w:rPr>
      </w:pPr>
    </w:p>
    <w:p>
      <w:pPr>
        <w:ind w:left="380" w:hanging="372"/>
        <w:spacing w:after="0" w:line="28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in the table above reflect payments due for our lease of office and lab space in Boston, Massachusetts, that expires in August 2032.</w:t>
      </w:r>
    </w:p>
    <w:p>
      <w:pPr>
        <w:spacing w:after="0" w:line="207" w:lineRule="exact"/>
        <w:rPr>
          <w:sz w:val="20"/>
          <w:szCs w:val="20"/>
          <w:color w:val="auto"/>
        </w:rPr>
      </w:pPr>
    </w:p>
    <w:p>
      <w:pPr>
        <w:ind w:firstLine="560"/>
        <w:spacing w:after="0" w:line="271"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The lease commenced on August 1, 2022.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both"/>
        <w:ind w:firstLine="509"/>
        <w:spacing w:after="0" w:line="245"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or U.S.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nine months ended September 30, 2022, there were no material changes to our critical accounting policies from those described in the section titled “Management’s Discussion and Analysis of Financial Condition and Operations” included in our Annual Report on Form 10-K for the year ended December 31, 2021, as filed with the SEC.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We assessed the recent accounting pronouncements for the nine months ended September 30, 2022 and determined no pronouncements have material impact to the condensed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7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4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IPO.</w:t>
      </w:r>
    </w:p>
    <w:p>
      <w:pPr>
        <w:spacing w:after="0" w:line="2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are a smaller reporting company at the time we cease to be an EGC, we may continue to rely on exemptions from certain disclosure requirements that are available to smaller reporting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Controls and Procedures</w:t>
      </w:r>
    </w:p>
    <w:p>
      <w:pPr>
        <w:spacing w:after="0" w:line="7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September 30, 2022,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September 30, 2022,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Quarterly Report on Form 10-Q, including our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7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$42.2 million and $ 23.6 million for the nine months ended September 30, 2022 and 2021, respectively. As of September 30, 2022, we had an accumulated deficit of $ 194.3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belzupacap sarotalocan and continue to discover and develop additional product candidates. In addition, if we obtain regulatory approval for our product candidates, we will incur significant sales, marketing and manufacturing expenses.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We have no products approved for commercial sale and therefore have never generated any revenue from product sales, and we do not expect to in the foreseeable future. Even if we do become profitable, we may not be able to sustain or increase our profitability on a quarterly or annual basis.</w:t>
      </w:r>
    </w:p>
    <w:p>
      <w:pPr>
        <w:spacing w:after="0" w:line="200"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product sales. We have no products approved for commercial sale,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2" w:lineRule="exact"/>
        <w:rPr>
          <w:sz w:val="20"/>
          <w:szCs w:val="20"/>
          <w:color w:val="auto"/>
        </w:rPr>
      </w:pPr>
    </w:p>
    <w:p>
      <w:pPr>
        <w:jc w:val="both"/>
        <w:ind w:left="1020" w:hanging="503"/>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initiating and completing research regarding, and preclinical and clinical development of, belzupacap sarotalocan in primary choroidal melanoma and, additional oncology indications, including NMIBC, other research programs from our VDC technology platform and any future product candidates;</w:t>
      </w: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 for belzupacap sarotalocan and any future product candidates for which we complete clinical trials;</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 commercial contract development and manufacturing organization for belzupacap sarotalocan and any future product candidates, including establishing and maintaining commercially viable supply and manufacturing relationships with third parties;</w:t>
      </w:r>
    </w:p>
    <w:p>
      <w:pPr>
        <w:ind w:left="1020" w:hanging="503"/>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and commercializing belzupacap sarotalocan and any future product candidates for which we obtain marketing approvals, either directly or with a collaborator or distributor;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belzupacap sarotalocan and any future product candidates as viable treatment options;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1" w:name="page32"/>
    <w:bookmarkEnd w:id="31"/>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1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Even if belzupacap sarotalocan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we are successful in obtaining regulatory approvals to market belzupacap sarotalocan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belzupacap sarotalocan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9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2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belzupacap sarotalocan. Identifying and developing pharmaceutical products, including conducting preclinical studies and clinical trials, is a very time-consuming, expensive and uncertain process that takes years to complete. Even if one or more of belzupacap sarotalocan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belzupacap sarotalocan or any future product candidates that we develop. We also expect to incur additional costs associated with operating as a public company. Accordingly, we will need to obtain substantial additional funding in order to continue our operations.</w:t>
      </w:r>
    </w:p>
    <w:p>
      <w:pPr>
        <w:spacing w:after="0" w:line="19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fund our operating expenses and capital expenditures into 2024. Advancing the development of belzupacap sarotalocan and other research programs will require a significant amount of capital. Our existing cash and cash equivalents will not be sufficient to fund belzupacap sarotalocan through regulatory approval, and we anticipate needing to raise additional capital to complete the development of and commercialize belzupacap sarotalocan.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both"/>
        <w:ind w:firstLine="509"/>
        <w:spacing w:after="0" w:line="243"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the ongoing COVID-19 pandemic or more recently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belzupacap sarotalocan if and when approved and develop our product candidates.</w:t>
      </w:r>
    </w:p>
    <w:p>
      <w:pPr>
        <w:spacing w:after="0" w:line="17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finance unanticipated working capital requirements;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pursue acquisitions or other strategic relationships; and</w:t>
      </w:r>
    </w:p>
    <w:p>
      <w:pPr>
        <w:spacing w:after="0" w:line="35"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3" w:name="page34"/>
    <w:bookmarkEnd w:id="33"/>
    <w:p>
      <w:pPr>
        <w:jc w:val="both"/>
        <w:ind w:firstLine="509"/>
        <w:spacing w:after="0" w:line="251"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and commercialization of our product candidates.</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 w:lineRule="exact"/>
        <w:rPr>
          <w:sz w:val="20"/>
          <w:szCs w:val="20"/>
          <w:color w:val="auto"/>
        </w:rPr>
      </w:pPr>
    </w:p>
    <w:p>
      <w:pPr>
        <w:jc w:val="both"/>
        <w:ind w:left="1020" w:hanging="503"/>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clinical development of belzupacap sarotalocan in indeterminate lesions and primary choroidal melanoma and additional oncology indications, other research programs from our VDC technology platform, and any other future programs;</w:t>
      </w:r>
    </w:p>
    <w:p>
      <w:pPr>
        <w:jc w:val="both"/>
        <w:ind w:left="102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belzupacap sarotalocan, other research programs from our VDC technology platform, and any other future programs;</w:t>
      </w:r>
    </w:p>
    <w:p>
      <w:pPr>
        <w:ind w:left="1020" w:hanging="503"/>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 commercial CDMO, including obtaining finished products that are appropriately packaged for sale;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ind w:left="1020" w:hanging="503"/>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1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belzupacap sarotalocan, our only product candidate to date.</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belzupacap sarotalocan in multiple oncology indications, which is currently our only product candidate. Accordingly, our business currently depends heavily on the successful development, regulatory approval, and commercialization of belzupacap sarotalocan. We can provide no assurance that belzupacap sarotalocan will receive regulatory approval or be successfully commercialized even if we receive regulatory approval. If we were required to discontinue development of belzupacap sarotalocan or if belzupacap sarotalocan does not receive regulatory approval or fails to achieve significant market acceptance, we would be delayed by many years in our ability to achieve profitability, if ever.</w:t>
      </w:r>
    </w:p>
    <w:p>
      <w:pPr>
        <w:spacing w:after="0" w:line="39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belzupacap sarotalocan is, and will remain, subject to comprehensive regulation by the FDA and foreign regulatory authorities. Failure to obtain regulatory approval for belzupacap sarotalocan in the United States, Europe and other major markets around the world will prevent us from commercializing and marketing belzupacap sarotalocan in such jurisdictions.</w:t>
      </w:r>
    </w:p>
    <w:p>
      <w:pPr>
        <w:spacing w:after="0" w:line="17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Even if we were to successfully obtain approval from the FDA and foreign regulatory authorities for belzupacap sarotalocan, any approval might contain significant limitations related to use, including limitations on the stage or type of cancer belzupacap sarotalocan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belzupacap sarotalocan. Furthermore, even if we obtain regulatory approval for belzupacap sarotalocan,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belzupacap sarotalocan, we may not be able to generate sufficient revenue to continue our business.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belzupacap sarotalocan, we will not be able to commercialize, or will be delayed in commercializing, our product candidates, and our ability to generate revenue will be materially impaired.</w:t>
      </w:r>
    </w:p>
    <w:p>
      <w:pPr>
        <w:spacing w:after="0" w:line="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5" w:name="page36"/>
    <w:bookmarkEnd w:id="35"/>
    <w:p>
      <w:pPr>
        <w:jc w:val="both"/>
        <w:ind w:firstLine="509"/>
        <w:spacing w:after="0" w:line="243"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Investigational New Drug application, or IND, Premarket Approval, or PMA,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belzupacap sarotalocan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spacing w:after="0" w:line="3"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 w:lineRule="exact"/>
        <w:rPr>
          <w:rFonts w:ascii="Times New Roman" w:cs="Times New Roman" w:eastAsia="Times New Roman" w:hAnsi="Times New Roman"/>
          <w:sz w:val="18"/>
          <w:szCs w:val="18"/>
          <w:color w:val="auto"/>
        </w:rPr>
      </w:pPr>
    </w:p>
    <w:p>
      <w:pPr>
        <w:ind w:left="1020" w:hanging="503"/>
        <w:spacing w:after="0" w:line="263"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ind w:left="1020" w:right="20" w:hanging="503"/>
        <w:spacing w:after="0" w:line="26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8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8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due to the ongoing COVID-19 pandemic, the conduct of Advisory Committee meetings may be disrupted or delayed and the impact that may have on the overall timing of regulatory approvals is uncertain.</w:t>
      </w:r>
    </w:p>
    <w:p>
      <w:pPr>
        <w:spacing w:after="0" w:line="1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6" w:name="page37"/>
    <w:bookmarkEnd w:id="36"/>
    <w:p>
      <w:pPr>
        <w:jc w:val="both"/>
        <w:spacing w:after="0" w:line="280" w:lineRule="auto"/>
        <w:rPr>
          <w:sz w:val="20"/>
          <w:szCs w:val="20"/>
          <w:color w:val="auto"/>
        </w:rPr>
      </w:pPr>
      <w:r>
        <w:rPr>
          <w:rFonts w:ascii="Arial" w:cs="Arial" w:eastAsia="Arial" w:hAnsi="Arial"/>
          <w:sz w:val="18"/>
          <w:szCs w:val="18"/>
          <w:b w:val="1"/>
          <w:bCs w:val="1"/>
          <w:i w:val="1"/>
          <w:iCs w:val="1"/>
          <w:color w:val="auto"/>
        </w:rPr>
        <w:t>We have not yet successfully initiated or completed any pivotal clinical trials nor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European Medicines Agency (EMA), or other regulatory agencies to market belzupacap sarotalocan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belzupacap sarotalocan program in indeterminate lesions and primary choroidal melanoma. We have not yet demonstrated an ability to successfully initiate or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will need to expand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execute and complete necessary clinical trials in a way that leads to approval of belzupacap sarotalocan or future product candidates. Consequently, we may be unable to successfully and efficiently execute and complete necessary clinical trials in a way that leads to approval of belzupacap sarotalocan or future product candidates. We may require more time to enroll patients and incur greater costs than our competitors and may not succeed in obtaining global regulatory approvals of product candidates that we develop. Furthermore, we may conduct our first pivotal trial based on an adaptive design, which could increase the time spent on or costs associated with this trial. We are in the process of transferring our intended commercial manufacturing process to our intended external contract development and manufacturing organization, or CDMO, commercial manufacturing site. During this transfer process, some modifications may be needed to ensure manufacturability and ability to scale-up the process to commercial batch sizes. We intend to perform an analytical comparability assessment between the current clinical process and the intended commercial process, however, if this analytical process comparability assessment is unsuccessful, clinical comparability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additional product candidates, our commercial opportunity could be limited.</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expect to focus our resources on the development of belzupacap sarotalocan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8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Belzupacap sarotalocan is a biologic that requires the use of multiple devices, which may result in additional regulatory risks.</w:t>
      </w:r>
    </w:p>
    <w:p>
      <w:pPr>
        <w:spacing w:after="0" w:line="7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Belzupacap sarotalocan is a novel biologic for which the intended use requires activation by a laser, which is regulated as a medical device. We plan to file a single BLA for the review and approval of this combination in our initial target indication of indeterminate lesions and small choroidal melanoma, but subsequent indications and delivery systems may require different or additional applications for marketing authorization. In addition, consistent with recent FDA guidance as seen with the approval of XIPERE</w:t>
      </w:r>
      <w:r>
        <w:rPr>
          <w:rFonts w:ascii="Arial" w:cs="Arial" w:eastAsia="Arial" w:hAnsi="Arial"/>
          <w:sz w:val="24"/>
          <w:szCs w:val="24"/>
          <w:color w:val="auto"/>
          <w:vertAlign w:val="superscript"/>
        </w:rPr>
        <w:t>TM</w:t>
      </w:r>
      <w:r>
        <w:rPr>
          <w:rFonts w:ascii="Arial" w:cs="Arial" w:eastAsia="Arial" w:hAnsi="Arial"/>
          <w:sz w:val="18"/>
          <w:szCs w:val="18"/>
          <w:color w:val="auto"/>
        </w:rPr>
        <w:t>, Clearside Biomedical’s SCS Microinjector® is also expected to be regulated as a medical device and suprachoroidal administration of belzupacap sarotalocan with this device is expected to constitute a combination product. As such, we may also include the SCS Microinjector in our BLA. There may be additional regulatory risks for biologic-device combination products. We may experience delays in obtaining regulatory approval of belzupacap sarotalocan given the increased complexity of the review process when approval of the product and a delivery device is sought under a single marketing application.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belzupacap sarotalocan reaching the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p>
    <w:p>
      <w:pPr>
        <w:spacing w:after="0" w:line="16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Furthermore, our ability to enroll patients may be significantly delayed by the evolving COVID-19 pandemic, and we cannot accurately predict the extent and scope of such delays at this point.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Choroidal Melanoma is a rare disease and as such clinical trial recruitment estimates may be inaccurate and such recruitment may take longer than expected.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awareness of, and perceptions as to the potential advantages and risks of belzupacap sarotalocan in relation to other available therapies, including any new drugs that may be approved for the indications we are investigating;</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studies or trials with similar eligibility criteria;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8" w:name="page39"/>
    <w:bookmarkEnd w:id="38"/>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of the preliminary results of any of our clinical trials; and</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factors we may not be able to control, including the impacts of the ongoing COVID-19 pandemic, that may limit patients, principal investigators or staff or clinical site availability.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in the future conduct clinical trials for current or future product candidates outside the United States, and the FDA and comparable foreign regulatory authorities may not accept data from such trials.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plan to seek regulatory approval of our current or future product candidates outside of the U.S. Obtaining and maintaining regulatory approval of our product candidates in one jurisdiction does not guarantee that we will be able to obtain or maintain regulatory approval in any other jurisdiction.</w:t>
      </w:r>
    </w:p>
    <w:p>
      <w:pPr>
        <w:spacing w:after="0" w:line="16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U.S., products must receive pricing and reimbursement approval before the product can be commercialized. Obtaining this approval can result in substantial delays in bringing products to market in such countries.</w:t>
      </w:r>
    </w:p>
    <w:p>
      <w:pPr>
        <w:spacing w:after="0" w:line="1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Belzupacap sarotalocan and any other product candidates we may develop may fail to show the desired safety and efficacy in clinical development despite positive results in preclinical studies or having successfully advanced through initial clinical trials. For example, belzupacap sarotalocan may not be effective at slowing or arresting tumor growth or may not preserve visual acuity in later stage trials. Even if belzupacap sarotalocan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belzupacap sarotalocan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any other product candidates then under development and/or cause the FDA or other regulatory authorities to require additional testing before approving any other product candidates.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40" w:name="page41"/>
    <w:bookmarkEnd w:id="40"/>
    <w:p>
      <w:pPr>
        <w:jc w:val="both"/>
        <w:ind w:firstLine="509"/>
        <w:spacing w:after="0" w:line="244" w:lineRule="auto"/>
        <w:rPr>
          <w:sz w:val="20"/>
          <w:szCs w:val="20"/>
          <w:color w:val="auto"/>
        </w:rPr>
      </w:pPr>
      <w:r>
        <w:rPr>
          <w:rFonts w:ascii="Arial" w:cs="Arial" w:eastAsia="Arial" w:hAnsi="Arial"/>
          <w:sz w:val="18"/>
          <w:szCs w:val="18"/>
          <w:color w:val="auto"/>
        </w:rPr>
        <w:t>Additionally, we may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belzupacap sarotalocan when studied in a controlled environment with a placebo or active control.</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Belzupacap sarotalocan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2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Adverse events or other undesirable side effects caused by or associated with treatment by belzupacap sarotalocan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belzupacap sarotalocan has been evaluated in clinical trials, unexpected side effects may still arise in our ongoing or any future clinical trials. These side effects have included pigmentary changes around the tumor margin and vision loss.</w:t>
      </w:r>
    </w:p>
    <w:p>
      <w:pPr>
        <w:spacing w:after="0" w:line="19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pivotal clinical trials or, in some cases, after they are made available to subjects on a commercial scale after approval.</w:t>
      </w:r>
    </w:p>
    <w:p>
      <w:pPr>
        <w:spacing w:after="0" w:line="194" w:lineRule="exact"/>
        <w:rPr>
          <w:sz w:val="20"/>
          <w:szCs w:val="20"/>
          <w:color w:val="auto"/>
        </w:rPr>
      </w:pPr>
    </w:p>
    <w:p>
      <w:pPr>
        <w:jc w:val="both"/>
        <w:ind w:right="20" w:firstLine="509"/>
        <w:spacing w:after="0" w:line="250"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clinical trials or post-approval studies;</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Moreover, if belzupacap sarotalocan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8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1" w:name="page42"/>
    <w:bookmarkEnd w:id="41"/>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2" w:lineRule="exact"/>
        <w:rPr>
          <w:sz w:val="20"/>
          <w:szCs w:val="20"/>
          <w:color w:val="auto"/>
        </w:rPr>
      </w:pPr>
    </w:p>
    <w:p>
      <w:pPr>
        <w:ind w:left="1020" w:hanging="503"/>
        <w:spacing w:after="0" w:line="26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ind w:left="1020" w:right="20" w:hanging="503"/>
        <w:spacing w:after="0" w:line="25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left="1020" w:right="20" w:hanging="503"/>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third 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jc w:val="both"/>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of our product candidates may be delayed due to complications associated with the evolving COVID-19 pandemic;</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ind w:left="1020" w:right="20" w:hanging="503"/>
        <w:spacing w:after="0" w:line="28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4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42" w:name="page43"/>
    <w:bookmarkEnd w:id="42"/>
    <w:p>
      <w:pPr>
        <w:jc w:val="both"/>
        <w:ind w:firstLine="509"/>
        <w:spacing w:after="0" w:line="246" w:lineRule="auto"/>
        <w:rPr>
          <w:sz w:val="20"/>
          <w:szCs w:val="20"/>
          <w:color w:val="auto"/>
        </w:rPr>
      </w:pPr>
      <w:r>
        <w:rPr>
          <w:rFonts w:ascii="Arial" w:cs="Arial" w:eastAsia="Arial" w:hAnsi="Arial"/>
          <w:sz w:val="18"/>
          <w:szCs w:val="18"/>
          <w:color w:val="auto"/>
        </w:rPr>
        <w:t>Moreover, principal investigators for our trials involving belzupacap sarotalocan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79"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ongoing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3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1" w:lineRule="exact"/>
        <w:rPr>
          <w:sz w:val="20"/>
          <w:szCs w:val="20"/>
          <w:color w:val="auto"/>
        </w:rPr>
      </w:pPr>
    </w:p>
    <w:p>
      <w:pPr>
        <w:ind w:left="1020" w:hanging="503"/>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holds;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other regulatory enforcement action;</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3" w:name="page44"/>
    <w:bookmarkEnd w:id="43"/>
    <w:p>
      <w:pPr>
        <w:jc w:val="both"/>
        <w:ind w:firstLine="509"/>
        <w:spacing w:after="0" w:line="243"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unable to obtain orphan drug designations or to maintain the benefits associated with orphan drug status, including market exclusivity, which may cause our revenue, if any, to be reduced.</w:t>
      </w:r>
    </w:p>
    <w:p>
      <w:pPr>
        <w:spacing w:after="0" w:line="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9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have obtained orphan designation for belzupacap sarotalocan for the treatment of uveal melanoma from the FDA and EMA, and we may seek additional orphan drug designations for some or all of our current or future product candidates in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4" w:name="page45"/>
    <w:bookmarkEnd w:id="44"/>
    <w:p>
      <w:pPr>
        <w:jc w:val="both"/>
        <w:ind w:firstLine="509"/>
        <w:spacing w:after="0" w:line="243" w:lineRule="auto"/>
        <w:rPr>
          <w:sz w:val="20"/>
          <w:szCs w:val="20"/>
          <w:color w:val="auto"/>
        </w:rPr>
      </w:pPr>
      <w:r>
        <w:rPr>
          <w:rFonts w:ascii="Arial" w:cs="Arial" w:eastAsia="Arial" w:hAnsi="Arial"/>
          <w:sz w:val="18"/>
          <w:szCs w:val="18"/>
          <w:color w:val="auto"/>
        </w:rPr>
        <w:t>Similarly, in the EU, the European Commission grants designation after receiving the opinion of the Committee for Orphan Medicinal Products on a designation application. Orphan drug designation is intended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Generally, if a drug with an orphan drug designation subsequently receives the first marketing approval for the indication for which it has such designation, the drug is entitled to a ten-year period of marketing exclusivity, which precludes the EMA from approving another marketing application for the same drug and indication for that time period, except in limited circumstances. The EU exclusivity period can be reduced to six years if a drug no longer meets the criteria for orphan drug designation or if the drug is sufficiently profitable such that market exclusivity is no longer justified.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have obtained Fast Track Designation for belzupacap sarotalocan for the treatment of choroidal melanoma and for the treatment of non-muscle invasive bladder cancer,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rely on third parties to conduct some of our clinical trials and some aspects of our research and preclinical testing, and those third parties may not perform satisfactorily, including failing to meet deadlines for the completion of such trials, research or testing.</w:t>
      </w:r>
    </w:p>
    <w:p>
      <w:pPr>
        <w:spacing w:after="0" w:line="1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 medical institutions and clinical investigators, to conduct some aspects of our research, preclinical testing and clinical trials. We plan to use a clinical CRO for the pivotal trial for belzupacap sarotalocan for the treatment of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7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18"/>
          <w:szCs w:val="18"/>
          <w:b w:val="1"/>
          <w:bCs w:val="1"/>
          <w:i w:val="1"/>
          <w:iCs w:val="1"/>
          <w:color w:val="auto"/>
        </w:rPr>
        <w:t>We currently rely on third-party contract manufacturing organizations, or CMOs, for the production of clinical supply of belzupacap sarotalocan and may continue to rely on CMOs for the production of commercial supply of belzupacap sarotalocan,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belzupacap sarotalocan.</w:t>
      </w:r>
    </w:p>
    <w:p>
      <w:pPr>
        <w:spacing w:after="0" w:line="19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belzupacap sarotalocan and future product candidates we may develop in the quantities needed for our clinical trials or, if belzupacap sarotalocan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belzupacap sarotalocan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7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Reliance on third party manufacturers may expose us to different risks than if we were to manufacture clinical or commercial supply of our product candidates ourselves. The facilities used by third-party manufacturers to manufacture belzupacap sarotalocan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CMO could delay completion of clinical trials, require the conduct of bridging clinical trials or studies, require the repetition of one or more clinical trials, increase clinical trial costs, delay approval of belzupacap sarotalocan and future product candidates and jeopardize our ability to commence product sales and generate revenue.</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part of their manufacture of our product candidates, our CMOs and third-party suppliers are expected to comply with and respect the intellectual property and proprietary rights of others. If a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would significantly impact our ability to develop, obtain regulatory approval for or commercialize our product candidates, if approved.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47" w:name="page48"/>
    <w:bookmarkEnd w:id="47"/>
    <w:p>
      <w:pPr>
        <w:jc w:val="both"/>
        <w:ind w:firstLine="509"/>
        <w:spacing w:after="0" w:line="251"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73"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 party;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belzupacap sarotalocan or any future product candidates for use in clinical trials or for commercial supply, including as a result of the COVID-19 pandemic;</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supply or service disruptions or increased costs that are beyond our control;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1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Belzupacap sarotalocan and any other product candidates that we may develop may compete with other product candidates and products for access to manufacturing facilities. Additionally, since the beginning of the COVID-19 pandemic, several vaccines for COVID-19 have been granted Emergency Use Authorization, and a number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belzupacap sarotalocan or any other future product candidates or products may adversely affect our future profit margins and our ability to commercialize any products that receive marketing approval on a timely and competitive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belzupacap sarotalocan or any future product candidates do not achieve broad market acceptance, the revenue that we generate from their sales may be limited, and we may never become profitable.</w:t>
      </w:r>
    </w:p>
    <w:p>
      <w:pPr>
        <w:spacing w:after="0" w:line="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have never commercialized a product candidate for any indication. Even if belzupacap sarotalocan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belzupacap sarotalocan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virus-like drug conjugates, or VDCs, is unsafe, whether related to our or our competitors’ products, our products may not be accepted by the general public or the medical community. In addition, training clinicians to properly use belzupacap sarotalocan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20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Efforts to educate the medical community and third-party payors on the benefits of belzupacap sarotalocan and any future product candidates may require significant resources and may not be successful. If belzupacap sarotalocan or any future product candidates are approved but do not achieve an adequate level of market acceptance, we could be prevented from or significantly delayed in achieving profitability. The degree of market acceptance of any of belzupacap sarotalocan and any future product candidates will depend on a number of factors, including:</w:t>
      </w:r>
    </w:p>
    <w:p>
      <w:pPr>
        <w:spacing w:after="0" w:line="1"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of belzupacap sarotalocan and our virus-like particle, or VLP, technology, and any future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adverse events associated with belzupacap sarotalocan and any future product candidates or those products with which they may be co-administered;</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belzupacap sarotalocan are approved and the approved claims that we may make for the products;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belzupacap sarotalocan and any future product candidates that may be more restrictive than other competitive products;</w:t>
      </w:r>
    </w:p>
    <w:p>
      <w:pPr>
        <w:jc w:val="both"/>
        <w:ind w:left="1020" w:hanging="503"/>
        <w:spacing w:after="0" w:line="253"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standard of care for the targeted indications for belzupacap sarotalocan and any future product candidates, which could reduce the marketing impact of any claims that we could make following FDA approval or approval by comparable foreign regulatory authorities, if obtained;</w:t>
      </w:r>
    </w:p>
    <w:p>
      <w:pPr>
        <w:spacing w:after="0" w:line="1"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relative convenience and ease of administration of belzupacap sarotalocan and any future product candidates and any products with which they are co-administered;</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or reimbursement by third party payors, including government healthcare programs such as Medicare and Medicaid and other healthcare payors;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concessions required by third-party payors to obtain coverage;</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belzupacap sarotalocan compared to those of other available treatments;</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belzupacap sarotalocan and any future product candidates;</w:t>
      </w:r>
    </w:p>
    <w:p>
      <w:pPr>
        <w:spacing w:after="0" w:line="35"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9" w:name="page50"/>
    <w:bookmarkEnd w:id="49"/>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belzupacap sarotalocan and any future product candidates or to which we agree as part of a REMS or voluntary risk management plan;</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belzupacap sarotalocan and any future product candidates, as well as competitive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belzupacap sarotalocan and any future product candidates for sale at competitive prices;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belzupacap sarotalocan or competing products and treatments;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companies that market any products with which belzupacap sarotalocan and any future product candidates may be co-administered;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belzupacap sarotalocan and any future product candidates or any products with which they are co-administered, or favorable publicity about competitive products;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7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European Union (EU) or other key global markets. If we are unable to build our own distribution and marketing capabilities or to find suitable partners for the commercialization of our product candidate, we may have difficulties generating revenue from them.</w:t>
      </w:r>
    </w:p>
    <w:p>
      <w:pPr>
        <w:spacing w:after="0" w:line="1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choroidal melanoma, in the future our competitors may be able to develop other compounds or drugs that are able to achieve similar or better results than us. There are multiple companies that have drugs in clinical development for the treatment of NMIBC that are unresponsive to Bacillus Calmette-Guerin,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“Business—Competition.”</w:t>
      </w:r>
    </w:p>
    <w:p>
      <w:pPr>
        <w:spacing w:after="0" w:line="19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Factors payors consider in determining reimbursement are based on whether the product is:</w:t>
      </w:r>
    </w:p>
    <w:p>
      <w:pPr>
        <w:spacing w:after="0" w:line="1"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51" w:name="page52"/>
    <w:bookmarkEnd w:id="51"/>
    <w:p>
      <w:pPr>
        <w:jc w:val="both"/>
        <w:ind w:firstLine="509"/>
        <w:spacing w:after="0" w:line="252"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w:t>
      </w:r>
    </w:p>
    <w:p>
      <w:pPr>
        <w:spacing w:after="0" w:line="18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action, either in the United States, particularly in light of the most recent presidential election,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the market opportunity for belzupacap sarotalocan is smaller than we estimate or if any regulatory approval that we obtain is based on a narrower definition of the patient population, our revenue and ability to achieve profitability will be adversely affected, possibly materially.</w:t>
      </w:r>
    </w:p>
    <w:p>
      <w:pPr>
        <w:spacing w:after="0" w:line="2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incidence and prevalence for target patient populations of belzupacap sarotalocan and any future product candidates has not been established with precision. Belzupacap sarotalocan is a virus-like drug conjugate product candidate being developed for the first line treatment of primary choroidal melanoma. Our projections of both the number of people who have choroidal melanoma, as well as additional ocular oncology and bladder cancer indications, are based on our estimates.</w:t>
      </w:r>
    </w:p>
    <w:p>
      <w:pPr>
        <w:spacing w:after="0" w:line="17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belzupacap sarotalocan is approved for sale, acceptance by the medical community and patient access, product pricing and reimbursement. The number of patients with choroidal melanoma, choroidal metastases and NMIBC for which belzupacap sarotalocan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Belzupacap sarotalocan is our only product candidate and therefore our business is dependent on the market opportunity for our product.</w:t>
      </w:r>
    </w:p>
    <w:p>
      <w:pPr>
        <w:spacing w:after="0" w:line="1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Such laws include, but are not limited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2" w:name="page53"/>
    <w:bookmarkEnd w:id="52"/>
    <w:p>
      <w:pPr>
        <w:jc w:val="both"/>
        <w:ind w:left="503" w:hanging="503"/>
        <w:spacing w:after="0" w:line="244"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jc w:val="both"/>
        <w:ind w:left="503" w:hanging="503"/>
        <w:spacing w:after="0" w:line="244"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and criminal false claims laws and Civil Monetary Penalties Law,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jc w:val="both"/>
        <w:ind w:left="503" w:hanging="503"/>
        <w:spacing w:after="0" w:line="244"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3" w:lineRule="exact"/>
        <w:rPr>
          <w:rFonts w:ascii="Times New Roman" w:cs="Times New Roman" w:eastAsia="Times New Roman" w:hAnsi="Times New Roman"/>
          <w:sz w:val="18"/>
          <w:szCs w:val="18"/>
          <w:color w:val="auto"/>
        </w:rPr>
      </w:pPr>
    </w:p>
    <w:p>
      <w:pPr>
        <w:jc w:val="both"/>
        <w:ind w:left="503" w:hanging="503"/>
        <w:spacing w:after="0" w:line="243"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2" w:lineRule="exact"/>
        <w:rPr>
          <w:rFonts w:ascii="Times New Roman" w:cs="Times New Roman" w:eastAsia="Times New Roman" w:hAnsi="Times New Roman"/>
          <w:sz w:val="18"/>
          <w:szCs w:val="18"/>
          <w:color w:val="auto"/>
        </w:rPr>
      </w:pPr>
    </w:p>
    <w:p>
      <w:pPr>
        <w:jc w:val="both"/>
        <w:ind w:left="503" w:hanging="503"/>
        <w:spacing w:after="0" w:line="245"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United States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government information related to certain payments and other transfers of value to physicians (defined to include doctors, dentists, optometrists, podiatrists and chiropractors), certain other health care professionals beginning in 2022 (physician assistants, nurse practitioners, clinical nurse specialists, certified registered nurse anesthetists &amp; anesthesiologist assistants, and certified nurse-midwives), and teaching hospitals, as well as ownership and investment interests held by the physicians described above and their immediate family members;</w:t>
      </w:r>
    </w:p>
    <w:p>
      <w:pPr>
        <w:spacing w:after="0" w:line="5" w:lineRule="exact"/>
        <w:rPr>
          <w:rFonts w:ascii="Times New Roman" w:cs="Times New Roman" w:eastAsia="Times New Roman" w:hAnsi="Times New Roman"/>
          <w:sz w:val="18"/>
          <w:szCs w:val="18"/>
          <w:color w:val="auto"/>
        </w:rPr>
      </w:pPr>
    </w:p>
    <w:p>
      <w:pPr>
        <w:ind w:left="503" w:hanging="503"/>
        <w:spacing w:after="0" w:line="257"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1" w:lineRule="exact"/>
        <w:rPr>
          <w:rFonts w:ascii="Times New Roman" w:cs="Times New Roman" w:eastAsia="Times New Roman" w:hAnsi="Times New Roman"/>
          <w:sz w:val="18"/>
          <w:szCs w:val="18"/>
          <w:color w:val="auto"/>
        </w:rPr>
      </w:pPr>
    </w:p>
    <w:p>
      <w:pPr>
        <w:ind w:left="503" w:hanging="503"/>
        <w:spacing w:after="0" w:line="270"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68"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364" w:right="339" w:bottom="1440" w:gutter="0" w:footer="0" w:header="0"/>
        </w:sectPr>
      </w:pPr>
    </w:p>
    <w:bookmarkStart w:id="53" w:name="page54"/>
    <w:bookmarkEnd w:id="53"/>
    <w:p>
      <w:pPr>
        <w:jc w:val="both"/>
        <w:ind w:firstLine="509"/>
        <w:spacing w:after="0" w:line="242"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9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4" w:name="page55"/>
    <w:bookmarkEnd w:id="54"/>
    <w:p>
      <w:pPr>
        <w:jc w:val="both"/>
        <w:spacing w:after="0" w:line="280"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United States, there have been, and continue to be, a significant number of legislative initiatives to contain healthcare costs. For example, in March 2010, the Patient Protection and Affordable Care Act, as amended by the Health Care and Education and Reconciliation Act, or collectively, the ACA, was passed, which substantially changed the way healthcare is financed by both governmental and private insurers, and significantly impacted the United States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ACA. On June 17, 2021, the U.S. Supreme Court dismissed on procedural grounds the most recent judicial challenge to the ACA brought by several states without specifically ruling on the constitutionality of the ACA. Prior to the Supreme Court’s decision, President Biden issued an Executive Order that initiated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other healthcare reform measures of the Biden administrations or other efforts, if any, to challenge repeal or replace the ACA, will impact our business.</w:t>
      </w:r>
    </w:p>
    <w:p>
      <w:pPr>
        <w:spacing w:after="0" w:line="1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9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55" w:name="page56"/>
    <w:bookmarkEnd w:id="55"/>
    <w:p>
      <w:pPr>
        <w:jc w:val="both"/>
        <w:ind w:firstLine="509"/>
        <w:spacing w:after="0" w:line="252" w:lineRule="auto"/>
        <w:rPr>
          <w:sz w:val="20"/>
          <w:szCs w:val="20"/>
          <w:color w:val="auto"/>
        </w:rPr>
      </w:pPr>
      <w:r>
        <w:rPr>
          <w:rFonts w:ascii="Arial" w:cs="Arial" w:eastAsia="Arial" w:hAnsi="Arial"/>
          <w:sz w:val="18"/>
          <w:szCs w:val="18"/>
          <w:color w:val="auto"/>
        </w:rPr>
        <w:t>On November 20, 2020 CMS issued an Interim Final Rule implementing the Most Favored Nation, or MFN, Model under which Medicare Part B reimbursement rates would have been be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to January 1, 2027 by the Bipartisan Safer Communities Act. The Inflation Reduction Act of 2022 further delayed implementation of this rule to January 1, 2032.</w:t>
      </w:r>
    </w:p>
    <w:p>
      <w:pPr>
        <w:spacing w:after="0" w:line="19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August 2022, the Inflation Reduction Act of 2022 (the “IRA”) was signed into law. The IRA includes several provisions that may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IRA on our business and the healthcare industry in general is not yet known.</w:t>
      </w:r>
    </w:p>
    <w:p>
      <w:pPr>
        <w:spacing w:after="0" w:line="190"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9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8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 Further, it is possible that additional governmental action is taken in response to the COVID-19 pandemic.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virus-like particles to target tumors and VDCs like belzupacap sarotalocan, as well as successfully defending these rights against third-party challenges and successfully enforcing these rights to prevent third-party infringement. We will only be able to protect belzupacap sarotalocan or a future product candidate derived from our platform from unauthorized use by third parties to the extent that valid and enforceable patents cover it. Our ability to maintain patent protection for belzupacap sarotalocan or a future product candidate is uncertain due to a number of factors, including that:</w:t>
      </w:r>
    </w:p>
    <w:p>
      <w:pPr>
        <w:spacing w:after="0" w:line="1" w:lineRule="exact"/>
        <w:rPr>
          <w:sz w:val="20"/>
          <w:szCs w:val="20"/>
          <w:color w:val="auto"/>
        </w:rPr>
      </w:pPr>
    </w:p>
    <w:p>
      <w:pPr>
        <w:ind w:left="1020" w:hanging="503"/>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any patents issued to us may be successfully challenged by third parties.</w:t>
      </w:r>
    </w:p>
    <w:p>
      <w:pPr>
        <w:spacing w:after="0" w:line="21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Even with our patents covering belzupacap sarotalocan, we may still not be able to make use or sell belzupacap sarotalocan or a future product candidate because of the patent rights of others. Others may have filed patent applications covering compositions, products or methods that are similar or identical to ours, which could materially affect our ability to successfully commercialize belzupacap sarotalocan or a future product candidate.</w:t>
      </w:r>
    </w:p>
    <w:p>
      <w:pPr>
        <w:spacing w:after="0" w:line="17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7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7" w:name="page58"/>
    <w:bookmarkEnd w:id="57"/>
    <w:p>
      <w:pPr>
        <w:jc w:val="both"/>
        <w:spacing w:after="0" w:line="280"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belzupacap sarotalocan or any future product candidates. It may be necessary for us to use the patented or proprietary technology of third parties to commercialize belzupacap sarotalocan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belzupacap sarotalocan or any future product candidates, and what activities satisfy those diligence obligations;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11"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3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belzupacap sarotalocan or a future product candidate.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58" w:name="page59"/>
    <w:bookmarkEnd w:id="58"/>
    <w:p>
      <w:pPr>
        <w:jc w:val="both"/>
        <w:ind w:firstLine="509"/>
        <w:spacing w:after="0" w:line="251"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belzupacap sarotalocan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our belzupacap sarotalocan or a future product candidate, thereby potentially extending the term of marketing exclusivity for such product, our business may be harmed.</w:t>
      </w:r>
    </w:p>
    <w:p>
      <w:pPr>
        <w:spacing w:after="0" w:line="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belzupacap sarotalocan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9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belzupacap sarotalocan or a future product candidate is threatened, it could dissuade companies from collaborating with us to develop, and could threaten our or their ability to successfully commercialize, belzupacap sarotalocan or a future product candidate.</w:t>
      </w:r>
    </w:p>
    <w:p>
      <w:pPr>
        <w:spacing w:after="0" w:line="18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2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belzupacap sarotalocan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 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belzupacap sarotalocan or a future product candidate, or forced to modify belzupacap sarotalocan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20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belzupacap sarotalocan or a future product candidate that is the subject of the suit may be delayed or terminated. In addition, defending such claims may cause us to incur substantial expenses and, if successful, could cause us to pay substantial damages if we are found to be infringing a third 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7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belzupacap sarotalocan or a future product candidate unless we obtain a license under the applicable patents, or until such patents expire or are finally determined to be invalid or unenforceable.</w:t>
      </w:r>
    </w:p>
    <w:p>
      <w:pPr>
        <w:spacing w:after="0" w:line="1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belzupacap sarotalocan or a future product candidate.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60" w:name="page61"/>
    <w:bookmarkEnd w:id="60"/>
    <w:p>
      <w:pPr>
        <w:jc w:val="both"/>
        <w:spacing w:after="0" w:line="280"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Filing, prosecuting and defending patents on belzupacap sarotalocan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spacing w:after="0" w:line="1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7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LI-COR maintains its manufacture of IRDye 700DX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dye molecules (used in belzupacap sarotalocan)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9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61" w:name="page62"/>
    <w:bookmarkEnd w:id="61"/>
    <w:p>
      <w:pPr>
        <w:jc w:val="both"/>
        <w:ind w:firstLine="509"/>
        <w:spacing w:after="0" w:line="246"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belzupacap sarotalocan.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89"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7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79"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2" w:name="page63"/>
    <w:bookmarkEnd w:id="62"/>
    <w:p>
      <w:pPr>
        <w:jc w:val="both"/>
        <w:spacing w:after="0" w:line="280" w:lineRule="auto"/>
        <w:rPr>
          <w:sz w:val="20"/>
          <w:szCs w:val="20"/>
          <w:color w:val="auto"/>
        </w:rPr>
      </w:pPr>
      <w:r>
        <w:rPr>
          <w:rFonts w:ascii="Arial" w:cs="Arial" w:eastAsia="Arial" w:hAnsi="Arial"/>
          <w:sz w:val="18"/>
          <w:szCs w:val="18"/>
          <w:b w:val="1"/>
          <w:bCs w:val="1"/>
          <w:i w:val="1"/>
          <w:iCs w:val="1"/>
          <w:color w:val="auto"/>
        </w:rPr>
        <w:t>The ongoing COVID-19 pandemic, or a similar pandemic, epidemic, or outbreak of an infectious disease, may materially and adversely affect our business and our financial results and could cause a disruption to the development of our product candidates.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Public health crises such as pandemics or similar outbreaks could adversely impact our business. The ongoing COVID-19 pandemic continues to evolve, and has led to the implementation of various responses, including government-imposed quarantines, travel restrictions and other public health safety measures. The extent to which the ongoing COVID-19 pandemic impacts our operations or those of our third party partners, including our preclinical studies or clinical trial operations, will depend on future developments, which are highly uncertain and cannot be predicted with confidence, including the duration of the pandemic, the emergence of new variants that may be more severe or contagious, acceptance of vaccines and the actions of government authorities, health systems, and private companies to contain the spread of COVID-19 or treat its impact, among others. The continued spread of COVID-19 globally could adversely impact our preclinical or clinical trial operations in the United States, including our ability to recruit and retain patients and principal investigators and site staff who, as healthcare providers, may have heightened exposure to COVID-19.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Additionally, timely enrollment in planned clinical trials is dependent upon clinical trial sites which could be adversely affected by global health matters, such as pandemics. Some factors from the ongoing COVID-19 pandemic that will delay or otherwise adversely affect enrollment in the clinical trials of our product candidates, as well as our business generally, include:</w:t>
      </w:r>
    </w:p>
    <w:p>
      <w:pPr>
        <w:spacing w:after="0" w:line="1" w:lineRule="exact"/>
        <w:rPr>
          <w:sz w:val="20"/>
          <w:szCs w:val="20"/>
          <w:color w:val="auto"/>
        </w:rPr>
      </w:pPr>
    </w:p>
    <w:p>
      <w:pPr>
        <w:jc w:val="both"/>
        <w:ind w:left="1020" w:hanging="503"/>
        <w:spacing w:after="0" w:line="255"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jc w:val="both"/>
        <w:ind w:left="1020" w:hanging="503"/>
        <w:spacing w:after="0" w:line="245"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as well as any government-imposed travel restrictions or quarantines or employer-required isolation requirements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negative affect on the operations of our third-party manufacturers;</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in global shipping affecting the transport of clinical trial materials, such as drug product and conditioning drugs and other supplies used in our clinical trials;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1"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local regulations as part of a response to the ongoing COVID-19 pandemic, which may require us to change the ways in which our clinical trials are conducted, which may result in unexpected costs, or to discontinue such clinical trials altogether;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63" w:name="page64"/>
    <w:bookmarkEnd w:id="63"/>
    <w:p>
      <w:pPr>
        <w:jc w:val="both"/>
        <w:ind w:firstLine="509"/>
        <w:spacing w:after="0" w:line="243" w:lineRule="auto"/>
        <w:rPr>
          <w:sz w:val="20"/>
          <w:szCs w:val="20"/>
          <w:color w:val="auto"/>
        </w:rPr>
      </w:pPr>
      <w:r>
        <w:rPr>
          <w:rFonts w:ascii="Arial" w:cs="Arial" w:eastAsia="Arial" w:hAnsi="Arial"/>
          <w:sz w:val="18"/>
          <w:szCs w:val="18"/>
          <w:color w:val="auto"/>
        </w:rPr>
        <w:t>We have taken temporary precautionary measures intended to help minimize the risk of the virus to our employees, including temporarily requiring certain of our employees to work remotely, suspending all non-essential travel worldwide for our employees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 or the FDA. Since March 2020 when foreign and domestic inspections of facilities were largely placed on hold, the FDA has been working to resume pre-pandemic levels of inspection activities, including routine surveillance, bioresearch monitoring and pre-approval inspections on a prioritized basis.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178"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4" w:name="page65"/>
    <w:bookmarkEnd w:id="64"/>
    <w:p>
      <w:pPr>
        <w:jc w:val="both"/>
        <w:ind w:firstLine="509"/>
        <w:spacing w:after="0" w:line="252"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17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security incidents,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3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It is critical that we do so in a secure manner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those of our CROs and other third parties on which we rely, are vulnerable to damage from computer viruses, unauthorized access,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security incidents from inadvertent or intentional actions (such as error or theft) by our employees, contractors, consultants, business partners, and/or other third parties, phishing attacks, ransomware, denial-of-service attacks, social engineering schemes and other means that affect service reliability and threaten the confidentiality, integrity and availability of information), which may compromise our system infrastructure as well as lead to unauthorized access, disclosure or acquisition of information. Cyberattacks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security incidents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w:t>
      </w:r>
    </w:p>
    <w:p>
      <w:pPr>
        <w:spacing w:after="0" w:line="17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Significant disruptions of our information technology systems or 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the COVID-19 pandemic has resulted in a significant number of our employees and partners working remotely, which increases the risk of a data breach or issues with data and cybersecurity. To the extent that any disruption or security incident results in a loss of, or damage to, our data or applications, or inappropriate disclosure of confidential or proprietary information, we could incur liability and the further development of our future product candidates could be delayed.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5" w:name="page66"/>
    <w:bookmarkEnd w:id="65"/>
    <w:p>
      <w:pPr>
        <w:jc w:val="both"/>
        <w:ind w:firstLine="509"/>
        <w:spacing w:after="0" w:line="243"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security incidents. Failure to prevent or mitigate cyberattacks could result in unauthorized access to data, including personal data. Most jurisdictions have enacted laws requiring companies to notify individuals, regulatory authorities, and others of security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security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breach. In addition, our efforts to contain or remediate a 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8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litigation resulting from security breaches may adversely affect our business. Unauthorized access to our information technology systems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security breach were to occur and the confidentiality, integrity or availability of our data or the data of our collaborators were disrupted, we could incur significant liability, which could negatively affect our business and damage our reputation.</w:t>
      </w:r>
    </w:p>
    <w:p>
      <w:pPr>
        <w:spacing w:after="0" w:line="175"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1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6" w:name="page67"/>
    <w:bookmarkEnd w:id="66"/>
    <w:p>
      <w:pPr>
        <w:jc w:val="both"/>
        <w:ind w:firstLine="509"/>
        <w:spacing w:after="0" w:line="243"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the Health Insurance Portability and Accountability Act, or HIPAA, as amended by the Health Information Technology for Economic and Clinical Health Act, or HITECH.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CCPA became effective on January 1, 2020, and gives California residents expanded rights to access and delete their personal data, opt out of certain personal data sharing and receive detailed information about how their personal data is used. The CCPA requires covered businesses to provide new disclosures to California residents. The CCPA provides for civil penalties for violations, as well as a private right of action for data breaches that is expected to increase data breach litigation. Although there are limited exemptions for clinical trial data and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or CPRA, becomes operative. The CPRA will, among other things, give California residents the ability to limit use of certain sensitive information, establish restrictions on the retention of personal data, expand the types of data breaches subject to the CCPA’s private right of action and establish a new California Privacy Protection Agency to implement and enforce the new law. In addition, other states have enacted or proposed data privacy laws. For example, Virginia recently passed its Consumer Data Protection Act and Colorado recently passed the Colorado Privacy Act, both of which differ from the CPRA and go into effect in 2023. These laws demonstrate our vulnerability to the evolving regulatory environment related to personal data. As we expand our operations, these and similar laws may increase our compliance costs and potential liability.</w:t>
      </w:r>
    </w:p>
    <w:p>
      <w:pPr>
        <w:spacing w:after="0" w:line="17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Foreign data protection laws, such as, without limitation, the EU’s GDPR and the EU member state implementing legislation, may also apply to health-related and other personal data that we process, including, without limitation, personal data relating to clinical trial participants. European data protection laws impose strict obligations on the ability to process health-related and other personal data of European data subjects, including in relation to security (which requires the adoption of administrative, physical and technical safeguards designed to protect such information), collection, use and transfer or personal data. European data protection laws may affect our use, collection, analysis, and transfer (including cross-border transfer) of such personal data. These include, without limitation, several requirements relating to transparency related to communications with data subjects regarding the processing of their personal data, obtaining the consent of the individuals to whom the personal data relates, limitations on the retention of personal data, increased requirements pertaining to health data, establishing a legal basis for processing,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transfer of personal data outside of Europe (including from the European Economic Area (EEA), Switzerland and United Kingdom (UK)).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7" w:name="page68"/>
    <w:bookmarkEnd w:id="67"/>
    <w:p>
      <w:pPr>
        <w:jc w:val="both"/>
        <w:ind w:firstLine="509"/>
        <w:spacing w:after="0" w:line="242" w:lineRule="auto"/>
        <w:rPr>
          <w:sz w:val="20"/>
          <w:szCs w:val="20"/>
          <w:color w:val="auto"/>
        </w:rPr>
      </w:pPr>
      <w:r>
        <w:rPr>
          <w:rFonts w:ascii="Arial" w:cs="Arial" w:eastAsia="Arial" w:hAnsi="Arial"/>
          <w:sz w:val="18"/>
          <w:szCs w:val="18"/>
          <w:color w:val="auto"/>
        </w:rPr>
        <w:t>European data protection laws prohibit, without an appropriate legal basis, the transfer of personal data to countries outside of Europe, such as to the United States, which are not considered relevant authorities to provide an adequate level of data protection. A decision by the Court of Justice of the EU, or the “Schrems II” ruling, invalidated the EU-U.S. Privacy Shield Framework, and raised questions about whether the European Commission’s Standard Contractual Clauses, or SCCs, one of the primary alternatives to the Privacy Shield, can lawfully be used for personal data transfers from Europe to the United States or most other countries. Similarly, the Swiss Federal Data Protection and Information Commissioner recently opined that the Swiss-U.S. Privacy Shield is inadequate for transfers of personal data from Switzerland to the United States. The UK, whose data protection laws are similar to those of the EU, has similarly determined that the EU-U.S. Privacy Shield is not a valid mechanism for lawfully transferring personal data from the UK to the U.S.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Additionally, the European Commission recently adopted new SCCs that will repeal the SCCs adopted under the Data Protection Directive. This means we may need to update our contracts that involve the transfer of personal data outside of the EEA to the new SCCs. As supervisory authorities issue further guidance on personal data export mechanisms, including on the new SCCs, and/or start taking enforcement action, our compliance costs could increase, we may be subject to complaints and/or regulatory investigations or fines, and/or if we are otherwise unable to transfer personal data between and among countries and regions in which we conduct clinical trials, this could negatively impact our business.</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the UK’s decision to leave the EU, often referred to as Brexit, and ongoing developments in the UK have created uncertainty regarding data protection regulation in the UK. Following December 31, 2020, and the expiry of transitional arrangements between the UK and EU, the data protection obligations of the GDPR continue to apply to UK-related Processing of personal data in substantially unvaried form under the so-called “UK GDPR” (i.e., the GDPR as it continues to form part of UK law by virtue of section 3 of the EU (Withdrawal) Act 2018, as amended). However, going forward, there is increasing risk for divergence in application, interpretation and enforcement of the data protection laws as between the UK and EEA. Furthermore, the relationship between the UK and the EEA in relation to certain aspects of data protection law remains uncertain, including with respect to regulation of data transfers between the EU member states and the UK. On June 28, 2021, the European Commission issued an adequacy decision under the GDPR which allows transfers (other than those carried out for the purposes of the UK immigration control) of personal data from the EEA to the UK to continue without restriction for a period of four years ending June 27, 2025. After that period, the adequacy decision may be renewed, but, only if the UK continues to ensure an adequate level of data protection. During these four years, the European Commission will continue to monitor the legal situation in the 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SCCs, to enable transfers of personal data from the EEA to the UK to continue.</w:t>
      </w:r>
    </w:p>
    <w:p>
      <w:pPr>
        <w:spacing w:after="0" w:line="1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or 4% of their worldwide annual turnover (revenue). Additionally, regulators could prohibit our use of personal data subject to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9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8" w:name="page69"/>
    <w:bookmarkEnd w:id="68"/>
    <w:p>
      <w:pPr>
        <w:jc w:val="both"/>
        <w:ind w:firstLine="509"/>
        <w:spacing w:after="0" w:line="243"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7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or contingent liabilities;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3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6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9" w:name="page70"/>
    <w:bookmarkEnd w:id="69"/>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related litigation;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resources;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3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 -compliance,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Based on the beneficial ownership of our common stock as of September 30, 2022, our executive officers, directors, holders of 5% or more of our capital stock and their respective affiliates beneficially owned approximately 60.1%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2021, we had federal gross operating loss carryforwards of approximately $138.7 million, and state gross operating loss carryforwards of $113.6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net operating losses is limited to 80% of our taxable income in such taxable years.</w:t>
      </w:r>
    </w:p>
    <w:p>
      <w:pPr>
        <w:spacing w:after="0" w:line="19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For a further description of our dividend policy, please refer to the section entitled “Dividend Policy.”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ind w:left="1020" w:right="20" w:hanging="503"/>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the ongoing development of belzupacap sarotalocan or future development programs;</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and departures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 w:lineRule="exact"/>
        <w:rPr>
          <w:rFonts w:ascii="Times New Roman" w:cs="Times New Roman" w:eastAsia="Times New Roman" w:hAnsi="Times New Roman"/>
          <w:sz w:val="18"/>
          <w:szCs w:val="18"/>
          <w:color w:val="auto"/>
        </w:rPr>
      </w:pPr>
    </w:p>
    <w:p>
      <w:pPr>
        <w:ind w:left="1020" w:right="20" w:hanging="503"/>
        <w:spacing w:after="0" w:line="265"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1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2" w:name="page73"/>
    <w:bookmarkEnd w:id="72"/>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7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fourth amended and restated certificate of incorporation and amended and restated bylaws contain provisions that could delay or prevent a change of control of our company or changes in our Board of Directors (the "Board") that our stockholders might consider favorable. Some of these provisions include:</w:t>
      </w:r>
    </w:p>
    <w:p>
      <w:pPr>
        <w:spacing w:after="0" w:line="2" w:lineRule="exact"/>
        <w:rPr>
          <w:sz w:val="20"/>
          <w:szCs w:val="20"/>
          <w:color w:val="auto"/>
        </w:rPr>
      </w:pPr>
    </w:p>
    <w:p>
      <w:pPr>
        <w:ind w:left="1020" w:right="20" w:hanging="503"/>
        <w:spacing w:after="0" w:line="257"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35" w:lineRule="exact"/>
        <w:rPr>
          <w:rFonts w:ascii="Times New Roman" w:cs="Times New Roman" w:eastAsia="Times New Roman" w:hAnsi="Times New Roman"/>
          <w:sz w:val="18"/>
          <w:szCs w:val="18"/>
          <w:color w:val="auto"/>
        </w:rPr>
      </w:pPr>
    </w:p>
    <w:p>
      <w:pPr>
        <w:jc w:val="both"/>
        <w:ind w:left="1020" w:right="20" w:hanging="503"/>
        <w:spacing w:after="0" w:line="26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3" w:name="page74"/>
    <w:bookmarkEnd w:id="73"/>
    <w:p>
      <w:pPr>
        <w:jc w:val="both"/>
        <w:ind w:left="1020" w:hanging="503"/>
        <w:spacing w:after="0" w:line="255"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13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November 2022, we filed a registration statement on Form S-3 relating to the registration of our common stock, preferred stock, debt securities, warrants and units or any combination thereof. Concurrently with the filing of such registration statement, we entered into an “at-the-market” offering program, or ATM, which provides for the offering, issuance and sale by us of shares of our common stock from time to time for aggregate gross proceeds of up to $75 million in sales deemed to be “at-the-market offerings” as defined by the Securities Act of 1933, as amended.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September 30, 2022, we have 29,283,285 shares of common stock outstanding. Significant portions of these shares are held by a small number of stockholders, including persons who were our stockholders prior to our initial public offering.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General Risks</w:t>
      </w:r>
    </w:p>
    <w:p>
      <w:pPr>
        <w:spacing w:after="0" w:line="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7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ongoing COVID-19 pandemic has caused significant volatility and uncertainty in the U.S. and international markets. See “Risks Related to our Business and Industry</w:t>
      </w:r>
      <w:r>
        <w:rPr>
          <w:rFonts w:ascii="Arial" w:cs="Arial" w:eastAsia="Arial" w:hAnsi="Arial"/>
          <w:sz w:val="18"/>
          <w:szCs w:val="18"/>
          <w:i w:val="1"/>
          <w:iCs w:val="1"/>
          <w:color w:val="auto"/>
        </w:rPr>
        <w:t>—</w:t>
      </w:r>
      <w:r>
        <w:rPr>
          <w:rFonts w:ascii="Arial" w:cs="Arial" w:eastAsia="Arial" w:hAnsi="Arial"/>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In addition, the current military conflict between Russia and Ukraine could disrupt or otherwise adversely impact our operations and those of third parties upon which we rely. Related sanctions, export controls or other actions that may be initiated by nations including the United States, the European Union or Russia (e.g., potential cyberattacks, disruption of energy flows, etc.), which could adversely affect our business and/or our supply chain, our CROs, CMOs and other third parties with which we conduct business. A severe or prolonged economic downturn or political unrest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75" w:name="page76"/>
    <w:bookmarkEnd w:id="75"/>
    <w:p>
      <w:pPr>
        <w:jc w:val="both"/>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or Section 404, as amended,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8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$ 1.07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7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7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7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their common stock at or above the price you paid for your common stock. The market price for our common stock may be influenced by many factors, including the other risks described in the section of this Annual Report on Form 10-K entitled “Risk Factors” and the following:</w:t>
      </w:r>
    </w:p>
    <w:p>
      <w:pPr>
        <w:spacing w:after="0" w:line="2" w:lineRule="exact"/>
        <w:rPr>
          <w:sz w:val="20"/>
          <w:szCs w:val="20"/>
          <w:color w:val="auto"/>
        </w:rPr>
      </w:pPr>
    </w:p>
    <w:p>
      <w:pPr>
        <w:ind w:left="1020" w:hanging="503"/>
        <w:spacing w:after="0" w:line="257"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and results or enrollment of clinical trials of belzupacap sarotalocan or our future product candidates, or those of our potential future competitors or our existing or future collaborators;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on our employees, trials, collaboration partners, suppliers, our results of operations, liquidity and financial condition;</w:t>
      </w:r>
    </w:p>
    <w:p>
      <w:pPr>
        <w:spacing w:after="0" w:line="1"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6" w:name="page77"/>
    <w:bookmarkEnd w:id="76"/>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future competitive products or technologies;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1" w:lineRule="exact"/>
        <w:rPr>
          <w:rFonts w:ascii="Times New Roman" w:cs="Times New Roman" w:eastAsia="Times New Roman" w:hAnsi="Times New Roman"/>
          <w:sz w:val="18"/>
          <w:szCs w:val="18"/>
          <w:color w:val="auto"/>
        </w:rPr>
      </w:pPr>
    </w:p>
    <w:p>
      <w:pPr>
        <w:ind w:left="1020" w:right="20" w:hanging="503"/>
        <w:spacing w:after="0" w:line="265"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3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25"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belzupacap sarotalocan or our future product candidates and products;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and expectation of additional financing efforts;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concentrated ownership of our common stock;</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pandemics and other calamities;</w:t>
      </w:r>
    </w:p>
    <w:p>
      <w:pPr>
        <w:spacing w:after="0" w:line="31" w:lineRule="exact"/>
        <w:rPr>
          <w:rFonts w:ascii="Times New Roman" w:cs="Times New Roman" w:eastAsia="Times New Roman" w:hAnsi="Times New Roman"/>
          <w:sz w:val="18"/>
          <w:szCs w:val="18"/>
          <w:color w:val="auto"/>
        </w:rPr>
      </w:pPr>
    </w:p>
    <w:p>
      <w:pPr>
        <w:ind w:left="1020" w:right="20" w:hanging="503"/>
        <w:spacing w:after="0" w:line="26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conflicts in Ukraine; and</w:t>
      </w: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9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insubstantial costs and a diversion of management’s attention and our resources, which could harm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both"/>
        <w:spacing w:after="0" w:line="280"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8" w:name="page79"/>
    <w:bookmarkEnd w:id="78"/>
    <w:p>
      <w:pPr>
        <w:jc w:val="both"/>
        <w:spacing w:after="0" w:line="264"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conflict between Russia and Ukraine, could adversely affect our business, financial condition, results of operations or prospects.</w:t>
      </w:r>
    </w:p>
    <w:p>
      <w:pPr>
        <w:spacing w:after="0" w:line="1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conflict,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63" w:lineRule="exact"/>
        <w:rPr>
          <w:sz w:val="20"/>
          <w:szCs w:val="20"/>
          <w:color w:val="auto"/>
        </w:rPr>
      </w:pPr>
    </w:p>
    <w:p>
      <w:pPr>
        <w:ind w:left="520" w:right="6960" w:hanging="512"/>
        <w:spacing w:after="0" w:line="365" w:lineRule="auto"/>
        <w:tabs>
          <w:tab w:leader="none" w:pos="281"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72" w:lineRule="exact"/>
        <w:rPr>
          <w:rFonts w:ascii="Arial" w:cs="Arial" w:eastAsia="Arial" w:hAnsi="Arial"/>
          <w:sz w:val="18"/>
          <w:szCs w:val="18"/>
          <w:b w:val="1"/>
          <w:bCs w:val="1"/>
          <w:color w:val="auto"/>
        </w:rPr>
      </w:pPr>
    </w:p>
    <w:p>
      <w:pPr>
        <w:ind w:left="280" w:hanging="272"/>
        <w:spacing w:after="0"/>
        <w:tabs>
          <w:tab w:leader="none" w:pos="2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Initial Public Offering of Common Stock</w:t>
      </w:r>
    </w:p>
    <w:p>
      <w:pPr>
        <w:spacing w:after="0" w:line="7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November 2, 2021, we completed our initial public offering, or the IPO, in which we issued and sold 5,400,000 shares of our common stock at a public offering price of $14.00 per share. We received net proceeds from the IPO of $67.8 million, after deducting underwriters’ discounts, commissions and estimated offering-related costs. In connection with the IPO, we granted the underwriters a 30-day option to purchase an additional 810,000 shares. On November 8, 2021, the underwriters exercised the option in full and we issued 810,000 shares of common stock for aggregate net proceeds of $10.5 million, after deducting underwriters’ discounts and commissions of $0.8 million.</w:t>
      </w:r>
    </w:p>
    <w:p>
      <w:pPr>
        <w:spacing w:after="0" w:line="1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offer and sale of all of the shares of our common stock in the IPO were registered under the Securities Act pursuant to a registration statement on Form S-1, as amended (File No. 333-260156), which was declared effective by the SEC on October 28, 2021. Cowen and Company, LLC, SVB Leerink LLC, Evercore Group L.L.C. and BTIG, LLC acted as underwriters for the IPO.</w:t>
      </w:r>
    </w:p>
    <w:p>
      <w:pPr>
        <w:spacing w:after="0" w:line="16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No expenses incurred by us in connection with the IPO were paid directly or indirectly to (i) any of our officers or directors or their associates, (ii) any persons owning 10% or more of any class of our equity securities, or (iii) any of our affiliates, other than payments in the ordinary course of business to officers for salaries and to non-employee directors as compensation for board or board committee service.</w:t>
      </w:r>
    </w:p>
    <w:p>
      <w:pPr>
        <w:spacing w:after="0" w:line="18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There has been no material change in the planned use of proceeds from the IPO from those disclosed in the IPO prospectus. We plan to invest the funds received in cash equivalents and other marketable securities in accordance with our investment policy.</w:t>
      </w:r>
    </w:p>
    <w:p>
      <w:pPr>
        <w:spacing w:after="0" w:line="154" w:lineRule="exact"/>
        <w:rPr>
          <w:sz w:val="20"/>
          <w:szCs w:val="20"/>
          <w:color w:val="auto"/>
        </w:rPr>
      </w:pPr>
    </w:p>
    <w:p>
      <w:pPr>
        <w:ind w:left="520" w:right="7740" w:hanging="512"/>
        <w:spacing w:after="0" w:line="365" w:lineRule="auto"/>
        <w:tabs>
          <w:tab w:leader="none" w:pos="281"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6.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5"/>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Pr>
          <w:p>
            <w:pPr>
              <w:ind w:left="20"/>
              <w:spacing w:after="0" w:line="15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15"/>
          </w:tcPr>
          <w:p>
            <w:pPr>
              <w:spacing w:after="0" w:line="156" w:lineRule="exact"/>
              <w:rPr>
                <w:rFonts w:ascii="Arial" w:cs="Arial" w:eastAsia="Arial" w:hAnsi="Arial"/>
                <w:sz w:val="18"/>
                <w:szCs w:val="18"/>
                <w:color w:val="0000FF"/>
              </w:rPr>
            </w:pPr>
            <w:hyperlink r:id="rId337">
              <w:r>
                <w:rPr>
                  <w:rFonts w:ascii="Arial" w:cs="Arial" w:eastAsia="Arial" w:hAnsi="Arial"/>
                  <w:sz w:val="18"/>
                  <w:szCs w:val="18"/>
                  <w:color w:val="0000FF"/>
                </w:rPr>
                <w:t>Tenth Amended and Restated Certificate of Incorporation of Registrant, as currently in effect (incorporated by reference to</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337">
              <w:r>
                <w:rPr>
                  <w:rFonts w:ascii="Arial" w:cs="Arial" w:eastAsia="Arial" w:hAnsi="Arial"/>
                  <w:sz w:val="18"/>
                  <w:szCs w:val="18"/>
                  <w:color w:val="0000FF"/>
                </w:rPr>
                <w:t>Exhibit 3.1 of the Registrants’ Annual Report on Form 10-K (File No. 001-40971)).</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5"/>
          </w:tcPr>
          <w:p>
            <w:pPr>
              <w:spacing w:after="0" w:line="182" w:lineRule="exact"/>
              <w:rPr>
                <w:rFonts w:ascii="Arial" w:cs="Arial" w:eastAsia="Arial" w:hAnsi="Arial"/>
                <w:sz w:val="18"/>
                <w:szCs w:val="18"/>
                <w:color w:val="0000FF"/>
              </w:rPr>
            </w:pPr>
            <w:hyperlink r:id="rId338">
              <w:r>
                <w:rPr>
                  <w:rFonts w:ascii="Arial" w:cs="Arial" w:eastAsia="Arial" w:hAnsi="Arial"/>
                  <w:sz w:val="18"/>
                  <w:szCs w:val="18"/>
                  <w:color w:val="0000FF"/>
                </w:rPr>
                <w:t>Amended and Restated Bylaws of Registrant, as currently in effect (incorporated by reference to Exhibit 3.2 of the</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338">
              <w:r>
                <w:rPr>
                  <w:rFonts w:ascii="Arial" w:cs="Arial" w:eastAsia="Arial" w:hAnsi="Arial"/>
                  <w:sz w:val="18"/>
                  <w:szCs w:val="18"/>
                  <w:color w:val="0000FF"/>
                  <w:w w:val="99"/>
                </w:rPr>
                <w:t>Registrants’ Annual Report on Form 10-K (File No. 001-40971)).</w:t>
              </w:r>
            </w:hyperlink>
          </w:p>
        </w:tc>
        <w:tc>
          <w:tcPr>
            <w:tcW w:w="20" w:type="dxa"/>
            <w:vAlign w:val="bottom"/>
            <w:tcBorders>
              <w:top w:val="single" w:sz="8" w:color="0000FF"/>
              <w:bottom w:val="single" w:sz="8" w:color="0000EE"/>
            </w:tcBorders>
          </w:tcPr>
          <w:p>
            <w:pPr>
              <w:spacing w:after="0"/>
              <w:rPr>
                <w:sz w:val="14"/>
                <w:szCs w:val="14"/>
                <w:color w:val="auto"/>
              </w:rPr>
            </w:pPr>
          </w:p>
        </w:tc>
        <w:tc>
          <w:tcPr>
            <w:tcW w:w="3960" w:type="dxa"/>
            <w:vAlign w:val="bottom"/>
            <w:tcBorders>
              <w:top w:val="single" w:sz="8" w:color="0000FF"/>
            </w:tcBorders>
            <w:gridSpan w:val="5"/>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5"/>
          </w:tcPr>
          <w:p>
            <w:pPr>
              <w:spacing w:after="0" w:line="182" w:lineRule="exact"/>
              <w:rPr>
                <w:rFonts w:ascii="Arial" w:cs="Arial" w:eastAsia="Arial" w:hAnsi="Arial"/>
                <w:sz w:val="18"/>
                <w:szCs w:val="18"/>
                <w:color w:val="0000FF"/>
              </w:rPr>
            </w:pPr>
            <w:hyperlink r:id="rId339">
              <w:r>
                <w:rPr>
                  <w:rFonts w:ascii="Arial" w:cs="Arial" w:eastAsia="Arial" w:hAnsi="Arial"/>
                  <w:sz w:val="18"/>
                  <w:szCs w:val="18"/>
                  <w:color w:val="0000FF"/>
                </w:rPr>
                <w:t>Fifth Amended and Restated Investors’ Rights Agreement (Incorporated by reference to Exhibit 4.2 to the Registrant’s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339">
              <w:r>
                <w:rPr>
                  <w:rFonts w:ascii="Arial" w:cs="Arial" w:eastAsia="Arial" w:hAnsi="Arial"/>
                  <w:sz w:val="18"/>
                  <w:szCs w:val="18"/>
                  <w:color w:val="0000FF"/>
                </w:rPr>
                <w:t>Registration Statement on Form S-1, as amended (File No. 333-260156)).</w:t>
              </w:r>
            </w:hyperlink>
          </w:p>
        </w:tc>
        <w:tc>
          <w:tcPr>
            <w:tcW w:w="2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5"/>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600" w:type="dxa"/>
            <w:vAlign w:val="bottom"/>
            <w:tcBorders>
              <w:top w:val="single" w:sz="8" w:color="0000FF"/>
            </w:tcBorders>
            <w:gridSpan w:val="7"/>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60" w:type="dxa"/>
            <w:vAlign w:val="bottom"/>
            <w:gridSpan w:val="7"/>
          </w:tcPr>
          <w:p>
            <w:pPr>
              <w:spacing w:after="0" w:line="182" w:lineRule="exact"/>
              <w:rPr>
                <w:sz w:val="20"/>
                <w:szCs w:val="20"/>
                <w:color w:val="auto"/>
              </w:rPr>
            </w:pPr>
            <w:r>
              <w:rPr>
                <w:rFonts w:ascii="Arial" w:cs="Arial" w:eastAsia="Arial" w:hAnsi="Arial"/>
                <w:sz w:val="18"/>
                <w:szCs w:val="18"/>
                <w:color w:val="0000FF"/>
                <w:w w:val="99"/>
              </w:rPr>
              <w:t>Certification of Principal Financial Officer Pursuant to Rules 13a-14(a) and 15d</w:t>
            </w:r>
          </w:p>
        </w:tc>
        <w:tc>
          <w:tcPr>
            <w:tcW w:w="3760" w:type="dxa"/>
            <w:vAlign w:val="bottom"/>
            <w:gridSpan w:val="8"/>
          </w:tcPr>
          <w:p>
            <w:pPr>
              <w:spacing w:after="0" w:line="18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540" w:type="dxa"/>
            <w:vAlign w:val="bottom"/>
            <w:tcBorders>
              <w:top w:val="single" w:sz="8" w:color="0000FF"/>
            </w:tcBorders>
            <w:gridSpan w:val="6"/>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5"/>
          </w:tcPr>
          <w:p>
            <w:pPr>
              <w:spacing w:after="0" w:line="182" w:lineRule="exact"/>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900" w:type="dxa"/>
            <w:vAlign w:val="bottom"/>
            <w:tcBorders>
              <w:top w:val="single" w:sz="8" w:color="0000FF"/>
            </w:tcBorders>
            <w:gridSpan w:val="9"/>
          </w:tcPr>
          <w:p>
            <w:pPr>
              <w:spacing w:after="0"/>
              <w:rPr>
                <w:sz w:val="14"/>
                <w:szCs w:val="14"/>
                <w:color w:val="auto"/>
              </w:rPr>
            </w:pPr>
          </w:p>
        </w:tc>
        <w:tc>
          <w:tcPr>
            <w:tcW w:w="3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5"/>
          </w:tcPr>
          <w:p>
            <w:pPr>
              <w:spacing w:after="0" w:line="177"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1"/>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3740" w:firstLine="21"/>
        <w:spacing w:after="0" w:line="435" w:lineRule="auto"/>
        <w:tabs>
          <w:tab w:leader="none" w:pos="12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9512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both"/>
        <w:ind w:firstLine="8"/>
        <w:spacing w:after="0" w:line="261" w:lineRule="auto"/>
        <w:tabs>
          <w:tab w:leader="none" w:pos="1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Aura Biosciences, Inc.</w:t>
      </w:r>
    </w:p>
    <w:p>
      <w:pPr>
        <w:spacing w:after="0" w:line="198" w:lineRule="exact"/>
        <w:rPr>
          <w:sz w:val="20"/>
          <w:szCs w:val="20"/>
          <w:color w:val="auto"/>
        </w:rPr>
      </w:pPr>
    </w:p>
    <w:p>
      <w:pPr>
        <w:ind w:left="20"/>
        <w:spacing w:after="0"/>
        <w:tabs>
          <w:tab w:leader="none" w:pos="5660" w:val="left"/>
          <w:tab w:leader="none" w:pos="770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Elisabet de los Pinos</w:t>
      </w:r>
    </w:p>
    <w:p>
      <w:pPr>
        <w:spacing w:after="0" w:line="2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80"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Feder</w:t>
      </w:r>
    </w:p>
    <w:p>
      <w:pPr>
        <w:spacing w:after="0" w:line="2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-127635</wp:posOffset>
            </wp:positionV>
            <wp:extent cx="32658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221"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207" w:lineRule="exact"/>
        <w:rPr>
          <w:rFonts w:ascii="Arial" w:cs="Arial" w:eastAsia="Arial" w:hAnsi="Arial"/>
          <w:sz w:val="16"/>
          <w:szCs w:val="16"/>
          <w:color w:val="auto"/>
        </w:rPr>
      </w:pPr>
    </w:p>
    <w:p>
      <w:pPr>
        <w:ind w:right="280" w:firstLine="8"/>
        <w:spacing w:after="0" w:line="268"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60" w:firstLine="8"/>
        <w:spacing w:after="0" w:line="268"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right="70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42" w:lineRule="exact"/>
        <w:rPr>
          <w:rFonts w:ascii="Arial" w:cs="Arial" w:eastAsia="Arial" w:hAnsi="Arial"/>
          <w:sz w:val="16"/>
          <w:szCs w:val="16"/>
          <w:color w:val="auto"/>
        </w:rPr>
      </w:pPr>
    </w:p>
    <w:p>
      <w:pPr>
        <w:ind w:right="20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2" w:lineRule="exact"/>
        <w:rPr>
          <w:rFonts w:ascii="Arial" w:cs="Arial" w:eastAsia="Arial" w:hAnsi="Arial"/>
          <w:sz w:val="16"/>
          <w:szCs w:val="16"/>
          <w:color w:val="auto"/>
        </w:rPr>
      </w:pPr>
    </w:p>
    <w:p>
      <w:pPr>
        <w:ind w:left="780" w:hanging="263"/>
        <w:spacing w:after="0"/>
        <w:tabs>
          <w:tab w:leader="none" w:pos="7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[Reserved]</w:t>
      </w:r>
    </w:p>
    <w:p>
      <w:pPr>
        <w:spacing w:after="0" w:line="315" w:lineRule="exact"/>
        <w:rPr>
          <w:rFonts w:ascii="Arial" w:cs="Arial" w:eastAsia="Arial" w:hAnsi="Arial"/>
          <w:sz w:val="16"/>
          <w:szCs w:val="16"/>
          <w:color w:val="auto"/>
        </w:rPr>
      </w:pPr>
    </w:p>
    <w:p>
      <w:pPr>
        <w:ind w:right="760" w:firstLine="517"/>
        <w:spacing w:after="0" w:line="286" w:lineRule="auto"/>
        <w:tabs>
          <w:tab w:leader="none" w:pos="76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6" w:lineRule="exact"/>
        <w:rPr>
          <w:rFonts w:ascii="Arial" w:cs="Arial" w:eastAsia="Arial" w:hAnsi="Arial"/>
          <w:sz w:val="16"/>
          <w:szCs w:val="16"/>
          <w:color w:val="auto"/>
        </w:rPr>
      </w:pPr>
    </w:p>
    <w:p>
      <w:pPr>
        <w:ind w:firstLine="517"/>
        <w:spacing w:after="0" w:line="275" w:lineRule="auto"/>
        <w:tabs>
          <w:tab w:leader="none" w:pos="77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5" w:lineRule="exact"/>
        <w:rPr>
          <w:rFonts w:ascii="Arial" w:cs="Arial" w:eastAsia="Arial" w:hAnsi="Arial"/>
          <w:sz w:val="16"/>
          <w:szCs w:val="16"/>
          <w:color w:val="auto"/>
        </w:rPr>
      </w:pPr>
    </w:p>
    <w:p>
      <w:pPr>
        <w:ind w:right="440" w:firstLine="8"/>
        <w:spacing w:after="0" w:line="286" w:lineRule="auto"/>
        <w:tabs>
          <w:tab w:leader="none" w:pos="19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6" w:lineRule="exact"/>
        <w:rPr>
          <w:rFonts w:ascii="Arial" w:cs="Arial" w:eastAsia="Arial" w:hAnsi="Arial"/>
          <w:sz w:val="16"/>
          <w:szCs w:val="16"/>
          <w:color w:val="auto"/>
        </w:rPr>
      </w:pPr>
    </w:p>
    <w:p>
      <w:pPr>
        <w:ind w:right="340" w:firstLine="517"/>
        <w:spacing w:after="0" w:line="304" w:lineRule="auto"/>
        <w:tabs>
          <w:tab w:leader="none" w:pos="77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right="280" w:firstLine="517"/>
        <w:spacing w:after="0" w:line="286" w:lineRule="auto"/>
        <w:tabs>
          <w:tab w:leader="none" w:pos="77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7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Aura Biosciences, Inc.</w:t>
            </w:r>
          </w:p>
        </w:tc>
        <w:tc>
          <w:tcPr>
            <w:tcW w:w="3440" w:type="dxa"/>
            <w:vAlign w:val="bottom"/>
          </w:tcPr>
          <w:p>
            <w:pPr>
              <w:spacing w:after="0"/>
              <w:rPr>
                <w:sz w:val="20"/>
                <w:szCs w:val="20"/>
                <w:color w:val="auto"/>
              </w:rPr>
            </w:pPr>
          </w:p>
        </w:tc>
      </w:tr>
      <w:tr>
        <w:trPr>
          <w:trHeight w:val="40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37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w w:val="99"/>
              </w:rPr>
              <w:t>/s/ Elisabet de los Pinos</w:t>
            </w:r>
          </w:p>
        </w:tc>
      </w:tr>
      <w:tr>
        <w:trPr>
          <w:trHeight w:val="184"/>
        </w:trPr>
        <w:tc>
          <w:tcPr>
            <w:tcW w:w="39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tcPr>
          <w:p>
            <w:pPr>
              <w:jc w:val="center"/>
              <w:ind w:right="1290"/>
              <w:spacing w:after="0" w:line="184" w:lineRule="exact"/>
              <w:rPr>
                <w:sz w:val="20"/>
                <w:szCs w:val="20"/>
                <w:color w:val="auto"/>
              </w:rPr>
            </w:pPr>
            <w:r>
              <w:rPr>
                <w:rFonts w:ascii="Times New Roman" w:cs="Times New Roman" w:eastAsia="Times New Roman" w:hAnsi="Times New Roman"/>
                <w:sz w:val="18"/>
                <w:szCs w:val="18"/>
                <w:b w:val="1"/>
                <w:bCs w:val="1"/>
                <w:color w:val="auto"/>
              </w:rPr>
              <w:t>Elisabet de los Pinos</w:t>
            </w:r>
          </w:p>
        </w:tc>
      </w:tr>
    </w:tbl>
    <w:p>
      <w:pPr>
        <w:ind w:left="73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 Julie Feder, certify that:</w:t>
      </w:r>
    </w:p>
    <w:p>
      <w:pPr>
        <w:spacing w:after="0" w:line="221"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207" w:lineRule="exact"/>
        <w:rPr>
          <w:rFonts w:ascii="Arial" w:cs="Arial" w:eastAsia="Arial" w:hAnsi="Arial"/>
          <w:sz w:val="16"/>
          <w:szCs w:val="16"/>
          <w:color w:val="auto"/>
        </w:rPr>
      </w:pPr>
    </w:p>
    <w:p>
      <w:pPr>
        <w:ind w:right="280" w:firstLine="8"/>
        <w:spacing w:after="0" w:line="268"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60" w:firstLine="8"/>
        <w:spacing w:after="0" w:line="268"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right="700" w:firstLine="8"/>
        <w:spacing w:after="0" w:line="286"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42" w:lineRule="exact"/>
        <w:rPr>
          <w:rFonts w:ascii="Arial" w:cs="Arial" w:eastAsia="Arial" w:hAnsi="Arial"/>
          <w:sz w:val="16"/>
          <w:szCs w:val="16"/>
          <w:color w:val="auto"/>
        </w:rPr>
      </w:pPr>
    </w:p>
    <w:p>
      <w:pPr>
        <w:ind w:right="200" w:firstLine="517"/>
        <w:spacing w:after="0" w:line="266" w:lineRule="auto"/>
        <w:tabs>
          <w:tab w:leader="none" w:pos="752"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2" w:lineRule="exact"/>
        <w:rPr>
          <w:rFonts w:ascii="Arial" w:cs="Arial" w:eastAsia="Arial" w:hAnsi="Arial"/>
          <w:sz w:val="16"/>
          <w:szCs w:val="16"/>
          <w:color w:val="auto"/>
        </w:rPr>
      </w:pPr>
    </w:p>
    <w:p>
      <w:pPr>
        <w:ind w:left="780" w:hanging="263"/>
        <w:spacing w:after="0"/>
        <w:tabs>
          <w:tab w:leader="none" w:pos="7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[Reserved]</w:t>
      </w:r>
    </w:p>
    <w:p>
      <w:pPr>
        <w:spacing w:after="0" w:line="315" w:lineRule="exact"/>
        <w:rPr>
          <w:rFonts w:ascii="Arial" w:cs="Arial" w:eastAsia="Arial" w:hAnsi="Arial"/>
          <w:sz w:val="16"/>
          <w:szCs w:val="16"/>
          <w:color w:val="auto"/>
        </w:rPr>
      </w:pPr>
    </w:p>
    <w:p>
      <w:pPr>
        <w:ind w:right="760" w:firstLine="517"/>
        <w:spacing w:after="0" w:line="286" w:lineRule="auto"/>
        <w:tabs>
          <w:tab w:leader="none" w:pos="76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6" w:lineRule="exact"/>
        <w:rPr>
          <w:rFonts w:ascii="Arial" w:cs="Arial" w:eastAsia="Arial" w:hAnsi="Arial"/>
          <w:sz w:val="16"/>
          <w:szCs w:val="16"/>
          <w:color w:val="auto"/>
        </w:rPr>
      </w:pPr>
    </w:p>
    <w:p>
      <w:pPr>
        <w:ind w:firstLine="517"/>
        <w:spacing w:after="0" w:line="275" w:lineRule="auto"/>
        <w:tabs>
          <w:tab w:leader="none" w:pos="77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5" w:lineRule="exact"/>
        <w:rPr>
          <w:rFonts w:ascii="Arial" w:cs="Arial" w:eastAsia="Arial" w:hAnsi="Arial"/>
          <w:sz w:val="16"/>
          <w:szCs w:val="16"/>
          <w:color w:val="auto"/>
        </w:rPr>
      </w:pPr>
    </w:p>
    <w:p>
      <w:pPr>
        <w:ind w:right="440" w:firstLine="8"/>
        <w:spacing w:after="0" w:line="286" w:lineRule="auto"/>
        <w:tabs>
          <w:tab w:leader="none" w:pos="19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6" w:lineRule="exact"/>
        <w:rPr>
          <w:rFonts w:ascii="Arial" w:cs="Arial" w:eastAsia="Arial" w:hAnsi="Arial"/>
          <w:sz w:val="16"/>
          <w:szCs w:val="16"/>
          <w:color w:val="auto"/>
        </w:rPr>
      </w:pPr>
    </w:p>
    <w:p>
      <w:pPr>
        <w:ind w:right="340" w:firstLine="517"/>
        <w:spacing w:after="0" w:line="304" w:lineRule="auto"/>
        <w:tabs>
          <w:tab w:leader="none" w:pos="77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right="280" w:firstLine="517"/>
        <w:spacing w:after="0" w:line="286" w:lineRule="auto"/>
        <w:tabs>
          <w:tab w:leader="none" w:pos="77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7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Aura Biosciences, Inc.</w:t>
            </w:r>
          </w:p>
        </w:tc>
        <w:tc>
          <w:tcPr>
            <w:tcW w:w="3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November 10, 2022</w:t>
            </w:r>
          </w:p>
        </w:tc>
        <w:tc>
          <w:tcPr>
            <w:tcW w:w="37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/s/ Julie Feder</w:t>
            </w:r>
          </w:p>
        </w:tc>
        <w:tc>
          <w:tcPr>
            <w:tcW w:w="60" w:type="dxa"/>
            <w:vAlign w:val="bottom"/>
          </w:tcPr>
          <w:p>
            <w:pPr>
              <w:spacing w:after="0"/>
              <w:rPr>
                <w:sz w:val="24"/>
                <w:szCs w:val="24"/>
                <w:color w:val="auto"/>
              </w:rPr>
            </w:pPr>
          </w:p>
        </w:tc>
      </w:tr>
      <w:tr>
        <w:trPr>
          <w:trHeight w:val="160"/>
        </w:trPr>
        <w:tc>
          <w:tcPr>
            <w:tcW w:w="40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3460" w:type="dxa"/>
            <w:vAlign w:val="bottom"/>
            <w:tcBorders>
              <w:top w:val="single" w:sz="8" w:color="auto"/>
            </w:tcBorders>
          </w:tcPr>
          <w:p>
            <w:pPr>
              <w:jc w:val="center"/>
              <w:ind w:right="1270"/>
              <w:spacing w:after="0" w:line="160" w:lineRule="exact"/>
              <w:rPr>
                <w:sz w:val="20"/>
                <w:szCs w:val="20"/>
                <w:color w:val="auto"/>
              </w:rPr>
            </w:pPr>
            <w:r>
              <w:rPr>
                <w:rFonts w:ascii="Times New Roman" w:cs="Times New Roman" w:eastAsia="Times New Roman" w:hAnsi="Times New Roman"/>
                <w:sz w:val="18"/>
                <w:szCs w:val="18"/>
                <w:b w:val="1"/>
                <w:bCs w:val="1"/>
                <w:color w:val="auto"/>
                <w:w w:val="99"/>
              </w:rPr>
              <w:t>Julie Feder</w:t>
            </w:r>
          </w:p>
        </w:tc>
        <w:tc>
          <w:tcPr>
            <w:tcW w:w="60" w:type="dxa"/>
            <w:vAlign w:val="bottom"/>
          </w:tcPr>
          <w:p>
            <w:pPr>
              <w:spacing w:after="0"/>
              <w:rPr>
                <w:sz w:val="13"/>
                <w:szCs w:val="13"/>
                <w:color w:val="auto"/>
              </w:rPr>
            </w:pPr>
          </w:p>
        </w:tc>
      </w:tr>
      <w:tr>
        <w:trPr>
          <w:trHeight w:val="238"/>
        </w:trPr>
        <w:tc>
          <w:tcPr>
            <w:tcW w:w="40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6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60" w:type="dxa"/>
            <w:vAlign w:val="bottom"/>
          </w:tcPr>
          <w:p>
            <w:pPr>
              <w:spacing w:after="0"/>
              <w:rPr>
                <w:sz w:val="20"/>
                <w:szCs w:val="20"/>
                <w:color w:val="auto"/>
              </w:rPr>
            </w:pPr>
          </w:p>
        </w:tc>
      </w:tr>
      <w:tr>
        <w:trPr>
          <w:trHeight w:val="1060"/>
        </w:trPr>
        <w:tc>
          <w:tcPr>
            <w:tcW w:w="40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connection with the Quarterly Report on Form 10-Q of Aura Biosciences, Inc. (the “Company”) for the period ended September 30, 2022 as filed with the Securities and Exchange Commission on the date hereof (the “Report”), each of the undersigned certifies, pursuant to 18 U.S.C. §1350, as adopted pursuant to §906 of the Sarbanes-Oxley Act of 2002, that, to the best of her knowledge:</w:t>
      </w:r>
    </w:p>
    <w:p>
      <w:pPr>
        <w:spacing w:after="0" w:line="385" w:lineRule="exact"/>
        <w:rPr>
          <w:sz w:val="20"/>
          <w:szCs w:val="20"/>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8" w:lineRule="exact"/>
        <w:rPr>
          <w:rFonts w:ascii="Arial" w:cs="Arial" w:eastAsia="Arial" w:hAnsi="Arial"/>
          <w:sz w:val="18"/>
          <w:szCs w:val="18"/>
          <w:color w:val="auto"/>
        </w:rPr>
      </w:pPr>
    </w:p>
    <w:p>
      <w:pPr>
        <w:ind w:left="760" w:right="220" w:hanging="378"/>
        <w:spacing w:after="0" w:line="287"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2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Aura Biosciences, Inc.</w:t>
            </w:r>
          </w:p>
        </w:tc>
        <w:tc>
          <w:tcPr>
            <w:tcW w:w="60" w:type="dxa"/>
            <w:vAlign w:val="bottom"/>
          </w:tcPr>
          <w:p>
            <w:pPr>
              <w:spacing w:after="0"/>
              <w:rPr>
                <w:sz w:val="20"/>
                <w:szCs w:val="20"/>
                <w:color w:val="auto"/>
              </w:rPr>
            </w:pPr>
          </w:p>
        </w:tc>
      </w:tr>
      <w:tr>
        <w:trPr>
          <w:trHeight w:val="432"/>
        </w:trPr>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November 10, 2022</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Elisabet de los Pinos</w:t>
            </w:r>
          </w:p>
        </w:tc>
        <w:tc>
          <w:tcPr>
            <w:tcW w:w="60" w:type="dxa"/>
            <w:vAlign w:val="bottom"/>
          </w:tcPr>
          <w:p>
            <w:pPr>
              <w:spacing w:after="0"/>
              <w:rPr>
                <w:sz w:val="24"/>
                <w:szCs w:val="24"/>
                <w:color w:val="auto"/>
              </w:rPr>
            </w:pPr>
          </w:p>
        </w:tc>
      </w:tr>
      <w:tr>
        <w:trPr>
          <w:trHeight w:val="187"/>
        </w:trPr>
        <w:tc>
          <w:tcPr>
            <w:tcW w:w="5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Elisabet de los Pinos</w:t>
            </w:r>
          </w:p>
        </w:tc>
        <w:tc>
          <w:tcPr>
            <w:tcW w:w="60" w:type="dxa"/>
            <w:vAlign w:val="bottom"/>
          </w:tcPr>
          <w:p>
            <w:pPr>
              <w:spacing w:after="0"/>
              <w:rPr>
                <w:sz w:val="16"/>
                <w:szCs w:val="16"/>
                <w:color w:val="auto"/>
              </w:rPr>
            </w:pPr>
          </w:p>
        </w:tc>
      </w:tr>
      <w:tr>
        <w:trPr>
          <w:trHeight w:val="238"/>
        </w:trPr>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60" w:type="dxa"/>
            <w:vAlign w:val="bottom"/>
          </w:tcPr>
          <w:p>
            <w:pPr>
              <w:spacing w:after="0"/>
              <w:rPr>
                <w:sz w:val="20"/>
                <w:szCs w:val="20"/>
                <w:color w:val="auto"/>
              </w:rPr>
            </w:pPr>
          </w:p>
        </w:tc>
      </w:tr>
      <w:tr>
        <w:trPr>
          <w:trHeight w:val="621"/>
        </w:trPr>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November 10, 2022</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Julie Feder</w:t>
            </w:r>
          </w:p>
        </w:tc>
        <w:tc>
          <w:tcPr>
            <w:tcW w:w="60" w:type="dxa"/>
            <w:vAlign w:val="bottom"/>
          </w:tcPr>
          <w:p>
            <w:pPr>
              <w:spacing w:after="0"/>
              <w:rPr>
                <w:sz w:val="24"/>
                <w:szCs w:val="24"/>
                <w:color w:val="auto"/>
              </w:rPr>
            </w:pPr>
          </w:p>
        </w:tc>
      </w:tr>
      <w:tr>
        <w:trPr>
          <w:trHeight w:val="187"/>
        </w:trPr>
        <w:tc>
          <w:tcPr>
            <w:tcW w:w="5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Julie Feder</w:t>
            </w:r>
          </w:p>
        </w:tc>
        <w:tc>
          <w:tcPr>
            <w:tcW w:w="60" w:type="dxa"/>
            <w:vAlign w:val="bottom"/>
          </w:tcPr>
          <w:p>
            <w:pPr>
              <w:spacing w:after="0"/>
              <w:rPr>
                <w:sz w:val="16"/>
                <w:szCs w:val="16"/>
                <w:color w:val="auto"/>
              </w:rPr>
            </w:pPr>
          </w:p>
        </w:tc>
      </w:tr>
      <w:tr>
        <w:trPr>
          <w:trHeight w:val="238"/>
        </w:trPr>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60" w:type="dxa"/>
            <w:vAlign w:val="bottom"/>
          </w:tcPr>
          <w:p>
            <w:pPr>
              <w:spacing w:after="0"/>
              <w:rPr>
                <w:sz w:val="20"/>
                <w:szCs w:val="20"/>
                <w:color w:val="auto"/>
              </w:rPr>
            </w:pPr>
          </w:p>
        </w:tc>
      </w:tr>
      <w:tr>
        <w:trPr>
          <w:trHeight w:val="885"/>
        </w:trPr>
        <w:tc>
          <w:tcPr>
            <w:tcW w:w="5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2"/>
    </w:lvl>
  </w:abstractNum>
  <w:abstractNum w:abstractNumId="8">
    <w:nsid w:val="2CA88611"/>
    <w:multiLevelType w:val="hybridMultilevel"/>
    <w:lvl w:ilvl="0">
      <w:lvlJc w:val="left"/>
      <w:lvlText w:val="%1."/>
      <w:numFmt w:val="decimal"/>
      <w:start w:val="842"/>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3"/>
    </w:lvl>
  </w:abstractNum>
  <w:abstractNum w:abstractNumId="42">
    <w:nsid w:val="57E4CCAF"/>
    <w:multiLevelType w:val="hybridMultilevel"/>
    <w:lvl w:ilvl="0">
      <w:lvlJc w:val="left"/>
      <w:lvlText w:val="*"/>
      <w:numFmt w:val="bullet"/>
      <w:start w:val="1"/>
    </w:lvl>
    <w:lvl w:ilvl="1">
      <w:lvlJc w:val="left"/>
      <w:lvlText w:val="%2"/>
      <w:numFmt w:val="decimal"/>
      <w:start w:val="104"/>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37" Type="http://schemas.openxmlformats.org/officeDocument/2006/relationships/hyperlink" Target="https://www.sec.gov/Archives/edgar/data/1501796/000095017022004425/aura-ex3_1.htm" TargetMode="External"/><Relationship Id="rId338" Type="http://schemas.openxmlformats.org/officeDocument/2006/relationships/hyperlink" Target="https://www.sec.gov/Archives/edgar/data/1501796/000095017022004425/aura-ex3_2.htm" TargetMode="External"/><Relationship Id="rId339" Type="http://schemas.openxmlformats.org/officeDocument/2006/relationships/hyperlink" Target="https://www.sec.gov/Archives/edgar/data/1501796/000119312521295543/d20958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2022-11-10T06:19:24Z</dcterms:created>
  <dcterms:modified xsi:type="dcterms:W3CDTF">2022-11-10T06:19:24Z</dcterms:modified>
</cp:coreProperties>
</file>