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Aura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TCG Crossover GP II,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4,766,667.00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4,766,667.00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4,766,667.00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These securities are held of record by TCG Crossover II (as defined in Item 2(a)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This total excludes 1,900,000 shares of Common Stock subject to Pre-Funded Warrants (the Pre-Funded Warrants) which are not exercisable within 60 days of this Statement because the Pre-Funded Warrants may not be exercised to the extent that doing so would result in the holder of the Pre-Funded Warrants and (together with the holder's affiliates and any other persons acting as a group together with the holder or any of the holder's affiliates) beneficially owning more than 9.99 percent of the shares of Common Stock then outstanding immediately after giving effect to such exercise (the Beneficial Ownership Limitation). Based on 96,255,907 shares of Common Stock, as follows: (a) 103,178,777 outstanding as of May 5, 2026, following the underwritten offering that closed on May 5, 2026 (the Offering), as reported by the Issuer (as defined in Item 1(a) below) in its prospectus filed with the United States Securities and Exchange Commission (the Commission) on May 7, 2026 (the Prospectus), minus (b) 6,922,870 shares of Common Stock assuming completion of the Stock Repurchase (as defined in the Prospectus).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TCG Crossover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4,766,667.00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46" w:orient="portrait"/>
          <w:cols w:equalWidth="0" w:num="1">
            <w:col w:w="11220"/>
          </w:cols>
          <w:pgMar w:left="320" w:top="102" w:right="359" w:bottom="0" w:gutter="0" w:footer="0" w:header="0"/>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46" w:orient="portrait"/>
          <w:cols w:equalWidth="0" w:num="1">
            <w:col w:w="11220"/>
          </w:cols>
          <w:pgMar w:left="320" w:top="102" w:right="359" w:bottom="0" w:gutter="0" w:footer="0" w:header="0"/>
          <w:type w:val="continuous"/>
        </w:sectPr>
      </w:pPr>
    </w:p>
    <w:bookmarkStart w:id="2" w:name="page3"/>
    <w:bookmarkEnd w:id="2"/>
    <w:p>
      <w:pPr>
        <w:ind w:left="1440" w:right="8040" w:hanging="231"/>
        <w:spacing w:after="0" w:line="259" w:lineRule="auto"/>
        <w:tabs>
          <w:tab w:leader="none" w:pos="1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4,766,667.00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4,766,667.00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These securities are held of record by TCG Crossover II. TCG Crossover GP II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This total excludes 1,900,000 shares of Common Stock subject to Pre-Funded Warrants which are not exercisable within 60 days of this Statement due to the Beneficial Ownership Limitation. Based on 96,255,907 shares of Common Stock, as follows: (a) 103,178,777 outstanding as of May 5, 2026, following the Offering, as reported by the Issuer in the Prospectus, minus (b) 6,922,870 shares of Common Stock assuming completion of the Stock Repurchase (as defined in the 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TCG Crossover GP III,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111" w:right="459" w:bottom="35"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4,766,666.00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4,766,666.00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4,766,666.00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9960"/>
          </w:cols>
          <w:pgMar w:left="320" w:top="111" w:right="459" w:bottom="35"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120"/>
          </w:cols>
          <w:pgMar w:left="320" w:top="111" w:right="459" w:bottom="35" w:gutter="0" w:footer="0" w:header="0"/>
          <w:type w:val="continuous"/>
        </w:sectPr>
      </w:pPr>
    </w:p>
    <w:bookmarkStart w:id="3" w:name="page4"/>
    <w:bookmarkEnd w:id="3"/>
    <w:p>
      <w:pPr>
        <w:spacing w:after="0" w:line="79" w:lineRule="exact"/>
        <w:rPr>
          <w:sz w:val="20"/>
          <w:szCs w:val="20"/>
          <w:color w:val="auto"/>
        </w:rPr>
      </w:pPr>
    </w:p>
    <w:p>
      <w:pPr>
        <w:ind w:left="1160" w:right="5760" w:hanging="1112"/>
        <w:spacing w:after="0" w:line="371" w:lineRule="auto"/>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5.0 %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These securities are held of record by TCG Crossover III (as defined in Item 2(a)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TCG Crossover GP III (as defined in Item 2(a) below) is 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This total excludes 1,900,000 shares of Common Stock subject to Pre-Funded Warrants which are not exercisable within 60 days of this Statement due to the Beneficial Ownership Limitation. Based on 96,255,907 shares of Common Stock, as follows: (a) 103,178,777 outstanding as of May 5, 2026, following the Offering, as reported by the Issuer in the Prospectus, minus (b) 6,922,870 shares of Common Stock assuming completion of the Stock Repurchase (as defined in the 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TCG Crossover Fund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18" w:orient="portrait"/>
          <w:cols w:equalWidth="0" w:num="1">
            <w:col w:w="11220"/>
          </w:cols>
          <w:pgMar w:left="320" w:top="1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4,766,666.00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4,766,666.00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4,766,666.00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18" w:orient="portrait"/>
          <w:cols w:equalWidth="0" w:num="2">
            <w:col w:w="1100" w:space="60"/>
            <w:col w:w="10060"/>
          </w:cols>
          <w:pgMar w:left="320" w:top="112" w:right="359" w:bottom="0" w:gutter="0" w:footer="0" w:header="0"/>
          <w:type w:val="continuous"/>
        </w:sectPr>
      </w:pPr>
    </w:p>
    <w:p>
      <w:pPr>
        <w:spacing w:after="0" w:line="7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These securities are held of record by TCG Crossover III. TCG Crossover GP III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This total excludes 1,900,000 shares of Common Stock subject to Pre-</w:t>
      </w:r>
    </w:p>
    <w:p>
      <w:pPr>
        <w:sectPr>
          <w:pgSz w:w="11900" w:h="16918" w:orient="portrait"/>
          <w:cols w:equalWidth="0" w:num="1">
            <w:col w:w="11220"/>
          </w:cols>
          <w:pgMar w:left="320" w:top="112" w:right="359" w:bottom="0" w:gutter="0" w:footer="0" w:header="0"/>
          <w:type w:val="continuous"/>
        </w:sectPr>
      </w:pPr>
    </w:p>
    <w:bookmarkStart w:id="4" w:name="page5"/>
    <w:bookmarkEnd w:id="4"/>
    <w:p>
      <w:pPr>
        <w:ind w:right="180"/>
        <w:spacing w:after="0"/>
        <w:rPr>
          <w:sz w:val="20"/>
          <w:szCs w:val="20"/>
          <w:color w:val="auto"/>
        </w:rPr>
      </w:pPr>
      <w:r>
        <w:rPr>
          <w:rFonts w:ascii="Times New Roman" w:cs="Times New Roman" w:eastAsia="Times New Roman" w:hAnsi="Times New Roman"/>
          <w:sz w:val="22"/>
          <w:szCs w:val="22"/>
          <w:color w:val="auto"/>
        </w:rPr>
        <w:t>Funded Warrants which are not exercisable within 60 days of this Statement due to the Beneficial Ownership Limitation. Based on 96,255,907 shares of Common Stock, as follows: (a) 103,178,777 outstanding as of May 5, 2026, following the Offering, as reported by the Issuer in the Prospectus, minus (b) 6,922,870 shares of Common Stock assuming completion of the Stock Repurchase (as defined in the Prospectus).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Chen Yu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2" w:right="359" w:bottom="404"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9,533,333.00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9,533,333.00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9,533,333.00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112" w:right="359" w:bottom="404"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Consists of (i) 4,766,667 shares of Common Stock held of record by TCG Crossover</w:t>
      </w:r>
    </w:p>
    <w:p>
      <w:pPr>
        <w:spacing w:after="0" w:line="30" w:lineRule="exact"/>
        <w:rPr>
          <w:sz w:val="20"/>
          <w:szCs w:val="20"/>
          <w:color w:val="auto"/>
        </w:rPr>
      </w:pPr>
    </w:p>
    <w:p>
      <w:pPr>
        <w:ind w:firstLine="8"/>
        <w:spacing w:after="0" w:line="231" w:lineRule="auto"/>
        <w:tabs>
          <w:tab w:leader="none" w:pos="1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 4,766,666 shares of Common Stock held of record by TCG Crossover III. TCG Crossover GP II is the general partner of TCG Crossover II and may be deemed to have voting, investment, and dispositive power with respect to the securities held of record by TCG Crossover II. TCG Crossover GP III is the general partner of TCG Crossover III and may be deemed to have voting, investment, and dispositive power with respect to the securities held of record by TCG Crossover III. Chen Yu is the sole managing member of each of TCG Crossover GP II and TCG Crossover GP III and may be deemed to share voting, investment and dispositive power with respect to the securities held of record by TCG Crossover II and TCG Crossover III. This total excludes an aggregate of 3,800,000 shares of Common Stock subject to Pre-Funded Warrants held of record by TCG Crossover II and held of record by TCG Crossover III which are not exercisable within 60 days of this Statement due to the Beneficial Ownership Limitation. Based on 96,255,907 shares of Common Stock, as follows: (a) 103,178,777 outstanding as of May 5, 2026, following the Offering, as reported by the Issuer in the Prospectus, minus (b) 6,922,870 shares of Common Stock assuming completion of the Stock Repurchase (as defined in the Prospectus).</w:t>
      </w:r>
    </w:p>
    <w:p>
      <w:pPr>
        <w:sectPr>
          <w:pgSz w:w="11900" w:h="16838" w:orient="portrait"/>
          <w:cols w:equalWidth="0" w:num="1">
            <w:col w:w="11220"/>
          </w:cols>
          <w:pgMar w:left="320" w:top="112" w:right="359" w:bottom="404"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Aura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 Guest Street, Boston, MA 02135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80"/>
        <w:spacing w:after="0" w:line="249" w:lineRule="auto"/>
        <w:rPr>
          <w:sz w:val="20"/>
          <w:szCs w:val="20"/>
          <w:color w:val="auto"/>
        </w:rPr>
      </w:pPr>
      <w:r>
        <w:rPr>
          <w:rFonts w:ascii="Times New Roman" w:cs="Times New Roman" w:eastAsia="Times New Roman" w:hAnsi="Times New Roman"/>
          <w:sz w:val="21"/>
          <w:szCs w:val="21"/>
          <w:color w:val="auto"/>
        </w:rPr>
        <w:t>This joint statement on Schedule 13G is being filed by TCG Crossover Fund II, L.P. (TCG Crossover II), TCG Crossover GP II, LLC (TCG Crossover GP II), TCG Crossover Fund III, L.P. (TCG Crossover III) and TCG Crossover GP III, LLC (TCG Crossover GP III and together with TCG Crossover II, TCG Crossover GP II and TCG</w:t>
      </w:r>
    </w:p>
    <w:p>
      <w:pPr>
        <w:spacing w:after="0" w:line="1" w:lineRule="exact"/>
        <w:rPr>
          <w:sz w:val="20"/>
          <w:szCs w:val="20"/>
          <w:color w:val="auto"/>
        </w:rPr>
      </w:pPr>
    </w:p>
    <w:p>
      <w:pPr>
        <w:ind w:left="920" w:right="100" w:hanging="912"/>
        <w:spacing w:after="0" w:line="204"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Crossover III,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to this Statement as Exhibit 1. Other than those securities reported herein as being held directly by such Reporting Person, each Reporting Person disclaims beneficial ownership of all securities reported in this Statement except to the extent of such Reporting Person's pecuniary interest therein.</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280" w:hanging="912"/>
        <w:spacing w:after="0"/>
        <w:tabs>
          <w:tab w:leader="none" w:pos="92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Reporting Person is 245 Lytton Ave., Suite 350, Palo Alto, CA 94301.</w:t>
      </w:r>
    </w:p>
    <w:p>
      <w:pPr>
        <w:spacing w:after="0" w:line="91"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hanging="912"/>
        <w:spacing w:after="0" w:line="24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TCG Crossover GP II and TCG Crossover GP III are each a limited liability company organized under the laws of the State of Delaware. TCG Crossover II and TCG Crossover III are each a limited partnership organized under the laws of the State of Delaware. The Reporting Individual is a citizen of the United States of America.</w:t>
      </w:r>
    </w:p>
    <w:p>
      <w:pPr>
        <w:sectPr>
          <w:pgSz w:w="11900" w:h="16838" w:orient="portrait"/>
          <w:cols w:equalWidth="0" w:num="1">
            <w:col w:w="11120"/>
          </w:cols>
          <w:pgMar w:left="360" w:top="110" w:right="41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0" w:right="419" w:bottom="0" w:gutter="0" w:footer="0" w:header="0"/>
          <w:type w:val="continuous"/>
        </w:sect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 9 of the cover page for each Reporting Person and the corresponding comments.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040"/>
        <w:spacing w:after="0"/>
        <w:rPr>
          <w:sz w:val="20"/>
          <w:szCs w:val="20"/>
          <w:color w:val="auto"/>
        </w:rPr>
      </w:pPr>
      <w:r>
        <w:rPr>
          <w:rFonts w:ascii="Times New Roman" w:cs="Times New Roman" w:eastAsia="Times New Roman" w:hAnsi="Times New Roman"/>
          <w:sz w:val="22"/>
          <w:szCs w:val="22"/>
          <w:color w:val="auto"/>
        </w:rPr>
        <w:t>See Row 11 of the cover page for each Reporting Person and the corresponding comments. %</w:t>
      </w:r>
    </w:p>
    <w:p>
      <w:pPr>
        <w:spacing w:after="0" w:line="20"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0" w:right="41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Row 5 of the cover page for each Reporting Person and the corresponding comments.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the cover page for each Reporting Person and the corresponding comments.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7 of the cover page for each Reporting Person and the corresponding comments.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the cover page for each Reporting Person and the corresponding comments.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 certain circumstances set forth in the limited partnership agreements of TCG Crossover II and TCG Crossover</w:t>
      </w:r>
    </w:p>
    <w:p>
      <w:pPr>
        <w:spacing w:after="0" w:line="26" w:lineRule="exact"/>
        <w:rPr>
          <w:sz w:val="20"/>
          <w:szCs w:val="20"/>
          <w:color w:val="auto"/>
        </w:rPr>
      </w:pPr>
    </w:p>
    <w:p>
      <w:pPr>
        <w:ind w:right="60" w:firstLine="6"/>
        <w:spacing w:after="0" w:line="234" w:lineRule="auto"/>
        <w:tabs>
          <w:tab w:leader="none" w:pos="27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the limited liability company agreements of TCG Crossover GP II and TCG Crossover GP III,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TCG Crossover GP II,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TCG Crossover Fund II, L.P.</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TCG Crossover GP III,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ectPr>
          <w:pgSz w:w="11900" w:h="16838" w:orient="portrait"/>
          <w:cols w:equalWidth="0" w:num="1">
            <w:col w:w="11140"/>
          </w:cols>
          <w:pgMar w:left="360" w:top="355" w:right="399" w:bottom="0" w:gutter="0" w:footer="0" w:header="0"/>
          <w:type w:val="continuous"/>
        </w:sectPr>
      </w:pPr>
    </w:p>
    <w:bookmarkStart w:id="7" w:name="page8"/>
    <w:bookmarkEnd w:id="7"/>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TCG Crossover Fund III, L.P.</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Chen Yu</w:t>
      </w:r>
    </w:p>
    <w:p>
      <w:pPr>
        <w:spacing w:after="0" w:line="152" w:lineRule="exact"/>
        <w:rPr>
          <w:sz w:val="20"/>
          <w:szCs w:val="20"/>
          <w:color w:val="auto"/>
        </w:rPr>
      </w:pPr>
    </w:p>
    <w:p>
      <w:pPr>
        <w:ind w:left="5380"/>
        <w:spacing w:after="0"/>
        <w:tabs>
          <w:tab w:leader="none" w:pos="6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1"/>
          <w:szCs w:val="21"/>
          <w:color w:val="auto"/>
        </w:rPr>
        <w:t>Name/Title: Craig Skaling, as Attorney-in-Fact for Chen Yu</w:t>
      </w:r>
    </w:p>
    <w:p>
      <w:pPr>
        <w:spacing w:after="0" w:line="56" w:lineRule="exact"/>
        <w:rPr>
          <w:sz w:val="20"/>
          <w:szCs w:val="20"/>
          <w:color w:val="auto"/>
        </w:rPr>
      </w:pPr>
    </w:p>
    <w:p>
      <w:pPr>
        <w:ind w:left="5380"/>
        <w:spacing w:after="0"/>
        <w:tabs>
          <w:tab w:leader="none" w:pos="6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08" w:lineRule="exact"/>
        <w:rPr>
          <w:sz w:val="20"/>
          <w:szCs w:val="20"/>
          <w:color w:val="auto"/>
        </w:rPr>
      </w:pPr>
    </w:p>
    <w:p>
      <w:pPr>
        <w:jc w:val="center"/>
        <w:ind w:right="76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 Joint Filing Agreement</w:t>
      </w:r>
    </w:p>
    <w:sectPr>
      <w:pgSz w:w="11900" w:h="16838" w:orient="portrait"/>
      <w:cols w:equalWidth="0" w:num="1">
        <w:col w:w="10580"/>
      </w:cols>
      <w:pgMar w:left="360" w:top="111"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8"/>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2"/>
      <w:numFmt w:val="bullet"/>
      <w:start w:val="1"/>
    </w:lvl>
  </w:abstractNum>
  <w:abstractNum w:abstractNumId="9">
    <w:nsid w:val="66EF438D"/>
    <w:multiLevelType w:val="hybridMultilevel"/>
    <w:lvl w:ilvl="0">
      <w:lvlJc w:val="left"/>
      <w:lvlText w:val="%1"/>
      <w:numFmt w:val="upperLetter"/>
      <w:start w:val="35"/>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1"/>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2026-05-12T17:07:41Z</dcterms:created>
  <dcterms:modified xsi:type="dcterms:W3CDTF">2026-05-12T17:07:41Z</dcterms:modified>
</cp:coreProperties>
</file>