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05153U107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3,113,550.00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3,113,550.00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3,113,550.00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66" w:right="6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3,113,550.00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940"/>
          </w:cols>
          <w:pgMar w:left="320" w:top="166" w:right="6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3,113,550.00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3,113,550.00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1"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3,113,550.00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3,113,550.00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3,113,550.00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ectPr>
          <w:pgSz w:w="11900" w:h="16838" w:orient="portrait"/>
          <w:cols w:equalWidth="0" w:num="2">
            <w:col w:w="1100" w:space="60"/>
            <w:col w:w="9780"/>
          </w:cols>
          <w:pgMar w:left="320" w:top="111" w:right="6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0940"/>
          </w:cols>
          <w:pgMar w:left="320" w:top="111" w:right="6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2"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12" w:right="6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ectPr>
          <w:pgSz w:w="11900" w:h="16838" w:orient="portrait"/>
          <w:cols w:equalWidth="0" w:num="1">
            <w:col w:w="10940"/>
          </w:cols>
          <w:pgMar w:left="320" w:top="112" w:right="6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20" w:top="112" w:right="639" w:bottom="0" w:gutter="0" w:footer="0" w:header="0"/>
          <w:type w:val="continuous"/>
        </w:sectPr>
      </w:pPr>
    </w:p>
    <w:bookmarkStart w:id="4" w:name="page5"/>
    <w:bookmarkEnd w:id="4"/>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7" w:orient="portrait"/>
          <w:cols w:equalWidth="0" w:num="1">
            <w:col w:w="10940"/>
          </w:cols>
          <w:pgMar w:left="320" w:top="149"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9780"/>
          </w:cols>
          <w:pgMar w:left="320" w:top="149" w:right="6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47" w:orient="portrait"/>
          <w:cols w:equalWidth="0" w:num="1">
            <w:col w:w="10940"/>
          </w:cols>
          <w:pgMar w:left="320" w:top="149" w:right="6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918,510.00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355" w:right="6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128,520.00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940"/>
          </w:cols>
          <w:pgMar w:left="320" w:top="355" w:right="639" w:bottom="0" w:gutter="0" w:footer="0" w:header="0"/>
          <w:type w:val="continuous"/>
        </w:sectPr>
      </w:pPr>
    </w:p>
    <w:bookmarkStart w:id="6" w:name="page7"/>
    <w:bookmarkEnd w:id="6"/>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128,520.00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128,520.00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1"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128,520.00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ectPr>
          <w:pgSz w:w="11900" w:h="16838" w:orient="portrait"/>
          <w:cols w:equalWidth="0" w:num="2">
            <w:col w:w="1100" w:space="60"/>
            <w:col w:w="9780"/>
          </w:cols>
          <w:pgMar w:left="320" w:top="111" w:right="639" w:bottom="0" w:gutter="0" w:footer="0" w:header="0"/>
          <w:type w:val="continuous"/>
        </w:sectPr>
      </w:pPr>
    </w:p>
    <w:bookmarkStart w:id="7" w:name="page8"/>
    <w:bookmarkEnd w:id="7"/>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1" w:right="639" w:bottom="35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128,520.00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111" w:right="639" w:bottom="356"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ectPr>
          <w:pgSz w:w="11900" w:h="16838" w:orient="portrait"/>
          <w:cols w:equalWidth="0" w:num="1">
            <w:col w:w="10940"/>
          </w:cols>
          <w:pgMar w:left="320" w:top="111" w:right="639" w:bottom="356"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0"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342,210.00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10" w:right="6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0" w:right="639" w:bottom="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342,210.00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342,210.00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111" w:right="639" w:bottom="0" w:gutter="0" w:footer="0" w:header="0"/>
          <w:type w:val="continuous"/>
        </w:sectPr>
      </w:pPr>
    </w:p>
    <w:bookmarkStart w:id="10" w:name="page11"/>
    <w:bookmarkEnd w:id="10"/>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342,210.00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342,210.00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2"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9780"/>
          </w:cols>
          <w:pgMar w:left="320" w:top="112" w:right="639" w:bottom="0" w:gutter="0" w:footer="0" w:header="0"/>
          <w:type w:val="continuous"/>
        </w:sectPr>
      </w:pPr>
    </w:p>
    <w:bookmarkStart w:id="11" w:name="page12"/>
    <w:bookmarkEnd w:id="11"/>
    <w:p>
      <w:pPr>
        <w:ind w:left="1160"/>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355"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355" w:right="6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ectPr>
          <w:pgSz w:w="11900" w:h="16838" w:orient="portrait"/>
          <w:cols w:equalWidth="0" w:num="1">
            <w:col w:w="10940"/>
          </w:cols>
          <w:pgMar w:left="320" w:top="355" w:right="639" w:bottom="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810"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597,210.00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810" w:right="63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by the Reporting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and do not include any warrants held by the Reporting Person.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2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40"/>
          </w:cols>
          <w:pgMar w:left="320" w:top="810" w:right="639" w:bottom="0" w:gutter="0" w:footer="0" w:header="0"/>
          <w:type w:val="continuous"/>
        </w:sectPr>
      </w:pPr>
    </w:p>
    <w:bookmarkStart w:id="13" w:name="page14"/>
    <w:bookmarkEnd w:id="13"/>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128,520.00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128,520.00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20"/>
          </w:cols>
          <w:pgMar w:left="320" w:top="369" w:right="59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directly by Frazier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 Sciences X, L.P. and do not include any warrants held directly by Frazier Life Sciences X, L.P.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369" w:right="599" w:bottom="0" w:gutter="0" w:footer="0" w:header="0"/>
          <w:type w:val="continuous"/>
        </w:sectPr>
      </w:pPr>
    </w:p>
    <w:bookmarkStart w:id="14" w:name="page15"/>
    <w:bookmarkEnd w:id="1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128,520.00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128,520.00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128,520.00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amounts reported in rows 6, 8 and 9 represent shares held directly by Frazier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 Sciences X, L.P. and do not include any warrants held directly by Frazier Life Sciences X, L.P. See item 4(a) to this Statement. The percentage listed in row 11 is calculated based the sum of (i) 50,268,758 shares of the Issuer's Common Stock outstanding as of May 9, 2025, as reported in the Issuer's Quarterly Report on Form 10-Q filed with the SEC on May 15, 2025, and (ii) 11,735,565 shares of Common Stock that were sold by the Issuer in connection with its public offering as set forth as described in the Issuer's Prospectus Supplement filed with the SEC pursuant to Rule 424(b)(5) on May 16,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Albert Cha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0980"/>
          </w:cols>
          <w:pgMar w:left="320" w:top="102" w:right="599" w:bottom="0" w:gutter="0" w:footer="0" w:header="0"/>
        </w:sectPr>
      </w:pPr>
    </w:p>
    <w:bookmarkStart w:id="15" w:name="page16"/>
    <w:bookmarkEnd w:id="1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05153U107</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Estes</w:t>
      </w:r>
    </w:p>
    <w:p>
      <w:pPr>
        <w:sectPr>
          <w:pgSz w:w="11900" w:h="16871" w:orient="portrait"/>
          <w:cols w:equalWidth="0" w:num="1">
            <w:col w:w="10099"/>
          </w:cols>
          <w:pgMar w:left="360" w:top="612" w:right="1440" w:bottom="0" w:gutter="0" w:footer="0" w:header="0"/>
          <w:type w:val="continuous"/>
        </w:sectPr>
      </w:pPr>
    </w:p>
    <w:bookmarkStart w:id="16" w:name="page17"/>
    <w:bookmarkEnd w:id="16"/>
    <w:p>
      <w:pPr>
        <w:ind w:left="1120" w:hanging="1112"/>
        <w:spacing w:after="0"/>
        <w:tabs>
          <w:tab w:leader="none" w:pos="11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60"/>
          </w:cols>
          <w:pgMar w:left="360" w:top="112" w:right="4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40"/>
          </w:cols>
          <w:pgMar w:left="360" w:top="112" w:right="47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Guest Street, Boston, MA, 02135.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right="20"/>
        <w:spacing w:after="0" w:line="253" w:lineRule="auto"/>
        <w:rPr>
          <w:sz w:val="20"/>
          <w:szCs w:val="20"/>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 Fund, L.P. ("FLSPF") FHMLSP, L.P. FHMLSP, L.L.C. Frazier Life Sciences Public Overage Fund, L.P. ("FLSPOF")</w:t>
      </w:r>
    </w:p>
    <w:p>
      <w:pPr>
        <w:spacing w:after="0" w:line="1" w:lineRule="exact"/>
        <w:rPr>
          <w:sz w:val="20"/>
          <w:szCs w:val="20"/>
          <w:color w:val="auto"/>
        </w:rPr>
      </w:pPr>
    </w:p>
    <w:p>
      <w:pPr>
        <w:ind w:left="920" w:hanging="912"/>
        <w:spacing w:after="0" w:line="233"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FHMLSP Overage, L.P. FHMLSP Overage, L.L.C. Frazier Life Sciences X, L.P. ("FLS X") FHMLS X, L.P. FHMLS X, L.L.C. Frazier Life Sciences XI, L.P. ("FLS XI") FHMLS XI, L.P. FHMLS XI, L.L.C. Frazier Life Sciences XII, L.P. ("FLS XII") FHMLS XII, L.P. FHMLS XII, L.L.C. James N. Topper ("Topper") Patrick J. Heron ("Heron") Albert Cha ("Cha") James Brush ("Brush") Daniel Estes ("Estes" and together with Topper, Heron, Cha and Brush, the "Members")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78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place of business for each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58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4 of each Reporting Person's cover page to this Statement is incorporated by reference.</w:t>
      </w:r>
    </w:p>
    <w:p>
      <w:pPr>
        <w:sectPr>
          <w:pgSz w:w="11900" w:h="16838" w:orient="portrait"/>
          <w:cols w:equalWidth="0" w:num="1">
            <w:col w:w="11060"/>
          </w:cols>
          <w:pgMar w:left="360" w:top="112" w:right="479" w:bottom="0" w:gutter="0" w:footer="0" w:header="0"/>
          <w:type w:val="continuous"/>
        </w:sectPr>
      </w:pPr>
    </w:p>
    <w:bookmarkStart w:id="17" w:name="page18"/>
    <w:bookmarkEnd w:id="17"/>
    <w:p>
      <w:pPr>
        <w:ind w:left="920" w:hanging="912"/>
        <w:spacing w:after="0"/>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05153U107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information contained in row 9 of each Reporting Person's cover page to this Statement (including the footnotes thereto) is incorporated by reference. FLSPF directly holds 3,113,550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and this Statement corrects any previous attribution to, and overstatement of beneficial ownership by, such members as reflected in any prior Statements. FLSPOF directly holds 918,510 shares of Common Stock. FHMLSP Overage, L.P. is the general partner of FLSPOF and the general partner of FHMLSP Overage, L.P. is FHMLSP Overage, L.L.C., which is managed by an investment committee of four that acts by majority vote. Accordingly, no members of such committee are attributed beneficial ownership of the securities directly held by FLSPOF, and this Statement corrects any previous attribution to, and overstatement of beneficial ownership by, such members as reflected in any prior Statements. FLS X directly holds 128,520 shares of Common Stock. FHMLS X, L.P. is the general partner of FLS X and FHMLS X, L.L.C. is the general partner of FHMLS X, L.P. Heron and Topper are the members of FHMLS X, L.L.C. and therefore share voting and investment power over the shares of Common Stock held by FLS X. FLS XI directly holds 342,210 shares of Common Stock. FHMLS XI, L.P. is the general partner of FLS XI and the general partner of FHMLS XI, L.P. is FHMLS XI, L.L.C., which is managed by an investment committee of three that acts by majority vote. Accordingly, no members of such</w:t>
      </w:r>
    </w:p>
    <w:p>
      <w:pPr>
        <w:spacing w:after="0" w:line="16" w:lineRule="exact"/>
        <w:rPr>
          <w:sz w:val="20"/>
          <w:szCs w:val="20"/>
          <w:color w:val="auto"/>
        </w:rPr>
      </w:pPr>
    </w:p>
    <w:p>
      <w:pPr>
        <w:ind w:left="920" w:right="40" w:hanging="912"/>
        <w:spacing w:after="0" w:line="242" w:lineRule="auto"/>
        <w:tabs>
          <w:tab w:leader="none" w:pos="9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committee are attributed beneficial ownership of the securities directly held by FLS XI, and this Statement corrects any previous attribution to, and overstatement of beneficial ownership by, such members as reflected in any prior Statements. FLS XII directly holds 597,210 shares of Common Stock. FHMLS XI,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and this Statement corrects any previous attribution to, and overstatement of beneficial ownership by, such members as reflected in any prior Statements. The above referenced beneficial ownership and amounts reflected on the cover pages hereto do not include certain prefunded warrants to acquire shares of Common Stock (the "Warrants"), the exercise of which is subject to certain beneficial ownership limitations. In this regard, (i) FLSPF holds Warrants to purchase 778,388 shares of Common Stock, (Ii) FLSPOF holds Warrants to purchase 229,628 shares of Common Stock, (iii) FLS X holds Warrants to purchase 32,130 shares of Common Stock, (iv) FLS XI holds Warrants to purchase 85,552 shares of Common Stock and (v) FLS XII holds Warrants to purchase 149,302 shares of Common Stock, each of which cannot be exercised, if, upon giving effect to such exercise, the aggregate number of shares of Common Stock beneficially owned by the holder of such Warrant (together with its affiliates or any other persons acting as a group together with such holder) would exceed 9.99% of the number of shares of Common Stock outstanding immediately after giving effect to such exercise. Except as specifically stated herein, the filing of this Statement shall not be construed as an admission that any Reporting Person or any of the foregoing is, for the purposes of Section 13(d) and/or Section 13(g) of the Act or otherwise, the beneficial owner of any securities covered by this Statement or a member of a "group" with any other person.</w:t>
      </w:r>
    </w:p>
    <w:p>
      <w:pPr>
        <w:spacing w:after="0" w:line="20"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60"/>
          </w:cols>
          <w:pgMar w:left="360" w:top="112" w:right="479" w:bottom="262" w:gutter="0" w:footer="0" w:header="0"/>
        </w:sectPr>
      </w:pPr>
    </w:p>
    <w:bookmarkStart w:id="18" w:name="page19"/>
    <w:bookmarkEnd w:id="18"/>
    <w:p>
      <w:pPr>
        <w:ind w:left="920" w:right="560"/>
        <w:spacing w:after="0" w:line="256" w:lineRule="auto"/>
        <w:rPr>
          <w:sz w:val="20"/>
          <w:szCs w:val="20"/>
          <w:color w:val="auto"/>
        </w:rPr>
      </w:pPr>
      <w:r>
        <w:rPr>
          <w:rFonts w:ascii="Times New Roman" w:cs="Times New Roman" w:eastAsia="Times New Roman" w:hAnsi="Times New Roman"/>
          <w:sz w:val="22"/>
          <w:szCs w:val="22"/>
          <w:color w:val="auto"/>
        </w:rPr>
        <w:t>The information contained in row 11 of each Reporting Person's cover page to this Schedule 13G (including the footnotes thereto) is incorporated by reference. %</w:t>
      </w:r>
    </w:p>
    <w:p>
      <w:pPr>
        <w:spacing w:after="0" w:line="1" w:lineRule="exact"/>
        <w:rPr>
          <w:sz w:val="20"/>
          <w:szCs w:val="20"/>
          <w:color w:val="auto"/>
        </w:rPr>
      </w:pPr>
    </w:p>
    <w:p>
      <w:pPr>
        <w:ind w:left="920" w:hanging="912"/>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ectPr>
          <w:pgSz w:w="11900" w:h="16838" w:orient="portrait"/>
          <w:cols w:equalWidth="0" w:num="1">
            <w:col w:w="11140"/>
          </w:cols>
          <w:pgMar w:left="360" w:top="112" w:right="399" w:bottom="0" w:gutter="0" w:footer="0" w:header="0"/>
          <w:type w:val="continuous"/>
        </w:sectPr>
      </w:pPr>
    </w:p>
    <w:bookmarkStart w:id="19" w:name="page20"/>
    <w:bookmarkEnd w:id="19"/>
    <w:p>
      <w:pPr>
        <w:ind w:left="416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5"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CFO of FHMLSP Overage,</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5660"/>
        <w:spacing w:after="0"/>
        <w:rPr>
          <w:sz w:val="20"/>
          <w:szCs w:val="20"/>
          <w:color w:val="auto"/>
        </w:rPr>
      </w:pPr>
      <w:r>
        <w:rPr>
          <w:rFonts w:ascii="Times New Roman" w:cs="Times New Roman" w:eastAsia="Times New Roman" w:hAnsi="Times New Roman"/>
          <w:sz w:val="21"/>
          <w:szCs w:val="21"/>
          <w:color w:val="auto"/>
        </w:rPr>
        <w:t>Frazier Life Sciences Public Overage Fund, L.P.</w:t>
      </w:r>
    </w:p>
    <w:p>
      <w:pPr>
        <w:spacing w:after="0" w:line="3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 GP of FHMLSP Overage,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CFO of FHMLS X, L.L.C.,</w:t>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Gordon Empey</w:t>
      </w:r>
    </w:p>
    <w:p>
      <w:pPr>
        <w:sectPr>
          <w:pgSz w:w="11900" w:h="16838" w:orient="portrait"/>
          <w:cols w:equalWidth="0" w:num="1">
            <w:col w:w="9860"/>
          </w:cols>
          <w:pgMar w:left="1440" w:top="111" w:right="599" w:bottom="0" w:gutter="0" w:footer="0" w:header="0"/>
        </w:sectPr>
      </w:pPr>
    </w:p>
    <w:bookmarkStart w:id="20" w:name="page21"/>
    <w:bookmarkEnd w:id="20"/>
    <w:p>
      <w:pPr>
        <w:ind w:left="5660"/>
        <w:spacing w:after="0"/>
        <w:rPr>
          <w:sz w:val="20"/>
          <w:szCs w:val="20"/>
          <w:color w:val="auto"/>
        </w:rPr>
      </w:pPr>
      <w:r>
        <w:rPr>
          <w:rFonts w:ascii="Times New Roman" w:cs="Times New Roman" w:eastAsia="Times New Roman" w:hAnsi="Times New Roman"/>
          <w:sz w:val="22"/>
          <w:szCs w:val="22"/>
          <w:color w:val="auto"/>
        </w:rPr>
        <w:t>Name/Title: By Gordon Empey, General Counsel of FHMLS</w:t>
      </w:r>
    </w:p>
    <w:p>
      <w:pPr>
        <w:spacing w:after="0" w:line="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XII, L.L.C., GP of FHMLS XII, L.P., GP of</w:t>
      </w:r>
    </w:p>
    <w:p>
      <w:pPr>
        <w:ind w:left="6740"/>
        <w:spacing w:after="0"/>
        <w:rPr>
          <w:sz w:val="20"/>
          <w:szCs w:val="20"/>
          <w:color w:val="auto"/>
        </w:rPr>
      </w:pPr>
      <w:r>
        <w:rPr>
          <w:rFonts w:ascii="Times New Roman" w:cs="Times New Roman" w:eastAsia="Times New Roman" w:hAnsi="Times New Roman"/>
          <w:sz w:val="22"/>
          <w:szCs w:val="22"/>
          <w:color w:val="auto"/>
        </w:rPr>
        <w:t>Frazier Life Sciences XII,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FHMLS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Gordon Empey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Gordon Empey, General Counsel of FHMLS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XII, L.L.C., GP of FHMLS XII,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FHMLS XII,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Gordon Empey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Gordon Empey, General Counsel of FHMLS</w:t>
      </w:r>
    </w:p>
    <w:p>
      <w:pPr>
        <w:spacing w:after="0" w:line="1" w:lineRule="exact"/>
        <w:rPr>
          <w:sz w:val="20"/>
          <w:szCs w:val="20"/>
          <w:color w:val="auto"/>
        </w:rPr>
      </w:pPr>
    </w:p>
    <w:p>
      <w:pPr>
        <w:jc w:val="right"/>
        <w:ind w:right="3400"/>
        <w:spacing w:after="0"/>
        <w:rPr>
          <w:sz w:val="20"/>
          <w:szCs w:val="20"/>
          <w:color w:val="auto"/>
        </w:rPr>
      </w:pPr>
      <w:r>
        <w:rPr>
          <w:rFonts w:ascii="Times New Roman" w:cs="Times New Roman" w:eastAsia="Times New Roman" w:hAnsi="Times New Roman"/>
          <w:sz w:val="22"/>
          <w:szCs w:val="22"/>
          <w:color w:val="auto"/>
        </w:rPr>
        <w:t>XII, L.L.C.</w:t>
      </w:r>
    </w:p>
    <w:p>
      <w:pPr>
        <w:spacing w:after="0" w:line="20" w:lineRule="exact"/>
        <w:rPr>
          <w:sz w:val="20"/>
          <w:szCs w:val="20"/>
          <w:color w:val="auto"/>
        </w:rPr>
      </w:pPr>
    </w:p>
    <w:p>
      <w:pPr>
        <w:jc w:val="both"/>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Attorney-in-Fact for James N.</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Topper, pursuant to a Power of Attorney, a copy</w:t>
      </w:r>
    </w:p>
    <w:p>
      <w:pPr>
        <w:ind w:left="6740"/>
        <w:spacing w:after="0"/>
        <w:rPr>
          <w:sz w:val="20"/>
          <w:szCs w:val="20"/>
          <w:color w:val="auto"/>
        </w:rPr>
      </w:pPr>
      <w:r>
        <w:rPr>
          <w:rFonts w:ascii="Times New Roman" w:cs="Times New Roman" w:eastAsia="Times New Roman" w:hAnsi="Times New Roman"/>
          <w:sz w:val="21"/>
          <w:szCs w:val="21"/>
          <w:color w:val="auto"/>
        </w:rPr>
        <w:t>of which was filed with the SEC on July 31, 2017</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Heron, pursuant to a Power of Attorney, a copy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July 31, 2017</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Albert</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Cha, pursuant to a Power of Attorney, a copy of</w:t>
      </w:r>
    </w:p>
    <w:p>
      <w:pPr>
        <w:ind w:left="6740"/>
        <w:spacing w:after="0"/>
        <w:rPr>
          <w:sz w:val="20"/>
          <w:szCs w:val="20"/>
          <w:color w:val="auto"/>
        </w:rPr>
      </w:pPr>
      <w:r>
        <w:rPr>
          <w:rFonts w:ascii="Times New Roman" w:cs="Times New Roman" w:eastAsia="Times New Roman" w:hAnsi="Times New Roman"/>
          <w:sz w:val="21"/>
          <w:szCs w:val="21"/>
          <w:color w:val="auto"/>
        </w:rPr>
        <w:t>which was filed with the SEC on August 16, 2021</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color w:val="auto"/>
        </w:rPr>
        <w:t>Name/Title: Brush, pursuant to a Power of Attorney, a copy of</w:t>
      </w:r>
    </w:p>
    <w:p>
      <w:pPr>
        <w:jc w:val="right"/>
        <w:ind w:right="40"/>
        <w:spacing w:after="0"/>
        <w:rPr>
          <w:sz w:val="20"/>
          <w:szCs w:val="20"/>
          <w:color w:val="auto"/>
        </w:rPr>
      </w:pPr>
      <w:r>
        <w:rPr>
          <w:rFonts w:ascii="Times New Roman" w:cs="Times New Roman" w:eastAsia="Times New Roman" w:hAnsi="Times New Roman"/>
          <w:sz w:val="22"/>
          <w:szCs w:val="22"/>
          <w:color w:val="auto"/>
        </w:rPr>
        <w:t>which was filed with the SEC on August 16, 2021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Estes, pursuant to a Power of Attorney, a copy of</w:t>
      </w: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April 18, 2022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dated as of May 23, 2025, incorporated by reference into this Statement.</w:t>
      </w:r>
    </w:p>
    <w:sectPr>
      <w:pgSz w:w="11900" w:h="16838" w:orient="portrait"/>
      <w:cols w:equalWidth="0" w:num="1">
        <w:col w:w="11120"/>
      </w:cols>
      <w:pgMar w:left="36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2"/>
      <w:numFmt w:val="bullet"/>
      <w:start w:val="1"/>
    </w:lvl>
  </w:abstractNum>
  <w:abstractNum w:abstractNumId="1">
    <w:nsid w:val="431BD7B7"/>
    <w:multiLevelType w:val="hybridMultilevel"/>
    <w:lvl w:ilvl="0">
      <w:lvlJc w:val="left"/>
      <w:lvlText w:val="3"/>
      <w:numFmt w:val="bullet"/>
      <w:start w:val="1"/>
    </w:lvl>
  </w:abstractNum>
  <w:abstractNum w:abstractNumId="2">
    <w:nsid w:val="3F2DBA31"/>
    <w:multiLevelType w:val="hybridMultilevel"/>
    <w:lvl w:ilvl="0">
      <w:lvlJc w:val="left"/>
      <w:lvlText w:val="2"/>
      <w:numFmt w:val="bullet"/>
      <w:start w:val="1"/>
    </w:lvl>
  </w:abstractNum>
  <w:abstractNum w:abstractNumId="3">
    <w:nsid w:val="7C83E458"/>
    <w:multiLevelType w:val="hybridMultilevel"/>
    <w:lvl w:ilvl="0">
      <w:lvlJc w:val="left"/>
      <w:lvlText w:val="3"/>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2"/>
      <w:numFmt w:val="bullet"/>
      <w:start w:val="1"/>
    </w:lvl>
  </w:abstractNum>
  <w:abstractNum w:abstractNumId="6">
    <w:nsid w:val="436C6125"/>
    <w:multiLevelType w:val="hybridMultilevel"/>
    <w:lvl w:ilvl="0">
      <w:lvlJc w:val="left"/>
      <w:lvlText w:val="2"/>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3"/>
      <w:numFmt w:val="bullet"/>
      <w:start w:val="1"/>
    </w:lvl>
  </w:abstractNum>
  <w:abstractNum w:abstractNumId="9">
    <w:nsid w:val="721DA317"/>
    <w:multiLevelType w:val="hybridMultilevel"/>
    <w:lvl w:ilvl="0">
      <w:lvlJc w:val="left"/>
      <w:lvlText w:val="4"/>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2"/>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2"/>
      <w:numFmt w:val="bullet"/>
      <w:start w:val="1"/>
    </w:lvl>
  </w:abstractNum>
  <w:abstractNum w:abstractNumId="17">
    <w:nsid w:val="B03E0C6"/>
    <w:multiLevelType w:val="hybridMultilevel"/>
    <w:lvl w:ilvl="0">
      <w:lvlJc w:val="left"/>
      <w:lvlText w:val="2"/>
      <w:numFmt w:val="bullet"/>
      <w:start w:val="1"/>
    </w:lvl>
  </w:abstractNum>
  <w:abstractNum w:abstractNumId="18">
    <w:nsid w:val="189A769B"/>
    <w:multiLevelType w:val="hybridMultilevel"/>
    <w:lvl w:ilvl="0">
      <w:lvlJc w:val="left"/>
      <w:lvlText w:val="3"/>
      <w:numFmt w:val="bullet"/>
      <w:start w:val="1"/>
    </w:lvl>
  </w:abstractNum>
  <w:abstractNum w:abstractNumId="19">
    <w:nsid w:val="54E49EB4"/>
    <w:multiLevelType w:val="hybridMultilevel"/>
    <w:lvl w:ilvl="0">
      <w:lvlJc w:val="left"/>
      <w:lvlText w:val="2"/>
      <w:numFmt w:val="bullet"/>
      <w:start w:val="1"/>
    </w:lvl>
  </w:abstractNum>
  <w:abstractNum w:abstractNumId="20">
    <w:nsid w:val="71F32454"/>
    <w:multiLevelType w:val="hybridMultilevel"/>
    <w:lvl w:ilvl="0">
      <w:lvlJc w:val="left"/>
      <w:lvlText w:val="2"/>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2"/>
      <w:numFmt w:val="bullet"/>
      <w:start w:val="1"/>
    </w:lvl>
  </w:abstractNum>
  <w:abstractNum w:abstractNumId="23">
    <w:nsid w:val="2901D82"/>
    <w:multiLevelType w:val="hybridMultilevel"/>
    <w:lvl w:ilvl="0">
      <w:lvlJc w:val="left"/>
      <w:lvlText w:val="2"/>
      <w:numFmt w:val="bullet"/>
      <w:start w:val="1"/>
    </w:lvl>
  </w:abstractNum>
  <w:abstractNum w:abstractNumId="24">
    <w:nsid w:val="3A95F874"/>
    <w:multiLevelType w:val="hybridMultilevel"/>
    <w:lvl w:ilvl="0">
      <w:lvlJc w:val="left"/>
      <w:lvlText w:val="3"/>
      <w:numFmt w:val="bullet"/>
      <w:start w:val="1"/>
    </w:lvl>
  </w:abstractNum>
  <w:abstractNum w:abstractNumId="25">
    <w:nsid w:val="8138641"/>
    <w:multiLevelType w:val="hybridMultilevel"/>
    <w:lvl w:ilvl="0">
      <w:lvlJc w:val="left"/>
      <w:lvlText w:val="2"/>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2"/>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2025-08-14T12:51:02Z</dcterms:created>
  <dcterms:modified xsi:type="dcterms:W3CDTF">2025-08-14T12:51:02Z</dcterms:modified>
</cp:coreProperties>
</file>