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27,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AURA BIOSCIENCES,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32-0271970</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 Guest Street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02135</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500-8864</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Aura Biosciences, Inc. 2021 Stock Option and Incentive Plan</w:t>
      </w:r>
    </w:p>
    <w:p>
      <w:pPr>
        <w:spacing w:after="0" w:line="3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Aura Biosciences, Inc. 2021 Employee Stock Purchase Plan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Elisabet de los Pinos, Ph.D.</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Aura Biosciences,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 Guest Street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02135</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500-8864</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Stuart Cable, Esq.</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Danielle Lauzon, Esq.</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Stephanie A. Richards, Esq.</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 Northern Avenue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824"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on Form S-8 relating to the 2021 Stock Option and Incentive Plan (the “2021 Plan”) and the 2021 Employee Stock Purchase Plan (“the “2021 ESPP”) (together, the “Plans”) of Aura Biosciences, Inc. (the “Registrant”) is being filed for the purpose of registering additional securities of the same class as other securities for which a registration statement on Form S-8 relating to the Plans has previously been filed and is effective. Accordingly, pursuant to General Instruction E, the information contained in the Registrant’s registration statements on Form S-8 (File No. </w:t>
      </w:r>
      <w:hyperlink r:id="rId19">
        <w:r>
          <w:rPr>
            <w:rFonts w:ascii="Times New Roman" w:cs="Times New Roman" w:eastAsia="Times New Roman" w:hAnsi="Times New Roman"/>
            <w:sz w:val="18"/>
            <w:szCs w:val="18"/>
            <w:u w:val="single" w:color="auto"/>
            <w:color w:val="0000EE"/>
          </w:rPr>
          <w:t>333-260589</w:t>
        </w:r>
      </w:hyperlink>
      <w:r>
        <w:rPr>
          <w:rFonts w:ascii="Times New Roman" w:cs="Times New Roman" w:eastAsia="Times New Roman" w:hAnsi="Times New Roman"/>
          <w:sz w:val="18"/>
          <w:szCs w:val="18"/>
          <w:color w:val="auto"/>
        </w:rPr>
        <w:t xml:space="preserve">, File No. </w:t>
      </w:r>
      <w:hyperlink r:id="rId20">
        <w:r>
          <w:rPr>
            <w:rFonts w:ascii="Times New Roman" w:cs="Times New Roman" w:eastAsia="Times New Roman" w:hAnsi="Times New Roman"/>
            <w:sz w:val="18"/>
            <w:szCs w:val="18"/>
            <w:u w:val="single" w:color="auto"/>
            <w:color w:val="0000EE"/>
          </w:rPr>
          <w:t>333-263801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21">
        <w:r>
          <w:rPr>
            <w:rFonts w:ascii="Times New Roman" w:cs="Times New Roman" w:eastAsia="Times New Roman" w:hAnsi="Times New Roman"/>
            <w:sz w:val="18"/>
            <w:szCs w:val="18"/>
            <w:u w:val="single" w:color="auto"/>
            <w:color w:val="0000EE"/>
          </w:rPr>
          <w:t>333-270571</w:t>
        </w:r>
      </w:hyperlink>
      <w:r>
        <w:rPr>
          <w:rFonts w:ascii="Times New Roman" w:cs="Times New Roman" w:eastAsia="Times New Roman" w:hAnsi="Times New Roman"/>
          <w:sz w:val="18"/>
          <w:szCs w:val="18"/>
          <w:color w:val="auto"/>
        </w:rPr>
        <w:t>) is hereby incorporated by reference and made a part of this Registration Statement on Form S-8, except as presented below in Part II, Item 8. Exhibits.</w:t>
      </w:r>
    </w:p>
    <w:p>
      <w:pPr>
        <w:sectPr>
          <w:pgSz w:w="11900" w:h="16838" w:orient="portrait"/>
          <w:cols w:equalWidth="0" w:num="1">
            <w:col w:w="10920"/>
          </w:cols>
          <w:pgMar w:left="440" w:top="266" w:right="539" w:bottom="1440" w:gutter="0" w:footer="0" w:header="0"/>
        </w:sectPr>
      </w:pPr>
    </w:p>
    <w:bookmarkStart w:id="2" w:name="page3"/>
    <w:bookmarkEnd w:id="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00" w:lineRule="exact"/>
        <w:rPr>
          <w:sz w:val="20"/>
          <w:szCs w:val="20"/>
          <w:color w:val="auto"/>
        </w:rPr>
      </w:pPr>
    </w:p>
    <w:p>
      <w:pPr>
        <w:spacing w:after="0" w:line="241" w:lineRule="exact"/>
        <w:rPr>
          <w:sz w:val="20"/>
          <w:szCs w:val="20"/>
          <w:color w:val="auto"/>
        </w:rPr>
      </w:pPr>
    </w:p>
    <w:tbl>
      <w:tblPr>
        <w:tblLayout w:type="fixed"/>
        <w:tblInd w:w="24"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362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2620" w:type="dxa"/>
            <w:vAlign w:val="bottom"/>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20" w:type="dxa"/>
            <w:vAlign w:val="bottom"/>
            <w:vMerge w:val="restart"/>
          </w:tcPr>
          <w:p>
            <w:pPr>
              <w:ind w:left="29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2620" w:type="dxa"/>
            <w:vAlign w:val="bottom"/>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rPr>
              <w:t>No.</w:t>
            </w: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04" w:hanging="804"/>
        <w:spacing w:after="0" w:line="282" w:lineRule="auto"/>
        <w:tabs>
          <w:tab w:leader="none" w:pos="84"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23">
        <w:r>
          <w:rPr>
            <w:rFonts w:ascii="Times New Roman" w:cs="Times New Roman" w:eastAsia="Times New Roman" w:hAnsi="Times New Roman"/>
            <w:sz w:val="18"/>
            <w:szCs w:val="18"/>
            <w:u w:val="single" w:color="auto"/>
            <w:color w:val="0000EE"/>
          </w:rPr>
          <w:t>Specimen Common Stock Certificate of the Registrant (Incorporated by reference to Exhibit 4.1 to the Registrant’s Registration Statement on</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Form S-1, as amended (File No. 333-260156), filed with the Securities and Exchange Commission on October 25, 2021).</w:t>
        </w:r>
      </w:hyperlink>
    </w:p>
    <w:p>
      <w:pPr>
        <w:spacing w:after="0" w:line="53" w:lineRule="exact"/>
        <w:rPr>
          <w:rFonts w:ascii="Times New Roman" w:cs="Times New Roman" w:eastAsia="Times New Roman" w:hAnsi="Times New Roman"/>
          <w:sz w:val="18"/>
          <w:szCs w:val="18"/>
          <w:u w:val="single" w:color="auto"/>
          <w:color w:val="0000EE"/>
        </w:rPr>
      </w:pPr>
    </w:p>
    <w:p>
      <w:pPr>
        <w:ind w:left="804" w:right="340" w:hanging="804"/>
        <w:spacing w:after="0" w:line="282" w:lineRule="auto"/>
        <w:tabs>
          <w:tab w:leader="none" w:pos="84"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24">
        <w:r>
          <w:rPr>
            <w:rFonts w:ascii="Times New Roman" w:cs="Times New Roman" w:eastAsia="Times New Roman" w:hAnsi="Times New Roman"/>
            <w:sz w:val="18"/>
            <w:szCs w:val="18"/>
            <w:u w:val="single" w:color="auto"/>
            <w:color w:val="0000EE"/>
          </w:rPr>
          <w:t>Tenth Amended and Restated Certificate of Incorporation (Incorporated by reference to Exhibit 3.1 to the Registrant’s Current Report on</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Form 8-K (File No. 001-40971) filed with the Securities and Exchange Commission on November 2, 2021).</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  4.3</w:t>
      </w:r>
      <w:hyperlink r:id="rId25">
        <w:r>
          <w:rPr>
            <w:rFonts w:ascii="Times New Roman" w:cs="Times New Roman" w:eastAsia="Times New Roman" w:hAnsi="Times New Roman"/>
            <w:sz w:val="17"/>
            <w:szCs w:val="17"/>
            <w:u w:val="single" w:color="auto"/>
            <w:color w:val="0000EE"/>
          </w:rPr>
          <w:t>Amended and Restated Bylaws (Incorporated by reference to Exhibit 3.2 to the Registrant’s Current Report on Form 8-K (File</w:t>
        </w:r>
      </w:hyperlink>
    </w:p>
    <w:p>
      <w:pPr>
        <w:spacing w:after="0" w:line="39" w:lineRule="exact"/>
        <w:rPr>
          <w:rFonts w:ascii="Times New Roman" w:cs="Times New Roman" w:eastAsia="Times New Roman" w:hAnsi="Times New Roman"/>
          <w:sz w:val="18"/>
          <w:szCs w:val="18"/>
          <w:u w:val="single" w:color="auto"/>
          <w:color w:val="0000EE"/>
        </w:rPr>
      </w:pPr>
    </w:p>
    <w:p>
      <w:pPr>
        <w:ind w:left="804"/>
        <w:spacing w:after="0"/>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No. 001-40971) filed with the Securities and Exchange Commission on November 2, 2021).</w:t>
        </w:r>
      </w:hyperlink>
    </w:p>
    <w:p>
      <w:pPr>
        <w:spacing w:after="0" w:line="99" w:lineRule="exact"/>
        <w:rPr>
          <w:rFonts w:ascii="Times New Roman" w:cs="Times New Roman" w:eastAsia="Times New Roman" w:hAnsi="Times New Roman"/>
          <w:sz w:val="18"/>
          <w:szCs w:val="18"/>
          <w:u w:val="single" w:color="auto"/>
          <w:color w:val="0000EE"/>
        </w:rPr>
      </w:pPr>
    </w:p>
    <w:p>
      <w:pPr>
        <w:ind w:left="804" w:right="220" w:hanging="804"/>
        <w:spacing w:after="0" w:line="282" w:lineRule="auto"/>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4.4</w:t>
      </w:r>
      <w:hyperlink r:id="rId26">
        <w:r>
          <w:rPr>
            <w:rFonts w:ascii="Times New Roman" w:cs="Times New Roman" w:eastAsia="Times New Roman" w:hAnsi="Times New Roman"/>
            <w:sz w:val="18"/>
            <w:szCs w:val="18"/>
            <w:u w:val="single" w:color="auto"/>
            <w:color w:val="0000EE"/>
          </w:rPr>
          <w:t>Fifth Amended and Restated Investors’ Rights Agreement (Incorporated by reference to Exhibit 4.2 to the Registration Statement on Form</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S-1 (File No. 333-260156) filed with the Securities and Exchange Commission on October 8, 2021).</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5.1*    </w:t>
      </w:r>
      <w:r>
        <w:rPr>
          <w:rFonts w:ascii="Times New Roman" w:cs="Times New Roman" w:eastAsia="Times New Roman" w:hAnsi="Times New Roman"/>
          <w:sz w:val="16"/>
          <w:szCs w:val="16"/>
          <w:u w:val="single" w:color="auto"/>
          <w:color w:val="0000EE"/>
        </w:rPr>
        <w:t>Opinion of Goodwin Procter LLP.</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23.1*    </w:t>
      </w:r>
      <w:r>
        <w:rPr>
          <w:rFonts w:ascii="Times New Roman" w:cs="Times New Roman" w:eastAsia="Times New Roman" w:hAnsi="Times New Roman"/>
          <w:sz w:val="16"/>
          <w:szCs w:val="16"/>
          <w:u w:val="single" w:color="auto"/>
          <w:color w:val="0000EE"/>
        </w:rPr>
        <w:t>Consent of Ernst &amp; Young, Independent Registered Public Accounting Firm.</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23.2*    </w:t>
      </w:r>
      <w:r>
        <w:rPr>
          <w:rFonts w:ascii="Times New Roman" w:cs="Times New Roman" w:eastAsia="Times New Roman" w:hAnsi="Times New Roman"/>
          <w:sz w:val="16"/>
          <w:szCs w:val="16"/>
          <w:u w:val="single" w:color="auto"/>
          <w:color w:val="0000EE"/>
        </w:rPr>
        <w:t>Consent of Goodwin Procter LLP (included in Exhibit 5.1).</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24.1*    </w:t>
      </w:r>
      <w:r>
        <w:rPr>
          <w:rFonts w:ascii="Times New Roman" w:cs="Times New Roman" w:eastAsia="Times New Roman" w:hAnsi="Times New Roman"/>
          <w:sz w:val="16"/>
          <w:szCs w:val="16"/>
          <w:u w:val="single" w:color="auto"/>
          <w:color w:val="0000EE"/>
        </w:rPr>
        <w:t>Power of Attorney (included on signature page).</w:t>
      </w:r>
    </w:p>
    <w:p>
      <w:pPr>
        <w:spacing w:after="0" w:line="140" w:lineRule="exact"/>
        <w:rPr>
          <w:rFonts w:ascii="Times New Roman" w:cs="Times New Roman" w:eastAsia="Times New Roman" w:hAnsi="Times New Roman"/>
          <w:sz w:val="16"/>
          <w:szCs w:val="16"/>
          <w:color w:val="auto"/>
        </w:rPr>
      </w:pPr>
    </w:p>
    <w:p>
      <w:pPr>
        <w:ind w:left="804" w:right="40" w:hanging="804"/>
        <w:spacing w:after="0" w:line="266" w:lineRule="auto"/>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hyperlink r:id="rId27">
        <w:r>
          <w:rPr>
            <w:rFonts w:ascii="Times New Roman" w:cs="Times New Roman" w:eastAsia="Times New Roman" w:hAnsi="Times New Roman"/>
            <w:sz w:val="18"/>
            <w:szCs w:val="18"/>
            <w:u w:val="single" w:color="auto"/>
            <w:color w:val="0000EE"/>
          </w:rPr>
          <w:t>2021 Stock Option and Incentive Plan, and form of award agreements thereunder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Registrant’s Registration Statement on Form S-8, as amended (File No. 333-260589),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October 29, 2021).</w:t>
        </w:r>
      </w:hyperlink>
    </w:p>
    <w:p>
      <w:pPr>
        <w:spacing w:after="0" w:line="67" w:lineRule="exact"/>
        <w:rPr>
          <w:rFonts w:ascii="Times New Roman" w:cs="Times New Roman" w:eastAsia="Times New Roman" w:hAnsi="Times New Roman"/>
          <w:sz w:val="18"/>
          <w:szCs w:val="18"/>
          <w:u w:val="single" w:color="auto"/>
          <w:color w:val="0000EE"/>
        </w:rPr>
      </w:pPr>
    </w:p>
    <w:p>
      <w:pPr>
        <w:ind w:left="804" w:right="220" w:hanging="804"/>
        <w:spacing w:after="0" w:line="282" w:lineRule="auto"/>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hyperlink r:id="rId28">
        <w:r>
          <w:rPr>
            <w:rFonts w:ascii="Times New Roman" w:cs="Times New Roman" w:eastAsia="Times New Roman" w:hAnsi="Times New Roman"/>
            <w:sz w:val="18"/>
            <w:szCs w:val="18"/>
            <w:u w:val="single" w:color="auto"/>
            <w:color w:val="0000EE"/>
          </w:rPr>
          <w:t>2021 Employee Stock Purchase Plan (Incorporated by reference to Exhibit 10.4 to the Registrant’s Registration Statement on Form S-1, as</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amended (File No. 333-260156), filed with the Securities and Exchange Commission on October 25, 2021).</w:t>
        </w:r>
      </w:hyperlink>
    </w:p>
    <w:p>
      <w:pPr>
        <w:spacing w:after="0" w:line="54" w:lineRule="exact"/>
        <w:rPr>
          <w:rFonts w:ascii="Times New Roman" w:cs="Times New Roman" w:eastAsia="Times New Roman" w:hAnsi="Times New Roman"/>
          <w:sz w:val="18"/>
          <w:szCs w:val="18"/>
          <w:color w:val="auto"/>
        </w:rPr>
      </w:pPr>
    </w:p>
    <w:p>
      <w:pPr>
        <w:ind w:left="4"/>
        <w:spacing w:after="0"/>
        <w:tabs>
          <w:tab w:leader="none" w:pos="78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004"/>
          </w:cols>
          <w:pgMar w:left="436" w:top="266"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State of Massachusetts, on this 27th day of March,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AURA BIOSCIENCES,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Elisabet de los Pinos, Ph.D.</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Elisabet de los Pinos, Ph.D. and Julie Feder,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 in the capacities and on the date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6"/>
                <w:szCs w:val="16"/>
                <w:color w:val="auto"/>
              </w:rPr>
            </w:pPr>
          </w:p>
        </w:tc>
        <w:tc>
          <w:tcPr>
            <w:tcW w:w="538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Elisabet de los Pinos</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2024</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Elisabet de los Pinos, Ph.D.</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Feder</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2024</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Julie Feder</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1760" w:type="dxa"/>
            <w:vAlign w:val="bottom"/>
          </w:tcPr>
          <w:p>
            <w:pPr>
              <w:spacing w:after="0"/>
              <w:rPr>
                <w:sz w:val="19"/>
                <w:szCs w:val="19"/>
                <w:color w:val="auto"/>
              </w:rPr>
            </w:pPr>
          </w:p>
        </w:tc>
      </w:tr>
      <w:tr>
        <w:trPr>
          <w:trHeight w:val="4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Johnson</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2024</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David Johnson</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Giovanni Mariggi</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2024</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Giovanni Mariggi, Ph.D.</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Antony Mattessich</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2024</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Antony Mattessich</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Raj Parekh</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2024</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Raj Parekh, Ph.D.</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Sapna Srivastava</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2024</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Sapna Srivastava, Ph.D.</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Karan Takhar</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2024</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Karan Takhar</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1450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100 Northern Ave.</w:t>
      </w:r>
    </w:p>
    <w:p>
      <w:pPr>
        <w:spacing w:after="0" w:line="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goodwinlaw.com</w:t>
      </w:r>
    </w:p>
    <w:p>
      <w:pPr>
        <w:spacing w:after="0" w:line="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+1 617 570 1000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27,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Aura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Guest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02135</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2,802,756 shares (the “Shares”) of common stock, par value $0.00001 per share (“Common Stock”), of Aura Biosciences, Inc., a Delaware corporation (the “Company”), that may be issued pursuant to the Company’s 2021 Stock Option and Incentive Plan and 2021 Employee Stock Purchase Plan (collectively, the “Plans”).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Aura Biosciences, Inc. 2021 Stock Option and Incentive Plan and Aura Biosciences, Inc. 2021 Employee Stock Purchase Plan of our report dated March 27, 2024, with respect to the consolidated financial statements of Aura Biosciences, Inc. included in its Annual Report (Form 10-K) for the year ended December 31, 2023,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Aura Biosciences,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Newly Registered Securities</w:t>
      </w:r>
    </w:p>
    <w:p>
      <w:pPr>
        <w:spacing w:after="0" w:line="250" w:lineRule="exact"/>
        <w:rPr>
          <w:sz w:val="20"/>
          <w:szCs w:val="20"/>
          <w:color w:val="auto"/>
        </w:rPr>
      </w:pPr>
    </w:p>
    <w:tbl>
      <w:tblPr>
        <w:tblLayout w:type="fixed"/>
        <w:tblInd w:w="454" w:type="dxa"/>
        <w:tblCellMar>
          <w:top w:w="0" w:type="dxa"/>
          <w:left w:w="0" w:type="dxa"/>
          <w:bottom w:w="0" w:type="dxa"/>
          <w:right w:w="0" w:type="dxa"/>
        </w:tblCellMar>
      </w:tblPr>
      <w:tr>
        <w:trPr>
          <w:trHeight w:val="144"/>
        </w:trPr>
        <w:tc>
          <w:tcPr>
            <w:tcW w:w="960" w:type="dxa"/>
            <w:vAlign w:val="bottom"/>
            <w:tcBorders>
              <w:top w:val="single" w:sz="8" w:color="auto"/>
              <w:left w:val="single" w:sz="8" w:color="auto"/>
              <w:right w:val="single" w:sz="8" w:color="auto"/>
            </w:tcBorders>
          </w:tcPr>
          <w:p>
            <w:pPr>
              <w:spacing w:after="0"/>
              <w:rPr>
                <w:sz w:val="12"/>
                <w:szCs w:val="12"/>
                <w:color w:val="auto"/>
              </w:rPr>
            </w:pPr>
          </w:p>
        </w:tc>
        <w:tc>
          <w:tcPr>
            <w:tcW w:w="196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jc w:val="center"/>
              <w:ind w:left="69"/>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46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ind w:left="69"/>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460" w:type="dxa"/>
            <w:vAlign w:val="bottom"/>
            <w:tcBorders>
              <w:right w:val="single" w:sz="8" w:color="auto"/>
            </w:tcBorders>
          </w:tcPr>
          <w:p>
            <w:pPr>
              <w:jc w:val="center"/>
              <w:ind w:left="65"/>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tcPr>
          <w:p>
            <w:pPr>
              <w:jc w:val="center"/>
              <w:ind w:left="55"/>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180" w:type="dxa"/>
            <w:vAlign w:val="bottom"/>
            <w:tcBorders>
              <w:right w:val="single" w:sz="8" w:color="auto"/>
            </w:tcBorders>
          </w:tcPr>
          <w:p>
            <w:pPr>
              <w:jc w:val="center"/>
              <w:ind w:left="79"/>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2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ind w:left="69"/>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460" w:type="dxa"/>
            <w:vAlign w:val="bottom"/>
            <w:tcBorders>
              <w:right w:val="single" w:sz="8" w:color="auto"/>
            </w:tcBorders>
          </w:tcPr>
          <w:p>
            <w:pPr>
              <w:jc w:val="center"/>
              <w:ind w:left="65"/>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3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ind w:left="39"/>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tcPr>
          <w:p>
            <w:pPr>
              <w:jc w:val="center"/>
              <w:ind w:left="55"/>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1180" w:type="dxa"/>
            <w:vAlign w:val="bottom"/>
            <w:tcBorders>
              <w:right w:val="single" w:sz="8" w:color="auto"/>
            </w:tcBorders>
          </w:tcPr>
          <w:p>
            <w:pPr>
              <w:jc w:val="center"/>
              <w:ind w:left="79"/>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260" w:type="dxa"/>
            <w:vAlign w:val="bottom"/>
            <w:tcBorders>
              <w:right w:val="single" w:sz="8" w:color="auto"/>
            </w:tcBorders>
          </w:tcPr>
          <w:p>
            <w:pPr>
              <w:jc w:val="center"/>
              <w:ind w:left="64"/>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940" w:type="dxa"/>
            <w:vAlign w:val="bottom"/>
            <w:tcBorders>
              <w:right w:val="single" w:sz="8" w:color="auto"/>
            </w:tcBorders>
          </w:tcPr>
          <w:p>
            <w:pPr>
              <w:jc w:val="center"/>
              <w:ind w:left="89"/>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460" w:type="dxa"/>
            <w:vAlign w:val="bottom"/>
            <w:tcBorders>
              <w:right w:val="single" w:sz="8" w:color="auto"/>
            </w:tcBorders>
          </w:tcPr>
          <w:p>
            <w:pPr>
              <w:jc w:val="center"/>
              <w:ind w:left="65"/>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00" w:type="dxa"/>
            <w:vAlign w:val="bottom"/>
            <w:tcBorders>
              <w:right w:val="single" w:sz="8" w:color="auto"/>
            </w:tcBorders>
          </w:tcPr>
          <w:p>
            <w:pPr>
              <w:jc w:val="right"/>
              <w:ind w:right="404"/>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1080" w:type="dxa"/>
            <w:vAlign w:val="bottom"/>
            <w:tcBorders>
              <w:right w:val="single" w:sz="8" w:color="auto"/>
            </w:tcBorders>
          </w:tcPr>
          <w:p>
            <w:pPr>
              <w:jc w:val="center"/>
              <w:ind w:left="19"/>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9"/>
        </w:trPr>
        <w:tc>
          <w:tcPr>
            <w:tcW w:w="96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Times New Roman" w:cs="Times New Roman" w:eastAsia="Times New Roman" w:hAnsi="Times New Roman"/>
                <w:sz w:val="13"/>
                <w:szCs w:val="13"/>
                <w:color w:val="auto"/>
                <w:w w:val="95"/>
              </w:rPr>
              <w:t>Security Type</w:t>
            </w:r>
          </w:p>
        </w:tc>
        <w:tc>
          <w:tcPr>
            <w:tcW w:w="1960" w:type="dxa"/>
            <w:vAlign w:val="bottom"/>
            <w:tcBorders>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3"/>
                <w:szCs w:val="13"/>
                <w:color w:val="auto"/>
                <w:w w:val="89"/>
              </w:rPr>
              <w:t>Title</w:t>
            </w:r>
          </w:p>
        </w:tc>
        <w:tc>
          <w:tcPr>
            <w:tcW w:w="1180" w:type="dxa"/>
            <w:vAlign w:val="bottom"/>
            <w:tcBorders>
              <w:bottom w:val="single" w:sz="8" w:color="auto"/>
              <w:right w:val="single" w:sz="8" w:color="auto"/>
            </w:tcBorders>
          </w:tcPr>
          <w:p>
            <w:pPr>
              <w:jc w:val="center"/>
              <w:ind w:left="59"/>
              <w:spacing w:after="0"/>
              <w:rPr>
                <w:sz w:val="20"/>
                <w:szCs w:val="20"/>
                <w:color w:val="auto"/>
              </w:rPr>
            </w:pPr>
            <w:r>
              <w:rPr>
                <w:rFonts w:ascii="Times New Roman" w:cs="Times New Roman" w:eastAsia="Times New Roman" w:hAnsi="Times New Roman"/>
                <w:sz w:val="13"/>
                <w:szCs w:val="13"/>
                <w:color w:val="auto"/>
                <w:w w:val="97"/>
              </w:rPr>
              <w:t>Rule</w:t>
            </w:r>
          </w:p>
        </w:tc>
        <w:tc>
          <w:tcPr>
            <w:tcW w:w="1260" w:type="dxa"/>
            <w:vAlign w:val="bottom"/>
            <w:tcBorders>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color w:val="auto"/>
                <w:w w:val="96"/>
              </w:rPr>
              <w:t>Registered(1)</w:t>
            </w:r>
          </w:p>
        </w:tc>
        <w:tc>
          <w:tcPr>
            <w:tcW w:w="940" w:type="dxa"/>
            <w:vAlign w:val="bottom"/>
            <w:tcBorders>
              <w:bottom w:val="single" w:sz="8" w:color="auto"/>
              <w:right w:val="single" w:sz="8" w:color="auto"/>
            </w:tcBorders>
          </w:tcPr>
          <w:p>
            <w:pPr>
              <w:jc w:val="center"/>
              <w:ind w:left="69"/>
              <w:spacing w:after="0"/>
              <w:rPr>
                <w:sz w:val="20"/>
                <w:szCs w:val="20"/>
                <w:color w:val="auto"/>
              </w:rPr>
            </w:pPr>
            <w:r>
              <w:rPr>
                <w:rFonts w:ascii="Times New Roman" w:cs="Times New Roman" w:eastAsia="Times New Roman" w:hAnsi="Times New Roman"/>
                <w:sz w:val="13"/>
                <w:szCs w:val="13"/>
                <w:color w:val="auto"/>
                <w:w w:val="94"/>
              </w:rPr>
              <w:t>Share</w:t>
            </w:r>
          </w:p>
        </w:tc>
        <w:tc>
          <w:tcPr>
            <w:tcW w:w="1460" w:type="dxa"/>
            <w:vAlign w:val="bottom"/>
            <w:tcBorders>
              <w:bottom w:val="single" w:sz="8" w:color="auto"/>
              <w:right w:val="single" w:sz="8" w:color="auto"/>
            </w:tcBorders>
          </w:tcPr>
          <w:p>
            <w:pPr>
              <w:jc w:val="center"/>
              <w:ind w:left="85"/>
              <w:spacing w:after="0"/>
              <w:rPr>
                <w:sz w:val="20"/>
                <w:szCs w:val="20"/>
                <w:color w:val="auto"/>
              </w:rPr>
            </w:pPr>
            <w:r>
              <w:rPr>
                <w:rFonts w:ascii="Times New Roman" w:cs="Times New Roman" w:eastAsia="Times New Roman" w:hAnsi="Times New Roman"/>
                <w:sz w:val="13"/>
                <w:szCs w:val="13"/>
                <w:color w:val="auto"/>
                <w:w w:val="97"/>
              </w:rPr>
              <w:t>Price</w:t>
            </w:r>
          </w:p>
        </w:tc>
        <w:tc>
          <w:tcPr>
            <w:tcW w:w="1300" w:type="dxa"/>
            <w:vAlign w:val="bottom"/>
            <w:tcBorders>
              <w:bottom w:val="single" w:sz="8" w:color="auto"/>
              <w:right w:val="single" w:sz="8" w:color="auto"/>
            </w:tcBorders>
          </w:tcPr>
          <w:p>
            <w:pPr>
              <w:jc w:val="right"/>
              <w:ind w:right="384"/>
              <w:spacing w:after="0"/>
              <w:rPr>
                <w:sz w:val="20"/>
                <w:szCs w:val="20"/>
                <w:color w:val="auto"/>
              </w:rPr>
            </w:pPr>
            <w:r>
              <w:rPr>
                <w:rFonts w:ascii="Times New Roman" w:cs="Times New Roman" w:eastAsia="Times New Roman" w:hAnsi="Times New Roman"/>
                <w:sz w:val="13"/>
                <w:szCs w:val="13"/>
                <w:color w:val="auto"/>
              </w:rPr>
              <w:t>Rate</w:t>
            </w:r>
          </w:p>
        </w:tc>
        <w:tc>
          <w:tcPr>
            <w:tcW w:w="108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6"/>
        </w:trPr>
        <w:tc>
          <w:tcPr>
            <w:tcW w:w="960" w:type="dxa"/>
            <w:vAlign w:val="bottom"/>
            <w:tcBorders>
              <w:left w:val="single" w:sz="8" w:color="auto"/>
              <w:right w:val="single" w:sz="8" w:color="auto"/>
            </w:tcBorders>
          </w:tcPr>
          <w:p>
            <w:pPr>
              <w:jc w:val="center"/>
              <w:ind w:left="39"/>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960" w:type="dxa"/>
            <w:vAlign w:val="bottom"/>
            <w:tcBorders>
              <w:right w:val="single" w:sz="8" w:color="auto"/>
            </w:tcBorders>
          </w:tcPr>
          <w:p>
            <w:pPr>
              <w:jc w:val="center"/>
              <w:ind w:left="55"/>
              <w:spacing w:after="0" w:line="206" w:lineRule="exact"/>
              <w:rPr>
                <w:sz w:val="20"/>
                <w:szCs w:val="20"/>
                <w:color w:val="auto"/>
              </w:rPr>
            </w:pPr>
            <w:r>
              <w:rPr>
                <w:rFonts w:ascii="Times New Roman" w:cs="Times New Roman" w:eastAsia="Times New Roman" w:hAnsi="Times New Roman"/>
                <w:sz w:val="18"/>
                <w:szCs w:val="18"/>
                <w:color w:val="auto"/>
              </w:rPr>
              <w:t>Common Stock,</w:t>
            </w:r>
          </w:p>
        </w:tc>
        <w:tc>
          <w:tcPr>
            <w:tcW w:w="1180" w:type="dxa"/>
            <w:vAlign w:val="bottom"/>
            <w:tcBorders>
              <w:right w:val="single" w:sz="8" w:color="auto"/>
            </w:tcBorders>
          </w:tcPr>
          <w:p>
            <w:pPr>
              <w:jc w:val="center"/>
              <w:ind w:left="79"/>
              <w:spacing w:after="0" w:line="206" w:lineRule="exact"/>
              <w:rPr>
                <w:sz w:val="20"/>
                <w:szCs w:val="20"/>
                <w:color w:val="auto"/>
              </w:rPr>
            </w:pPr>
            <w:r>
              <w:rPr>
                <w:rFonts w:ascii="Times New Roman" w:cs="Times New Roman" w:eastAsia="Times New Roman" w:hAnsi="Times New Roman"/>
                <w:sz w:val="18"/>
                <w:szCs w:val="18"/>
                <w:color w:val="auto"/>
              </w:rPr>
              <w:t>Rule 457(c)</w:t>
            </w:r>
          </w:p>
        </w:tc>
        <w:tc>
          <w:tcPr>
            <w:tcW w:w="1260" w:type="dxa"/>
            <w:vAlign w:val="bottom"/>
            <w:tcBorders>
              <w:right w:val="single" w:sz="8" w:color="auto"/>
            </w:tcBorders>
          </w:tcPr>
          <w:p>
            <w:pPr>
              <w:jc w:val="right"/>
              <w:ind w:right="44"/>
              <w:spacing w:after="0" w:line="206" w:lineRule="exact"/>
              <w:rPr>
                <w:sz w:val="20"/>
                <w:szCs w:val="20"/>
                <w:color w:val="auto"/>
              </w:rPr>
            </w:pPr>
            <w:r>
              <w:rPr>
                <w:rFonts w:ascii="Times New Roman" w:cs="Times New Roman" w:eastAsia="Times New Roman" w:hAnsi="Times New Roman"/>
                <w:sz w:val="18"/>
                <w:szCs w:val="18"/>
                <w:color w:val="auto"/>
              </w:rPr>
              <w:t>2,467,539 (2)</w:t>
            </w:r>
          </w:p>
        </w:tc>
        <w:tc>
          <w:tcPr>
            <w:tcW w:w="940" w:type="dxa"/>
            <w:vAlign w:val="bottom"/>
            <w:tcBorders>
              <w:right w:val="single" w:sz="8" w:color="auto"/>
            </w:tcBorders>
          </w:tcPr>
          <w:p>
            <w:pPr>
              <w:jc w:val="right"/>
              <w:ind w:right="49"/>
              <w:spacing w:after="0" w:line="206" w:lineRule="exact"/>
              <w:rPr>
                <w:sz w:val="20"/>
                <w:szCs w:val="20"/>
                <w:color w:val="auto"/>
              </w:rPr>
            </w:pPr>
            <w:r>
              <w:rPr>
                <w:rFonts w:ascii="Times New Roman" w:cs="Times New Roman" w:eastAsia="Times New Roman" w:hAnsi="Times New Roman"/>
                <w:sz w:val="18"/>
                <w:szCs w:val="18"/>
                <w:color w:val="auto"/>
              </w:rPr>
              <w:t>$7.95 (3)</w:t>
            </w:r>
          </w:p>
        </w:tc>
        <w:tc>
          <w:tcPr>
            <w:tcW w:w="1460" w:type="dxa"/>
            <w:vAlign w:val="bottom"/>
            <w:tcBorders>
              <w:right w:val="single" w:sz="8" w:color="auto"/>
            </w:tcBorders>
          </w:tcPr>
          <w:p>
            <w:pPr>
              <w:jc w:val="right"/>
              <w:ind w:right="45"/>
              <w:spacing w:after="0" w:line="206" w:lineRule="exact"/>
              <w:rPr>
                <w:sz w:val="20"/>
                <w:szCs w:val="20"/>
                <w:color w:val="auto"/>
              </w:rPr>
            </w:pPr>
            <w:r>
              <w:rPr>
                <w:rFonts w:ascii="Times New Roman" w:cs="Times New Roman" w:eastAsia="Times New Roman" w:hAnsi="Times New Roman"/>
                <w:sz w:val="18"/>
                <w:szCs w:val="18"/>
                <w:color w:val="auto"/>
              </w:rPr>
              <w:t>$ 19,616,938.23</w:t>
            </w:r>
          </w:p>
        </w:tc>
        <w:tc>
          <w:tcPr>
            <w:tcW w:w="1300" w:type="dxa"/>
            <w:vAlign w:val="bottom"/>
            <w:tcBorders>
              <w:right w:val="single" w:sz="8" w:color="auto"/>
            </w:tcBorders>
          </w:tcPr>
          <w:p>
            <w:pPr>
              <w:jc w:val="right"/>
              <w:ind w:right="84"/>
              <w:spacing w:after="0" w:line="206" w:lineRule="exact"/>
              <w:rPr>
                <w:sz w:val="20"/>
                <w:szCs w:val="20"/>
                <w:color w:val="auto"/>
              </w:rPr>
            </w:pPr>
            <w:r>
              <w:rPr>
                <w:rFonts w:ascii="Times New Roman" w:cs="Times New Roman" w:eastAsia="Times New Roman" w:hAnsi="Times New Roman"/>
                <w:sz w:val="18"/>
                <w:szCs w:val="18"/>
                <w:color w:val="auto"/>
              </w:rPr>
              <w:t>$0.00014760</w:t>
            </w:r>
          </w:p>
        </w:tc>
        <w:tc>
          <w:tcPr>
            <w:tcW w:w="10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$2,895.46</w:t>
            </w: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w w:val="99"/>
              </w:rPr>
              <w:t>$0.00001 par value per</w:t>
            </w:r>
          </w:p>
        </w:tc>
        <w:tc>
          <w:tcPr>
            <w:tcW w:w="1180" w:type="dxa"/>
            <w:vAlign w:val="bottom"/>
            <w:tcBorders>
              <w:right w:val="single" w:sz="8" w:color="auto"/>
            </w:tcBorders>
          </w:tcPr>
          <w:p>
            <w:pPr>
              <w:jc w:val="center"/>
              <w:ind w:left="59"/>
              <w:spacing w:after="0"/>
              <w:rPr>
                <w:sz w:val="20"/>
                <w:szCs w:val="20"/>
                <w:color w:val="auto"/>
              </w:rPr>
            </w:pPr>
            <w:r>
              <w:rPr>
                <w:rFonts w:ascii="Times New Roman" w:cs="Times New Roman" w:eastAsia="Times New Roman" w:hAnsi="Times New Roman"/>
                <w:sz w:val="18"/>
                <w:szCs w:val="18"/>
                <w:color w:val="auto"/>
                <w:w w:val="99"/>
              </w:rPr>
              <w:t>and Rule</w:t>
            </w: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w w:val="99"/>
              </w:rPr>
              <w:t>share, 2021 Stock</w:t>
            </w:r>
          </w:p>
        </w:tc>
        <w:tc>
          <w:tcPr>
            <w:tcW w:w="1180" w:type="dxa"/>
            <w:vAlign w:val="bottom"/>
            <w:tcBorders>
              <w:right w:val="single" w:sz="8" w:color="auto"/>
            </w:tcBorders>
          </w:tcPr>
          <w:p>
            <w:pPr>
              <w:jc w:val="center"/>
              <w:ind w:left="59"/>
              <w:spacing w:after="0"/>
              <w:rPr>
                <w:sz w:val="20"/>
                <w:szCs w:val="20"/>
                <w:color w:val="auto"/>
              </w:rPr>
            </w:pPr>
            <w:r>
              <w:rPr>
                <w:rFonts w:ascii="Times New Roman" w:cs="Times New Roman" w:eastAsia="Times New Roman" w:hAnsi="Times New Roman"/>
                <w:sz w:val="18"/>
                <w:szCs w:val="18"/>
                <w:color w:val="auto"/>
                <w:w w:val="99"/>
              </w:rPr>
              <w:t>457(h)</w:t>
            </w: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w w:val="99"/>
              </w:rPr>
              <w:t>Option and Incentive</w:t>
            </w:r>
          </w:p>
        </w:tc>
        <w:tc>
          <w:tcPr>
            <w:tcW w:w="11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41"/>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w w:val="99"/>
              </w:rPr>
              <w:t>Plan</w:t>
            </w:r>
          </w:p>
        </w:tc>
        <w:tc>
          <w:tcPr>
            <w:tcW w:w="11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r>
        <w:trPr>
          <w:trHeight w:val="211"/>
        </w:trPr>
        <w:tc>
          <w:tcPr>
            <w:tcW w:w="960" w:type="dxa"/>
            <w:vAlign w:val="bottom"/>
            <w:tcBorders>
              <w:left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8"/>
                <w:szCs w:val="18"/>
                <w:color w:val="auto"/>
                <w:w w:val="99"/>
              </w:rPr>
              <w:t>Equity</w:t>
            </w:r>
          </w:p>
        </w:tc>
        <w:tc>
          <w:tcPr>
            <w:tcW w:w="1960" w:type="dxa"/>
            <w:vAlign w:val="bottom"/>
            <w:tcBorders>
              <w:right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rPr>
              <w:t>Common Stock,</w:t>
            </w:r>
          </w:p>
        </w:tc>
        <w:tc>
          <w:tcPr>
            <w:tcW w:w="1180" w:type="dxa"/>
            <w:vAlign w:val="bottom"/>
            <w:tcBorders>
              <w:right w:val="single" w:sz="8" w:color="auto"/>
            </w:tcBorders>
          </w:tcPr>
          <w:p>
            <w:pPr>
              <w:jc w:val="center"/>
              <w:ind w:left="79"/>
              <w:spacing w:after="0"/>
              <w:rPr>
                <w:sz w:val="20"/>
                <w:szCs w:val="20"/>
                <w:color w:val="auto"/>
              </w:rPr>
            </w:pPr>
            <w:r>
              <w:rPr>
                <w:rFonts w:ascii="Times New Roman" w:cs="Times New Roman" w:eastAsia="Times New Roman" w:hAnsi="Times New Roman"/>
                <w:sz w:val="18"/>
                <w:szCs w:val="18"/>
                <w:color w:val="auto"/>
              </w:rPr>
              <w:t>Rule 457(c)</w:t>
            </w:r>
          </w:p>
        </w:tc>
        <w:tc>
          <w:tcPr>
            <w:tcW w:w="1260" w:type="dxa"/>
            <w:vAlign w:val="bottom"/>
            <w:tcBorders>
              <w:right w:val="single" w:sz="8" w:color="auto"/>
            </w:tcBorders>
          </w:tcPr>
          <w:p>
            <w:pPr>
              <w:jc w:val="right"/>
              <w:ind w:right="104"/>
              <w:spacing w:after="0"/>
              <w:rPr>
                <w:sz w:val="20"/>
                <w:szCs w:val="20"/>
                <w:color w:val="auto"/>
              </w:rPr>
            </w:pPr>
            <w:r>
              <w:rPr>
                <w:rFonts w:ascii="Times New Roman" w:cs="Times New Roman" w:eastAsia="Times New Roman" w:hAnsi="Times New Roman"/>
                <w:sz w:val="18"/>
                <w:szCs w:val="18"/>
                <w:color w:val="auto"/>
              </w:rPr>
              <w:t>335,217 (4)</w:t>
            </w:r>
          </w:p>
        </w:tc>
        <w:tc>
          <w:tcPr>
            <w:tcW w:w="94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$6.76 (5)</w:t>
            </w:r>
          </w:p>
        </w:tc>
        <w:tc>
          <w:tcPr>
            <w:tcW w:w="14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$2,265,228.88</w:t>
            </w:r>
          </w:p>
        </w:tc>
        <w:tc>
          <w:tcPr>
            <w:tcW w:w="1300" w:type="dxa"/>
            <w:vAlign w:val="bottom"/>
            <w:tcBorders>
              <w:right w:val="single" w:sz="8" w:color="auto"/>
            </w:tcBorders>
          </w:tcPr>
          <w:p>
            <w:pPr>
              <w:jc w:val="right"/>
              <w:ind w:right="84"/>
              <w:spacing w:after="0"/>
              <w:rPr>
                <w:sz w:val="20"/>
                <w:szCs w:val="20"/>
                <w:color w:val="auto"/>
              </w:rPr>
            </w:pPr>
            <w:r>
              <w:rPr>
                <w:rFonts w:ascii="Times New Roman" w:cs="Times New Roman" w:eastAsia="Times New Roman" w:hAnsi="Times New Roman"/>
                <w:sz w:val="18"/>
                <w:szCs w:val="18"/>
                <w:color w:val="auto"/>
              </w:rPr>
              <w:t>$0.00014760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$334.35</w:t>
            </w: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w w:val="99"/>
              </w:rPr>
              <w:t>$0.00001 par value per</w:t>
            </w:r>
          </w:p>
        </w:tc>
        <w:tc>
          <w:tcPr>
            <w:tcW w:w="1180" w:type="dxa"/>
            <w:vAlign w:val="bottom"/>
            <w:tcBorders>
              <w:right w:val="single" w:sz="8" w:color="auto"/>
            </w:tcBorders>
          </w:tcPr>
          <w:p>
            <w:pPr>
              <w:jc w:val="center"/>
              <w:ind w:left="59"/>
              <w:spacing w:after="0"/>
              <w:rPr>
                <w:sz w:val="20"/>
                <w:szCs w:val="20"/>
                <w:color w:val="auto"/>
              </w:rPr>
            </w:pPr>
            <w:r>
              <w:rPr>
                <w:rFonts w:ascii="Times New Roman" w:cs="Times New Roman" w:eastAsia="Times New Roman" w:hAnsi="Times New Roman"/>
                <w:sz w:val="18"/>
                <w:szCs w:val="18"/>
                <w:color w:val="auto"/>
                <w:w w:val="99"/>
              </w:rPr>
              <w:t>and Rule</w:t>
            </w: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w w:val="99"/>
              </w:rPr>
              <w:t>share, 2021 Employee</w:t>
            </w:r>
          </w:p>
        </w:tc>
        <w:tc>
          <w:tcPr>
            <w:tcW w:w="1180" w:type="dxa"/>
            <w:vAlign w:val="bottom"/>
            <w:tcBorders>
              <w:right w:val="single" w:sz="8" w:color="auto"/>
            </w:tcBorders>
          </w:tcPr>
          <w:p>
            <w:pPr>
              <w:jc w:val="center"/>
              <w:ind w:left="59"/>
              <w:spacing w:after="0"/>
              <w:rPr>
                <w:sz w:val="20"/>
                <w:szCs w:val="20"/>
                <w:color w:val="auto"/>
              </w:rPr>
            </w:pPr>
            <w:r>
              <w:rPr>
                <w:rFonts w:ascii="Times New Roman" w:cs="Times New Roman" w:eastAsia="Times New Roman" w:hAnsi="Times New Roman"/>
                <w:sz w:val="18"/>
                <w:szCs w:val="18"/>
                <w:color w:val="auto"/>
                <w:w w:val="99"/>
              </w:rPr>
              <w:t>457(h)</w:t>
            </w:r>
          </w:p>
        </w:tc>
        <w:tc>
          <w:tcPr>
            <w:tcW w:w="12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41"/>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w w:val="99"/>
              </w:rPr>
              <w:t>Stock Purchase Plan</w:t>
            </w:r>
          </w:p>
        </w:tc>
        <w:tc>
          <w:tcPr>
            <w:tcW w:w="11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r>
        <w:trPr>
          <w:trHeight w:val="239"/>
        </w:trPr>
        <w:tc>
          <w:tcPr>
            <w:tcW w:w="960" w:type="dxa"/>
            <w:vAlign w:val="bottom"/>
            <w:tcBorders>
              <w:left w:val="single" w:sz="8" w:color="auto"/>
              <w:bottom w:val="single" w:sz="8" w:color="auto"/>
            </w:tcBorders>
          </w:tcPr>
          <w:p>
            <w:pPr>
              <w:spacing w:after="0"/>
              <w:rPr>
                <w:sz w:val="20"/>
                <w:szCs w:val="20"/>
                <w:color w:val="auto"/>
              </w:rPr>
            </w:pPr>
          </w:p>
        </w:tc>
        <w:tc>
          <w:tcPr>
            <w:tcW w:w="3140" w:type="dxa"/>
            <w:vAlign w:val="bottom"/>
            <w:tcBorders>
              <w:bottom w:val="single" w:sz="8" w:color="auto"/>
            </w:tcBorders>
            <w:gridSpan w:val="2"/>
          </w:tcPr>
          <w:p>
            <w:pPr>
              <w:jc w:val="center"/>
              <w:ind w:left="355"/>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2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$21,882,167.11</w:t>
            </w:r>
          </w:p>
        </w:tc>
        <w:tc>
          <w:tcPr>
            <w:tcW w:w="13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$3,229.81</w:t>
            </w:r>
          </w:p>
        </w:tc>
      </w:tr>
      <w:tr>
        <w:trPr>
          <w:trHeight w:val="236"/>
        </w:trPr>
        <w:tc>
          <w:tcPr>
            <w:tcW w:w="960" w:type="dxa"/>
            <w:vAlign w:val="bottom"/>
            <w:tcBorders>
              <w:left w:val="single" w:sz="8" w:color="auto"/>
              <w:bottom w:val="single" w:sz="8" w:color="auto"/>
            </w:tcBorders>
          </w:tcPr>
          <w:p>
            <w:pPr>
              <w:spacing w:after="0"/>
              <w:rPr>
                <w:sz w:val="20"/>
                <w:szCs w:val="20"/>
                <w:color w:val="auto"/>
              </w:rPr>
            </w:pPr>
          </w:p>
        </w:tc>
        <w:tc>
          <w:tcPr>
            <w:tcW w:w="3140" w:type="dxa"/>
            <w:vAlign w:val="bottom"/>
            <w:tcBorders>
              <w:bottom w:val="single" w:sz="8" w:color="auto"/>
            </w:tcBorders>
            <w:gridSpan w:val="2"/>
          </w:tcPr>
          <w:p>
            <w:pPr>
              <w:jc w:val="center"/>
              <w:ind w:left="335"/>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12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960" w:type="dxa"/>
            <w:vAlign w:val="bottom"/>
            <w:tcBorders>
              <w:left w:val="single" w:sz="8" w:color="auto"/>
              <w:bottom w:val="single" w:sz="8" w:color="auto"/>
            </w:tcBorders>
          </w:tcPr>
          <w:p>
            <w:pPr>
              <w:spacing w:after="0"/>
              <w:rPr>
                <w:sz w:val="20"/>
                <w:szCs w:val="20"/>
                <w:color w:val="auto"/>
              </w:rPr>
            </w:pPr>
          </w:p>
        </w:tc>
        <w:tc>
          <w:tcPr>
            <w:tcW w:w="3140" w:type="dxa"/>
            <w:vAlign w:val="bottom"/>
            <w:tcBorders>
              <w:bottom w:val="single" w:sz="8" w:color="auto"/>
            </w:tcBorders>
            <w:gridSpan w:val="2"/>
          </w:tcPr>
          <w:p>
            <w:pPr>
              <w:jc w:val="center"/>
              <w:ind w:left="335"/>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2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960" w:type="dxa"/>
            <w:vAlign w:val="bottom"/>
            <w:tcBorders>
              <w:left w:val="single" w:sz="8" w:color="auto"/>
              <w:bottom w:val="single" w:sz="8" w:color="auto"/>
            </w:tcBorders>
          </w:tcPr>
          <w:p>
            <w:pPr>
              <w:spacing w:after="0"/>
              <w:rPr>
                <w:sz w:val="20"/>
                <w:szCs w:val="20"/>
                <w:color w:val="auto"/>
              </w:rPr>
            </w:pPr>
          </w:p>
        </w:tc>
        <w:tc>
          <w:tcPr>
            <w:tcW w:w="3140" w:type="dxa"/>
            <w:vAlign w:val="bottom"/>
            <w:tcBorders>
              <w:bottom w:val="single" w:sz="8" w:color="auto"/>
            </w:tcBorders>
            <w:gridSpan w:val="2"/>
          </w:tcPr>
          <w:p>
            <w:pPr>
              <w:jc w:val="center"/>
              <w:ind w:left="355"/>
              <w:spacing w:after="0"/>
              <w:rPr>
                <w:sz w:val="20"/>
                <w:szCs w:val="20"/>
                <w:color w:val="auto"/>
              </w:rPr>
            </w:pPr>
            <w:r>
              <w:rPr>
                <w:rFonts w:ascii="Times New Roman" w:cs="Times New Roman" w:eastAsia="Times New Roman" w:hAnsi="Times New Roman"/>
                <w:sz w:val="18"/>
                <w:szCs w:val="18"/>
                <w:color w:val="auto"/>
                <w:w w:val="98"/>
              </w:rPr>
              <w:t>Net Fee Due</w:t>
            </w:r>
          </w:p>
        </w:tc>
        <w:tc>
          <w:tcPr>
            <w:tcW w:w="12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$3,229.81</w:t>
            </w:r>
          </w:p>
        </w:tc>
      </w:tr>
    </w:tbl>
    <w:p>
      <w:pPr>
        <w:spacing w:after="0" w:line="225" w:lineRule="exact"/>
        <w:rPr>
          <w:sz w:val="20"/>
          <w:szCs w:val="20"/>
          <w:color w:val="auto"/>
        </w:rPr>
      </w:pPr>
    </w:p>
    <w:p>
      <w:pPr>
        <w:ind w:left="424" w:right="100" w:hanging="424"/>
        <w:spacing w:after="0" w:line="25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shall also cover any additional shares of the Registrant’s common stock, $0.00001 par value per share (the “Common Stock”), which become issuable under the under the 2021 Stock Option and Incentive Plan (the “2021 Plan”) and the 2021 Employee Stock Purchase Plan (the “2021 ESPP”) by reason of any stock dividend, stock split, recapitalization or any other similar transaction effected without the receipt of consideration which results in an increase in the number of the Registrant’s outstanding shares of Common Stock.</w:t>
      </w:r>
    </w:p>
    <w:p>
      <w:pPr>
        <w:spacing w:after="0" w:line="3"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increase to the number of shares available for issuance under the 2021 Plan of 2,467,539 effective as of January 1, 2024. Shares available for issuance under the 2021 Plan were previously registered on registration statements on Form S-8 (File No. 333-260589, File No. 333-263801 and File No. 333-270571) filed with the Securities and Exchange Commission on October 29, 2021, March 23, 2022 and March 15, 2023, respectively.</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$7.95 per share, which is the average of the high and low sale prices of the common stock on the Nasdaq Global Market on March 20, 2024, is set forth solely for purposes of calculating the registration fee pursuant to Rules 457(c) and (h) of the Securities Act.</w:t>
      </w:r>
    </w:p>
    <w:p>
      <w:pPr>
        <w:ind w:left="424" w:right="14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increase to the number of shares available for issuance under the 2021 ESPP of 335,217 effective as of January 1, 2024. Shares available for issuance under the 2021 ESPP were previously registered on registration statements on Form S-8 (File No. 333-260589, File No. 333-263801 and File No. 333-270571) filed with the Securities and Exchange Commission on October 29, 2021, March 23, 2022 and March 15, 2023, respectively.</w:t>
      </w:r>
    </w:p>
    <w:p>
      <w:pPr>
        <w:spacing w:after="0" w:line="1" w:lineRule="exact"/>
        <w:rPr>
          <w:rFonts w:ascii="Times New Roman" w:cs="Times New Roman" w:eastAsia="Times New Roman" w:hAnsi="Times New Roman"/>
          <w:sz w:val="18"/>
          <w:szCs w:val="18"/>
          <w:color w:val="auto"/>
        </w:rPr>
      </w:pPr>
    </w:p>
    <w:p>
      <w:pPr>
        <w:ind w:left="424" w:right="160" w:hanging="424"/>
        <w:spacing w:after="0" w:line="253"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$6.76 per share, which is based on 85% of $7.95, the average of the high and low sale prices of the common stock on the Nasdaq Global Market on March 20, 2024, is set forth solely for purposes of calculating the registration fee pursuant to Rules 457(c) and (h) of the Securities Act. Pursuant to the 2021 ESPP, the purchase price of the shares of common stock reserved for issuance thereunder will be 85% of the fair market value of a share of common stock on the first business day of the offering period or on the last business day of the offering period, whichever is less.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
      <w:numFmt w:val="bullet"/>
      <w:start w:val="1"/>
    </w:lvl>
  </w:abstractNum>
  <w:abstractNum w:abstractNumId="1">
    <w:nsid w:val="74B0DC51"/>
    <w:multiLevelType w:val="hybridMultilevel"/>
    <w:lvl w:ilvl="0">
      <w:lvlJc w:val="left"/>
      <w:lvlText w:val=" "/>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jpeg"/><Relationship Id="rId19" Type="http://schemas.openxmlformats.org/officeDocument/2006/relationships/hyperlink" Target="http://www.sec.gov/Archives/edgar/data/1501796/000119312521313316/d249509ds8.htm" TargetMode="External"/><Relationship Id="rId20" Type="http://schemas.openxmlformats.org/officeDocument/2006/relationships/hyperlink" Target="http://www.sec.gov/Archives/edgar/data/1501796/000119312522082858/d314495ds8.htm" TargetMode="External"/><Relationship Id="rId21" Type="http://schemas.openxmlformats.org/officeDocument/2006/relationships/hyperlink" Target="http://www.sec.gov/Archives/edgar/data/1501796/000119312523071431/d481558ds8.htm" TargetMode="External"/><Relationship Id="rId23" Type="http://schemas.openxmlformats.org/officeDocument/2006/relationships/hyperlink" Target="http://www.sec.gov/Archives/edgar/data/1501796/000119312521305934/d209588dex41.htm" TargetMode="External"/><Relationship Id="rId24" Type="http://schemas.openxmlformats.org/officeDocument/2006/relationships/hyperlink" Target="http://www.sec.gov/Archives/edgar/data/1501796/000119312521305934/d209588dex32.htm" TargetMode="External"/><Relationship Id="rId25" Type="http://schemas.openxmlformats.org/officeDocument/2006/relationships/hyperlink" Target="http://www.sec.gov/Archives/edgar/data/1501796/000119312521305934/d209588dex34.htm" TargetMode="External"/><Relationship Id="rId26" Type="http://schemas.openxmlformats.org/officeDocument/2006/relationships/hyperlink" Target="http://www.sec.gov/Archives/edgar/data/1501796/000119312521295543/d209588dex42.htm" TargetMode="External"/><Relationship Id="rId27" Type="http://schemas.openxmlformats.org/officeDocument/2006/relationships/hyperlink" Target="http://www.sec.gov/Archives/edgar/data/1501796/000119312521313316/d249509dex101.htm" TargetMode="External"/><Relationship Id="rId28" Type="http://schemas.openxmlformats.org/officeDocument/2006/relationships/hyperlink" Target="http://www.sec.gov/Archives/edgar/data/1501796/000119312521305934/d20958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2024-03-27T07:12:28Z</dcterms:created>
  <dcterms:modified xsi:type="dcterms:W3CDTF">2024-03-27T07:12:28Z</dcterms:modified>
</cp:coreProperties>
</file>