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40930.htm"/>
      <w:bookmarkStart w:id="1" w:name="ksaura20240930"/>
      <w:bookmarkEnd w:id="0"/>
      <w:bookmarkEnd w:id="1"/>
      <w:r>
        <w:rPr/>
        <w:t> </w:t>
      </w:r>
    </w:p>
    <w:p>
      <w:pPr>
        <w:pStyle w:val="TextBody"/>
        <w:bidi w:val="0"/>
        <w:jc w:val="left"/>
        <w:rPr>
          <w:rFonts w:ascii="Times New Roman" w:hAnsi="Times New Roman"/>
          <w:sz w:val="20"/>
        </w:rPr>
      </w:pPr>
      <w:r>
        <w:rPr>
          <w:rFonts w:ascii="Arial" w:hAnsi="Arial"/>
          <w:color w:val="000000"/>
          <w:sz w:val="2"/>
        </w:rPr>
        <w:t>,k</w:t>
      </w:r>
      <w:r>
        <w:rPr>
          <w:rFonts w:ascii="Times New Roman" w:hAnsi="Times New Roman"/>
          <w:color w:val="000000"/>
          <w:sz w:val="20"/>
        </w:rPr>
        <w:t xml:space="preserve">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40" w:after="283"/>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September 30, 2024</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___________________ to ___________________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001-40971</w:t>
      </w:r>
    </w:p>
    <w:p>
      <w:pPr>
        <w:pStyle w:val="TextBody"/>
        <w:pBdr>
          <w:bottom w:val="single" w:sz="4" w:space="1" w:color="000000"/>
        </w:pBdr>
        <w:bidi w:val="0"/>
        <w:spacing w:before="40" w:after="100"/>
        <w:jc w:val="center"/>
        <w:rPr/>
      </w:pPr>
      <w:r>
        <w:rPr/>
        <w:t> </w:t>
      </w:r>
    </w:p>
    <w:p>
      <w:pPr>
        <w:pStyle w:val="TextBody"/>
        <w:bidi w:val="0"/>
        <w:jc w:val="center"/>
        <w:rPr>
          <w:rFonts w:ascii="Arial" w:hAnsi="Arial"/>
          <w:b/>
          <w:color w:val="000000"/>
          <w:sz w:val="48"/>
        </w:rPr>
      </w:pPr>
      <w:r>
        <w:rPr>
          <w:rFonts w:ascii="Arial" w:hAnsi="Arial"/>
          <w:b/>
          <w:color w:val="000000"/>
          <w:sz w:val="48"/>
        </w:rPr>
        <w:t>AURA BIOSCIENCES,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32-0271970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15"/>
              <w:jc w:val="center"/>
              <w:rPr>
                <w:rFonts w:ascii="Arial" w:hAnsi="Arial"/>
                <w:b/>
                <w:color w:val="000000"/>
                <w:sz w:val="20"/>
              </w:rPr>
            </w:pPr>
            <w:r>
              <w:rPr>
                <w:rFonts w:ascii="Arial" w:hAnsi="Arial"/>
                <w:b/>
                <w:color w:val="000000"/>
                <w:sz w:val="20"/>
              </w:rPr>
              <w:t>80 Guest Street</w:t>
            </w:r>
          </w:p>
          <w:p>
            <w:pPr>
              <w:pStyle w:val="TableContents"/>
              <w:bidi w:val="0"/>
              <w:spacing w:before="0" w:after="15"/>
              <w:jc w:val="center"/>
              <w:rPr>
                <w:rFonts w:ascii="Arial" w:hAnsi="Arial"/>
                <w:b/>
                <w:color w:val="000000"/>
                <w:sz w:val="20"/>
              </w:rPr>
            </w:pPr>
            <w:r>
              <w:rPr>
                <w:rFonts w:ascii="Arial" w:hAnsi="Arial"/>
                <w:b/>
                <w:color w:val="000000"/>
                <w:sz w:val="20"/>
              </w:rPr>
              <w:t>Boston, MA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02135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500-8864</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Common Stock, par value $0.00001 per share</w:t>
            </w:r>
          </w:p>
        </w:tc>
        <w:tc>
          <w:tcPr>
            <w:tcW w:w="146"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AURA</w:t>
            </w:r>
          </w:p>
        </w:tc>
        <w:tc>
          <w:tcPr>
            <w:tcW w:w="146" w:type="dxa"/>
            <w:tcBorders/>
            <w:vAlign w:val="center"/>
          </w:tcPr>
          <w:p>
            <w:pPr>
              <w:pStyle w:val="TableContents"/>
              <w:bidi w:val="0"/>
              <w:spacing w:before="0" w:after="283"/>
              <w:jc w:val="center"/>
              <w:rPr/>
            </w:pPr>
            <w:r>
              <w:rPr/>
              <w:t> </w:t>
            </w:r>
          </w:p>
        </w:tc>
        <w:tc>
          <w:tcPr>
            <w:tcW w:w="366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Market LLC</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November 7, 2024, the Registrant had 49,951,466</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summary_of_the_material_risks"/>
      <w:bookmarkEnd w:id="2"/>
      <w:r>
        <w:rPr>
          <w:rFonts w:ascii="Arial" w:hAnsi="Arial"/>
          <w:b/>
          <w:color w:val="000000"/>
          <w:sz w:val="20"/>
        </w:rPr>
        <w:t>Summary of the Material Risks Associated with Our Business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Our business is subject to numerous material and other risks and uncertainties that you should be aware of in evaluating our business. These risks are described more fully in Part II, “Item 1A—Risk Factors,” and include, but are not limited to,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20"/>
        </w:rPr>
      </w:pPr>
      <w:r>
        <w:rPr>
          <w:rFonts w:ascii="Arial" w:hAnsi="Arial"/>
          <w:color w:val="000000"/>
          <w:sz w:val="20"/>
        </w:rPr>
        <w:t>We have incurred significant net losses since our inception and anticipate that we will continue to incur losses for the foreseeable future.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proprietary rights to our technologies or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our objectives relating to the discovery, development, regulatory approval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are heavily dependent on the success of AU-011, or bel-sar, our only product candidate to date.</w:t>
      </w:r>
    </w:p>
    <w:p>
      <w:pPr>
        <w:pStyle w:val="TextBody"/>
        <w:bidi w:val="0"/>
        <w:spacing w:before="40" w:after="283"/>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283"/>
        <w:jc w:val="both"/>
        <w:rPr>
          <w:rFonts w:ascii="Arial" w:hAnsi="Arial"/>
          <w:color w:val="000000"/>
          <w:sz w:val="20"/>
        </w:rPr>
      </w:pPr>
      <w:r>
        <w:rPr>
          <w:rFonts w:ascii="Arial" w:hAnsi="Arial"/>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have initiated but not yet completed a pivotal clinical trial nor have we commercialized any pharmaceutical products, which may make it difficult to evaluate our future prospects.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fail to develop additional product candidates, or obtain additional indications of our first product candidate, our commercial opportunity could be limited.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bel-sar or any future product candidates do not achieve broad market acceptance, the revenue that we generate from their sales may be limited, and we may never become profitable.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compete may decline if we do not adequately protect our proprietary rights, and our proprietary rights do not necessarily address all potential threats to our competitive advantage.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Business disruptions could seriously harm our future revenue and financial condition and increase our costs and expenses.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principal stockholders and management own a significant percentage of our stock and will be able to exert significant influence over matters subject to stockholder approval.</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This Quarterly Report on Form 10-Q, or the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efficiently develop our existing product candidates and discover new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successfully manufacture our drug substances and product candidates for preclinical use, for clinical trials and on a larger scale for commercial use,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ability and willingness of our third-party strategic collaborators to continue research and development activities relating to our development candidates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funding for our operations necessary to complete further development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and maintain regulatory approval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commercialize our products,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pricing and reimbursement of our product candidates,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implementation of our business model and strategic plans for our business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estimates of our future expenses, revenues, capital requirements and our needs for additional financing;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future agreements with third parties in connection with the commercialization of product candidates and any other approved product;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size and growth potential of the markets for our product candidates and our ability to serve those markets;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financial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rate and degree of market acceptance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regulatory developments in the United States and foreign countries;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produce our products or product candidates with advantages in turnaround times or manufacturing cost;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attract and retain key scientific or management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impact of laws and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developments relating to our competitors and our industry;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effects of macroeconomic conditions, including rising interest rates and inflation, on our business operations;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other risks and uncertainties, including those listed under the caption “Risk Factors.”</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the_material_risks">
              <w:r>
                <w:rPr>
                  <w:rStyle w:val="InternetLink"/>
                  <w:rFonts w:ascii="Arial" w:hAnsi="Arial"/>
                  <w:color w:val="0000FF"/>
                  <w:sz w:val="20"/>
                  <w:u w:val="single"/>
                </w:rPr>
                <w:t>SUMMARY OF RISKS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unaudited_condensed_consolidated_f">
              <w:r>
                <w:rPr>
                  <w:rStyle w:val="InternetLink"/>
                  <w:rFonts w:ascii="Arial" w:hAnsi="Arial"/>
                  <w:color w:val="0000FF"/>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5" w:name="condensed_consolidated_balance_sheets"/>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570"/>
        <w:gridCol w:w="146"/>
        <w:gridCol w:w="259"/>
        <w:gridCol w:w="1058"/>
        <w:gridCol w:w="166"/>
        <w:gridCol w:w="146"/>
        <w:gridCol w:w="250"/>
        <w:gridCol w:w="1016"/>
        <w:gridCol w:w="594"/>
      </w:tblGrid>
      <w:tr>
        <w:trPr/>
        <w:tc>
          <w:tcPr>
            <w:tcW w:w="6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41,063</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185,087</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deposits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183,481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231,794</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deposits, net of current portion</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 of use assets - operating lease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18,854</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0" w:type="dxa"/>
            <w:tcBorders/>
            <w:shd w:fill="FFFFFF" w:val="clear"/>
            <w:vAlign w:val="center"/>
          </w:tcPr>
          <w:p>
            <w:pPr>
              <w:pStyle w:val="TableContents"/>
              <w:bidi w:val="0"/>
              <w:spacing w:before="0" w:after="283"/>
              <w:ind w:left="200" w:right="0" w:firstLine="200"/>
              <w:jc w:val="left"/>
              <w:rPr>
                <w:rFonts w:ascii="Arial" w:hAnsi="Arial"/>
                <w:b/>
                <w:color w:val="000000"/>
                <w:sz w:val="20"/>
              </w:rPr>
            </w:pPr>
            <w:r>
              <w:rPr>
                <w:rFonts w:ascii="Arial" w:hAnsi="Arial"/>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255,075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6"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1,787</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liability</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2,687</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12,357</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liability</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0" w:type="dxa"/>
            <w:tcBorders/>
            <w:shd w:fill="FFFFFF" w:val="clear"/>
            <w:vAlign w:val="center"/>
          </w:tcPr>
          <w:p>
            <w:pPr>
              <w:pStyle w:val="TableContents"/>
              <w:bidi w:val="0"/>
              <w:spacing w:before="0" w:after="283"/>
              <w:ind w:left="200" w:right="0" w:firstLine="200"/>
              <w:jc w:val="left"/>
              <w:rPr>
                <w:rFonts w:ascii="Arial" w:hAnsi="Arial"/>
                <w:b/>
                <w:color w:val="000000"/>
                <w:sz w:val="20"/>
              </w:rPr>
            </w:pPr>
            <w:r>
              <w:rPr>
                <w:rFonts w:ascii="Arial" w:hAnsi="Arial"/>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29,227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6"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57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570"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150,000,000</w:t>
            </w:r>
            <w:r>
              <w:rPr>
                <w:rFonts w:ascii="Times New Roman" w:hAnsi="Times New Roman"/>
                <w:color w:val="000000"/>
                <w:sz w:val="20"/>
              </w:rPr>
              <w:t> </w:t>
            </w:r>
            <w:r>
              <w:rPr>
                <w:rFonts w:ascii="Arial" w:hAnsi="Arial"/>
                <w:color w:val="000000"/>
                <w:sz w:val="20"/>
              </w:rPr>
              <w:t>authorized at September 30, 2024 and December 31, 2023, and 49,778,861</w:t>
            </w:r>
            <w:r>
              <w:rPr>
                <w:rFonts w:ascii="Times New Roman" w:hAnsi="Times New Roman"/>
                <w:color w:val="000000"/>
                <w:sz w:val="20"/>
              </w:rPr>
              <w:t> </w:t>
            </w:r>
            <w:r>
              <w:rPr>
                <w:rFonts w:ascii="Arial" w:hAnsi="Arial"/>
                <w:color w:val="000000"/>
                <w:sz w:val="20"/>
              </w:rPr>
              <w:t>and 49,350,788</w:t>
            </w:r>
            <w:r>
              <w:rPr>
                <w:rFonts w:ascii="Times New Roman" w:hAnsi="Times New Roman"/>
                <w:color w:val="000000"/>
                <w:sz w:val="20"/>
              </w:rPr>
              <w:t> </w:t>
            </w:r>
            <w:r>
              <w:rPr>
                <w:rFonts w:ascii="Arial" w:hAnsi="Arial"/>
                <w:color w:val="000000"/>
                <w:sz w:val="20"/>
              </w:rPr>
              <w:t>shares issued and outstanding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jc w:val="left"/>
              <w:rPr/>
            </w:pPr>
            <w:r>
              <w:rPr/>
              <w:t> </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522,454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512,617</w:t>
            </w:r>
          </w:p>
        </w:tc>
        <w:tc>
          <w:tcPr>
            <w:tcW w:w="594" w:type="dxa"/>
            <w:tcBorders/>
            <w:shd w:fill="FFFFFF" w:val="clear"/>
            <w:vAlign w:val="center"/>
          </w:tcPr>
          <w:p>
            <w:pPr>
              <w:pStyle w:val="TableContents"/>
              <w:bidi w:val="0"/>
              <w:spacing w:before="0" w:after="283"/>
              <w:jc w:val="left"/>
              <w:rPr/>
            </w:pPr>
            <w:r>
              <w:rPr/>
              <w:t> </w:t>
            </w:r>
          </w:p>
        </w:tc>
      </w:tr>
      <w:tr>
        <w:trPr/>
        <w:tc>
          <w:tcPr>
            <w:tcW w:w="65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(348,393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(287,308</w:t>
            </w:r>
          </w:p>
        </w:tc>
        <w:tc>
          <w:tcPr>
            <w:tcW w:w="5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0" w:type="dxa"/>
            <w:tcBorders/>
            <w:shd w:fill="CFF0FC" w:val="clear"/>
            <w:vAlign w:val="center"/>
          </w:tcPr>
          <w:p>
            <w:pPr>
              <w:pStyle w:val="TableContents"/>
              <w:bidi w:val="0"/>
              <w:spacing w:before="0" w:after="283"/>
              <w:ind w:left="200" w:right="0" w:firstLine="200"/>
              <w:jc w:val="left"/>
              <w:rPr>
                <w:rFonts w:ascii="Arial" w:hAnsi="Arial"/>
                <w:b/>
                <w:color w:val="000000"/>
                <w:sz w:val="20"/>
              </w:rPr>
            </w:pPr>
            <w:r>
              <w:rPr>
                <w:rFonts w:ascii="Arial" w:hAnsi="Arial"/>
                <w:b/>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225,848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0" w:type="dxa"/>
            <w:tcBorders/>
            <w:shd w:fill="FFFFFF" w:val="clear"/>
            <w:vAlign w:val="center"/>
          </w:tcPr>
          <w:p>
            <w:pPr>
              <w:pStyle w:val="TableContents"/>
              <w:bidi w:val="0"/>
              <w:spacing w:before="0" w:after="283"/>
              <w:ind w:left="400" w:right="0" w:firstLine="400"/>
              <w:jc w:val="left"/>
              <w:rPr>
                <w:rFonts w:ascii="Arial" w:hAnsi="Arial"/>
                <w:b/>
                <w:color w:val="000000"/>
                <w:sz w:val="20"/>
              </w:rPr>
            </w:pPr>
            <w:r>
              <w:rPr>
                <w:rFonts w:ascii="Arial" w:hAnsi="Arial"/>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255,075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6" w:name="condensed_consolidated_statements_opera"/>
      <w:bookmarkEnd w:id="6"/>
      <w:r>
        <w:rPr>
          <w:rFonts w:ascii="Arial" w:hAnsi="Arial"/>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0"/>
        <w:gridCol w:w="146"/>
        <w:gridCol w:w="211"/>
        <w:gridCol w:w="1066"/>
        <w:gridCol w:w="166"/>
        <w:gridCol w:w="146"/>
        <w:gridCol w:w="211"/>
        <w:gridCol w:w="1066"/>
        <w:gridCol w:w="166"/>
        <w:gridCol w:w="211"/>
        <w:gridCol w:w="1066"/>
        <w:gridCol w:w="166"/>
        <w:gridCol w:w="146"/>
        <w:gridCol w:w="211"/>
        <w:gridCol w:w="1066"/>
        <w:gridCol w:w="491"/>
      </w:tblGrid>
      <w:tr>
        <w:trPr/>
        <w:tc>
          <w:tcPr>
            <w:tcW w:w="3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367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15,428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50,968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44,952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367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60,208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367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066" w:type="dxa"/>
            <w:tcBorders/>
            <w:shd w:fill="CCEC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2,258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066" w:type="dxa"/>
            <w:tcBorders/>
            <w:shd w:fill="CCEC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1,981</w:t>
            </w:r>
          </w:p>
        </w:tc>
        <w:tc>
          <w:tcPr>
            <w:tcW w:w="16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066" w:type="dxa"/>
            <w:tcBorders/>
            <w:shd w:fill="CCEC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7,395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066" w:type="dxa"/>
            <w:tcBorders/>
            <w:shd w:fill="CCEC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5,981</w:t>
            </w:r>
          </w:p>
        </w:tc>
        <w:tc>
          <w:tcPr>
            <w:tcW w:w="491" w:type="dxa"/>
            <w:tcBorders/>
            <w:shd w:fill="CCECFF" w:val="clear"/>
            <w:vAlign w:val="center"/>
          </w:tcPr>
          <w:p>
            <w:pPr>
              <w:pStyle w:val="TableContents"/>
              <w:bidi w:val="0"/>
              <w:spacing w:before="0" w:after="283"/>
              <w:ind w:left="0" w:right="0" w:firstLine="280"/>
              <w:jc w:val="left"/>
              <w:rPr/>
            </w:pPr>
            <w:r>
              <w:rPr/>
              <w:t> </w:t>
            </w:r>
          </w:p>
        </w:tc>
      </w:tr>
      <w:tr>
        <w:trPr/>
        <w:tc>
          <w:tcPr>
            <w:tcW w:w="367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common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stock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49,663,532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38,185,197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49,554,930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37,943,139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(18,512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(61,085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items:</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367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(54,339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7" w:name="condensed_consolidated_statements_stock"/>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28"/>
        <w:gridCol w:w="146"/>
        <w:gridCol w:w="916"/>
        <w:gridCol w:w="146"/>
        <w:gridCol w:w="239"/>
        <w:gridCol w:w="422"/>
        <w:gridCol w:w="146"/>
        <w:gridCol w:w="196"/>
        <w:gridCol w:w="691"/>
        <w:gridCol w:w="146"/>
        <w:gridCol w:w="224"/>
        <w:gridCol w:w="842"/>
        <w:gridCol w:w="151"/>
        <w:gridCol w:w="520"/>
        <w:gridCol w:w="1126"/>
        <w:gridCol w:w="151"/>
        <w:gridCol w:w="245"/>
        <w:gridCol w:w="871"/>
        <w:gridCol w:w="199"/>
      </w:tblGrid>
      <w:tr>
        <w:trPr/>
        <w:tc>
          <w:tcPr>
            <w:tcW w:w="2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28"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center"/>
              <w:rPr/>
            </w:pPr>
            <w:r>
              <w:rPr/>
              <w:t> </w:t>
            </w:r>
          </w:p>
        </w:tc>
        <w:tc>
          <w:tcPr>
            <w:tcW w:w="164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r>
          </w:p>
        </w:tc>
        <w:tc>
          <w:tcPr>
            <w:tcW w:w="199" w:type="dxa"/>
            <w:tcBorders/>
            <w:shd w:fill="FFFFFF" w:val="cle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sz w:val="4"/>
                <w:szCs w:val="4"/>
              </w:rPr>
            </w:pPr>
            <w:r>
              <w:rPr>
                <w:sz w:val="4"/>
                <w:szCs w:val="4"/>
              </w:rPr>
            </w:r>
          </w:p>
        </w:tc>
        <w:tc>
          <w:tcPr>
            <w:tcW w:w="18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64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 Comprehensive</w:t>
            </w:r>
          </w:p>
        </w:tc>
        <w:tc>
          <w:tcPr>
            <w:tcW w:w="151"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Stockholders’</w:t>
            </w:r>
          </w:p>
        </w:tc>
        <w:tc>
          <w:tcPr>
            <w:tcW w:w="199" w:type="dxa"/>
            <w:tcBorders/>
            <w:shd w:fill="FFFFFF" w:val="cle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49,350,788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512,617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(287,308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225,848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2,909</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2,909</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Employee Stock Purchase Plan issuance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12,314</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95</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95</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51,180</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158</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158</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Vesting of restricted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90,123</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(521</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(521</w:t>
            </w:r>
          </w:p>
        </w:tc>
        <w:tc>
          <w:tcPr>
            <w:tcW w:w="199"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(19,706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(19,706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March 31,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49,504,405</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515,779</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(307,014</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208,783</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3,126</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3,126</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Employee Stock Purchase Plan issuance</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24,245</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83</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Vesting of restricted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54,708</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(201</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(201</w:t>
            </w:r>
          </w:p>
        </w:tc>
        <w:tc>
          <w:tcPr>
            <w:tcW w:w="199"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(20,337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(20,337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June 30, 2024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49,583,358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518,988</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(327,351</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(183</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191,454</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2,750</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2,750</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Employee Stock Purchase Plan issuance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12,163</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82</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127,433</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634</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634</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Vesting of restricted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55,907</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790</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790</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(21,042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September 30,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49,778,861</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522,454</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(348,393</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607</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174,668</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64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r>
      <w:tr>
        <w:trPr/>
        <w:tc>
          <w:tcPr>
            <w:tcW w:w="2828"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center"/>
              <w:rPr/>
            </w:pPr>
            <w:r>
              <w:rPr/>
              <w:t> </w:t>
            </w:r>
          </w:p>
        </w:tc>
        <w:tc>
          <w:tcPr>
            <w:tcW w:w="164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r>
          </w:p>
        </w:tc>
        <w:tc>
          <w:tcPr>
            <w:tcW w:w="199" w:type="dxa"/>
            <w:tcBorders/>
            <w:shd w:fill="FFFFFF" w:val="cle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sz w:val="4"/>
                <w:szCs w:val="4"/>
              </w:rPr>
            </w:pPr>
            <w:r>
              <w:rPr>
                <w:sz w:val="4"/>
                <w:szCs w:val="4"/>
              </w:rPr>
            </w:r>
          </w:p>
        </w:tc>
        <w:tc>
          <w:tcPr>
            <w:tcW w:w="18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64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 Comprehensive</w:t>
            </w:r>
          </w:p>
        </w:tc>
        <w:tc>
          <w:tcPr>
            <w:tcW w:w="151"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Stockholders’</w:t>
            </w:r>
          </w:p>
        </w:tc>
        <w:tc>
          <w:tcPr>
            <w:tcW w:w="199" w:type="dxa"/>
            <w:tcBorders/>
            <w:shd w:fill="FFFFFF" w:val="cle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37,771,918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406,555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(210,900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195,583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1,913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1,913</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Employee Stock Purchase Plan issuance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6,635</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56</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56</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21,549</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145</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145</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(17,466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(17,466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March 31,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37,800,102</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408,669</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(228,366</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(45</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180,258</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1,931</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1,931</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169,200</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2,065</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2,065</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117,304</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660</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660</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(178</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(178</w:t>
            </w:r>
          </w:p>
        </w:tc>
        <w:tc>
          <w:tcPr>
            <w:tcW w:w="199"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(18,299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June 30,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38,086,606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413,325</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(246,665</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(223</w:t>
            </w:r>
          </w:p>
        </w:tc>
        <w:tc>
          <w:tcPr>
            <w:tcW w:w="151"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166,437</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2,325</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2,325</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Employee Stock Purchase Plan issuance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8,276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Issuance of common stock under ATM facility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92,607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1,105</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1,105</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Stock option exercises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29,228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5"/>
              </w:rPr>
            </w:pPr>
            <w:r>
              <w:rPr>
                <w:rFonts w:ascii="Arial" w:hAnsi="Arial"/>
                <w:color w:val="000000"/>
                <w:sz w:val="15"/>
              </w:rPr>
              <w:t>202</w:t>
            </w:r>
          </w:p>
        </w:tc>
        <w:tc>
          <w:tcPr>
            <w:tcW w:w="199" w:type="dxa"/>
            <w:tcBorders/>
            <w:shd w:fill="FFFFFF" w:val="clear"/>
            <w:vAlign w:val="center"/>
          </w:tcPr>
          <w:p>
            <w:pPr>
              <w:pStyle w:val="TableContents"/>
              <w:bidi w:val="0"/>
              <w:spacing w:before="0" w:after="283"/>
              <w:jc w:val="left"/>
              <w:rPr/>
            </w:pPr>
            <w:r>
              <w:rPr/>
              <w:t> </w:t>
            </w:r>
          </w:p>
        </w:tc>
      </w:tr>
      <w:tr>
        <w:trPr/>
        <w:tc>
          <w:tcPr>
            <w:tcW w:w="2828"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151"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199" w:type="dxa"/>
            <w:tcBorders/>
            <w:shd w:fill="CFF0FC" w:val="clear"/>
            <w:vAlign w:val="center"/>
          </w:tcPr>
          <w:p>
            <w:pPr>
              <w:pStyle w:val="TableContents"/>
              <w:bidi w:val="0"/>
              <w:spacing w:before="0" w:after="283"/>
              <w:jc w:val="left"/>
              <w:rPr/>
            </w:pPr>
            <w:r>
              <w:rPr/>
              <w:t> </w:t>
            </w:r>
          </w:p>
        </w:tc>
      </w:tr>
      <w:tr>
        <w:trPr/>
        <w:tc>
          <w:tcPr>
            <w:tcW w:w="2828"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(18,512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828" w:type="dxa"/>
            <w:tcBorders/>
            <w:shd w:fill="CFF0FC"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September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38,216,717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417,029</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(265,177</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20"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26"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(134</w:t>
            </w:r>
          </w:p>
        </w:tc>
        <w:tc>
          <w:tcPr>
            <w:tcW w:w="151"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245" w:type="dxa"/>
            <w:tcBorders/>
            <w:shd w:fill="CFF0FC" w:val="cle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71" w:type="dxa"/>
            <w:tcBorders/>
            <w:shd w:fill="CFF0FC" w:val="clear"/>
            <w:vAlign w:val="center"/>
          </w:tcPr>
          <w:p>
            <w:pPr>
              <w:pStyle w:val="TableContents"/>
              <w:bidi w:val="0"/>
              <w:spacing w:before="0" w:after="283"/>
              <w:jc w:val="right"/>
              <w:rPr>
                <w:rFonts w:ascii="Arial" w:hAnsi="Arial"/>
                <w:color w:val="000000"/>
                <w:sz w:val="15"/>
              </w:rPr>
            </w:pPr>
            <w:r>
              <w:rPr>
                <w:rFonts w:ascii="Arial" w:hAnsi="Arial"/>
                <w:color w:val="000000"/>
                <w:sz w:val="15"/>
              </w:rPr>
              <w:t>151,718</w:t>
            </w:r>
          </w:p>
        </w:tc>
        <w:tc>
          <w:tcPr>
            <w:tcW w:w="199" w:type="dxa"/>
            <w:tcBorders/>
            <w:shd w:fill="CFF0FC" w:val="clear"/>
            <w:vAlign w:val="center"/>
          </w:tcPr>
          <w:p>
            <w:pPr>
              <w:pStyle w:val="TableContents"/>
              <w:bidi w:val="0"/>
              <w:spacing w:before="0" w:after="283"/>
              <w:jc w:val="left"/>
              <w:rPr/>
            </w:pPr>
            <w:r>
              <w:rPr/>
              <w:t> </w:t>
            </w:r>
          </w:p>
        </w:tc>
      </w:tr>
    </w:tbl>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8" w:name="condensed_consolidated_statements_cash_f"/>
      <w:bookmarkEnd w:id="8"/>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68"/>
        <w:gridCol w:w="185"/>
        <w:gridCol w:w="268"/>
        <w:gridCol w:w="954"/>
        <w:gridCol w:w="211"/>
        <w:gridCol w:w="185"/>
        <w:gridCol w:w="268"/>
        <w:gridCol w:w="1011"/>
        <w:gridCol w:w="1055"/>
      </w:tblGrid>
      <w:tr>
        <w:trPr/>
        <w:tc>
          <w:tcPr>
            <w:tcW w:w="60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6068" w:type="dxa"/>
            <w:tcBorders/>
            <w:shd w:fill="FFFFFF" w:val="clear"/>
            <w:vAlign w:val="center"/>
          </w:tcPr>
          <w:p>
            <w:pPr>
              <w:pStyle w:val="TableContents"/>
              <w:bidi w:val="0"/>
              <w:spacing w:before="0" w:after="283"/>
              <w:jc w:val="left"/>
              <w:rPr>
                <w:sz w:val="4"/>
                <w:szCs w:val="4"/>
              </w:rPr>
            </w:pPr>
            <w:r>
              <w:rPr>
                <w:sz w:val="4"/>
                <w:szCs w:val="4"/>
              </w:rPr>
            </w:r>
          </w:p>
        </w:tc>
        <w:tc>
          <w:tcPr>
            <w:tcW w:w="185" w:type="dxa"/>
            <w:tcBorders/>
            <w:shd w:fill="FFFFFF" w:val="clear"/>
            <w:vAlign w:val="center"/>
          </w:tcPr>
          <w:p>
            <w:pPr>
              <w:pStyle w:val="TableContents"/>
              <w:bidi w:val="0"/>
              <w:spacing w:before="0" w:after="283"/>
              <w:jc w:val="center"/>
              <w:rPr/>
            </w:pPr>
            <w:r>
              <w:rPr/>
              <w:t> </w:t>
            </w:r>
          </w:p>
        </w:tc>
        <w:tc>
          <w:tcPr>
            <w:tcW w:w="2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FFFFFF" w:val="clear"/>
            <w:vAlign w:val="center"/>
          </w:tcPr>
          <w:p>
            <w:pPr>
              <w:pStyle w:val="TableContents"/>
              <w:bidi w:val="0"/>
              <w:spacing w:before="0" w:after="283"/>
              <w:jc w:val="left"/>
              <w:rPr>
                <w:sz w:val="4"/>
                <w:szCs w:val="4"/>
              </w:rPr>
            </w:pPr>
            <w:r>
              <w:rPr>
                <w:sz w:val="4"/>
                <w:szCs w:val="4"/>
              </w:rPr>
            </w:r>
          </w:p>
        </w:tc>
        <w:tc>
          <w:tcPr>
            <w:tcW w:w="185" w:type="dxa"/>
            <w:tcBorders/>
            <w:shd w:fill="FFFFFF" w:val="cle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85"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jc w:val="right"/>
              <w:rPr/>
            </w:pPr>
            <w:r>
              <w:rPr/>
              <w:t> </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(61,085</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10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85"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ind w:left="0" w:right="0" w:firstLine="280"/>
              <w:jc w:val="right"/>
              <w:rPr/>
            </w:pPr>
            <w:r>
              <w:rPr/>
              <w:t> </w:t>
            </w:r>
          </w:p>
        </w:tc>
      </w:tr>
      <w:tr>
        <w:trPr/>
        <w:tc>
          <w:tcPr>
            <w:tcW w:w="606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expense</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932</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1055" w:type="dxa"/>
            <w:tcBorders/>
            <w:shd w:fill="FFFFFF" w:val="clear"/>
            <w:vAlign w:val="center"/>
          </w:tcPr>
          <w:p>
            <w:pPr>
              <w:pStyle w:val="TableContents"/>
              <w:bidi w:val="0"/>
              <w:spacing w:before="0" w:after="283"/>
              <w:ind w:left="0" w:right="0" w:firstLine="280"/>
              <w:jc w:val="left"/>
              <w:rPr/>
            </w:pPr>
            <w:r>
              <w:rPr/>
              <w:t> </w:t>
            </w:r>
          </w:p>
        </w:tc>
      </w:tr>
      <w:tr>
        <w:trPr/>
        <w:tc>
          <w:tcPr>
            <w:tcW w:w="606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Accretion on marketable securities</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(3,890</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(2,853</w:t>
            </w:r>
          </w:p>
        </w:tc>
        <w:tc>
          <w:tcPr>
            <w:tcW w:w="1055"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Stock-based compensation expense</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8,785</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6,169</w:t>
            </w:r>
          </w:p>
        </w:tc>
        <w:tc>
          <w:tcPr>
            <w:tcW w:w="1055" w:type="dxa"/>
            <w:tcBorders/>
            <w:shd w:fill="FFFFFF" w:val="clear"/>
            <w:vAlign w:val="center"/>
          </w:tcPr>
          <w:p>
            <w:pPr>
              <w:pStyle w:val="TableContents"/>
              <w:bidi w:val="0"/>
              <w:spacing w:before="0" w:after="283"/>
              <w:ind w:left="0" w:right="0" w:firstLine="280"/>
              <w:jc w:val="left"/>
              <w:rPr/>
            </w:pPr>
            <w:r>
              <w:rPr/>
              <w:t> </w:t>
            </w:r>
          </w:p>
        </w:tc>
      </w:tr>
      <w:tr>
        <w:trPr/>
        <w:tc>
          <w:tcPr>
            <w:tcW w:w="606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055" w:type="dxa"/>
            <w:tcBorders/>
            <w:shd w:fill="CFF0FC" w:val="clear"/>
            <w:vAlign w:val="center"/>
          </w:tcPr>
          <w:p>
            <w:pPr>
              <w:pStyle w:val="TableContents"/>
              <w:bidi w:val="0"/>
              <w:spacing w:before="0" w:after="283"/>
              <w:ind w:left="0" w:right="0" w:firstLine="280"/>
              <w:jc w:val="left"/>
              <w:rPr/>
            </w:pPr>
            <w:r>
              <w:rPr/>
              <w:t> </w:t>
            </w:r>
          </w:p>
        </w:tc>
      </w:tr>
      <w:tr>
        <w:trPr/>
        <w:tc>
          <w:tcPr>
            <w:tcW w:w="606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Non-cash lease expense</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1,110</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1,122</w:t>
            </w:r>
          </w:p>
        </w:tc>
        <w:tc>
          <w:tcPr>
            <w:tcW w:w="1055" w:type="dxa"/>
            <w:tcBorders/>
            <w:shd w:fill="FFFFFF" w:val="clear"/>
            <w:vAlign w:val="center"/>
          </w:tcPr>
          <w:p>
            <w:pPr>
              <w:pStyle w:val="TableContents"/>
              <w:bidi w:val="0"/>
              <w:spacing w:before="0" w:after="283"/>
              <w:ind w:left="0" w:right="0" w:firstLine="280"/>
              <w:jc w:val="left"/>
              <w:rPr/>
            </w:pPr>
            <w:r>
              <w:rPr/>
              <w:t> </w:t>
            </w:r>
          </w:p>
        </w:tc>
      </w:tr>
      <w:tr>
        <w:trPr/>
        <w:tc>
          <w:tcPr>
            <w:tcW w:w="606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Changes in operating assets and liabilities:</w:t>
            </w:r>
          </w:p>
        </w:tc>
        <w:tc>
          <w:tcPr>
            <w:tcW w:w="185"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ind w:left="0" w:right="0" w:firstLine="840"/>
              <w:jc w:val="right"/>
              <w:rPr/>
            </w:pPr>
            <w:r>
              <w:rPr/>
              <w:t> </w:t>
            </w:r>
          </w:p>
        </w:tc>
      </w:tr>
      <w:tr>
        <w:trPr/>
        <w:tc>
          <w:tcPr>
            <w:tcW w:w="6068"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Prepaid expenses and other assets</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(3,479</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3,059</w:t>
            </w:r>
          </w:p>
        </w:tc>
        <w:tc>
          <w:tcPr>
            <w:tcW w:w="1055" w:type="dxa"/>
            <w:tcBorders/>
            <w:shd w:fill="FFFFFF" w:val="clear"/>
            <w:vAlign w:val="center"/>
          </w:tcPr>
          <w:p>
            <w:pPr>
              <w:pStyle w:val="TableContents"/>
              <w:bidi w:val="0"/>
              <w:spacing w:before="0" w:after="283"/>
              <w:ind w:left="0" w:right="0" w:firstLine="840"/>
              <w:jc w:val="left"/>
              <w:rPr/>
            </w:pPr>
            <w:r>
              <w:rPr/>
              <w:t> </w:t>
            </w:r>
          </w:p>
        </w:tc>
      </w:tr>
      <w:tr>
        <w:trPr/>
        <w:tc>
          <w:tcPr>
            <w:tcW w:w="6068"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Other long-term assets</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055" w:type="dxa"/>
            <w:tcBorders/>
            <w:shd w:fill="CFF0FC"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068"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Accounts payable</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(1,497</w:t>
            </w:r>
          </w:p>
        </w:tc>
        <w:tc>
          <w:tcPr>
            <w:tcW w:w="1055" w:type="dxa"/>
            <w:tcBorders/>
            <w:shd w:fill="FFFFFF"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Accrued expenses and other liabilities</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1,796</w:t>
            </w:r>
          </w:p>
        </w:tc>
        <w:tc>
          <w:tcPr>
            <w:tcW w:w="1055" w:type="dxa"/>
            <w:tcBorders/>
            <w:shd w:fill="CFF0FC" w:val="clear"/>
            <w:vAlign w:val="center"/>
          </w:tcPr>
          <w:p>
            <w:pPr>
              <w:pStyle w:val="TableContents"/>
              <w:bidi w:val="0"/>
              <w:spacing w:before="0" w:after="283"/>
              <w:ind w:left="0" w:right="0" w:firstLine="840"/>
              <w:jc w:val="left"/>
              <w:rPr/>
            </w:pPr>
            <w:r>
              <w:rPr/>
              <w:t> </w:t>
            </w:r>
          </w:p>
        </w:tc>
      </w:tr>
      <w:tr>
        <w:trPr/>
        <w:tc>
          <w:tcPr>
            <w:tcW w:w="6068"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Operating lease liabilities</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ind w:left="560" w:right="0" w:firstLine="560"/>
              <w:jc w:val="left"/>
              <w:rPr>
                <w:rFonts w:ascii="Arial" w:hAnsi="Arial"/>
                <w:b/>
                <w:color w:val="000000"/>
                <w:sz w:val="20"/>
              </w:rPr>
            </w:pPr>
            <w:r>
              <w:rPr>
                <w:rFonts w:ascii="Arial" w:hAnsi="Arial"/>
                <w:b/>
                <w:color w:val="000000"/>
                <w:sz w:val="20"/>
              </w:rPr>
              <w:t>Net cash used in operating activities</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(46,460</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85"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1055" w:type="dxa"/>
            <w:tcBorders/>
            <w:shd w:fill="FFFFFF" w:val="clear"/>
            <w:vAlign w:val="center"/>
          </w:tcPr>
          <w:p>
            <w:pPr>
              <w:pStyle w:val="TableContents"/>
              <w:bidi w:val="0"/>
              <w:spacing w:before="0" w:after="283"/>
              <w:jc w:val="right"/>
              <w:rPr/>
            </w:pPr>
            <w:r>
              <w:rPr/>
              <w:t> </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0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marketable securities</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(59,103</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(88,847</w:t>
            </w:r>
          </w:p>
        </w:tc>
        <w:tc>
          <w:tcPr>
            <w:tcW w:w="10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65,396</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068" w:type="dxa"/>
            <w:tcBorders/>
            <w:shd w:fill="FFFFFF" w:val="clear"/>
            <w:vAlign w:val="center"/>
          </w:tcPr>
          <w:p>
            <w:pPr>
              <w:pStyle w:val="TableContents"/>
              <w:bidi w:val="0"/>
              <w:spacing w:before="0" w:after="283"/>
              <w:ind w:left="560" w:right="0" w:firstLine="560"/>
              <w:jc w:val="left"/>
              <w:rPr>
                <w:rFonts w:ascii="Arial" w:hAnsi="Arial"/>
                <w:b/>
                <w:color w:val="000000"/>
                <w:sz w:val="20"/>
              </w:rPr>
            </w:pPr>
            <w:r>
              <w:rPr>
                <w:rFonts w:ascii="Arial" w:hAnsi="Arial"/>
                <w:b/>
                <w:color w:val="000000"/>
                <w:sz w:val="20"/>
              </w:rPr>
              <w:t>Net cash provided by (used in) investing activities</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(23,843</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85"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jc w:val="right"/>
              <w:rPr/>
            </w:pPr>
            <w:r>
              <w:rPr/>
              <w:t> </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875</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1,007</w:t>
            </w:r>
          </w:p>
        </w:tc>
        <w:tc>
          <w:tcPr>
            <w:tcW w:w="1055" w:type="dxa"/>
            <w:tcBorders/>
            <w:shd w:fill="FFFFFF" w:val="clear"/>
            <w:vAlign w:val="center"/>
          </w:tcPr>
          <w:p>
            <w:pPr>
              <w:pStyle w:val="TableContents"/>
              <w:bidi w:val="0"/>
              <w:spacing w:before="0" w:after="283"/>
              <w:jc w:val="left"/>
              <w:rPr/>
            </w:pPr>
            <w:r>
              <w:rPr/>
              <w:t> </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ATM facility, net of issuance costs</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3,170</w:t>
            </w:r>
          </w:p>
        </w:tc>
        <w:tc>
          <w:tcPr>
            <w:tcW w:w="1055" w:type="dxa"/>
            <w:tcBorders/>
            <w:shd w:fill="CFF0FC" w:val="cle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ESPP purchase</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068" w:type="dxa"/>
            <w:tcBorders/>
            <w:shd w:fill="CFF0FC" w:val="clear"/>
            <w:vAlign w:val="center"/>
          </w:tcPr>
          <w:p>
            <w:pPr>
              <w:pStyle w:val="TableContents"/>
              <w:bidi w:val="0"/>
              <w:spacing w:before="0" w:after="283"/>
              <w:ind w:left="560" w:right="0" w:firstLine="560"/>
              <w:jc w:val="left"/>
              <w:rPr>
                <w:rFonts w:ascii="Arial" w:hAnsi="Arial"/>
                <w:b/>
                <w:color w:val="000000"/>
                <w:sz w:val="20"/>
              </w:rPr>
            </w:pPr>
            <w:r>
              <w:rPr>
                <w:rFonts w:ascii="Arial" w:hAnsi="Arial"/>
                <w:b/>
                <w:color w:val="000000"/>
                <w:sz w:val="20"/>
              </w:rPr>
              <w:t>Net cash provided by financing activities</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 cash, cash equivalents and restricted cash</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(15,675</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(65,998</w:t>
            </w:r>
          </w:p>
        </w:tc>
        <w:tc>
          <w:tcPr>
            <w:tcW w:w="10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beginning of period</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122,370</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end of period</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56,372</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85"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jc w:val="right"/>
              <w:rPr/>
            </w:pPr>
            <w:r>
              <w:rPr/>
              <w:t> </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 in accounts payable and accrued expenses and other liabilities</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055" w:type="dxa"/>
            <w:tcBorders/>
            <w:shd w:fill="FFFFFF" w:val="clear"/>
            <w:vAlign w:val="center"/>
          </w:tcPr>
          <w:p>
            <w:pPr>
              <w:pStyle w:val="TableContents"/>
              <w:bidi w:val="0"/>
              <w:spacing w:before="0" w:after="283"/>
              <w:jc w:val="left"/>
              <w:rPr/>
            </w:pPr>
            <w:r>
              <w:rPr/>
              <w:t> </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Initial measurement of right-of-use assets and lease liabilities for operating lease</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055" w:type="dxa"/>
            <w:tcBorders/>
            <w:shd w:fill="CFF0FC" w:val="clear"/>
            <w:vAlign w:val="center"/>
          </w:tcPr>
          <w:p>
            <w:pPr>
              <w:pStyle w:val="TableContents"/>
              <w:bidi w:val="0"/>
              <w:spacing w:before="0" w:after="283"/>
              <w:jc w:val="left"/>
              <w:rPr/>
            </w:pPr>
            <w:r>
              <w:rPr/>
              <w:t> </w:t>
            </w:r>
          </w:p>
        </w:tc>
      </w:tr>
      <w:tr>
        <w:trPr/>
        <w:tc>
          <w:tcPr>
            <w:tcW w:w="9150" w:type="dxa"/>
            <w:gridSpan w:val="8"/>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 following table provides a reconciliation of cash, cash equivalents, and restricted cash reported within the balance sheets that sum to the total of the same such amounts shown in the unaudited condensed consolidated statements of cash flows (in thousands):</w:t>
            </w:r>
          </w:p>
        </w:tc>
        <w:tc>
          <w:tcPr>
            <w:tcW w:w="1055" w:type="dxa"/>
            <w:tcBorders/>
            <w:shd w:fill="FFFFFF" w:val="cle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end of period</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25,407</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55,584</w:t>
            </w:r>
          </w:p>
        </w:tc>
        <w:tc>
          <w:tcPr>
            <w:tcW w:w="1055" w:type="dxa"/>
            <w:tcBorders/>
            <w:shd w:fill="CFF0FC" w:val="cle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restricted cash, end of period</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055" w:type="dxa"/>
            <w:tcBorders/>
            <w:shd w:fill="FFFFFF" w:val="clear"/>
            <w:vAlign w:val="center"/>
          </w:tcPr>
          <w:p>
            <w:pPr>
              <w:pStyle w:val="TableContents"/>
              <w:bidi w:val="0"/>
              <w:spacing w:before="0" w:after="283"/>
              <w:jc w:val="left"/>
              <w:rPr/>
            </w:pPr>
            <w:r>
              <w:rPr/>
              <w:t> </w:t>
            </w:r>
          </w:p>
        </w:tc>
      </w:tr>
      <w:tr>
        <w:trPr/>
        <w:tc>
          <w:tcPr>
            <w:tcW w:w="60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restricted cash, end of period</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end of period</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56,372</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9" w:name="notes_unaudited_condensed_consolidated_f"/>
      <w:bookmarkEnd w:id="9"/>
      <w:r>
        <w:rPr>
          <w:rFonts w:ascii="Arial" w:hAnsi="Arial"/>
          <w:b/>
          <w:color w:val="000000"/>
          <w:sz w:val="20"/>
        </w:rPr>
        <w:t>Notes to Unaudited Condensed Consolidated Financial Statements</w:t>
      </w:r>
    </w:p>
    <w:p>
      <w:pPr>
        <w:pStyle w:val="TextBody"/>
        <w:bidi w:val="0"/>
        <w:spacing w:before="240" w:after="283"/>
        <w:jc w:val="left"/>
        <w:rPr>
          <w:rFonts w:ascii="Arial" w:hAnsi="Arial"/>
          <w:b/>
          <w:color w:val="000000"/>
          <w:sz w:val="20"/>
        </w:rPr>
      </w:pPr>
      <w:r>
        <w:rPr>
          <w:rFonts w:ascii="Arial" w:hAnsi="Arial"/>
          <w:b/>
          <w:color w:val="000000"/>
          <w:sz w:val="20"/>
        </w:rPr>
        <w:t>1. Description of Business</w:t>
      </w:r>
    </w:p>
    <w:p>
      <w:pPr>
        <w:pStyle w:val="TextBody"/>
        <w:bidi w:val="0"/>
        <w:spacing w:before="80" w:after="283"/>
        <w:jc w:val="both"/>
        <w:rPr>
          <w:rFonts w:ascii="Arial" w:hAnsi="Arial"/>
          <w:color w:val="000000"/>
          <w:sz w:val="20"/>
        </w:rPr>
      </w:pPr>
      <w:r>
        <w:rPr>
          <w:rFonts w:ascii="Arial" w:hAnsi="Arial"/>
          <w:color w:val="000000"/>
          <w:sz w:val="20"/>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 indeterminate lesions, or early-stage choroidal melanoma. Bel-sar is also being explored for metastases to the choroid and cancers of the ocular surface and is in Phase 1 clinical development in bladder cancer. The Company envisions the potential for development of bel-sar in additional therapeutic areas. Aura’s headquarters are located in Boston, Massachusetts.</w:t>
      </w:r>
    </w:p>
    <w:p>
      <w:pPr>
        <w:pStyle w:val="TextBody"/>
        <w:bidi w:val="0"/>
        <w:spacing w:before="240" w:after="283"/>
        <w:jc w:val="both"/>
        <w:rPr>
          <w:rFonts w:ascii="Times New Roman" w:hAnsi="Times New Roman"/>
          <w:sz w:val="20"/>
        </w:rPr>
      </w:pPr>
      <w:r>
        <w:rPr>
          <w:rFonts w:ascii="Arial" w:hAnsi="Arial"/>
          <w:color w:val="000000"/>
          <w:sz w:val="20"/>
        </w:rPr>
        <w:t>The Company’s operations to date have consisted primarily of conducting research and development and raising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Through September 30, 2024, the Company has funded its operations primarily with proceeds from the initial and additional closings of its convertible preferred stock financings, and through its initial public offering, or IPO, follow-on offerings and at-the-market offering, or ATM. 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or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Open Market Sale Agreement</w:t>
      </w:r>
      <w:r>
        <w:rPr>
          <w:rFonts w:ascii="Arial" w:hAnsi="Arial"/>
          <w:color w:val="000000"/>
          <w:sz w:val="13"/>
        </w:rPr>
        <w:t>SM</w:t>
      </w:r>
      <w:r>
        <w:rPr>
          <w:rFonts w:ascii="Arial" w:hAnsi="Arial"/>
          <w:color w:val="000000"/>
          <w:sz w:val="20"/>
        </w:rPr>
        <w:t>, or Sales Agreement, with Jefferies LLC, or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issued no</w:t>
      </w:r>
      <w:r>
        <w:rPr>
          <w:rFonts w:ascii="Times New Roman" w:hAnsi="Times New Roman"/>
          <w:color w:val="000000"/>
          <w:sz w:val="20"/>
        </w:rPr>
        <w:t xml:space="preserve"> </w:t>
      </w:r>
      <w:r>
        <w:rPr>
          <w:rFonts w:ascii="Arial" w:hAnsi="Arial"/>
          <w:color w:val="000000"/>
          <w:sz w:val="20"/>
        </w:rPr>
        <w:t>shares of common stock during the three and nine months ended September 30, 2024 under the ATM.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the issuance date of these unaudited condensed consolidated financial statements for the three and nine months ended September 30, 2024,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2. Summary of Significant Accounting Policies</w:t>
      </w:r>
    </w:p>
    <w:p>
      <w:pPr>
        <w:pStyle w:val="TextBody"/>
        <w:bidi w:val="0"/>
        <w:spacing w:before="8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nine months ended September 30, 2024 and 2023 are also unaudited. The unaudited condensed results of operations are not necessarily indicative of the operating results that may occur for the full fiscal year ending December 31, 2024.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Significant Accounting Policies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Company’s significant accounting policies are disclosed in the audited consolidated financial statements for the year ended December 31, 2023, in the Company’s Annual Report on Form 10-K filed with the SEC on March 27, 2024. There have been no changes to the Company’s significant accounting policies except as noted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Recently Adopted Accounting Pronouncements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w:t>
      </w:r>
      <w:r>
        <w:rPr>
          <w:rFonts w:ascii="Times New Roman" w:hAnsi="Times New Roman"/>
          <w:color w:val="000000"/>
          <w:sz w:val="20"/>
        </w:rPr>
        <w:t xml:space="preserve"> </w:t>
      </w:r>
      <w:r>
        <w:rPr>
          <w:rFonts w:ascii="Arial" w:hAnsi="Arial"/>
          <w:color w:val="000000"/>
          <w:sz w:val="20"/>
        </w:rPr>
        <w:t>this standard on January 1, 2023</w:t>
      </w:r>
      <w:r>
        <w:rPr>
          <w:rFonts w:ascii="Times New Roman" w:hAnsi="Times New Roman"/>
          <w:color w:val="000000"/>
          <w:sz w:val="20"/>
        </w:rPr>
        <w:t xml:space="preserve"> </w:t>
      </w:r>
      <w:r>
        <w:rPr>
          <w:rFonts w:ascii="Arial" w:hAnsi="Arial"/>
          <w:color w:val="000000"/>
          <w:sz w:val="20"/>
        </w:rPr>
        <w:t>and the standard did not have a material impact on its results of operations, financial condition, and financial statement disclosures.</w:t>
      </w:r>
    </w:p>
    <w:p>
      <w:pPr>
        <w:pStyle w:val="TextBody"/>
        <w:bidi w:val="0"/>
        <w:spacing w:before="240" w:after="283"/>
        <w:jc w:val="left"/>
        <w:rPr>
          <w:rFonts w:ascii="Arial" w:hAnsi="Arial"/>
          <w:b/>
          <w:color w:val="000000"/>
          <w:sz w:val="20"/>
        </w:rPr>
      </w:pPr>
      <w:r>
        <w:rPr>
          <w:rFonts w:ascii="Arial" w:hAnsi="Arial"/>
          <w:b/>
          <w:color w:val="000000"/>
          <w:sz w:val="20"/>
        </w:rPr>
        <w:t>3. Fair Value of Assets and Liabilities</w:t>
      </w:r>
    </w:p>
    <w:p>
      <w:pPr>
        <w:pStyle w:val="TextBody"/>
        <w:bidi w:val="0"/>
        <w:spacing w:before="80" w:after="283"/>
        <w:jc w:val="both"/>
        <w:rPr>
          <w:rFonts w:ascii="Times New Roman" w:hAnsi="Times New Roman"/>
          <w:sz w:val="20"/>
        </w:rPr>
      </w:pPr>
      <w:r>
        <w:rPr>
          <w:rFonts w:ascii="Arial" w:hAnsi="Arial"/>
          <w:color w:val="000000"/>
          <w:sz w:val="20"/>
        </w:rPr>
        <w:t>The following table presents information about the Company’s financial assets and liabilities measured at fair value on a recurring basis and indicates the level of the fair value hierarchy utilized to determine such fair values as of September 30, 2024 and December 31, 2023 (in thousands):</w:t>
      </w:r>
      <w:r>
        <w:rPr>
          <w:rFonts w:ascii="Times New Roman" w:hAnsi="Times New Roman"/>
          <w:color w:val="000000"/>
          <w:sz w:val="20"/>
        </w:rPr>
        <w:t xml:space="preserve"> </w:t>
      </w:r>
    </w:p>
    <w:tbl>
      <w:tblPr>
        <w:tblW w:w="9486" w:type="dxa"/>
        <w:jc w:val="left"/>
        <w:tblInd w:w="0" w:type="dxa"/>
        <w:tblLayout w:type="fixed"/>
        <w:tblCellMar>
          <w:top w:w="28" w:type="dxa"/>
          <w:left w:w="28" w:type="dxa"/>
          <w:bottom w:w="28" w:type="dxa"/>
          <w:right w:w="28" w:type="dxa"/>
        </w:tblCellMar>
      </w:tblPr>
      <w:tblGrid>
        <w:gridCol w:w="2876"/>
        <w:gridCol w:w="146"/>
        <w:gridCol w:w="300"/>
        <w:gridCol w:w="1140"/>
        <w:gridCol w:w="146"/>
        <w:gridCol w:w="146"/>
        <w:gridCol w:w="333"/>
        <w:gridCol w:w="1092"/>
        <w:gridCol w:w="146"/>
        <w:gridCol w:w="146"/>
        <w:gridCol w:w="235"/>
        <w:gridCol w:w="891"/>
        <w:gridCol w:w="146"/>
        <w:gridCol w:w="146"/>
        <w:gridCol w:w="426"/>
        <w:gridCol w:w="700"/>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2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8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jc w:val="left"/>
              <w:rPr/>
            </w:pPr>
            <w:r>
              <w:rPr/>
              <w:t> </w:t>
            </w:r>
          </w:p>
        </w:tc>
      </w:tr>
      <w:tr>
        <w:trPr/>
        <w:tc>
          <w:tcPr>
            <w:tcW w:w="2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876" w:type="dxa"/>
            <w:tcBorders/>
            <w:shd w:fill="FFFFFF"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U.S. Government agencies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91" w:type="dxa"/>
        <w:jc w:val="left"/>
        <w:tblInd w:w="0" w:type="dxa"/>
        <w:tblLayout w:type="fixed"/>
        <w:tblCellMar>
          <w:top w:w="28" w:type="dxa"/>
          <w:left w:w="28" w:type="dxa"/>
          <w:bottom w:w="28" w:type="dxa"/>
          <w:right w:w="28" w:type="dxa"/>
        </w:tblCellMar>
      </w:tblPr>
      <w:tblGrid>
        <w:gridCol w:w="2876"/>
        <w:gridCol w:w="426"/>
        <w:gridCol w:w="286"/>
        <w:gridCol w:w="1079"/>
        <w:gridCol w:w="146"/>
        <w:gridCol w:w="146"/>
        <w:gridCol w:w="333"/>
        <w:gridCol w:w="1092"/>
        <w:gridCol w:w="146"/>
        <w:gridCol w:w="146"/>
        <w:gridCol w:w="235"/>
        <w:gridCol w:w="891"/>
        <w:gridCol w:w="146"/>
        <w:gridCol w:w="146"/>
        <w:gridCol w:w="426"/>
        <w:gridCol w:w="700"/>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42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42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8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42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jc w:val="left"/>
              <w:rPr/>
            </w:pPr>
            <w:r>
              <w:rPr/>
              <w:t> </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42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876" w:type="dxa"/>
            <w:tcBorders/>
            <w:shd w:fill="CFF0FC"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Commercial paper</w:t>
            </w:r>
          </w:p>
        </w:tc>
        <w:tc>
          <w:tcPr>
            <w:tcW w:w="42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876" w:type="dxa"/>
            <w:tcBorders/>
            <w:shd w:fill="FFFFFF" w:val="cle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Corporate bonds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876" w:type="dxa"/>
            <w:tcBorders/>
            <w:shd w:fill="CFF0FC"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U.S. Government agencies</w:t>
            </w:r>
          </w:p>
        </w:tc>
        <w:tc>
          <w:tcPr>
            <w:tcW w:w="42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28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Yankee bonds</w:t>
            </w:r>
          </w:p>
        </w:tc>
        <w:tc>
          <w:tcPr>
            <w:tcW w:w="42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8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Asset-backed securities</w:t>
            </w:r>
          </w:p>
        </w:tc>
        <w:tc>
          <w:tcPr>
            <w:tcW w:w="42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42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4. Property and Equipment, Net</w:t>
      </w:r>
    </w:p>
    <w:p>
      <w:pPr>
        <w:pStyle w:val="TextBody"/>
        <w:bidi w:val="0"/>
        <w:spacing w:before="8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tbl>
      <w:tblPr>
        <w:tblW w:w="6430" w:type="dxa"/>
        <w:jc w:val="left"/>
        <w:tblInd w:w="0" w:type="dxa"/>
        <w:tblLayout w:type="fixed"/>
        <w:tblCellMar>
          <w:top w:w="28" w:type="dxa"/>
          <w:left w:w="28" w:type="dxa"/>
          <w:bottom w:w="28" w:type="dxa"/>
          <w:right w:w="28" w:type="dxa"/>
        </w:tblCellMar>
      </w:tblPr>
      <w:tblGrid>
        <w:gridCol w:w="2956"/>
        <w:gridCol w:w="146"/>
        <w:gridCol w:w="354"/>
        <w:gridCol w:w="1086"/>
        <w:gridCol w:w="166"/>
        <w:gridCol w:w="146"/>
        <w:gridCol w:w="336"/>
        <w:gridCol w:w="10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 under construction</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2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IT equipment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2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Less—accumulated depreciation</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Depreciation expense was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three months ended September 30, 2024 and 2023, respectively. In addition, depreciation expense was $0.9</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spacing w:before="240" w:after="283"/>
        <w:jc w:val="left"/>
        <w:rPr>
          <w:rFonts w:ascii="Arial" w:hAnsi="Arial"/>
          <w:b/>
          <w:color w:val="000000"/>
          <w:sz w:val="20"/>
        </w:rPr>
      </w:pPr>
      <w:r>
        <w:rPr>
          <w:rFonts w:ascii="Arial" w:hAnsi="Arial"/>
          <w:b/>
          <w:color w:val="000000"/>
          <w:sz w:val="20"/>
        </w:rPr>
        <w:t>5. Prepaid Expenses and Other Current Assets</w:t>
      </w:r>
    </w:p>
    <w:p>
      <w:pPr>
        <w:pStyle w:val="TextBody"/>
        <w:bidi w:val="0"/>
        <w:spacing w:before="80" w:after="283"/>
        <w:jc w:val="both"/>
        <w:rPr>
          <w:rFonts w:ascii="Times New Roman" w:hAnsi="Times New Roman"/>
          <w:sz w:val="20"/>
        </w:rPr>
      </w:pPr>
      <w:r>
        <w:rPr>
          <w:rFonts w:ascii="Arial" w:hAnsi="Arial"/>
          <w:color w:val="000000"/>
          <w:sz w:val="20"/>
        </w:rPr>
        <w:t>Prepaid expenses and other current assets consisted of the following (in thousands):</w:t>
      </w:r>
      <w:r>
        <w:rPr>
          <w:rFonts w:ascii="Times New Roman" w:hAnsi="Times New Roman"/>
          <w:color w:val="000000"/>
          <w:sz w:val="20"/>
        </w:rPr>
        <w:t xml:space="preserve"> </w:t>
      </w:r>
    </w:p>
    <w:tbl>
      <w:tblPr>
        <w:tblW w:w="7470" w:type="dxa"/>
        <w:jc w:val="left"/>
        <w:tblInd w:w="0" w:type="dxa"/>
        <w:tblLayout w:type="fixed"/>
        <w:tblCellMar>
          <w:top w:w="28" w:type="dxa"/>
          <w:left w:w="28" w:type="dxa"/>
          <w:bottom w:w="28" w:type="dxa"/>
          <w:right w:w="28" w:type="dxa"/>
        </w:tblCellMar>
      </w:tblPr>
      <w:tblGrid>
        <w:gridCol w:w="4036"/>
        <w:gridCol w:w="146"/>
        <w:gridCol w:w="381"/>
        <w:gridCol w:w="1059"/>
        <w:gridCol w:w="146"/>
        <w:gridCol w:w="146"/>
        <w:gridCol w:w="361"/>
        <w:gridCol w:w="1004"/>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1,817</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research and development expenses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1,399</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6. Marketable Securities</w:t>
      </w:r>
    </w:p>
    <w:p>
      <w:pPr>
        <w:pStyle w:val="TextBody"/>
        <w:bidi w:val="0"/>
        <w:spacing w:before="80" w:after="283"/>
        <w:jc w:val="left"/>
        <w:rPr>
          <w:rFonts w:ascii="Times New Roman" w:hAnsi="Times New Roman"/>
          <w:sz w:val="20"/>
        </w:rPr>
      </w:pPr>
      <w:r>
        <w:rPr>
          <w:rFonts w:ascii="Arial" w:hAnsi="Arial"/>
          <w:color w:val="000000"/>
          <w:sz w:val="20"/>
        </w:rPr>
        <w:t>Marketable securities consist of the following (in thousands):</w:t>
      </w:r>
      <w:r>
        <w:rPr>
          <w:rFonts w:ascii="Times New Roman" w:hAnsi="Times New Roman"/>
          <w:color w:val="000000"/>
          <w:sz w:val="20"/>
        </w:rPr>
        <w:t xml:space="preserve"> </w:t>
      </w:r>
    </w:p>
    <w:tbl>
      <w:tblPr>
        <w:tblW w:w="9954" w:type="dxa"/>
        <w:jc w:val="left"/>
        <w:tblInd w:w="0" w:type="dxa"/>
        <w:tblLayout w:type="fixed"/>
        <w:tblCellMar>
          <w:top w:w="28" w:type="dxa"/>
          <w:left w:w="28" w:type="dxa"/>
          <w:bottom w:w="28" w:type="dxa"/>
          <w:right w:w="28" w:type="dxa"/>
        </w:tblCellMar>
      </w:tblPr>
      <w:tblGrid>
        <w:gridCol w:w="2476"/>
        <w:gridCol w:w="146"/>
        <w:gridCol w:w="323"/>
        <w:gridCol w:w="1222"/>
        <w:gridCol w:w="146"/>
        <w:gridCol w:w="146"/>
        <w:gridCol w:w="564"/>
        <w:gridCol w:w="1131"/>
        <w:gridCol w:w="146"/>
        <w:gridCol w:w="146"/>
        <w:gridCol w:w="651"/>
        <w:gridCol w:w="1164"/>
        <w:gridCol w:w="166"/>
        <w:gridCol w:w="146"/>
        <w:gridCol w:w="220"/>
        <w:gridCol w:w="830"/>
        <w:gridCol w:w="33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148,970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9,137</w:t>
            </w:r>
          </w:p>
        </w:tc>
        <w:tc>
          <w:tcPr>
            <w:tcW w:w="33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12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6,187</w:t>
            </w:r>
          </w:p>
        </w:tc>
        <w:tc>
          <w:tcPr>
            <w:tcW w:w="33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166,002</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24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Yankee bonds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12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2,982</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2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185,087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As of September 30, 2024, the Company had no</w:t>
      </w:r>
      <w:r>
        <w:rPr>
          <w:rFonts w:ascii="Times New Roman" w:hAnsi="Times New Roman"/>
          <w:color w:val="000000"/>
          <w:sz w:val="20"/>
        </w:rPr>
        <w:t xml:space="preserve"> </w:t>
      </w:r>
      <w:r>
        <w:rPr>
          <w:rFonts w:ascii="Arial" w:hAnsi="Arial"/>
          <w:color w:val="000000"/>
          <w:sz w:val="20"/>
        </w:rPr>
        <w:t xml:space="preserve">marketable securities with unrealized losses.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 </w:t>
      </w:r>
    </w:p>
    <w:p>
      <w:pPr>
        <w:pStyle w:val="TextBody"/>
        <w:bidi w:val="0"/>
        <w:spacing w:before="80" w:after="283"/>
        <w:jc w:val="both"/>
        <w:rPr>
          <w:rFonts w:ascii="Times New Roman" w:hAnsi="Times New Roman"/>
          <w:sz w:val="20"/>
        </w:rPr>
      </w:pPr>
      <w:r>
        <w:rPr>
          <w:rFonts w:ascii="Arial" w:hAnsi="Arial"/>
          <w:color w:val="000000"/>
          <w:sz w:val="20"/>
        </w:rPr>
        <w:t>As of September 30, 2024, no</w:t>
      </w:r>
      <w:r>
        <w:rPr>
          <w:rFonts w:ascii="Times New Roman" w:hAnsi="Times New Roman"/>
          <w:color w:val="000000"/>
          <w:sz w:val="20"/>
        </w:rPr>
        <w:t xml:space="preserve"> </w:t>
      </w:r>
      <w:r>
        <w:rPr>
          <w:rFonts w:ascii="Arial" w:hAnsi="Arial"/>
          <w:color w:val="000000"/>
          <w:sz w:val="20"/>
        </w:rPr>
        <w:t xml:space="preserve">marketable securities with contractual maturities of one year or less were in an unrealized loss position. </w:t>
      </w:r>
    </w:p>
    <w:p>
      <w:pPr>
        <w:pStyle w:val="TextBody"/>
        <w:bidi w:val="0"/>
        <w:spacing w:before="80" w:after="283"/>
        <w:jc w:val="both"/>
        <w:rPr>
          <w:rFonts w:ascii="Times New Roman" w:hAnsi="Times New Roman"/>
          <w:sz w:val="20"/>
        </w:rPr>
      </w:pPr>
      <w:r>
        <w:rPr>
          <w:rFonts w:ascii="Arial" w:hAnsi="Arial"/>
          <w:color w:val="000000"/>
          <w:sz w:val="20"/>
        </w:rPr>
        <w:t>As of September 30, 2024, the Company had marketable securities with a fair value of $30.1</w:t>
      </w:r>
      <w:r>
        <w:rPr>
          <w:rFonts w:ascii="Times New Roman" w:hAnsi="Times New Roman"/>
          <w:color w:val="000000"/>
          <w:sz w:val="20"/>
        </w:rPr>
        <w:t xml:space="preserve"> </w:t>
      </w:r>
      <w:r>
        <w:rPr>
          <w:rFonts w:ascii="Arial" w:hAnsi="Arial"/>
          <w:color w:val="000000"/>
          <w:sz w:val="20"/>
        </w:rPr>
        <w:t xml:space="preserve">million that had maturities of one to two years. </w:t>
      </w:r>
    </w:p>
    <w:p>
      <w:pPr>
        <w:pStyle w:val="TextBody"/>
        <w:bidi w:val="0"/>
        <w:spacing w:before="8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the Company’s assets measured and carried at fair value during the nine months ended September 30, 2024.</w:t>
      </w:r>
    </w:p>
    <w:p>
      <w:pPr>
        <w:pStyle w:val="TextBody"/>
        <w:bidi w:val="0"/>
        <w:spacing w:before="80" w:after="283"/>
        <w:jc w:val="both"/>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7. Accrued Expenses and Other Current Liabilities</w:t>
      </w:r>
    </w:p>
    <w:p>
      <w:pPr>
        <w:pStyle w:val="TextBody"/>
        <w:bidi w:val="0"/>
        <w:spacing w:before="80" w:after="283"/>
        <w:jc w:val="both"/>
        <w:rPr>
          <w:rFonts w:ascii="Times New Roman" w:hAnsi="Times New Roman"/>
          <w:sz w:val="20"/>
        </w:rPr>
      </w:pPr>
      <w:r>
        <w:rPr>
          <w:rFonts w:ascii="Arial" w:hAnsi="Arial"/>
          <w:color w:val="000000"/>
          <w:sz w:val="20"/>
        </w:rPr>
        <w:t>Accrued expenses and other current liabilities consisted of the following (in thousands):</w:t>
      </w:r>
      <w:r>
        <w:rPr>
          <w:rFonts w:ascii="Times New Roman" w:hAnsi="Times New Roman"/>
          <w:color w:val="000000"/>
          <w:sz w:val="20"/>
        </w:rPr>
        <w:t xml:space="preserve"> </w:t>
      </w:r>
    </w:p>
    <w:tbl>
      <w:tblPr>
        <w:tblW w:w="7530" w:type="dxa"/>
        <w:jc w:val="left"/>
        <w:tblInd w:w="0" w:type="dxa"/>
        <w:tblLayout w:type="fixed"/>
        <w:tblCellMar>
          <w:top w:w="28" w:type="dxa"/>
          <w:left w:w="28" w:type="dxa"/>
          <w:bottom w:w="28" w:type="dxa"/>
          <w:right w:w="28" w:type="dxa"/>
        </w:tblCellMar>
      </w:tblPr>
      <w:tblGrid>
        <w:gridCol w:w="4096"/>
        <w:gridCol w:w="146"/>
        <w:gridCol w:w="381"/>
        <w:gridCol w:w="1059"/>
        <w:gridCol w:w="146"/>
        <w:gridCol w:w="146"/>
        <w:gridCol w:w="361"/>
        <w:gridCol w:w="100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3,445</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3,503</w:t>
            </w:r>
          </w:p>
        </w:tc>
        <w:tc>
          <w:tcPr>
            <w:tcW w:w="191"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8. Stockholders' Equity</w:t>
      </w:r>
    </w:p>
    <w:p>
      <w:pPr>
        <w:pStyle w:val="TextBody"/>
        <w:bidi w:val="0"/>
        <w:spacing w:before="80" w:after="283"/>
        <w:jc w:val="both"/>
        <w:rPr>
          <w:rFonts w:ascii="Times New Roman" w:hAnsi="Times New Roman"/>
          <w:sz w:val="20"/>
        </w:rPr>
      </w:pPr>
      <w:r>
        <w:rPr>
          <w:rFonts w:ascii="Arial" w:hAnsi="Arial"/>
          <w:color w:val="000000"/>
          <w:sz w:val="20"/>
        </w:rPr>
        <w:t>The Company had 150,000,000</w:t>
      </w:r>
      <w:r>
        <w:rPr>
          <w:rFonts w:ascii="Times New Roman" w:hAnsi="Times New Roman"/>
          <w:color w:val="000000"/>
          <w:sz w:val="20"/>
        </w:rPr>
        <w:t xml:space="preserve"> </w:t>
      </w:r>
      <w:r>
        <w:rPr>
          <w:rFonts w:ascii="Arial" w:hAnsi="Arial"/>
          <w:color w:val="000000"/>
          <w:sz w:val="20"/>
        </w:rPr>
        <w:t>authorized shares of common stock, par value $0.00001</w:t>
      </w:r>
      <w:r>
        <w:rPr>
          <w:rFonts w:ascii="Times New Roman" w:hAnsi="Times New Roman"/>
          <w:color w:val="000000"/>
          <w:sz w:val="20"/>
        </w:rPr>
        <w:t xml:space="preserve"> </w:t>
      </w:r>
      <w:r>
        <w:rPr>
          <w:rFonts w:ascii="Arial" w:hAnsi="Arial"/>
          <w:color w:val="000000"/>
          <w:sz w:val="20"/>
        </w:rPr>
        <w:t>per share, of which 49,778,861</w:t>
      </w:r>
      <w:r>
        <w:rPr>
          <w:rFonts w:ascii="Times New Roman" w:hAnsi="Times New Roman"/>
          <w:color w:val="000000"/>
          <w:sz w:val="20"/>
        </w:rPr>
        <w:t xml:space="preserve"> </w:t>
      </w:r>
      <w:r>
        <w:rPr>
          <w:rFonts w:ascii="Arial" w:hAnsi="Arial"/>
          <w:color w:val="000000"/>
          <w:sz w:val="20"/>
        </w:rPr>
        <w:t>and 49,350,788</w:t>
      </w:r>
      <w:r>
        <w:rPr>
          <w:rFonts w:ascii="Times New Roman" w:hAnsi="Times New Roman"/>
          <w:color w:val="000000"/>
          <w:sz w:val="20"/>
        </w:rPr>
        <w:t xml:space="preserve"> </w:t>
      </w:r>
      <w:r>
        <w:rPr>
          <w:rFonts w:ascii="Arial" w:hAnsi="Arial"/>
          <w:color w:val="000000"/>
          <w:sz w:val="20"/>
        </w:rPr>
        <w:t>shares were issued and outstanding at September 30, 2024 and December 31, 2023, respectively.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addition, the Company had 10,000,000</w:t>
      </w:r>
      <w:r>
        <w:rPr>
          <w:rFonts w:ascii="Times New Roman" w:hAnsi="Times New Roman"/>
          <w:color w:val="000000"/>
          <w:sz w:val="20"/>
        </w:rPr>
        <w:t xml:space="preserve"> </w:t>
      </w:r>
      <w:r>
        <w:rPr>
          <w:rFonts w:ascii="Arial" w:hAnsi="Arial"/>
          <w:color w:val="000000"/>
          <w:sz w:val="20"/>
        </w:rPr>
        <w:t>authorized shares of preferred stock, par value $0.00001</w:t>
      </w:r>
      <w:r>
        <w:rPr>
          <w:rFonts w:ascii="Times New Roman" w:hAnsi="Times New Roman"/>
          <w:color w:val="000000"/>
          <w:sz w:val="20"/>
        </w:rPr>
        <w:t xml:space="preserve"> </w:t>
      </w:r>
      <w:r>
        <w:rPr>
          <w:rFonts w:ascii="Arial" w:hAnsi="Arial"/>
          <w:color w:val="000000"/>
          <w:sz w:val="20"/>
        </w:rPr>
        <w:t>per share, all of which shares of preferred stock are undesignated. No</w:t>
      </w:r>
      <w:r>
        <w:rPr>
          <w:rFonts w:ascii="Times New Roman" w:hAnsi="Times New Roman"/>
          <w:color w:val="000000"/>
          <w:sz w:val="20"/>
        </w:rPr>
        <w:t xml:space="preserve"> </w:t>
      </w:r>
      <w:r>
        <w:rPr>
          <w:rFonts w:ascii="Arial" w:hAnsi="Arial"/>
          <w:color w:val="000000"/>
          <w:sz w:val="20"/>
        </w:rPr>
        <w:t>authorized shares of preferred stock were issued and outstanding at September 30, 2024 and December 31, 2023.</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Financings</w:t>
      </w:r>
    </w:p>
    <w:p>
      <w:pPr>
        <w:pStyle w:val="TextBody"/>
        <w:bidi w:val="0"/>
        <w:spacing w:before="80" w:after="283"/>
        <w:jc w:val="both"/>
        <w:rPr>
          <w:rFonts w:ascii="Times New Roman" w:hAnsi="Times New Roman"/>
          <w:sz w:val="20"/>
        </w:rPr>
      </w:pPr>
      <w:r>
        <w:rPr>
          <w:rFonts w:ascii="Arial" w:hAnsi="Arial"/>
          <w:color w:val="000000"/>
          <w:sz w:val="20"/>
        </w:rPr>
        <w:t>On March 27, 2024, the Company filed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issued no</w:t>
      </w:r>
      <w:r>
        <w:rPr>
          <w:rFonts w:ascii="Times New Roman" w:hAnsi="Times New Roman"/>
          <w:color w:val="000000"/>
          <w:sz w:val="20"/>
        </w:rPr>
        <w:t xml:space="preserve"> </w:t>
      </w:r>
      <w:r>
        <w:rPr>
          <w:rFonts w:ascii="Arial" w:hAnsi="Arial"/>
          <w:color w:val="000000"/>
          <w:sz w:val="20"/>
        </w:rPr>
        <w:t>shares of common stock during the nine months ended September 30, 2024 under the ATM.</w:t>
      </w:r>
    </w:p>
    <w:p>
      <w:pPr>
        <w:pStyle w:val="TextBody"/>
        <w:bidi w:val="0"/>
        <w:spacing w:before="80" w:after="283"/>
        <w:jc w:val="both"/>
        <w:rPr>
          <w:rFonts w:ascii="Times New Roman" w:hAnsi="Times New Roman"/>
          <w:sz w:val="20"/>
        </w:rPr>
      </w:pPr>
      <w:r>
        <w:rPr>
          <w:rFonts w:ascii="Arial" w:hAnsi="Arial"/>
          <w:color w:val="000000"/>
          <w:sz w:val="20"/>
        </w:rPr>
        <w:t>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in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w:t>
      </w:r>
    </w:p>
    <w:p>
      <w:pPr>
        <w:pStyle w:val="TextBody"/>
        <w:bidi w:val="0"/>
        <w:spacing w:before="80" w:after="283"/>
        <w:jc w:val="both"/>
        <w:rPr>
          <w:rFonts w:ascii="Times New Roman" w:hAnsi="Times New Roman"/>
          <w:sz w:val="20"/>
        </w:rPr>
      </w:pPr>
      <w:r>
        <w:rPr>
          <w:rFonts w:ascii="Arial" w:hAnsi="Arial"/>
          <w:color w:val="000000"/>
          <w:sz w:val="20"/>
        </w:rPr>
        <w:t>On November 1, 2022, the Company filed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Sales Agreement with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The Company issued 261,807</w:t>
      </w:r>
      <w:r>
        <w:rPr>
          <w:rFonts w:ascii="Times New Roman" w:hAnsi="Times New Roman"/>
          <w:color w:val="000000"/>
          <w:sz w:val="20"/>
        </w:rPr>
        <w:t xml:space="preserve"> </w:t>
      </w:r>
      <w:r>
        <w:rPr>
          <w:rFonts w:ascii="Arial" w:hAnsi="Arial"/>
          <w:color w:val="000000"/>
          <w:sz w:val="20"/>
        </w:rPr>
        <w:t>shares of common stock at an average price of $12.49</w:t>
      </w:r>
      <w:r>
        <w:rPr>
          <w:rFonts w:ascii="Times New Roman" w:hAnsi="Times New Roman"/>
          <w:color w:val="000000"/>
          <w:sz w:val="20"/>
        </w:rPr>
        <w:t xml:space="preserve"> </w:t>
      </w:r>
      <w:r>
        <w:rPr>
          <w:rFonts w:ascii="Arial" w:hAnsi="Arial"/>
          <w:color w:val="000000"/>
          <w:sz w:val="20"/>
        </w:rPr>
        <w:t>for aggregate gross proceeds of $3.3</w:t>
      </w:r>
      <w:r>
        <w:rPr>
          <w:rFonts w:ascii="Times New Roman" w:hAnsi="Times New Roman"/>
          <w:color w:val="000000"/>
          <w:sz w:val="20"/>
        </w:rPr>
        <w:t xml:space="preserve"> </w:t>
      </w:r>
      <w:r>
        <w:rPr>
          <w:rFonts w:ascii="Arial" w:hAnsi="Arial"/>
          <w:color w:val="000000"/>
          <w:sz w:val="20"/>
        </w:rPr>
        <w:t>million during the year ended December 31, 2023 under the ATM.</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9. Stock-Based Compensation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2018 Stock Option and Incentive Plan</w:t>
      </w:r>
    </w:p>
    <w:p>
      <w:pPr>
        <w:pStyle w:val="TextBody"/>
        <w:bidi w:val="0"/>
        <w:jc w:val="both"/>
        <w:rPr>
          <w:rFonts w:ascii="Arial" w:hAnsi="Arial"/>
          <w:color w:val="000000"/>
          <w:sz w:val="20"/>
        </w:rPr>
      </w:pPr>
      <w:r>
        <w:rPr>
          <w:rFonts w:ascii="Arial" w:hAnsi="Arial"/>
          <w:color w:val="000000"/>
          <w:sz w:val="20"/>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Stock Option and Incentive Plan</w:t>
      </w:r>
    </w:p>
    <w:p>
      <w:pPr>
        <w:pStyle w:val="TextBody"/>
        <w:bidi w:val="0"/>
        <w:jc w:val="both"/>
        <w:rPr>
          <w:rFonts w:ascii="Times New Roman" w:hAnsi="Times New Roman"/>
          <w:sz w:val="20"/>
        </w:rPr>
      </w:pPr>
      <w:r>
        <w:rPr>
          <w:rFonts w:ascii="Arial" w:hAnsi="Arial"/>
          <w:color w:val="000000"/>
          <w:sz w:val="20"/>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w:t>
      </w:r>
      <w:r>
        <w:rPr>
          <w:rFonts w:ascii="Times New Roman" w:hAnsi="Times New Roman"/>
          <w:color w:val="000000"/>
          <w:sz w:val="20"/>
        </w:rPr>
        <w:t xml:space="preserve"> </w:t>
      </w:r>
      <w:r>
        <w:rPr>
          <w:rFonts w:ascii="Arial" w:hAnsi="Arial"/>
          <w:color w:val="000000"/>
          <w:sz w:val="20"/>
        </w:rPr>
        <w:t>shares of common stock. On January 1, 2024, the shares reserved for issuance was increased to 9,414,162</w:t>
      </w:r>
      <w:r>
        <w:rPr>
          <w:rFonts w:ascii="Times New Roman" w:hAnsi="Times New Roman"/>
          <w:color w:val="000000"/>
          <w:sz w:val="20"/>
        </w:rPr>
        <w:t xml:space="preserve"> </w:t>
      </w:r>
      <w:r>
        <w:rPr>
          <w:rFonts w:ascii="Arial" w:hAnsi="Arial"/>
          <w:color w:val="000000"/>
          <w:sz w:val="20"/>
        </w:rPr>
        <w:t>shares. With the transfer of the available options from the 2018 Plan to the 2021 Plan, there were 4,109,828</w:t>
      </w:r>
      <w:r>
        <w:rPr>
          <w:rFonts w:ascii="Times New Roman" w:hAnsi="Times New Roman"/>
          <w:color w:val="000000"/>
          <w:sz w:val="20"/>
        </w:rPr>
        <w:t xml:space="preserve"> </w:t>
      </w:r>
      <w:r>
        <w:rPr>
          <w:rFonts w:ascii="Arial" w:hAnsi="Arial"/>
          <w:color w:val="000000"/>
          <w:sz w:val="20"/>
        </w:rPr>
        <w:t>options and restricted stock units available for grant under the 2021 Plan at September 30, 2024.</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2021 Employee Stock Purchase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2021 Employee Stock Purchase Plan, or the ESPP, was adopted by the Board on October 7, 2021, approved by the Company’s stockholders on October 22, 2021 and became effective on November 1, 2021. A total of 335,217</w:t>
      </w:r>
      <w:r>
        <w:rPr>
          <w:rFonts w:ascii="Times New Roman" w:hAnsi="Times New Roman"/>
          <w:color w:val="000000"/>
          <w:sz w:val="20"/>
        </w:rPr>
        <w:t xml:space="preserve"> </w:t>
      </w:r>
      <w:r>
        <w:rPr>
          <w:rFonts w:ascii="Arial" w:hAnsi="Arial"/>
          <w:color w:val="000000"/>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color w:val="000000"/>
          <w:sz w:val="20"/>
        </w:rPr>
        <w:t xml:space="preserve"> </w:t>
      </w:r>
      <w:r>
        <w:rPr>
          <w:rFonts w:ascii="Arial" w:hAnsi="Arial"/>
          <w:color w:val="000000"/>
          <w:sz w:val="20"/>
        </w:rPr>
        <w:t>shares of common stock, (ii) 1% of the outstanding number of shares of common stock on the immediately preceding December 31 or (iii) such lesser number of shares of common stock as determined by the administrator of the ESPP. On January 1, 2024, the shares reserved for issuance was increased to 1,282,856</w:t>
      </w:r>
      <w:r>
        <w:rPr>
          <w:rFonts w:ascii="Times New Roman" w:hAnsi="Times New Roman"/>
          <w:color w:val="000000"/>
          <w:sz w:val="20"/>
        </w:rPr>
        <w:t xml:space="preserve"> </w:t>
      </w:r>
      <w:r>
        <w:rPr>
          <w:rFonts w:ascii="Arial" w:hAnsi="Arial"/>
          <w:color w:val="000000"/>
          <w:sz w:val="20"/>
        </w:rPr>
        <w:t>shares. The purchase price of the shares under the ESPP are at 85% of the lower of the fair market value of the Company’s common stock on the first trading day of the offering period or on the purchase date. As of September 30, 2024, 1,258,379</w:t>
      </w:r>
      <w:r>
        <w:rPr>
          <w:rFonts w:ascii="Times New Roman" w:hAnsi="Times New Roman"/>
          <w:color w:val="000000"/>
          <w:sz w:val="20"/>
        </w:rPr>
        <w:t xml:space="preserve"> </w:t>
      </w:r>
      <w:r>
        <w:rPr>
          <w:rFonts w:ascii="Arial" w:hAnsi="Arial"/>
          <w:color w:val="000000"/>
          <w:sz w:val="20"/>
        </w:rPr>
        <w:t>shares were available to be issued under the ESPP. The Company recognized $0.01</w:t>
      </w:r>
      <w:r>
        <w:rPr>
          <w:rFonts w:ascii="Times New Roman" w:hAnsi="Times New Roman"/>
          <w:color w:val="000000"/>
          <w:sz w:val="20"/>
        </w:rPr>
        <w:t xml:space="preserve"> </w:t>
      </w:r>
      <w:r>
        <w:rPr>
          <w:rFonts w:ascii="Arial" w:hAnsi="Arial"/>
          <w:color w:val="000000"/>
          <w:sz w:val="20"/>
        </w:rPr>
        <w:t>million share-based compensation expense related to the ESPP for the three months ended September 30, 2024. The Company recognized $0.06</w:t>
      </w:r>
      <w:r>
        <w:rPr>
          <w:rFonts w:ascii="Times New Roman" w:hAnsi="Times New Roman"/>
          <w:color w:val="000000"/>
          <w:sz w:val="20"/>
        </w:rPr>
        <w:t xml:space="preserve"> </w:t>
      </w:r>
      <w:r>
        <w:rPr>
          <w:rFonts w:ascii="Arial" w:hAnsi="Arial"/>
          <w:color w:val="000000"/>
          <w:sz w:val="20"/>
        </w:rPr>
        <w:t>million share-based compensation expense related to the ESPP for the nine months ended September 30, 2024.</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Stock Options</w:t>
      </w:r>
    </w:p>
    <w:p>
      <w:pPr>
        <w:pStyle w:val="TextBody"/>
        <w:bidi w:val="0"/>
        <w:spacing w:before="240" w:after="283"/>
        <w:jc w:val="both"/>
        <w:rPr>
          <w:rFonts w:ascii="Times New Roman" w:hAnsi="Times New Roman"/>
          <w:sz w:val="20"/>
        </w:rPr>
      </w:pPr>
      <w:r>
        <w:rPr>
          <w:rFonts w:ascii="Arial" w:hAnsi="Arial"/>
          <w:color w:val="000000"/>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which employees, directors and consultants shall be granted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shares of common stock subject to options and other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exercise price of each option, which generally shall not be less than fair market value of the common stock on the date of grant;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termination or cancellation provisions applicable to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terms and conditions of other awards, including conditions for repurchase, termination or cancellation, issue price and repurchase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 other terms and conditions upon which each award may be granted in accordance with the 2021 Plan. </w:t>
      </w:r>
    </w:p>
    <w:p>
      <w:pPr>
        <w:pStyle w:val="TextBody"/>
        <w:bidi w:val="0"/>
        <w:spacing w:before="240" w:after="283"/>
        <w:jc w:val="both"/>
        <w:rPr>
          <w:rFonts w:ascii="Times New Roman" w:hAnsi="Times New Roman"/>
          <w:sz w:val="20"/>
        </w:rPr>
      </w:pPr>
      <w:r>
        <w:rPr>
          <w:rFonts w:ascii="Arial" w:hAnsi="Arial"/>
          <w:color w:val="000000"/>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under the 2018 Plan and 2021 Plan for the nine months ended September 30, 2024:</w:t>
      </w:r>
      <w:r>
        <w:rPr>
          <w:rFonts w:ascii="Times New Roman" w:hAnsi="Times New Roman"/>
          <w:color w:val="000000"/>
          <w:sz w:val="20"/>
        </w:rPr>
        <w:t xml:space="preserve"> </w:t>
      </w:r>
    </w:p>
    <w:tbl>
      <w:tblPr>
        <w:tblW w:w="9633" w:type="dxa"/>
        <w:jc w:val="left"/>
        <w:tblInd w:w="0" w:type="dxa"/>
        <w:tblLayout w:type="fixed"/>
        <w:tblCellMar>
          <w:top w:w="28" w:type="dxa"/>
          <w:left w:w="28" w:type="dxa"/>
          <w:bottom w:w="28" w:type="dxa"/>
          <w:right w:w="28" w:type="dxa"/>
        </w:tblCellMar>
      </w:tblPr>
      <w:tblGrid>
        <w:gridCol w:w="3211"/>
        <w:gridCol w:w="146"/>
        <w:gridCol w:w="146"/>
        <w:gridCol w:w="961"/>
        <w:gridCol w:w="166"/>
        <w:gridCol w:w="146"/>
        <w:gridCol w:w="274"/>
        <w:gridCol w:w="762"/>
        <w:gridCol w:w="146"/>
        <w:gridCol w:w="146"/>
        <w:gridCol w:w="272"/>
        <w:gridCol w:w="899"/>
        <w:gridCol w:w="146"/>
        <w:gridCol w:w="146"/>
        <w:gridCol w:w="437"/>
        <w:gridCol w:w="1438"/>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 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5,030,351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9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1,446,630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(202,858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7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Cancelled/Forfeited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5,746,441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3,189,078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weighted-average grant date fair value of stock options granted during the nine months ended September 30, 2024 and 2023 was $5.85</w:t>
      </w:r>
      <w:r>
        <w:rPr>
          <w:rFonts w:ascii="Times New Roman" w:hAnsi="Times New Roman"/>
          <w:color w:val="000000"/>
          <w:sz w:val="20"/>
        </w:rPr>
        <w:t xml:space="preserve"> </w:t>
      </w:r>
      <w:r>
        <w:rPr>
          <w:rFonts w:ascii="Arial" w:hAnsi="Arial"/>
          <w:color w:val="000000"/>
          <w:sz w:val="20"/>
        </w:rPr>
        <w:t>and $7.81</w:t>
      </w:r>
      <w:r>
        <w:rPr>
          <w:rFonts w:ascii="Times New Roman" w:hAnsi="Times New Roman"/>
          <w:color w:val="000000"/>
          <w:sz w:val="20"/>
        </w:rPr>
        <w:t xml:space="preserve"> </w:t>
      </w:r>
      <w:r>
        <w:rPr>
          <w:rFonts w:ascii="Arial" w:hAnsi="Arial"/>
          <w:color w:val="000000"/>
          <w:sz w:val="20"/>
        </w:rPr>
        <w:t>per share, respectively. The fair value of options vested during the nine months ended September 30, 2024 and 2023 was $6.4</w:t>
      </w:r>
      <w:r>
        <w:rPr>
          <w:rFonts w:ascii="Times New Roman" w:hAnsi="Times New Roman"/>
          <w:color w:val="000000"/>
          <w:sz w:val="20"/>
        </w:rPr>
        <w:t xml:space="preserve"> </w:t>
      </w:r>
      <w:r>
        <w:rPr>
          <w:rFonts w:ascii="Arial" w:hAnsi="Arial"/>
          <w:color w:val="000000"/>
          <w:sz w:val="20"/>
        </w:rPr>
        <w:t>million and $4.8</w:t>
      </w:r>
      <w:r>
        <w:rPr>
          <w:rFonts w:ascii="Times New Roman" w:hAnsi="Times New Roman"/>
          <w:color w:val="000000"/>
          <w:sz w:val="20"/>
        </w:rPr>
        <w:t xml:space="preserve"> </w:t>
      </w:r>
      <w:r>
        <w:rPr>
          <w:rFonts w:ascii="Arial" w:hAnsi="Arial"/>
          <w:color w:val="000000"/>
          <w:sz w:val="20"/>
        </w:rPr>
        <w:t>million, respectively. The total intrinsic value of options exercised was $0.8</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spacing w:before="240" w:after="283"/>
        <w:jc w:val="both"/>
        <w:rPr>
          <w:rFonts w:ascii="Times New Roman" w:hAnsi="Times New Roman"/>
          <w:sz w:val="20"/>
        </w:rPr>
      </w:pPr>
      <w:r>
        <w:rPr>
          <w:rFonts w:ascii="Arial" w:hAnsi="Arial"/>
          <w:color w:val="000000"/>
          <w:sz w:val="20"/>
        </w:rPr>
        <w:t>The fair value of the stock options issued for the three and nine months ended September 30, 2024 and 2023 was measured with the following weighted-average assumptions:</w:t>
      </w:r>
      <w:r>
        <w:rPr>
          <w:rFonts w:ascii="Times New Roman" w:hAnsi="Times New Roman"/>
          <w:color w:val="000000"/>
          <w:sz w:val="20"/>
        </w:rPr>
        <w:t xml:space="preserve"> </w:t>
      </w:r>
    </w:p>
    <w:tbl>
      <w:tblPr>
        <w:tblW w:w="8648" w:type="dxa"/>
        <w:jc w:val="left"/>
        <w:tblInd w:w="0" w:type="dxa"/>
        <w:tblLayout w:type="fixed"/>
        <w:tblCellMar>
          <w:top w:w="28" w:type="dxa"/>
          <w:left w:w="28" w:type="dxa"/>
          <w:bottom w:w="28" w:type="dxa"/>
          <w:right w:w="28" w:type="dxa"/>
        </w:tblCellMar>
      </w:tblPr>
      <w:tblGrid>
        <w:gridCol w:w="3766"/>
        <w:gridCol w:w="146"/>
        <w:gridCol w:w="157"/>
        <w:gridCol w:w="630"/>
        <w:gridCol w:w="307"/>
        <w:gridCol w:w="157"/>
        <w:gridCol w:w="157"/>
        <w:gridCol w:w="630"/>
        <w:gridCol w:w="286"/>
        <w:gridCol w:w="146"/>
        <w:gridCol w:w="149"/>
        <w:gridCol w:w="598"/>
        <w:gridCol w:w="292"/>
        <w:gridCol w:w="149"/>
        <w:gridCol w:w="149"/>
        <w:gridCol w:w="598"/>
        <w:gridCol w:w="33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3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CECFF"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0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6.05</w:t>
            </w:r>
          </w:p>
        </w:tc>
        <w:tc>
          <w:tcPr>
            <w:tcW w:w="292"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31" w:type="dxa"/>
            <w:tcBorders/>
            <w:shd w:fill="FFFFFF" w:val="cle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 of the underlying stock</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88.82</w:t>
            </w:r>
          </w:p>
        </w:tc>
        <w:tc>
          <w:tcPr>
            <w:tcW w:w="3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87.35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88.61</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CECFF"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9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85.38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rate</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3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color w:val="000000"/>
              </w:rPr>
            </w:pPr>
            <w:r>
              <w:rPr>
                <w:color w:val="000000"/>
              </w:rPr>
              <w:t>—</w:t>
            </w:r>
          </w:p>
        </w:tc>
        <w:tc>
          <w:tcPr>
            <w:tcW w:w="2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Restricted Stock Units</w:t>
      </w:r>
    </w:p>
    <w:p>
      <w:pPr>
        <w:pStyle w:val="TextBody"/>
        <w:bidi w:val="0"/>
        <w:jc w:val="both"/>
        <w:rPr>
          <w:rFonts w:ascii="Arial" w:hAnsi="Arial"/>
          <w:color w:val="000000"/>
          <w:sz w:val="20"/>
        </w:rPr>
      </w:pPr>
      <w:r>
        <w:rPr>
          <w:rFonts w:ascii="Arial" w:hAnsi="Arial"/>
          <w:color w:val="000000"/>
          <w:sz w:val="20"/>
        </w:rPr>
        <w:t>The Company has granted restricted stock units with service-based vesting conditions. Unvested restricted stock units may not be sold or transferred by the holder.</w:t>
      </w:r>
    </w:p>
    <w:p>
      <w:pPr>
        <w:pStyle w:val="TextBody"/>
        <w:bidi w:val="0"/>
        <w:jc w:val="both"/>
        <w:rPr>
          <w:rFonts w:ascii="Arial" w:hAnsi="Arial"/>
          <w:color w:val="000000"/>
          <w:sz w:val="20"/>
        </w:rPr>
      </w:pPr>
      <w:r>
        <w:rPr>
          <w:rFonts w:ascii="Arial" w:hAnsi="Arial"/>
          <w:color w:val="000000"/>
          <w:sz w:val="20"/>
        </w:rPr>
        <w:t>A summary of the restricted stock units activity during the nine months ended September 30, 2024 is as follows: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80" w:type="dxa"/>
        <w:jc w:val="left"/>
        <w:tblInd w:w="0" w:type="dxa"/>
        <w:tblLayout w:type="fixed"/>
        <w:tblCellMar>
          <w:top w:w="28" w:type="dxa"/>
          <w:left w:w="28" w:type="dxa"/>
          <w:bottom w:w="28" w:type="dxa"/>
          <w:right w:w="28" w:type="dxa"/>
        </w:tblCellMar>
      </w:tblPr>
      <w:tblGrid>
        <w:gridCol w:w="2986"/>
        <w:gridCol w:w="146"/>
        <w:gridCol w:w="285"/>
        <w:gridCol w:w="1875"/>
        <w:gridCol w:w="166"/>
        <w:gridCol w:w="146"/>
        <w:gridCol w:w="551"/>
        <w:gridCol w:w="1534"/>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87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1,093,402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10.27</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8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976,345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Vested/Released</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87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(200,738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10.40</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at September 30, 2024</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As a result of the 2021 Plan, the Company granted restricted stock units which vest in increments of 25% annually over a period of four years. For the nine months ended September 30, 2024, 200,738</w:t>
      </w:r>
      <w:r>
        <w:rPr>
          <w:rFonts w:ascii="Times New Roman" w:hAnsi="Times New Roman"/>
          <w:color w:val="000000"/>
          <w:sz w:val="20"/>
        </w:rPr>
        <w:t xml:space="preserve"> </w:t>
      </w:r>
      <w:r>
        <w:rPr>
          <w:rFonts w:ascii="Arial" w:hAnsi="Arial"/>
          <w:color w:val="000000"/>
          <w:sz w:val="20"/>
        </w:rPr>
        <w:t>restricted stock units vested with a fair value of $2.1</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Stock-Based Compensation Expense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recorded stock-based compensation expense as follows (in thousands):</w:t>
      </w:r>
      <w:r>
        <w:rPr>
          <w:rFonts w:ascii="Times New Roman" w:hAnsi="Times New Roman"/>
          <w:color w:val="000000"/>
          <w:sz w:val="20"/>
        </w:rPr>
        <w:t xml:space="preserve"> </w:t>
      </w:r>
    </w:p>
    <w:tbl>
      <w:tblPr>
        <w:tblW w:w="7236" w:type="dxa"/>
        <w:jc w:val="left"/>
        <w:tblInd w:w="0" w:type="dxa"/>
        <w:tblLayout w:type="fixed"/>
        <w:tblCellMar>
          <w:top w:w="28" w:type="dxa"/>
          <w:left w:w="28" w:type="dxa"/>
          <w:bottom w:w="28" w:type="dxa"/>
          <w:right w:w="28" w:type="dxa"/>
        </w:tblCellMar>
      </w:tblPr>
      <w:tblGrid>
        <w:gridCol w:w="2491"/>
        <w:gridCol w:w="146"/>
        <w:gridCol w:w="228"/>
        <w:gridCol w:w="634"/>
        <w:gridCol w:w="157"/>
        <w:gridCol w:w="157"/>
        <w:gridCol w:w="228"/>
        <w:gridCol w:w="634"/>
        <w:gridCol w:w="146"/>
        <w:gridCol w:w="146"/>
        <w:gridCol w:w="146"/>
        <w:gridCol w:w="216"/>
        <w:gridCol w:w="601"/>
        <w:gridCol w:w="149"/>
        <w:gridCol w:w="149"/>
        <w:gridCol w:w="216"/>
        <w:gridCol w:w="60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1,175</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4,194</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8,785</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September 30, 2024, there was $14.8</w:t>
      </w:r>
      <w:r>
        <w:rPr>
          <w:rFonts w:ascii="Times New Roman" w:hAnsi="Times New Roman"/>
          <w:color w:val="000000"/>
          <w:sz w:val="20"/>
        </w:rPr>
        <w:t xml:space="preserve"> </w:t>
      </w:r>
      <w:r>
        <w:rPr>
          <w:rFonts w:ascii="Arial" w:hAnsi="Arial"/>
          <w:color w:val="000000"/>
          <w:sz w:val="20"/>
        </w:rPr>
        <w:t>million of unrecognized compensation expense related to stock options, which is expected to be recognized over a weighted-average period of 2.57</w:t>
      </w:r>
      <w:r>
        <w:rPr>
          <w:rFonts w:ascii="Times New Roman" w:hAnsi="Times New Roman"/>
          <w:color w:val="000000"/>
          <w:sz w:val="20"/>
        </w:rPr>
        <w:t xml:space="preserve"> </w:t>
      </w:r>
      <w:r>
        <w:rPr>
          <w:rFonts w:ascii="Arial" w:hAnsi="Arial"/>
          <w:color w:val="000000"/>
          <w:sz w:val="20"/>
        </w:rPr>
        <w:t>years.</w:t>
      </w:r>
    </w:p>
    <w:p>
      <w:pPr>
        <w:pStyle w:val="TextBody"/>
        <w:bidi w:val="0"/>
        <w:jc w:val="both"/>
        <w:rPr>
          <w:rFonts w:ascii="Times New Roman" w:hAnsi="Times New Roman"/>
          <w:sz w:val="20"/>
        </w:rPr>
      </w:pPr>
      <w:r>
        <w:rPr>
          <w:rFonts w:ascii="Arial" w:hAnsi="Arial"/>
          <w:color w:val="000000"/>
          <w:sz w:val="20"/>
        </w:rPr>
        <w:t>As of September 30, 2024, there was $11.6</w:t>
      </w:r>
      <w:r>
        <w:rPr>
          <w:rFonts w:ascii="Times New Roman" w:hAnsi="Times New Roman"/>
          <w:color w:val="000000"/>
          <w:sz w:val="20"/>
        </w:rPr>
        <w:t xml:space="preserve"> </w:t>
      </w:r>
      <w:r>
        <w:rPr>
          <w:rFonts w:ascii="Arial" w:hAnsi="Arial"/>
          <w:color w:val="000000"/>
          <w:sz w:val="20"/>
        </w:rPr>
        <w:t>million of unrecognized compensation expense related to restricted stock units, which is expected to be recognized over a weighted-average period of 2.96</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10. Common Stock Warrants</w:t>
      </w:r>
    </w:p>
    <w:p>
      <w:pPr>
        <w:pStyle w:val="TextBody"/>
        <w:bidi w:val="0"/>
        <w:spacing w:before="80" w:after="283"/>
        <w:jc w:val="both"/>
        <w:rPr>
          <w:rFonts w:ascii="Times New Roman" w:hAnsi="Times New Roman"/>
          <w:sz w:val="20"/>
        </w:rPr>
      </w:pPr>
      <w:r>
        <w:rPr>
          <w:rFonts w:ascii="Arial" w:hAnsi="Arial"/>
          <w:color w:val="000000"/>
          <w:sz w:val="20"/>
        </w:rPr>
        <w:t>In February 2015 and May 2015, the Company issued warrants to purchase 1,650,098</w:t>
      </w:r>
      <w:r>
        <w:rPr>
          <w:rFonts w:ascii="Times New Roman" w:hAnsi="Times New Roman"/>
          <w:color w:val="000000"/>
          <w:sz w:val="20"/>
        </w:rPr>
        <w:t xml:space="preserve"> </w:t>
      </w:r>
      <w:r>
        <w:rPr>
          <w:rFonts w:ascii="Arial" w:hAnsi="Arial"/>
          <w:color w:val="000000"/>
          <w:sz w:val="20"/>
        </w:rPr>
        <w:t>and 887,536</w:t>
      </w:r>
      <w:r>
        <w:rPr>
          <w:rFonts w:ascii="Times New Roman" w:hAnsi="Times New Roman"/>
          <w:color w:val="000000"/>
          <w:sz w:val="20"/>
        </w:rPr>
        <w:t xml:space="preserve"> </w:t>
      </w:r>
      <w:r>
        <w:rPr>
          <w:rFonts w:ascii="Arial" w:hAnsi="Arial"/>
          <w:color w:val="000000"/>
          <w:sz w:val="20"/>
        </w:rPr>
        <w:t>shares of Series B convertible preferred stock, respectively, at an exercise price of $1.24235</w:t>
      </w:r>
      <w:r>
        <w:rPr>
          <w:rFonts w:ascii="Times New Roman" w:hAnsi="Times New Roman"/>
          <w:color w:val="000000"/>
          <w:sz w:val="20"/>
        </w:rPr>
        <w:t xml:space="preserve"> </w:t>
      </w:r>
      <w:r>
        <w:rPr>
          <w:rFonts w:ascii="Arial" w:hAnsi="Arial"/>
          <w:color w:val="000000"/>
          <w:sz w:val="20"/>
        </w:rPr>
        <w:t xml:space="preserve">per share (the </w:t>
      </w:r>
      <w:r>
        <w:rPr>
          <w:rFonts w:ascii="Times New Roman" w:hAnsi="Times New Roman"/>
          <w:color w:val="000000"/>
          <w:sz w:val="20"/>
        </w:rPr>
        <w:t>“</w:t>
      </w:r>
      <w:r>
        <w:rPr>
          <w:rFonts w:ascii="Arial" w:hAnsi="Arial"/>
          <w:color w:val="000000"/>
          <w:sz w:val="20"/>
        </w:rPr>
        <w:t>Series B Warrants”). Each Series B Warrant was immediately exercisable and expires ten years</w:t>
      </w:r>
      <w:r>
        <w:rPr>
          <w:rFonts w:ascii="Times New Roman" w:hAnsi="Times New Roman"/>
          <w:color w:val="000000"/>
          <w:sz w:val="20"/>
        </w:rPr>
        <w:t xml:space="preserve"> </w:t>
      </w:r>
      <w:r>
        <w:rPr>
          <w:rFonts w:ascii="Arial" w:hAnsi="Arial"/>
          <w:color w:val="000000"/>
          <w:sz w:val="20"/>
        </w:rPr>
        <w:t>from the original date of issuance. Pursuant to FASB ASC Topic 480, Distinguishing Liabilities from Equity, the Series B Warrants were classified as a liability and were re-measured to fair value at each balance sheet date. A total of 173,827</w:t>
      </w:r>
      <w:r>
        <w:rPr>
          <w:rFonts w:ascii="Times New Roman" w:hAnsi="Times New Roman"/>
          <w:color w:val="000000"/>
          <w:sz w:val="20"/>
        </w:rPr>
        <w:t xml:space="preserve"> </w:t>
      </w:r>
      <w:r>
        <w:rPr>
          <w:rFonts w:ascii="Arial" w:hAnsi="Arial"/>
          <w:color w:val="000000"/>
          <w:sz w:val="20"/>
        </w:rPr>
        <w:t>of the Series B Warrants were outstanding and were converted into warrants to purchase 12,686</w:t>
      </w:r>
      <w:r>
        <w:rPr>
          <w:rFonts w:ascii="Times New Roman" w:hAnsi="Times New Roman"/>
          <w:color w:val="000000"/>
          <w:sz w:val="20"/>
        </w:rPr>
        <w:t xml:space="preserve"> </w:t>
      </w:r>
      <w:r>
        <w:rPr>
          <w:rFonts w:ascii="Arial" w:hAnsi="Arial"/>
          <w:color w:val="000000"/>
          <w:sz w:val="20"/>
        </w:rPr>
        <w:t>shares of common stock with an exercise price of $17.03</w:t>
      </w:r>
      <w:r>
        <w:rPr>
          <w:rFonts w:ascii="Times New Roman" w:hAnsi="Times New Roman"/>
          <w:color w:val="000000"/>
          <w:sz w:val="20"/>
        </w:rPr>
        <w:t xml:space="preserve"> </w:t>
      </w:r>
      <w:r>
        <w:rPr>
          <w:rFonts w:ascii="Arial" w:hAnsi="Arial"/>
          <w:color w:val="000000"/>
          <w:sz w:val="20"/>
        </w:rPr>
        <w:t>upon the completion of the IPO in November 2021. As a result, the 12,686</w:t>
      </w:r>
      <w:r>
        <w:rPr>
          <w:rFonts w:ascii="Times New Roman" w:hAnsi="Times New Roman"/>
          <w:color w:val="000000"/>
          <w:sz w:val="20"/>
        </w:rPr>
        <w:t xml:space="preserve"> </w:t>
      </w:r>
      <w:r>
        <w:rPr>
          <w:rFonts w:ascii="Arial" w:hAnsi="Arial"/>
          <w:color w:val="000000"/>
          <w:sz w:val="20"/>
        </w:rPr>
        <w:t>common stock warrants were converted into equity instruments and remain outstanding as of September 30, 2024.</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11. Compensation</w:t>
      </w:r>
    </w:p>
    <w:p>
      <w:pPr>
        <w:pStyle w:val="TextBody"/>
        <w:bidi w:val="0"/>
        <w:spacing w:before="80" w:after="283"/>
        <w:jc w:val="both"/>
        <w:rPr>
          <w:rFonts w:ascii="Times New Roman" w:hAnsi="Times New Roman"/>
          <w:sz w:val="20"/>
        </w:rPr>
      </w:pPr>
      <w:r>
        <w:rPr>
          <w:rFonts w:ascii="Arial" w:hAnsi="Arial"/>
          <w:color w:val="000000"/>
          <w:sz w:val="20"/>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w:t>
      </w:r>
      <w:r>
        <w:rPr>
          <w:rFonts w:ascii="Times New Roman" w:hAnsi="Times New Roman"/>
          <w:color w:val="000000"/>
          <w:sz w:val="20"/>
        </w:rPr>
        <w:t xml:space="preserve"> </w:t>
      </w:r>
      <w:r>
        <w:rPr>
          <w:rFonts w:ascii="Arial" w:hAnsi="Arial"/>
          <w:color w:val="000000"/>
          <w:sz w:val="20"/>
        </w:rPr>
        <w:t>million for each of the three months ended September 30, 2024 and 2023. The Company made matching contributions in the amount of $0.7</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spacing w:before="240" w:after="283"/>
        <w:jc w:val="left"/>
        <w:rPr>
          <w:rFonts w:ascii="Arial" w:hAnsi="Arial"/>
          <w:b/>
          <w:color w:val="000000"/>
          <w:sz w:val="20"/>
        </w:rPr>
      </w:pPr>
      <w:r>
        <w:rPr>
          <w:rFonts w:ascii="Arial" w:hAnsi="Arial"/>
          <w:b/>
          <w:color w:val="000000"/>
          <w:sz w:val="20"/>
        </w:rPr>
        <w:t>12. Commitments and Contingencies</w:t>
      </w:r>
    </w:p>
    <w:p>
      <w:pPr>
        <w:pStyle w:val="TextBody"/>
        <w:bidi w:val="0"/>
        <w:spacing w:before="80" w:after="283"/>
        <w:jc w:val="left"/>
        <w:rPr>
          <w:rFonts w:ascii="Times New Roman" w:hAnsi="Times New Roman"/>
          <w:sz w:val="20"/>
        </w:rPr>
      </w:pPr>
      <w:r>
        <w:rPr>
          <w:rFonts w:ascii="Arial" w:hAnsi="Arial"/>
          <w:b/>
          <w:i/>
          <w:color w:val="000000"/>
          <w:sz w:val="20"/>
        </w:rPr>
        <w:t>Lease Commitments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historically entered into lease arrangements for its facilities. The Company has one</w:t>
      </w:r>
      <w:r>
        <w:rPr>
          <w:rFonts w:ascii="Times New Roman" w:hAnsi="Times New Roman"/>
          <w:color w:val="000000"/>
          <w:sz w:val="20"/>
        </w:rPr>
        <w:t xml:space="preserve"> </w:t>
      </w:r>
      <w:r>
        <w:rPr>
          <w:rFonts w:ascii="Arial" w:hAnsi="Arial"/>
          <w:color w:val="000000"/>
          <w:sz w:val="20"/>
        </w:rPr>
        <w:t>operating lease for its office and laboratory facility with required future minimum payments as of September 30, 2024.</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May 16, 2022, the Company entered into an office and laboratory lease in Boston, Massachusetts with an initial 10-year term and one renewal option to extend the lease for an additional seven years. The lease commenced on August 1, 2022, and estimated payments due under the initial term total $35.2</w:t>
      </w:r>
      <w:r>
        <w:rPr>
          <w:rFonts w:ascii="Times New Roman" w:hAnsi="Times New Roman"/>
          <w:color w:val="000000"/>
          <w:sz w:val="20"/>
        </w:rPr>
        <w:t xml:space="preserve"> </w:t>
      </w:r>
      <w:r>
        <w:rPr>
          <w:rFonts w:ascii="Arial" w:hAnsi="Arial"/>
          <w:color w:val="000000"/>
          <w:sz w:val="20"/>
        </w:rPr>
        <w:t>million. The lease requires a letter of credit totaling $0.8</w:t>
      </w:r>
      <w:r>
        <w:rPr>
          <w:rFonts w:ascii="Times New Roman" w:hAnsi="Times New Roman"/>
          <w:color w:val="000000"/>
          <w:sz w:val="20"/>
        </w:rPr>
        <w:t xml:space="preserve"> </w:t>
      </w:r>
      <w:r>
        <w:rPr>
          <w:rFonts w:ascii="Arial" w:hAnsi="Arial"/>
          <w:color w:val="000000"/>
          <w:sz w:val="20"/>
        </w:rPr>
        <w:t>million which is classified as long-term restricted cash and deposits on the consolidated balance sheet. The landlord will reimburse the Company up to $0.5</w:t>
      </w:r>
      <w:r>
        <w:rPr>
          <w:rFonts w:ascii="Times New Roman" w:hAnsi="Times New Roman"/>
          <w:color w:val="000000"/>
          <w:sz w:val="20"/>
        </w:rPr>
        <w:t xml:space="preserve"> </w:t>
      </w:r>
      <w:r>
        <w:rPr>
          <w:rFonts w:ascii="Arial" w:hAnsi="Arial"/>
          <w:color w:val="000000"/>
          <w:sz w:val="20"/>
        </w:rPr>
        <w:t>million for certain costs related to expansion of the laboratory space. As of September 30, 2024, the Company has completed the expansion and has incurred and been fully reimbursed for $0.5</w:t>
      </w:r>
      <w:r>
        <w:rPr>
          <w:rFonts w:ascii="Times New Roman" w:hAnsi="Times New Roman"/>
          <w:color w:val="000000"/>
          <w:sz w:val="20"/>
        </w:rPr>
        <w:t xml:space="preserve"> </w:t>
      </w:r>
      <w:r>
        <w:rPr>
          <w:rFonts w:ascii="Arial" w:hAnsi="Arial"/>
          <w:color w:val="000000"/>
          <w:sz w:val="20"/>
        </w:rPr>
        <w:t>million of expenses.</w:t>
      </w:r>
    </w:p>
    <w:p>
      <w:pPr>
        <w:pStyle w:val="TextBody"/>
        <w:bidi w:val="0"/>
        <w:spacing w:before="240" w:after="283"/>
        <w:jc w:val="both"/>
        <w:rPr>
          <w:rFonts w:ascii="Arial" w:hAnsi="Arial"/>
          <w:color w:val="000000"/>
          <w:sz w:val="20"/>
        </w:rPr>
      </w:pPr>
      <w:r>
        <w:rPr>
          <w:rFonts w:ascii="Arial" w:hAnsi="Arial"/>
          <w:color w:val="000000"/>
          <w:sz w:val="20"/>
        </w:rPr>
        <w:t>The following table contains a summary of the lease costs recognized under ASC 842 and other information pertaining to the Company’s leases for the three and nine months ended September 30, 2024 and 2023 (in thousands):</w:t>
      </w:r>
    </w:p>
    <w:tbl>
      <w:tblPr>
        <w:tblW w:w="6700" w:type="dxa"/>
        <w:jc w:val="left"/>
        <w:tblInd w:w="0" w:type="dxa"/>
        <w:tblLayout w:type="fixed"/>
        <w:tblCellMar>
          <w:top w:w="28" w:type="dxa"/>
          <w:left w:w="28" w:type="dxa"/>
          <w:bottom w:w="28" w:type="dxa"/>
          <w:right w:w="28" w:type="dxa"/>
        </w:tblCellMar>
      </w:tblPr>
      <w:tblGrid>
        <w:gridCol w:w="2101"/>
        <w:gridCol w:w="146"/>
        <w:gridCol w:w="228"/>
        <w:gridCol w:w="634"/>
        <w:gridCol w:w="157"/>
        <w:gridCol w:w="157"/>
        <w:gridCol w:w="228"/>
        <w:gridCol w:w="634"/>
        <w:gridCol w:w="146"/>
        <w:gridCol w:w="146"/>
        <w:gridCol w:w="216"/>
        <w:gridCol w:w="601"/>
        <w:gridCol w:w="149"/>
        <w:gridCol w:w="149"/>
        <w:gridCol w:w="216"/>
        <w:gridCol w:w="60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91" w:type="dxa"/>
            <w:tcBorders/>
            <w:shd w:fill="FFFFFF" w:val="cle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862" w:type="dxa"/>
            <w:gridSpan w:val="2"/>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gridSpan w:val="2"/>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1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1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2,642</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2,641</w:t>
            </w:r>
          </w:p>
        </w:tc>
        <w:tc>
          <w:tcPr>
            <w:tcW w:w="19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664</w:t>
            </w:r>
          </w:p>
        </w:tc>
        <w:tc>
          <w:tcPr>
            <w:tcW w:w="1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costs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4"/>
        <w:gridCol w:w="146"/>
        <w:gridCol w:w="146"/>
        <w:gridCol w:w="146"/>
        <w:gridCol w:w="146"/>
        <w:gridCol w:w="211"/>
        <w:gridCol w:w="586"/>
        <w:gridCol w:w="286"/>
        <w:gridCol w:w="146"/>
        <w:gridCol w:w="211"/>
        <w:gridCol w:w="586"/>
        <w:gridCol w:w="331"/>
      </w:tblGrid>
      <w:tr>
        <w:trPr/>
        <w:tc>
          <w:tcPr>
            <w:tcW w:w="7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liabilities—operating leases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2,209</w:t>
            </w:r>
          </w:p>
        </w:tc>
        <w:tc>
          <w:tcPr>
            <w:tcW w:w="331" w:type="dxa"/>
            <w:tcBorders/>
            <w:shd w:fill="CFF0FC"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term—operating leases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7.84</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8.84</w:t>
            </w:r>
          </w:p>
        </w:tc>
        <w:tc>
          <w:tcPr>
            <w:tcW w:w="331" w:type="dxa"/>
            <w:tcBorders/>
            <w:shd w:fill="FFFFFF" w:val="clear"/>
            <w:vAlign w:val="center"/>
          </w:tcPr>
          <w:p>
            <w:pPr>
              <w:pStyle w:val="TableContents"/>
              <w:bidi w:val="0"/>
              <w:spacing w:before="0" w:after="283"/>
              <w:jc w:val="left"/>
              <w:rPr/>
            </w:pPr>
            <w:r>
              <w:rPr/>
              <w:t> </w:t>
            </w:r>
          </w:p>
        </w:tc>
      </w:tr>
      <w:tr>
        <w:trPr/>
        <w:tc>
          <w:tcPr>
            <w:tcW w:w="7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rate—operating leases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reconciles the future minimum commitments to the Company’s operating lease liabilities at September 30, 2024 (in thousands):</w:t>
      </w:r>
    </w:p>
    <w:tbl>
      <w:tblPr>
        <w:tblW w:w="9047" w:type="dxa"/>
        <w:jc w:val="left"/>
        <w:tblInd w:w="0" w:type="dxa"/>
        <w:tblLayout w:type="fixed"/>
        <w:tblCellMar>
          <w:top w:w="28" w:type="dxa"/>
          <w:left w:w="28" w:type="dxa"/>
          <w:bottom w:w="28" w:type="dxa"/>
          <w:right w:w="28" w:type="dxa"/>
        </w:tblCellMar>
      </w:tblPr>
      <w:tblGrid>
        <w:gridCol w:w="3931"/>
        <w:gridCol w:w="1143"/>
        <w:gridCol w:w="3762"/>
        <w:gridCol w:w="211"/>
      </w:tblGrid>
      <w:tr>
        <w:trPr/>
        <w:tc>
          <w:tcPr>
            <w:tcW w:w="393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4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 payments as of 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2024</w:t>
            </w:r>
          </w:p>
        </w:tc>
        <w:tc>
          <w:tcPr>
            <w:tcW w:w="11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143" w:type="dxa"/>
            <w:tcBorders/>
            <w:shd w:fill="FFFFFF" w:val="clear"/>
            <w:vAlign w:val="center"/>
          </w:tcPr>
          <w:p>
            <w:pPr>
              <w:pStyle w:val="TableContents"/>
              <w:bidi w:val="0"/>
              <w:spacing w:before="0" w:after="283"/>
              <w:jc w:val="left"/>
              <w:rPr/>
            </w:pPr>
            <w:r>
              <w:rPr/>
              <w:t> </w:t>
            </w:r>
          </w:p>
        </w:tc>
        <w:tc>
          <w:tcPr>
            <w:tcW w:w="37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3,306</w:t>
            </w:r>
          </w:p>
        </w:tc>
        <w:tc>
          <w:tcPr>
            <w:tcW w:w="21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143" w:type="dxa"/>
            <w:tcBorders/>
            <w:shd w:fill="CFF0FC" w:val="clear"/>
            <w:vAlign w:val="center"/>
          </w:tcPr>
          <w:p>
            <w:pPr>
              <w:pStyle w:val="TableContents"/>
              <w:bidi w:val="0"/>
              <w:spacing w:before="0" w:after="283"/>
              <w:jc w:val="left"/>
              <w:rPr/>
            </w:pPr>
            <w:r>
              <w:rPr/>
              <w:t> </w:t>
            </w:r>
          </w:p>
        </w:tc>
        <w:tc>
          <w:tcPr>
            <w:tcW w:w="3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3,405</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143" w:type="dxa"/>
            <w:tcBorders/>
            <w:shd w:fill="FFFFFF" w:val="clear"/>
            <w:vAlign w:val="center"/>
          </w:tcPr>
          <w:p>
            <w:pPr>
              <w:pStyle w:val="TableContents"/>
              <w:bidi w:val="0"/>
              <w:spacing w:before="0" w:after="283"/>
              <w:jc w:val="left"/>
              <w:rPr/>
            </w:pPr>
            <w:r>
              <w:rPr/>
              <w:t> </w:t>
            </w:r>
          </w:p>
        </w:tc>
        <w:tc>
          <w:tcPr>
            <w:tcW w:w="37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3,507</w:t>
            </w:r>
          </w:p>
        </w:tc>
        <w:tc>
          <w:tcPr>
            <w:tcW w:w="21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143" w:type="dxa"/>
            <w:tcBorders/>
            <w:shd w:fill="CFF0FC" w:val="clear"/>
            <w:vAlign w:val="center"/>
          </w:tcPr>
          <w:p>
            <w:pPr>
              <w:pStyle w:val="TableContents"/>
              <w:bidi w:val="0"/>
              <w:spacing w:before="0" w:after="283"/>
              <w:jc w:val="left"/>
              <w:rPr/>
            </w:pPr>
            <w:r>
              <w:rPr/>
              <w:t> </w:t>
            </w:r>
          </w:p>
        </w:tc>
        <w:tc>
          <w:tcPr>
            <w:tcW w:w="3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3,611</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143" w:type="dxa"/>
            <w:tcBorders/>
            <w:shd w:fill="CFF0FC" w:val="clear"/>
            <w:vAlign w:val="center"/>
          </w:tcPr>
          <w:p>
            <w:pPr>
              <w:pStyle w:val="TableContents"/>
              <w:bidi w:val="0"/>
              <w:spacing w:before="0" w:after="283"/>
              <w:jc w:val="left"/>
              <w:rPr/>
            </w:pPr>
            <w:r>
              <w:rPr/>
              <w:t> </w:t>
            </w:r>
          </w:p>
        </w:tc>
        <w:tc>
          <w:tcPr>
            <w:tcW w:w="37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28,468</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September 30, 2024</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lease liabilities</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net of current portion</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License Agreements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entered into the following key agreements that relate to the core technology under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Rakuten License and Supply Agreement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u w:val="single"/>
        </w:rPr>
      </w:pPr>
      <w:r>
        <w:rPr>
          <w:rFonts w:ascii="Arial" w:hAnsi="Arial"/>
          <w:color w:val="000000"/>
          <w:sz w:val="20"/>
          <w:u w:val="single"/>
        </w:rPr>
        <w:t>2014 Exclusive Agreement</w:t>
      </w:r>
    </w:p>
    <w:p>
      <w:pPr>
        <w:pStyle w:val="TextBody"/>
        <w:bidi w:val="0"/>
        <w:spacing w:before="80" w:after="283"/>
        <w:jc w:val="both"/>
        <w:rPr>
          <w:rFonts w:ascii="Times New Roman" w:hAnsi="Times New Roman"/>
          <w:sz w:val="20"/>
        </w:rPr>
      </w:pPr>
      <w:r>
        <w:rPr>
          <w:rFonts w:ascii="Arial" w:hAnsi="Arial"/>
          <w:color w:val="000000"/>
          <w:sz w:val="20"/>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w:t>
      </w:r>
      <w:r>
        <w:rPr>
          <w:rFonts w:ascii="Times New Roman" w:hAnsi="Times New Roman"/>
          <w:color w:val="000000"/>
          <w:sz w:val="20"/>
        </w:rPr>
        <w:t xml:space="preserve"> </w:t>
      </w:r>
      <w:r>
        <w:rPr>
          <w:rFonts w:ascii="Arial" w:hAnsi="Arial"/>
          <w:color w:val="000000"/>
          <w:sz w:val="20"/>
        </w:rPr>
        <w:t>million and aggregate milestone payments of up to $0.2</w:t>
      </w:r>
      <w:r>
        <w:rPr>
          <w:rFonts w:ascii="Times New Roman" w:hAnsi="Times New Roman"/>
          <w:color w:val="000000"/>
          <w:sz w:val="20"/>
        </w:rPr>
        <w:t xml:space="preserve"> </w:t>
      </w:r>
      <w:r>
        <w:rPr>
          <w:rFonts w:ascii="Arial" w:hAnsi="Arial"/>
          <w:color w:val="000000"/>
          <w:sz w:val="20"/>
        </w:rPr>
        <w:t>million upon certain regulatory and development milestones. The Company is also required to pay Rakuten low-single digit royalties on net sales. The term of the 2014 Exclusive Agreement expires on a country-by-country basis, until the longer of (i) ten years</w:t>
      </w:r>
      <w:r>
        <w:rPr>
          <w:rFonts w:ascii="Times New Roman" w:hAnsi="Times New Roman"/>
          <w:color w:val="000000"/>
          <w:sz w:val="20"/>
        </w:rPr>
        <w:t xml:space="preserve"> </w:t>
      </w:r>
      <w:r>
        <w:rPr>
          <w:rFonts w:ascii="Arial" w:hAnsi="Arial"/>
          <w:color w:val="000000"/>
          <w:sz w:val="20"/>
        </w:rPr>
        <w:t>from the first commercial sale of a licensed product in such country and (ii) the last to expire valid claim in such country.</w:t>
      </w:r>
    </w:p>
    <w:p>
      <w:pPr>
        <w:pStyle w:val="TextBody"/>
        <w:bidi w:val="0"/>
        <w:spacing w:before="8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expenses related to this agreement and related amendments for the nine months ended September 30, 2024 and 2023, respectively.</w:t>
      </w:r>
    </w:p>
    <w:p>
      <w:pPr>
        <w:pStyle w:val="TextBody"/>
        <w:bidi w:val="0"/>
        <w:spacing w:before="240" w:after="283"/>
        <w:jc w:val="both"/>
        <w:rPr>
          <w:rFonts w:ascii="Times New Roman" w:hAnsi="Times New Roman"/>
          <w:sz w:val="20"/>
        </w:rPr>
      </w:pPr>
      <w:r>
        <w:rPr>
          <w:rFonts w:ascii="Arial" w:hAnsi="Arial"/>
          <w:color w:val="000000"/>
          <w:sz w:val="20"/>
          <w:u w:val="single"/>
        </w:rPr>
        <w:t>2014 Non-Exclusive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w:t>
      </w:r>
      <w:r>
        <w:rPr>
          <w:rFonts w:ascii="Times New Roman" w:hAnsi="Times New Roman"/>
          <w:color w:val="000000"/>
          <w:sz w:val="20"/>
        </w:rPr>
        <w:t xml:space="preserve"> </w:t>
      </w:r>
      <w:r>
        <w:rPr>
          <w:rFonts w:ascii="Arial" w:hAnsi="Arial"/>
          <w:color w:val="000000"/>
          <w:sz w:val="20"/>
        </w:rPr>
        <w:t>million on the effective date. The Company must also pay Rakuten a non-refundable, non-creditable fee of $0.03</w:t>
      </w:r>
      <w:r>
        <w:rPr>
          <w:rFonts w:ascii="Times New Roman" w:hAnsi="Times New Roman"/>
          <w:color w:val="000000"/>
          <w:sz w:val="20"/>
        </w:rPr>
        <w:t xml:space="preserve"> </w:t>
      </w:r>
      <w:r>
        <w:rPr>
          <w:rFonts w:ascii="Arial" w:hAnsi="Arial"/>
          <w:color w:val="000000"/>
          <w:sz w:val="20"/>
        </w:rPr>
        <w:t>million per each licensed product upon pre-IND designation, as defined of such licensed product, aggregate milestone payments of up to $0.3</w:t>
      </w:r>
      <w:r>
        <w:rPr>
          <w:rFonts w:ascii="Times New Roman" w:hAnsi="Times New Roman"/>
          <w:color w:val="000000"/>
          <w:sz w:val="20"/>
        </w:rPr>
        <w:t xml:space="preserve"> </w:t>
      </w:r>
      <w:r>
        <w:rPr>
          <w:rFonts w:ascii="Arial" w:hAnsi="Arial"/>
          <w:color w:val="000000"/>
          <w:sz w:val="20"/>
        </w:rPr>
        <w:t>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color w:val="000000"/>
          <w:sz w:val="20"/>
        </w:rPr>
        <w:t xml:space="preserve"> </w:t>
      </w:r>
      <w:r>
        <w:rPr>
          <w:rFonts w:ascii="Arial" w:hAnsi="Arial"/>
          <w:color w:val="000000"/>
          <w:sz w:val="20"/>
        </w:rPr>
        <w:t>million in aggregate. During the nine months ended September 30, 2024 and 2023,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milestones related to this agreement.</w:t>
      </w:r>
    </w:p>
    <w:p>
      <w:pPr>
        <w:pStyle w:val="TextBody"/>
        <w:bidi w:val="0"/>
        <w:spacing w:before="240" w:after="283"/>
        <w:jc w:val="left"/>
        <w:rPr>
          <w:rFonts w:ascii="Arial" w:hAnsi="Arial"/>
          <w:i/>
          <w:color w:val="000000"/>
          <w:sz w:val="20"/>
        </w:rPr>
      </w:pPr>
      <w:r>
        <w:rPr>
          <w:rFonts w:ascii="Arial" w:hAnsi="Arial"/>
          <w:i/>
          <w:color w:val="000000"/>
          <w:sz w:val="20"/>
        </w:rPr>
        <w:t>Life Technologies Corporation License Agreements</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perpetual license agreement with Life Technologies Corporation, or the Life Technologies, which allows for five</w:t>
      </w:r>
      <w:r>
        <w:rPr>
          <w:rFonts w:ascii="Times New Roman" w:hAnsi="Times New Roman"/>
          <w:color w:val="000000"/>
          <w:sz w:val="20"/>
        </w:rPr>
        <w:t xml:space="preserve"> </w:t>
      </w:r>
      <w:r>
        <w:rPr>
          <w:rFonts w:ascii="Arial" w:hAnsi="Arial"/>
          <w:color w:val="000000"/>
          <w:sz w:val="20"/>
        </w:rPr>
        <w:t>licensed products. Under this agreement the Company is required to pay an initial license fee of $0.1</w:t>
      </w:r>
      <w:r>
        <w:rPr>
          <w:rFonts w:ascii="Times New Roman" w:hAnsi="Times New Roman"/>
          <w:color w:val="000000"/>
          <w:sz w:val="20"/>
        </w:rPr>
        <w:t xml:space="preserve"> </w:t>
      </w:r>
      <w:r>
        <w:rPr>
          <w:rFonts w:ascii="Arial" w:hAnsi="Arial"/>
          <w:color w:val="000000"/>
          <w:sz w:val="20"/>
        </w:rPr>
        <w:t>million for each product. An annual development fee of $0.1</w:t>
      </w:r>
      <w:r>
        <w:rPr>
          <w:rFonts w:ascii="Times New Roman" w:hAnsi="Times New Roman"/>
          <w:color w:val="000000"/>
          <w:sz w:val="20"/>
        </w:rPr>
        <w:t xml:space="preserve"> </w:t>
      </w:r>
      <w:r>
        <w:rPr>
          <w:rFonts w:ascii="Arial" w:hAnsi="Arial"/>
          <w:color w:val="000000"/>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color w:val="000000"/>
          <w:sz w:val="20"/>
        </w:rPr>
        <w:t xml:space="preserve"> </w:t>
      </w:r>
      <w:r>
        <w:rPr>
          <w:rFonts w:ascii="Arial" w:hAnsi="Arial"/>
          <w:color w:val="000000"/>
          <w:sz w:val="20"/>
        </w:rPr>
        <w:t>million due upon receipt of approval of a licensed product. In the event of a change of control, there will be a change of control fee of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color w:val="000000"/>
          <w:sz w:val="20"/>
        </w:rPr>
        <w:t xml:space="preserve"> </w:t>
      </w:r>
      <w:r>
        <w:rPr>
          <w:rFonts w:ascii="Arial" w:hAnsi="Arial"/>
          <w:color w:val="000000"/>
          <w:sz w:val="20"/>
        </w:rPr>
        <w:t>million. During the nine months ended September 30, 2024 and 2023,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color w:val="000000"/>
          <w:sz w:val="20"/>
        </w:rPr>
        <w:t>Effective in September 2022, the Company entered into a new non-exclusive, perpetual license agreement with Life Technologies for licensed products. Under this agreement, the Company is required to pay an initial license fee of $0.4</w:t>
      </w:r>
      <w:r>
        <w:rPr>
          <w:rFonts w:ascii="Times New Roman" w:hAnsi="Times New Roman"/>
          <w:color w:val="000000"/>
          <w:sz w:val="20"/>
        </w:rPr>
        <w:t xml:space="preserve"> </w:t>
      </w:r>
      <w:r>
        <w:rPr>
          <w:rFonts w:ascii="Arial" w:hAnsi="Arial"/>
          <w:color w:val="000000"/>
          <w:sz w:val="20"/>
        </w:rPr>
        <w:t>million for the first licensed product and $0.5</w:t>
      </w:r>
      <w:r>
        <w:rPr>
          <w:rFonts w:ascii="Times New Roman" w:hAnsi="Times New Roman"/>
          <w:color w:val="000000"/>
          <w:sz w:val="20"/>
        </w:rPr>
        <w:t xml:space="preserve"> </w:t>
      </w:r>
      <w:r>
        <w:rPr>
          <w:rFonts w:ascii="Arial" w:hAnsi="Arial"/>
          <w:color w:val="000000"/>
          <w:sz w:val="20"/>
        </w:rPr>
        <w:t>million for each additional licensed product. In addition, the agreement allows the Company the right to sublicense which would lead to a $0.2</w:t>
      </w:r>
      <w:r>
        <w:rPr>
          <w:rFonts w:ascii="Times New Roman" w:hAnsi="Times New Roman"/>
          <w:color w:val="000000"/>
          <w:sz w:val="20"/>
        </w:rPr>
        <w:t xml:space="preserve"> </w:t>
      </w:r>
      <w:r>
        <w:rPr>
          <w:rFonts w:ascii="Arial" w:hAnsi="Arial"/>
          <w:color w:val="000000"/>
          <w:sz w:val="20"/>
        </w:rPr>
        <w:t>million payment for each sublicense per licensed product and a $0.03</w:t>
      </w:r>
      <w:r>
        <w:rPr>
          <w:rFonts w:ascii="Times New Roman" w:hAnsi="Times New Roman"/>
          <w:color w:val="000000"/>
          <w:sz w:val="20"/>
        </w:rPr>
        <w:t xml:space="preserve"> </w:t>
      </w:r>
      <w:r>
        <w:rPr>
          <w:rFonts w:ascii="Arial" w:hAnsi="Arial"/>
          <w:color w:val="000000"/>
          <w:sz w:val="20"/>
        </w:rPr>
        <w:t>million payment for use of the cell line document package. In the event of a change of control, there will be a change of control fee of $0.5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nine months ended September 30, 2024 and 2023, the Company recognized 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(NIH)-Collaboration Research and Development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July 2011, the Company entered into a Collaboration Research and Development Agreement, or CRADA, with Dr. John Schiller at the NIH, for a period of two years</w:t>
      </w:r>
      <w:r>
        <w:rPr>
          <w:rFonts w:ascii="Times New Roman" w:hAnsi="Times New Roman"/>
          <w:color w:val="000000"/>
          <w:sz w:val="20"/>
        </w:rPr>
        <w:t xml:space="preserve"> </w:t>
      </w:r>
      <w:r>
        <w:rPr>
          <w:rFonts w:ascii="Arial" w:hAnsi="Arial"/>
          <w:color w:val="000000"/>
          <w:sz w:val="20"/>
        </w:rPr>
        <w:t>with the rights to an exclusive license to all technology generated within the collaboration. Under this agreement, the Company is required to make annual payments of $0.03</w:t>
      </w:r>
      <w:r>
        <w:rPr>
          <w:rFonts w:ascii="Times New Roman" w:hAnsi="Times New Roman"/>
          <w:color w:val="000000"/>
          <w:sz w:val="20"/>
        </w:rPr>
        <w:t xml:space="preserve"> </w:t>
      </w:r>
      <w:r>
        <w:rPr>
          <w:rFonts w:ascii="Arial" w:hAnsi="Arial"/>
          <w:color w:val="000000"/>
          <w:sz w:val="20"/>
        </w:rPr>
        <w:t>million to fund the research activities, the first payment of which was paid within 30</w:t>
      </w:r>
      <w:r>
        <w:rPr>
          <w:rFonts w:ascii="Times New Roman" w:hAnsi="Times New Roman"/>
          <w:color w:val="000000"/>
          <w:sz w:val="20"/>
        </w:rPr>
        <w:t xml:space="preserve"> </w:t>
      </w:r>
      <w:r>
        <w:rPr>
          <w:rFonts w:ascii="Arial" w:hAnsi="Arial"/>
          <w:color w:val="000000"/>
          <w:sz w:val="20"/>
        </w:rPr>
        <w:t>days of the effective date. Subsequent payments are due within 30</w:t>
      </w:r>
      <w:r>
        <w:rPr>
          <w:rFonts w:ascii="Times New Roman" w:hAnsi="Times New Roman"/>
          <w:color w:val="000000"/>
          <w:sz w:val="20"/>
        </w:rPr>
        <w:t xml:space="preserve"> </w:t>
      </w:r>
      <w:r>
        <w:rPr>
          <w:rFonts w:ascii="Arial" w:hAnsi="Arial"/>
          <w:color w:val="000000"/>
          <w:sz w:val="20"/>
        </w:rPr>
        <w:t>days of the anniversary of the effective date. This agreement was first amended in 2012, 2013, 2014, 2015, 2016, 2018 and in September of 2020. During the nine months ended September 30, 2024 and 2023, the Company paid no</w:t>
      </w:r>
      <w:r>
        <w:rPr>
          <w:rFonts w:ascii="Times New Roman" w:hAnsi="Times New Roman"/>
          <w:color w:val="000000"/>
          <w:sz w:val="20"/>
        </w:rPr>
        <w:t xml:space="preserve"> </w:t>
      </w:r>
      <w:r>
        <w:rPr>
          <w:rFonts w:ascii="Arial" w:hAnsi="Arial"/>
          <w:color w:val="000000"/>
          <w:sz w:val="20"/>
        </w:rPr>
        <w:t>research collaboration fees related to this agreement.</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 seventh amendment was made in October 2020, requiring payment of $0.04</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October 1, 2020, and another $0.03</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the 10th anniversary of the CRADA, which was paid in July 2021. This seventh amendment extended the term of the CRADA to September 30, 2022. The Company recognized no</w:t>
      </w:r>
      <w:r>
        <w:rPr>
          <w:rFonts w:ascii="Times New Roman" w:hAnsi="Times New Roman"/>
          <w:color w:val="000000"/>
          <w:sz w:val="20"/>
        </w:rPr>
        <w:t xml:space="preserve"> </w:t>
      </w:r>
      <w:r>
        <w:rPr>
          <w:rFonts w:ascii="Arial" w:hAnsi="Arial"/>
          <w:color w:val="000000"/>
          <w:sz w:val="20"/>
        </w:rPr>
        <w:t>milestones related to this agreement and related amendments for the nine months ended September 30, 2024 and 2023.</w:t>
      </w:r>
    </w:p>
    <w:p>
      <w:pPr>
        <w:pStyle w:val="TextBody"/>
        <w:bidi w:val="0"/>
        <w:spacing w:before="240" w:after="283"/>
        <w:jc w:val="both"/>
        <w:rPr>
          <w:rFonts w:ascii="Times New Roman" w:hAnsi="Times New Roman"/>
          <w:sz w:val="20"/>
        </w:rPr>
      </w:pPr>
      <w:r>
        <w:rPr>
          <w:rFonts w:ascii="Arial" w:hAnsi="Arial"/>
          <w:color w:val="000000"/>
          <w:sz w:val="20"/>
        </w:rPr>
        <w:t>An eighth amendment was effective in September 2022, requiring payment of $0.04</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November 1, 2022, and payment of another $0.03</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the 12th anniversary of the CRADA, which was in August 2023. This eighth amendment extended</w:t>
      </w:r>
      <w:r>
        <w:rPr>
          <w:rFonts w:ascii="Times New Roman" w:hAnsi="Times New Roman"/>
          <w:color w:val="000000"/>
          <w:sz w:val="20"/>
        </w:rPr>
        <w:t xml:space="preserve"> </w:t>
      </w:r>
      <w:r>
        <w:rPr>
          <w:rFonts w:ascii="Arial" w:hAnsi="Arial"/>
          <w:color w:val="000000"/>
          <w:sz w:val="20"/>
        </w:rPr>
        <w:t>the term of the CRADA to September 30, 2024. During the nine months ended September 30, 2024</w:t>
      </w:r>
      <w:r>
        <w:rPr>
          <w:rFonts w:ascii="Times New Roman" w:hAnsi="Times New Roman"/>
          <w:color w:val="000000"/>
          <w:sz w:val="20"/>
        </w:rPr>
        <w:t xml:space="preserve"> </w:t>
      </w:r>
      <w:r>
        <w:rPr>
          <w:rFonts w:ascii="Arial" w:hAnsi="Arial"/>
          <w:color w:val="000000"/>
          <w:sz w:val="20"/>
        </w:rPr>
        <w:t>and 2023, the Company recognized $0</w:t>
      </w:r>
      <w:r>
        <w:rPr>
          <w:rFonts w:ascii="Times New Roman" w:hAnsi="Times New Roman"/>
          <w:color w:val="000000"/>
          <w:sz w:val="20"/>
        </w:rPr>
        <w:t xml:space="preserve"> </w:t>
      </w:r>
      <w:r>
        <w:rPr>
          <w:rFonts w:ascii="Arial" w:hAnsi="Arial"/>
          <w:color w:val="000000"/>
          <w:sz w:val="20"/>
        </w:rPr>
        <w:t>million and $0.03</w:t>
      </w:r>
      <w:r>
        <w:rPr>
          <w:rFonts w:ascii="Times New Roman" w:hAnsi="Times New Roman"/>
          <w:color w:val="000000"/>
          <w:sz w:val="20"/>
        </w:rPr>
        <w:t xml:space="preserve"> </w:t>
      </w:r>
      <w:r>
        <w:rPr>
          <w:rFonts w:ascii="Arial" w:hAnsi="Arial"/>
          <w:color w:val="000000"/>
          <w:sz w:val="20"/>
        </w:rPr>
        <w:t>million of expenses, respectively,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(NIH)-Exclusive Patent License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September 2013, the Company entered into an exclusive patent license agreement, or the NIH Exclusive License Agreement, with the NIH, that required the Company to pay a license issue royalty of $0.1</w:t>
      </w:r>
      <w:r>
        <w:rPr>
          <w:rFonts w:ascii="Times New Roman" w:hAnsi="Times New Roman"/>
          <w:color w:val="000000"/>
          <w:sz w:val="20"/>
        </w:rPr>
        <w:t xml:space="preserve"> </w:t>
      </w:r>
      <w:r>
        <w:rPr>
          <w:rFonts w:ascii="Arial" w:hAnsi="Arial"/>
          <w:color w:val="000000"/>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color w:val="000000"/>
          <w:sz w:val="20"/>
        </w:rPr>
        <w:t xml:space="preserve"> </w:t>
      </w:r>
      <w:r>
        <w:rPr>
          <w:rFonts w:ascii="Arial" w:hAnsi="Arial"/>
          <w:color w:val="000000"/>
          <w:sz w:val="20"/>
        </w:rPr>
        <w:t>million in aggregate and sales milestone payments up to $0.6</w:t>
      </w:r>
      <w:r>
        <w:rPr>
          <w:rFonts w:ascii="Times New Roman" w:hAnsi="Times New Roman"/>
          <w:color w:val="000000"/>
          <w:sz w:val="20"/>
        </w:rPr>
        <w:t xml:space="preserve"> </w:t>
      </w:r>
      <w:r>
        <w:rPr>
          <w:rFonts w:ascii="Arial" w:hAnsi="Arial"/>
          <w:color w:val="000000"/>
          <w:sz w:val="20"/>
        </w:rPr>
        <w:t>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recognized no</w:t>
      </w:r>
      <w:r>
        <w:rPr>
          <w:rFonts w:ascii="Times New Roman" w:hAnsi="Times New Roman"/>
          <w:color w:val="000000"/>
          <w:sz w:val="20"/>
        </w:rPr>
        <w:t xml:space="preserve"> </w:t>
      </w:r>
      <w:r>
        <w:rPr>
          <w:rFonts w:ascii="Arial" w:hAnsi="Arial"/>
          <w:color w:val="000000"/>
          <w:sz w:val="20"/>
        </w:rPr>
        <w:t>patent licensing fees for the nine months ended September 30, 2024 and 2023, respectively.</w:t>
      </w:r>
    </w:p>
    <w:p>
      <w:pPr>
        <w:pStyle w:val="TextBody"/>
        <w:bidi w:val="0"/>
        <w:spacing w:before="240" w:after="283"/>
        <w:jc w:val="both"/>
        <w:rPr>
          <w:rFonts w:ascii="Times New Roman" w:hAnsi="Times New Roman"/>
          <w:sz w:val="20"/>
        </w:rPr>
      </w:pPr>
      <w:r>
        <w:rPr>
          <w:rFonts w:ascii="Arial" w:hAnsi="Arial"/>
          <w:color w:val="000000"/>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color w:val="000000"/>
          <w:sz w:val="20"/>
        </w:rPr>
        <w:t xml:space="preserve"> </w:t>
      </w:r>
      <w:r>
        <w:rPr>
          <w:rFonts w:ascii="Arial" w:hAnsi="Arial"/>
          <w:color w:val="000000"/>
          <w:sz w:val="20"/>
        </w:rPr>
        <w:t>million payment that the Company paid.</w:t>
      </w:r>
    </w:p>
    <w:p>
      <w:pPr>
        <w:pStyle w:val="TextBody"/>
        <w:bidi w:val="0"/>
        <w:spacing w:before="240" w:after="283"/>
        <w:jc w:val="left"/>
        <w:rPr>
          <w:rFonts w:ascii="Arial" w:hAnsi="Arial"/>
          <w:i/>
          <w:color w:val="000000"/>
          <w:sz w:val="20"/>
        </w:rPr>
      </w:pPr>
      <w:r>
        <w:rPr>
          <w:rFonts w:ascii="Arial" w:hAnsi="Arial"/>
          <w:i/>
          <w:color w:val="000000"/>
          <w:sz w:val="20"/>
        </w:rPr>
        <w:t>Inserm-Transfert License Agreement</w:t>
      </w:r>
    </w:p>
    <w:p>
      <w:pPr>
        <w:pStyle w:val="TextBody"/>
        <w:bidi w:val="0"/>
        <w:spacing w:before="80" w:after="283"/>
        <w:jc w:val="both"/>
        <w:rPr>
          <w:rFonts w:ascii="Times New Roman" w:hAnsi="Times New Roman"/>
          <w:sz w:val="20"/>
        </w:rPr>
      </w:pPr>
      <w:r>
        <w:rPr>
          <w:rFonts w:ascii="Arial" w:hAnsi="Arial"/>
          <w:color w:val="000000"/>
          <w:sz w:val="20"/>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w:t>
      </w:r>
      <w:r>
        <w:rPr>
          <w:rFonts w:ascii="Times New Roman" w:hAnsi="Times New Roman"/>
          <w:color w:val="000000"/>
          <w:sz w:val="20"/>
        </w:rPr>
        <w:t xml:space="preserve"> </w:t>
      </w:r>
      <w:r>
        <w:rPr>
          <w:rFonts w:ascii="Arial" w:hAnsi="Arial"/>
          <w:color w:val="000000"/>
          <w:sz w:val="20"/>
        </w:rPr>
        <w:t>years from the date of the first commercial sales by the Company, whichever is later. The IND filing milestone of €0.01</w:t>
      </w:r>
      <w:r>
        <w:rPr>
          <w:rFonts w:ascii="Times New Roman" w:hAnsi="Times New Roman"/>
          <w:color w:val="000000"/>
          <w:sz w:val="20"/>
        </w:rPr>
        <w:t xml:space="preserve"> </w:t>
      </w:r>
      <w:r>
        <w:rPr>
          <w:rFonts w:ascii="Arial" w:hAnsi="Arial"/>
          <w:color w:val="000000"/>
          <w:sz w:val="20"/>
        </w:rPr>
        <w:t>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September 30, 2024. Upon the sublicense by the Company of a product for which royalties are payable under the agreement, low- to mid-single-digit royalty payments would be due by the Company. The non-milestone payments in this agreement are subject to an anti-stacking clause. The Company incurred approximately $0.1</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million in</w:t>
      </w:r>
      <w:r>
        <w:rPr>
          <w:rFonts w:ascii="Times New Roman" w:hAnsi="Times New Roman"/>
          <w:color w:val="000000"/>
          <w:sz w:val="20"/>
        </w:rPr>
        <w:t xml:space="preserve"> </w:t>
      </w:r>
      <w:r>
        <w:rPr>
          <w:rFonts w:ascii="Arial" w:hAnsi="Arial"/>
          <w:color w:val="000000"/>
          <w:sz w:val="20"/>
        </w:rPr>
        <w:t>expenses related to milestones in the nine months ended September 30, 2024 and 2023, respectively.</w:t>
      </w:r>
    </w:p>
    <w:p>
      <w:pPr>
        <w:pStyle w:val="TextBody"/>
        <w:bidi w:val="0"/>
        <w:spacing w:before="240" w:after="283"/>
        <w:jc w:val="left"/>
        <w:rPr>
          <w:rFonts w:ascii="Arial" w:hAnsi="Arial"/>
          <w:i/>
          <w:color w:val="000000"/>
          <w:sz w:val="20"/>
        </w:rPr>
      </w:pPr>
      <w:r>
        <w:rPr>
          <w:rFonts w:ascii="Arial" w:hAnsi="Arial"/>
          <w:i/>
          <w:color w:val="000000"/>
          <w:sz w:val="20"/>
        </w:rPr>
        <w:t>Clearside License Agreement</w:t>
      </w:r>
    </w:p>
    <w:p>
      <w:pPr>
        <w:pStyle w:val="TextBody"/>
        <w:bidi w:val="0"/>
        <w:spacing w:before="80" w:after="283"/>
        <w:jc w:val="both"/>
        <w:rPr>
          <w:rFonts w:ascii="Times New Roman" w:hAnsi="Times New Roman"/>
          <w:sz w:val="20"/>
        </w:rPr>
      </w:pPr>
      <w:r>
        <w:rPr>
          <w:rFonts w:ascii="Arial" w:hAnsi="Arial"/>
          <w:color w:val="000000"/>
          <w:sz w:val="20"/>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w:t>
      </w:r>
      <w:r>
        <w:rPr>
          <w:rFonts w:ascii="Times New Roman" w:hAnsi="Times New Roman"/>
          <w:color w:val="000000"/>
          <w:sz w:val="20"/>
        </w:rPr>
        <w:t xml:space="preserve"> </w:t>
      </w:r>
      <w:r>
        <w:rPr>
          <w:rFonts w:ascii="Arial" w:hAnsi="Arial"/>
          <w:color w:val="000000"/>
          <w:sz w:val="20"/>
        </w:rPr>
        <w:t>million which was expensed as incurred. Under the Clearside License Agreement, the Company is required to pay milestones up to $21.0</w:t>
      </w:r>
      <w:r>
        <w:rPr>
          <w:rFonts w:ascii="Times New Roman" w:hAnsi="Times New Roman"/>
          <w:color w:val="000000"/>
          <w:sz w:val="20"/>
        </w:rPr>
        <w:t xml:space="preserve"> </w:t>
      </w:r>
      <w:r>
        <w:rPr>
          <w:rFonts w:ascii="Arial" w:hAnsi="Arial"/>
          <w:color w:val="000000"/>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bidi w:val="0"/>
        <w:spacing w:before="240" w:after="283"/>
        <w:jc w:val="both"/>
        <w:rPr>
          <w:rFonts w:ascii="Times New Roman" w:hAnsi="Times New Roman"/>
          <w:sz w:val="20"/>
        </w:rPr>
      </w:pPr>
      <w:r>
        <w:rPr>
          <w:rFonts w:ascii="Arial" w:hAnsi="Arial"/>
          <w:color w:val="000000"/>
          <w:sz w:val="20"/>
        </w:rPr>
        <w:t>The Clearside License Agreement expires on a country-by-country basis upon the later of the last to expire patent or ten years</w:t>
      </w:r>
      <w:r>
        <w:rPr>
          <w:rFonts w:ascii="Times New Roman" w:hAnsi="Times New Roman"/>
          <w:color w:val="000000"/>
          <w:sz w:val="20"/>
        </w:rPr>
        <w:t xml:space="preserve"> </w:t>
      </w:r>
      <w:r>
        <w:rPr>
          <w:rFonts w:ascii="Arial" w:hAnsi="Arial"/>
          <w:color w:val="000000"/>
          <w:sz w:val="20"/>
        </w:rPr>
        <w:t>from the date of the first commercial sale of a product.</w:t>
      </w:r>
    </w:p>
    <w:p>
      <w:pPr>
        <w:pStyle w:val="TextBody"/>
        <w:bidi w:val="0"/>
        <w:spacing w:before="240" w:after="283"/>
        <w:jc w:val="both"/>
        <w:rPr>
          <w:rFonts w:ascii="Times New Roman" w:hAnsi="Times New Roman"/>
          <w:sz w:val="20"/>
        </w:rPr>
      </w:pPr>
      <w:r>
        <w:rPr>
          <w:rFonts w:ascii="Arial" w:hAnsi="Arial"/>
          <w:color w:val="000000"/>
          <w:sz w:val="20"/>
        </w:rPr>
        <w:t>The Company recognized</w:t>
      </w:r>
      <w:r>
        <w:rPr>
          <w:rFonts w:ascii="Times New Roman" w:hAnsi="Times New Roman"/>
          <w:color w:val="000000"/>
          <w:sz w:val="20"/>
        </w:rPr>
        <w:t xml:space="preserve"> </w:t>
      </w:r>
      <w:r>
        <w:rPr>
          <w:rFonts w:ascii="Arial" w:hAnsi="Arial"/>
          <w:color w:val="000000"/>
          <w:sz w:val="20"/>
        </w:rPr>
        <w:t>$0</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in</w:t>
      </w:r>
      <w:r>
        <w:rPr>
          <w:rFonts w:ascii="Times New Roman" w:hAnsi="Times New Roman"/>
          <w:color w:val="000000"/>
          <w:sz w:val="20"/>
        </w:rPr>
        <w:t xml:space="preserve"> </w:t>
      </w:r>
      <w:r>
        <w:rPr>
          <w:rFonts w:ascii="Arial" w:hAnsi="Arial"/>
          <w:color w:val="000000"/>
          <w:sz w:val="20"/>
        </w:rPr>
        <w:t>expenses related to this agreement and related amendments for the nine months ended September 30, 2024 and 2023, respectively.</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13. Net Loss Per Share</w:t>
      </w:r>
    </w:p>
    <w:p>
      <w:pPr>
        <w:pStyle w:val="TextBody"/>
        <w:bidi w:val="0"/>
        <w:spacing w:before="80" w:after="283"/>
        <w:jc w:val="both"/>
        <w:rPr>
          <w:rFonts w:ascii="Times New Roman" w:hAnsi="Times New Roman"/>
          <w:sz w:val="20"/>
        </w:rPr>
      </w:pPr>
      <w:r>
        <w:rPr>
          <w:rFonts w:ascii="Arial" w:hAnsi="Arial"/>
          <w:color w:val="000000"/>
          <w:sz w:val="20"/>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calculated basic and diluted net loss per share for the three and nine months ended September 30, 2024 and 2023 as follows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stock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49,663,532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38,185,197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49,554,930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37,943,139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following potentially dilutive securities were excluded from the computation of the diluted net loss per share for the periods presented because their effect would have been antidilutive:</w:t>
      </w:r>
      <w:r>
        <w:rPr>
          <w:rFonts w:ascii="Times New Roman" w:hAnsi="Times New Roman"/>
          <w:color w:val="000000"/>
          <w:sz w:val="20"/>
        </w:rPr>
        <w:t xml:space="preserve"> </w:t>
      </w:r>
    </w:p>
    <w:tbl>
      <w:tblPr>
        <w:tblW w:w="7419" w:type="dxa"/>
        <w:jc w:val="left"/>
        <w:tblInd w:w="0" w:type="dxa"/>
        <w:tblLayout w:type="fixed"/>
        <w:tblCellMar>
          <w:top w:w="28" w:type="dxa"/>
          <w:left w:w="28" w:type="dxa"/>
          <w:bottom w:w="28" w:type="dxa"/>
          <w:right w:w="28" w:type="dxa"/>
        </w:tblCellMar>
      </w:tblPr>
      <w:tblGrid>
        <w:gridCol w:w="4576"/>
        <w:gridCol w:w="146"/>
        <w:gridCol w:w="146"/>
        <w:gridCol w:w="961"/>
        <w:gridCol w:w="146"/>
        <w:gridCol w:w="146"/>
        <w:gridCol w:w="146"/>
        <w:gridCol w:w="96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5,746,441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4,732,590</w:t>
            </w:r>
          </w:p>
        </w:tc>
        <w:tc>
          <w:tcPr>
            <w:tcW w:w="1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that vest into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1,639,298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852,049</w:t>
            </w:r>
          </w:p>
        </w:tc>
        <w:tc>
          <w:tcPr>
            <w:tcW w:w="1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 dilutive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5,597,325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14. Income Taxes</w:t>
      </w:r>
    </w:p>
    <w:p>
      <w:pPr>
        <w:pStyle w:val="TextBody"/>
        <w:bidi w:val="0"/>
        <w:spacing w:before="80" w:after="283"/>
        <w:jc w:val="both"/>
        <w:rPr>
          <w:rFonts w:ascii="Times New Roman" w:hAnsi="Times New Roman"/>
          <w:sz w:val="20"/>
        </w:rPr>
      </w:pPr>
      <w:r>
        <w:rPr>
          <w:rFonts w:ascii="Arial" w:hAnsi="Arial"/>
          <w:color w:val="000000"/>
          <w:sz w:val="20"/>
        </w:rPr>
        <w:t>For the nine months ended September 30, 2024 and 2023, the Company recorded an income tax provision of $0.1</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million, resulting in an effective tax rate of 0.1%</w:t>
      </w:r>
      <w:r>
        <w:rPr>
          <w:rFonts w:ascii="Times New Roman" w:hAnsi="Times New Roman"/>
          <w:color w:val="000000"/>
          <w:sz w:val="20"/>
        </w:rPr>
        <w:t xml:space="preserve"> </w:t>
      </w:r>
      <w:r>
        <w:rPr>
          <w:rFonts w:ascii="Arial" w:hAnsi="Arial"/>
          <w:color w:val="000000"/>
          <w:sz w:val="20"/>
        </w:rPr>
        <w:t>and 0%, respectively. The income tax provision for the nine months ended September 30, 2024 is attributable to state income taxes. The difference in the statutory rate and the effective tax rate is primarily the result of the valuation allowance recorded against the Company’s net deferred tax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Company’s history of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September 30, 2024, the Company had no</w:t>
      </w:r>
      <w:r>
        <w:rPr>
          <w:rFonts w:ascii="Times New Roman" w:hAnsi="Times New Roman"/>
          <w:color w:val="000000"/>
          <w:sz w:val="20"/>
        </w:rPr>
        <w:t xml:space="preserve"> </w:t>
      </w:r>
      <w:r>
        <w:rPr>
          <w:rFonts w:ascii="Arial" w:hAnsi="Arial"/>
          <w:color w:val="000000"/>
          <w:sz w:val="20"/>
        </w:rPr>
        <w:t>unrecognized income tax benefits that would reduce the Company’s effective tax rate if recognized.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15. Subsequent Events</w:t>
      </w:r>
    </w:p>
    <w:p>
      <w:pPr>
        <w:pStyle w:val="TextBody"/>
        <w:bidi w:val="0"/>
        <w:spacing w:before="80" w:after="283"/>
        <w:jc w:val="both"/>
        <w:rPr>
          <w:rFonts w:ascii="Arial" w:hAnsi="Arial"/>
          <w:color w:val="000000"/>
          <w:sz w:val="20"/>
        </w:rPr>
      </w:pPr>
      <w:r>
        <w:rPr>
          <w:rFonts w:ascii="Arial" w:hAnsi="Arial"/>
          <w:color w:val="000000"/>
          <w:sz w:val="20"/>
        </w:rPr>
        <w:t>Subsequent events have been evaluated through the date of filing of the unaudited condensed consolidated financial statements. The Company has identified no subsequent events that require disclosure.</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0" w:name="item_2_management_discussion_analysis"/>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are a clinical-stage biotechnology company developing precision therapies to treat solid tumors designed to preserve organ function. Our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Bel-sar, our lead VDC candidate, consists of a human papilloma virus, or HPV, derived VLP conjugated to hundreds of infrared laser-activated molecules. The VDC is designed in a way that prevents the conjugation from interfering with tumor binding enabling its selectivity to tumor cells but not to normal cells. Laser activation of bel-sar is designed to result in precise tumor cell killing with minimal damage to surrounding healthy tissues.</w:t>
      </w:r>
    </w:p>
    <w:p>
      <w:pPr>
        <w:pStyle w:val="TextBody"/>
        <w:bidi w:val="0"/>
        <w:spacing w:before="240" w:after="283"/>
        <w:jc w:val="both"/>
        <w:rPr>
          <w:rFonts w:ascii="Arial" w:hAnsi="Arial"/>
          <w:color w:val="000000"/>
          <w:sz w:val="20"/>
        </w:rPr>
      </w:pPr>
      <w:r>
        <w:rPr>
          <w:rFonts w:ascii="Arial" w:hAnsi="Arial"/>
          <w:color w:val="000000"/>
          <w:sz w:val="20"/>
        </w:rPr>
        <w:t>We are evaluating the safety and efficacy of bel-sar as a potential vision-sparing therapy in an ongoing global Phase 3 CoMpass trial for the first-line treatment of adult patients with small choroidal melanoma and indeterminate lesions, or early-stage choroidal melanoma. Bel-sar is also being explored for metastases to the choroid and cancers of the ocular surface and is in Phase 1 clinical development in bladder cancer. While our initial focus is in ocular and urologic oncology, we envision the potential for development of bel-sar in additional therapeutic areas.</w:t>
      </w:r>
    </w:p>
    <w:p>
      <w:pPr>
        <w:pStyle w:val="TextBody"/>
        <w:bidi w:val="0"/>
        <w:spacing w:before="240" w:after="283"/>
        <w:jc w:val="both"/>
        <w:rPr>
          <w:rFonts w:ascii="Arial" w:hAnsi="Arial"/>
          <w:b/>
          <w:i/>
          <w:color w:val="000000"/>
          <w:sz w:val="20"/>
        </w:rPr>
      </w:pPr>
      <w:r>
        <w:rPr>
          <w:rFonts w:ascii="Arial" w:hAnsi="Arial"/>
          <w:b/>
          <w:i/>
          <w:color w:val="000000"/>
          <w:sz w:val="20"/>
        </w:rPr>
        <w:t>Early-Stage Choroidal Melanoma</w:t>
      </w:r>
    </w:p>
    <w:p>
      <w:pPr>
        <w:pStyle w:val="TextBody"/>
        <w:bidi w:val="0"/>
        <w:spacing w:before="80" w:after="283"/>
        <w:jc w:val="both"/>
        <w:rPr>
          <w:rFonts w:ascii="Arial" w:hAnsi="Arial"/>
          <w:color w:val="000000"/>
          <w:sz w:val="20"/>
        </w:rPr>
      </w:pPr>
      <w:r>
        <w:rPr>
          <w:rFonts w:ascii="Arial" w:hAnsi="Arial"/>
          <w:color w:val="000000"/>
          <w:sz w:val="20"/>
        </w:rPr>
        <w:t>We are developing bel-sar as a potential first line vision-sparing treatment option for early intervention in small choroidal melanoma and indeterminate lesions, avoiding the need for radiotherapy and reducing the risk for metastasis for these patients. There are no U.S Food and Drug Administration, or FDA, -approved therapies for primary choroidal melanoma. There are three common treatments routinely used as standard of care, or SoC, for local control of choroidal melanoma: plaque brachytherapy; proton beam irradiation; and enucleation, or removal of the affected eye, each of which represent invasive surgical procedures and are associated with significant vision loss. We have received Orphan Drug Designation, or ODD, for the treatment of early-stage choroidal (also referred to as uveal) melanoma from the FDA and the European Medicines Agency, or EMA, and Fast Track designation from the FDA for the treatment of early-stage choroidal melanoma.</w:t>
      </w:r>
    </w:p>
    <w:p>
      <w:pPr>
        <w:pStyle w:val="TextBody"/>
        <w:bidi w:val="0"/>
        <w:spacing w:before="240" w:after="283"/>
        <w:jc w:val="both"/>
        <w:rPr>
          <w:rFonts w:ascii="Arial" w:hAnsi="Arial"/>
          <w:color w:val="000000"/>
          <w:sz w:val="20"/>
        </w:rPr>
      </w:pPr>
      <w:r>
        <w:rPr>
          <w:rFonts w:ascii="Arial" w:hAnsi="Arial"/>
          <w:color w:val="000000"/>
          <w:sz w:val="20"/>
        </w:rPr>
        <w:t>Our ongoing Phase 3 CoMpass trial in adult patients with small choroidal melanoma and indeterminate lesions is designed as a superiority trial comparing bel-sar versus sham delivered via suprachoroidal, or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has a power of &gt;90% to meet the primary endpoint. (ClinicalTrials.gov ID: NCT06007690)</w:t>
      </w:r>
    </w:p>
    <w:p>
      <w:pPr>
        <w:pStyle w:val="TextBody"/>
        <w:bidi w:val="0"/>
        <w:spacing w:before="240" w:after="283"/>
        <w:jc w:val="both"/>
        <w:rPr>
          <w:rFonts w:ascii="Times New Roman" w:hAnsi="Times New Roman"/>
          <w:sz w:val="20"/>
        </w:rPr>
      </w:pPr>
      <w:r>
        <w:rPr>
          <w:rFonts w:ascii="Arial" w:hAnsi="Arial"/>
          <w:color w:val="000000"/>
          <w:sz w:val="20"/>
        </w:rPr>
        <w:t>We have received written agreement from the FDA under a Special Protocol Assessment, or SPA, for the design and planned analysis of the global Phase 3 CoMpass trial. Since there is no drug approved for the treatment of primary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Bel-sar has shown clinical benefit and has been generally well-tolerated in clinical trials to date. Phase 2 end of study results evaluating bel-sar for the first-line treatment of early-stage choroidal melanoma were presented at The Retina Society Annual Meeting on September 12, 2024, in Lisbon, Portugal. The Phase 2 study (ClinicalTrials.gov ID: </w:t>
      </w:r>
      <w:r>
        <w:rPr>
          <w:rFonts w:ascii="Arial" w:hAnsi="Arial"/>
          <w:color w:val="000000"/>
          <w:sz w:val="20"/>
          <w:u w:val="single"/>
        </w:rPr>
        <w:t>NCT04417530</w:t>
      </w:r>
      <w:r>
        <w:rPr>
          <w:rFonts w:ascii="Arial" w:hAnsi="Arial"/>
          <w:color w:val="000000"/>
          <w:sz w:val="20"/>
        </w:rPr>
        <w:t>) was an open-label, ascending single and repeat dose escalation trial in patients with early-stage choroidal melanoma designed to evaluate the safety, tolerability and efficacy of up to three cycles of bel-sar treatment. The trial included both single and multiple ascending dose cohorts, with a total of 22 patients enrolled. Patients were closely monitored over a twelve-month follow-up period to assess tumor control, visual acuity preservation and tumor growth rate. The Phase 2 end of study results demonstrated that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Of note, the current standard of care is radiotherapy, which leads to visual acuity of &lt;20/200 (the cutoff for legal blindness) in the treated eye in up to 87% of patients. The safety profile of bel-sar was highly favorable in all participants regardless of dose. There were no treatment-related serious adverse events reported. Ocular treatment-related adverse events were mild (Grade 1), included anterior chamber inflammation (18%) or cell (9%) and resolved without sequelae. The vast majority (~70%) of the anterior chamber inflammation/cell events were self-limited, requiring no treatment, and resolved in a median of six days. For those events that did require treatment, topical steroid eye drops, administered for a median of six days, achieved complete resolution of the inflammation. Eye pain occurred in 9% of patients and was mild (Grade 1). Importantly, no treatment-related posterior inflammation events (no vitritis, choroiditis, retinitis, retinal pigment epithelium changes or vasculitis) were reported. The Phase 2 results are a significant achievement considering the typically poor prognosis associated with choroidal melanoma, a rare and life-threatening ocular cancer, where there are no approved vision-preserving therapies to date.</w:t>
      </w:r>
    </w:p>
    <w:p>
      <w:pPr>
        <w:pStyle w:val="TextBody"/>
        <w:bidi w:val="0"/>
        <w:spacing w:before="240" w:after="283"/>
        <w:jc w:val="both"/>
        <w:rPr>
          <w:rFonts w:ascii="Arial" w:hAnsi="Arial"/>
          <w:b/>
          <w:color w:val="000000"/>
          <w:sz w:val="20"/>
        </w:rPr>
      </w:pPr>
      <w:r>
        <w:rPr>
          <w:rFonts w:ascii="Arial" w:hAnsi="Arial"/>
          <w:b/>
          <w:color w:val="000000"/>
          <w:sz w:val="20"/>
        </w:rPr>
        <w:t>Metastases to the Choroid</w:t>
      </w:r>
    </w:p>
    <w:p>
      <w:pPr>
        <w:pStyle w:val="TextBody"/>
        <w:bidi w:val="0"/>
        <w:spacing w:before="80" w:after="283"/>
        <w:jc w:val="both"/>
        <w:rPr>
          <w:rFonts w:ascii="Arial" w:hAnsi="Arial"/>
          <w:color w:val="000000"/>
          <w:sz w:val="20"/>
        </w:rPr>
      </w:pPr>
      <w:r>
        <w:rPr>
          <w:rFonts w:ascii="Arial" w:hAnsi="Arial"/>
          <w:color w:val="000000"/>
          <w:sz w:val="20"/>
        </w:rPr>
        <w:t>Metastases to the choroid, where different types of primary cancers from elsewhere in the body (e.g., breast and lung cancer) metastasize to the eye, is an even more common cause of intraocular malignancy than primary choroidal melanoma. There is a high unmet need in these patients, as current therapy consists primarily of external radiotherapy, which comes with a very high treatment burden and ocular morbidity. As such, an easier-to-apply treatment that preserves vision is needed. These patients are treated by the same ocular oncologists that treat choroidal melanoma, and SC administration of bel-sar followed by laser light activation will be the mode of administration studied in this indication. We have an open Investigational New Drug application, or IND, in the United States and have received Fast Track designation from the FDA’s Division of Oncology. We have activated the first sites in a Phase 2 clinical trial in metastases to the choroid and aim to enroll the first patients in 2024, with initial data anticipated in 2025.</w:t>
      </w:r>
    </w:p>
    <w:p>
      <w:pPr>
        <w:pStyle w:val="TextBody"/>
        <w:bidi w:val="0"/>
        <w:spacing w:before="240" w:after="283"/>
        <w:jc w:val="both"/>
        <w:rPr>
          <w:rFonts w:ascii="Arial" w:hAnsi="Arial"/>
          <w:b/>
          <w:color w:val="000000"/>
          <w:sz w:val="20"/>
        </w:rPr>
      </w:pPr>
      <w:r>
        <w:rPr>
          <w:rFonts w:ascii="Arial" w:hAnsi="Arial"/>
          <w:b/>
          <w:color w:val="000000"/>
          <w:sz w:val="20"/>
        </w:rPr>
        <w:t>Cancers of the Ocular Surface</w:t>
      </w:r>
    </w:p>
    <w:p>
      <w:pPr>
        <w:pStyle w:val="TextBody"/>
        <w:bidi w:val="0"/>
        <w:spacing w:before="80" w:after="283"/>
        <w:jc w:val="both"/>
        <w:rPr>
          <w:rFonts w:ascii="Times New Roman" w:hAnsi="Times New Roman"/>
          <w:sz w:val="20"/>
        </w:rPr>
      </w:pPr>
      <w:r>
        <w:rPr>
          <w:rFonts w:ascii="Arial" w:hAnsi="Arial"/>
          <w:color w:val="212121"/>
          <w:sz w:val="20"/>
        </w:rPr>
        <w:t>We are also evaluating the development of bel-sar in other eye cancer indications like cancers of the ocular surface. Ocular surface tumors are tumors that start in the conjunctiva and are treated by the same ocular oncologists that treat choroidal melanoma and metastases to the choroid. These tumors are life threatening and are diagnosed early, when they are not yet metastatic, not unlike choroidal melanoma.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There are currently no drugs approved for cancers of the ocular surface, and patients are treated with surgery and off-label chemotherapy</w:t>
      </w:r>
      <w:r>
        <w:rPr>
          <w:rFonts w:ascii="Arial" w:hAnsi="Arial"/>
          <w:color w:val="242424"/>
          <w:sz w:val="20"/>
        </w:rPr>
        <w:t>.</w:t>
      </w:r>
      <w:r>
        <w:rPr>
          <w:rFonts w:ascii="Times New Roman" w:hAnsi="Times New Roman"/>
          <w:color w:val="242424"/>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Bladder Cancer</w:t>
      </w:r>
    </w:p>
    <w:p>
      <w:pPr>
        <w:pStyle w:val="TextBody"/>
        <w:bidi w:val="0"/>
        <w:spacing w:before="80" w:after="283"/>
        <w:jc w:val="both"/>
        <w:rPr>
          <w:rFonts w:ascii="Times New Roman" w:hAnsi="Times New Roman"/>
          <w:sz w:val="20"/>
        </w:rPr>
      </w:pPr>
      <w:r>
        <w:rPr>
          <w:rFonts w:ascii="Arial" w:hAnsi="Arial"/>
          <w:color w:val="000000"/>
          <w:sz w:val="20"/>
        </w:rPr>
        <w:t>We are developing bel-sar for bladder cancer and have an ongoing Phase 1 clinical trial for the treatment of non-muscle invasive bladder cancer, or NMIBC, and muscle invasive bladder cancer, or MIBC. Bladder cancer is the most common malignancy involving the urinary system and is the eighth most common cause of cancer death in men in the United States. While metastatic bladder cancer has several approved therapies, there are limited options for the treatment of intermediate and high-risk NMIBC.</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generated nonclinical in vivo data that supports that bel-sar’s dual mechanism of action can lead to cytotoxicity and long-term antitumor immunity which may further reduce the risk of recurrence and metastases. We have also shown that bel-sar is highly synergistic with checkpoint inhibitors that are already approved for a subset of patients with NMIBC. We believe this immune response can play an important role in bladder cancer, given that bladder cancer has a well-documented response to immune activation.</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received Fast Track designation from the FDA for bel-sar for the treatment of NMIBC in June 2022, and in September 2023, we updated the protocol for our Phase 1 study to include patients with MIBC. The ongoing Phase 1 trial (ClinicalTrials.gov ID: NCT05483868) is a two-part, open-label clinical trial, designed to assess the safety and feasibility of bel-sar as a monotherapy. The study treatment is administered seven to 12 days before the scheduled transurethral resection of bladder tumor, or TURBT, the standard of care procedure. The participants are followed for safety monitoring over a 56-day period. The trial is also evaluating bel-sar’s biological activity with histopathological evaluation of tissue samples collected at the time of TURBT (regardless of tumor response) with evaluation of focal necrosis and immune changes in the tumor microenvironment.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October 17, 2024, we announced positive early data from our ongoing Phase 1 clinical trial of bel-sar in patients with NMIBC. Part 1 (n=5) of the trial is complete, with patients receiving a single bel-sar dose without light activation. Part 2 (n=10) of the trial is designed to include ten patients. Included in this data are eight patients from Part 2 of the study with a confirmed tumor at time of treatment and having received either 100ug or 200ug of bel-sar as a single dose. Of these eight patients, five had low grade disease and three had high grade disease. Seven of these eight patients had a history of recurrent bladder cancer and had undergone multiple TURBTs and adjuvant treatments such as Bacillus Calmette-Guerin, or BCG, mitomycin, gemcitabine, cetrelimab and tamoxifen prior to trial enrollment. Ten of 13 study participants in this data had low grade disease, approximating the 70% incidence of this patient population among all NMIBC patients. The other three study participants in this data had high grade disease. In the safety analysis as of the September 9, 2024, data cut-off date (n=12), bel-sar was well-tolerated, with less than 10% of patients reporting Grade 1 and no Grade 2 or higher drug-related adverse events reported. No serious adverse events were reported, and no significant differences between the light-activated and non-light activated cohorts were observed with regard to safety events as of the data cut-off date. The data in these eight patients receiving bel-sar with light activation showed clinical activity detectable as soon as seven days after a single low dose of bel-sar with light activation. This was demonstrated by histopathological evidence of clinical complete response, necrosis, immune activation or visual tumor shrinkage observed on cystoscopy. For this analysis, “clinical complete response” was defined as the absence of tumor cells on histopathologic evaluation. Of the patients with low grade disease, four out of five exhibited a clinical complete response (one of four based on local pathology with central review ongoing), with no tumor cells detected in histopathological evaluation post-treatment in the target and in several non-target bladder tumors. Two of three of the patients with high grade disease demonstrated visual tumor shrinkage observed on cystoscopy, while tumor cells were still present on histopathological evaluation. Immune activation was noted in all patients in both treated target and untreated non-target bladder tumors with infiltration of effector CD8+ and CD4+ T-cells (where immune staining was available). This data provides evidence of a bladder urothelial field effect with a single low dose of bel-sar with light activation, potentially indicating a broader immune response in the bladder beyond the target tumor in these patients. We plan to continue development of bel-sar in bladder cancer with an initial focus on low grade, intermediate risk NMIBC patients, through a planned Phase 1b/2 trial expansion to test additional doses and treatment regimens with the opportunity to assess early durability of response at three months. In parallel, we are planning regulatory discussions on the design of the next trial with the goal of expediting clinical development in this patient population. We expect data from the Phase 1b/2 trial expansion in NMIBC in 2025.</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September 30, 2024, we have raised an aggregate of approximately $419.4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hAnsi="Arial"/>
          <w:color w:val="000000"/>
          <w:sz w:val="13"/>
        </w:rPr>
        <w:t>SM</w:t>
      </w:r>
      <w:r>
        <w:rPr>
          <w:rFonts w:ascii="Arial" w:hAnsi="Arial"/>
          <w:color w:val="000000"/>
          <w:sz w:val="20"/>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Other than the termination of the prospectus, the Sales Agreement remains in full force and effect.</w:t>
      </w:r>
      <w:r>
        <w:rPr>
          <w:rFonts w:ascii="Times New Roman" w:hAnsi="Times New Roman"/>
          <w:color w:val="000000"/>
          <w:sz w:val="20"/>
        </w:rPr>
        <w:t xml:space="preserve"> </w:t>
      </w:r>
      <w:r>
        <w:rPr>
          <w:rFonts w:ascii="Arial" w:hAnsi="Arial"/>
          <w:color w:val="000000"/>
          <w:sz w:val="20"/>
        </w:rPr>
        <w:t>As of November 6, 2023, we had issued 993,996 shares of common stock at an average price of $12.50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nine months ended September 30, 2024 under the ATM.</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$61.1 million and $54.3 million for the nine months ended September 30, 2024 and 2023, respectively. As of September 30, 2024, we had an accumulated deficit of $348.4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conduct our current and future clinical trials of bel-sar;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progress the preclinical and clinical development of new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 our manufacturing capability, including developing our contract development and manufacturing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to identify and develop additional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expand our operational, financial, and management systems and increase personnel, including personnel to support our preclinical and clinical development, manufacturing and commercialization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maintain, expand and protect our intellectual property portfolio;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incur additional legal, accounting, or other expenses in operating our business, including the additional costs associated with operating as a public company.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As of September 30, 2024, we had cash and cash equivalents and marketable securities of $174.4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Times New Roman" w:hAnsi="Times New Roman"/>
          <w:color w:val="000000"/>
          <w:sz w:val="20"/>
        </w:rPr>
        <w:t>“</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Components of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Research and development expenses consist primarily of costs incurred for our research activities, including our discovery efforts and the development of our bel-sar program, and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employee-related expenses, including salaries, benefits and stock-based compensation expense for employees engaged in research and development functions;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fees paid to consultants for services directly related to our product development and regulatory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associated with conducting preclinical studies and clinical trials performed by ourselves, outside vendors or academic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incurred under agreements with contract research organizations, or CROs, as well as consultants that conduct and provide supplies for our preclinical studies and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bel-sar, including the potential cost of CDMOs that manufacture product for use in our preclinical studies and clinical trials and perform analytical testing, scale-up and other services in connection with our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preclinical activities and clinical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our intellectual property portfolio;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related to compliance with regulatory requirements;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allocated expenses for utilities and other facility-related costs.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Other Income (Expense)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other income (expense) consists of accretion, interest income and realized losses on marketable securities, interest income on our invested cash balances, and gains and losses on disposals of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Income Tax Provision, Net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For the year ending December 31, 2023, we recorded a $0.1 million tax provision related to the current state income taxes. Since our inception, we have not recorded any U.S. federal benefits for our net operating loss carryforwards or research and development tax credits, due to the uncertainty of realizing a benefit from those items. As of December 31, 2023, we had federal gross operating loss carryforwards of approximately $174.4 million which may be available to offset future taxable income, of which $44.2 million begin to expire in 2029 and go through 2037 and $130.2 million do not expire. The state gross operating loss carryforwards of $148.5 million, which may be available to offset future taxable income and which would begin to expire in 2030, except for $0.7 million of state NOLs that do not expire. We had foreign gross operating loss carryforwards of $0.1 million, which may be available to offset future taxable income and which do not expire. As of December 31, 2023, we had federal and state research and experimentation credit carryforwards of $8.2 million and $2.3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Comparison of the Three Months Ended September 30, 2024 and 2023</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three months ended September 30, 2024 and 2023:</w:t>
      </w:r>
    </w:p>
    <w:tbl>
      <w:tblPr>
        <w:tblW w:w="9083" w:type="dxa"/>
        <w:jc w:val="left"/>
        <w:tblInd w:w="0" w:type="dxa"/>
        <w:tblLayout w:type="fixed"/>
        <w:tblCellMar>
          <w:top w:w="28" w:type="dxa"/>
          <w:left w:w="28" w:type="dxa"/>
          <w:bottom w:w="28" w:type="dxa"/>
          <w:right w:w="28" w:type="dxa"/>
        </w:tblCellMar>
      </w:tblPr>
      <w:tblGrid>
        <w:gridCol w:w="4781"/>
        <w:gridCol w:w="146"/>
        <w:gridCol w:w="211"/>
        <w:gridCol w:w="751"/>
        <w:gridCol w:w="166"/>
        <w:gridCol w:w="146"/>
        <w:gridCol w:w="211"/>
        <w:gridCol w:w="751"/>
        <w:gridCol w:w="166"/>
        <w:gridCol w:w="146"/>
        <w:gridCol w:w="211"/>
        <w:gridCol w:w="646"/>
        <w:gridCol w:w="75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4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4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47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1,608</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 including amortization of discount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7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three months ended September 30, 2024 and 2023:</w:t>
      </w:r>
      <w:r>
        <w:rPr>
          <w:rFonts w:ascii="Times New Roman" w:hAnsi="Times New Roman"/>
          <w:color w:val="000000"/>
          <w:sz w:val="20"/>
        </w:rPr>
        <w:t xml:space="preserve"> </w:t>
      </w:r>
    </w:p>
    <w:tbl>
      <w:tblPr>
        <w:tblW w:w="8513"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1"/>
        <w:gridCol w:w="646"/>
        <w:gridCol w:w="75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ind w:left="0" w:right="0" w:firstLine="280"/>
              <w:jc w:val="center"/>
              <w:rPr/>
            </w:pPr>
            <w:r>
              <w:rPr/>
              <w:t> </w:t>
            </w:r>
          </w:p>
        </w:tc>
      </w:tr>
      <w:tr>
        <w:trPr/>
        <w:tc>
          <w:tcPr>
            <w:tcW w:w="4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$17.0 million for the three months ended September 30, 2024 from $15.4 million for the three months ended September 30, 2023, primarily due to manufacturing and development costs for bel-sar and higher personnel expenses related to growth of our company.</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$6.2 million for the three months ended September 30, 2024 from $5.1 million for the three months ended September 30, 2023, primarily driven by personnel expenses, as well as increases in general corporate expenses related to growth of our company.</w:t>
      </w:r>
    </w:p>
    <w:p>
      <w:pPr>
        <w:pStyle w:val="TextBody"/>
        <w:bidi w:val="0"/>
        <w:spacing w:before="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b/>
          <w:i/>
          <w:color w:val="000000"/>
          <w:sz w:val="20"/>
        </w:rPr>
        <w:t>Comparison of the Nine Months Ended September 30, 2024 and 2023</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nine months ended September 30, 2024 and 2023:</w:t>
      </w:r>
    </w:p>
    <w:p>
      <w:pPr>
        <w:pStyle w:val="TextBody"/>
        <w:bidi w:val="0"/>
        <w:spacing w:before="80" w:after="283"/>
        <w:jc w:val="both"/>
        <w:rPr/>
      </w:pPr>
      <w:r>
        <w:rPr/>
        <w:t> </w:t>
      </w:r>
    </w:p>
    <w:tbl>
      <w:tblPr>
        <w:tblW w:w="9083" w:type="dxa"/>
        <w:jc w:val="left"/>
        <w:tblInd w:w="0" w:type="dxa"/>
        <w:tblLayout w:type="fixed"/>
        <w:tblCellMar>
          <w:top w:w="28" w:type="dxa"/>
          <w:left w:w="28" w:type="dxa"/>
          <w:bottom w:w="28" w:type="dxa"/>
          <w:right w:w="28" w:type="dxa"/>
        </w:tblCellMar>
      </w:tblPr>
      <w:tblGrid>
        <w:gridCol w:w="4781"/>
        <w:gridCol w:w="146"/>
        <w:gridCol w:w="211"/>
        <w:gridCol w:w="751"/>
        <w:gridCol w:w="166"/>
        <w:gridCol w:w="146"/>
        <w:gridCol w:w="211"/>
        <w:gridCol w:w="751"/>
        <w:gridCol w:w="166"/>
        <w:gridCol w:w="146"/>
        <w:gridCol w:w="211"/>
        <w:gridCol w:w="646"/>
        <w:gridCol w:w="75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4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4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47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50,968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6,016</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 including amortization of discount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7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nine months ended September 30, 2024 and 2023:</w:t>
      </w:r>
      <w:r>
        <w:rPr>
          <w:rFonts w:ascii="Times New Roman" w:hAnsi="Times New Roman"/>
          <w:color w:val="000000"/>
          <w:sz w:val="20"/>
        </w:rPr>
        <w:t xml:space="preserve"> </w:t>
      </w:r>
    </w:p>
    <w:p>
      <w:pPr>
        <w:pStyle w:val="TextBody"/>
        <w:bidi w:val="0"/>
        <w:spacing w:before="80" w:after="283"/>
        <w:jc w:val="both"/>
        <w:rPr/>
      </w:pPr>
      <w:r>
        <w:rPr/>
        <w:t> </w:t>
      </w:r>
    </w:p>
    <w:tbl>
      <w:tblPr>
        <w:tblW w:w="8467"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4"/>
        <w:gridCol w:w="597"/>
        <w:gridCol w:w="75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ind w:left="0" w:right="0" w:firstLine="280"/>
              <w:jc w:val="center"/>
              <w:rPr/>
            </w:pPr>
            <w:r>
              <w:rPr/>
              <w:t> </w:t>
            </w:r>
          </w:p>
        </w:tc>
      </w:tr>
      <w:tr>
        <w:trPr/>
        <w:tc>
          <w:tcPr>
            <w:tcW w:w="4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6,016</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$51.0 million for the nine months ended September 30, 2024 from $45.0 million for the nine months ended September 30, 2023, primarily due to higher personnel expenses related to growth of our company.</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$17.3 million for the nine months ended September 30, 2024 from $15.3 million for the nine months ended September 30, 2023, primarily driven by personnel expenses, as well as increases in general corporate expenses related to growth of our company.</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To date we have funded our operations primarily through the sale of convertible preferred stock and warrants as well as common stock. Through September 30, 2024, we have raised an aggregate of approximately $419.4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w:t>
      </w:r>
      <w:r>
        <w:rPr>
          <w:rFonts w:ascii="Times New Roman" w:hAnsi="Times New Roman"/>
          <w:color w:val="000000"/>
          <w:sz w:val="20"/>
        </w:rPr>
        <w:t xml:space="preserve"> </w:t>
      </w:r>
      <w:r>
        <w:rPr>
          <w:rFonts w:ascii="Arial" w:hAnsi="Arial"/>
          <w:color w:val="000000"/>
          <w:sz w:val="20"/>
        </w:rPr>
        <w:t>In connection with the 2023 Follow-On Offering, on November 6, 2023, we delivered written notice to Jefferies that we were suspending and terminating the prospectus related to the shares issuable in the ATM pursuant to the terms of the Sales Agreement. As of November 6, 2023, we had issued 993,996 shares of common stock at an average price of $12.50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nine months ended September 30, 2024 under the ATM.</w:t>
      </w:r>
    </w:p>
    <w:p>
      <w:pPr>
        <w:pStyle w:val="TextBody"/>
        <w:bidi w:val="0"/>
        <w:spacing w:before="240" w:after="283"/>
        <w:jc w:val="both"/>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cash flows for each of the periods presented:</w:t>
      </w:r>
      <w:r>
        <w:rPr>
          <w:rFonts w:ascii="Times New Roman" w:hAnsi="Times New Roman"/>
          <w:color w:val="000000"/>
          <w:sz w:val="20"/>
        </w:rPr>
        <w:t xml:space="preserve"> </w:t>
      </w:r>
    </w:p>
    <w:tbl>
      <w:tblPr>
        <w:tblW w:w="7934" w:type="dxa"/>
        <w:jc w:val="left"/>
        <w:tblInd w:w="0" w:type="dxa"/>
        <w:tblLayout w:type="fixed"/>
        <w:tblCellMar>
          <w:top w:w="28" w:type="dxa"/>
          <w:left w:w="28" w:type="dxa"/>
          <w:bottom w:w="28" w:type="dxa"/>
          <w:right w:w="28" w:type="dxa"/>
        </w:tblCellMar>
      </w:tblPr>
      <w:tblGrid>
        <w:gridCol w:w="5341"/>
        <w:gridCol w:w="146"/>
        <w:gridCol w:w="211"/>
        <w:gridCol w:w="751"/>
        <w:gridCol w:w="166"/>
        <w:gridCol w:w="146"/>
        <w:gridCol w:w="211"/>
        <w:gridCol w:w="75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3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(55,853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(46,460</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(23,843</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During the nine months ended September 30, 2024, net cash used in operating activities was $55.9 million primarily due to our net loss of $61.1 million and an increase in prepaid expenses related to CRO costs associated with our Phase 3 trial of bel-sar in early-stage choroidal melanoma, partially offset by an increase in stock compensation expense.</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2023, net cash used in operating activities was $46.5 million, primarily due to our net loss of $54.3 million and a decrease in accounts payable related to timing of vendor invoicing and payments, partially offset by an increase in stock compensation expense and prepaid expenses related to CRO costs associated with our Phase 3 trial of bel-sar in early-stage choroidal melanoma.</w:t>
      </w:r>
    </w:p>
    <w:p>
      <w:pPr>
        <w:pStyle w:val="TextBody"/>
        <w:bidi w:val="0"/>
        <w:spacing w:before="240" w:after="283"/>
        <w:jc w:val="both"/>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Net cash provided by investing activities during the nine months ended September 30, 2024 was $39.1 million primarily due to maturities of marketable securities partially offset by purchases of marketable securities and property and equipment.</w:t>
      </w:r>
    </w:p>
    <w:p>
      <w:pPr>
        <w:pStyle w:val="TextBody"/>
        <w:bidi w:val="0"/>
        <w:spacing w:before="240" w:after="283"/>
        <w:jc w:val="both"/>
        <w:rPr>
          <w:rFonts w:ascii="Arial" w:hAnsi="Arial"/>
          <w:color w:val="000000"/>
          <w:sz w:val="20"/>
        </w:rPr>
      </w:pPr>
      <w:r>
        <w:rPr>
          <w:rFonts w:ascii="Arial" w:hAnsi="Arial"/>
          <w:color w:val="000000"/>
          <w:sz w:val="20"/>
        </w:rPr>
        <w:t>Net cash used in investing activities during the nine months ended September 30, 2023 was $23.8 million primarily due to purchases of marketable securities and property and equipment, partially offset by proceeds from sale and maturities of marketable securities.</w:t>
      </w:r>
    </w:p>
    <w:p>
      <w:pPr>
        <w:pStyle w:val="TextBody"/>
        <w:bidi w:val="0"/>
        <w:spacing w:before="240" w:after="283"/>
        <w:jc w:val="both"/>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During the nine months ended September 30, 2024, net cash provided by financing activities was $1.1 million from proceeds from stock options exercises and issuance of common stock under the ESPP.</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2023, net cash provided by financing activities was $4.3 million from proceeds from stock options exercises and issuance of common stock under the ATM and ESPP.</w:t>
      </w:r>
    </w:p>
    <w:p>
      <w:pPr>
        <w:pStyle w:val="TextBody"/>
        <w:bidi w:val="0"/>
        <w:spacing w:before="240" w:after="283"/>
        <w:jc w:val="both"/>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timing, progress, costs, and results of discovery, preclinical development, and clinical trials for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clinical trials required for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timing, and outcome of regulatory review of any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clinical and commercial supplies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revenue, if any, received from commercial sales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to attract, hire and retain, skilled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of operating as a public company;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our product candidates are approved, our ability to establish a commercially viable pricing structure and obtain approval for coverage and adequate reimbursement from third-party and government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 of competing technological and market developments;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extent to which we acquire or invest in businesses, products, and technologies;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unfavorable global economic conditions, which may exacerbate the magnitude of the factors discussed above. </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 product candidate could mean a significant change in the costs and timing associated with the development of that product candidate. As of September 30, 2024, we had cash and cash equivalents and marketable securities of $174.4 million. Based on our research and development plans, we believe that our existing cash and cash equivalents, will be sufficient to fund our operations into the second half of 2026. We have based this estimate on assumptions that may prove to be wrong, and we could exhaust our available capital resources sooner than we expect.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Material Cash Requirements</w:t>
      </w:r>
    </w:p>
    <w:p>
      <w:pPr>
        <w:pStyle w:val="TextBody"/>
        <w:bidi w:val="0"/>
        <w:spacing w:before="80" w:after="283"/>
        <w:jc w:val="both"/>
        <w:rPr>
          <w:rFonts w:ascii="Arial" w:hAnsi="Arial"/>
          <w:color w:val="000000"/>
          <w:sz w:val="20"/>
        </w:rPr>
      </w:pPr>
      <w:r>
        <w:rPr>
          <w:rFonts w:ascii="Arial" w:hAnsi="Arial"/>
          <w:color w:val="000000"/>
          <w:sz w:val="20"/>
        </w:rPr>
        <w:t>The following table summarizes our contractual obligations and commitments as of September 30, 2024.</w:t>
      </w:r>
    </w:p>
    <w:tbl>
      <w:tblPr>
        <w:tblW w:w="10022" w:type="dxa"/>
        <w:jc w:val="left"/>
        <w:tblInd w:w="0" w:type="dxa"/>
        <w:tblLayout w:type="fixed"/>
        <w:tblCellMar>
          <w:top w:w="28" w:type="dxa"/>
          <w:left w:w="28" w:type="dxa"/>
          <w:bottom w:w="28" w:type="dxa"/>
          <w:right w:w="28" w:type="dxa"/>
        </w:tblCellMar>
      </w:tblPr>
      <w:tblGrid>
        <w:gridCol w:w="3016"/>
        <w:gridCol w:w="146"/>
        <w:gridCol w:w="211"/>
        <w:gridCol w:w="146"/>
        <w:gridCol w:w="691"/>
        <w:gridCol w:w="146"/>
        <w:gridCol w:w="146"/>
        <w:gridCol w:w="211"/>
        <w:gridCol w:w="200"/>
        <w:gridCol w:w="805"/>
        <w:gridCol w:w="146"/>
        <w:gridCol w:w="146"/>
        <w:gridCol w:w="211"/>
        <w:gridCol w:w="146"/>
        <w:gridCol w:w="691"/>
        <w:gridCol w:w="146"/>
        <w:gridCol w:w="146"/>
        <w:gridCol w:w="211"/>
        <w:gridCol w:w="146"/>
        <w:gridCol w:w="586"/>
        <w:gridCol w:w="146"/>
        <w:gridCol w:w="146"/>
        <w:gridCol w:w="211"/>
        <w:gridCol w:w="206"/>
        <w:gridCol w:w="82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11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58" w:type="dxa"/>
            <w:gridSpan w:val="2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commitments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 xml:space="preserve">Amounts in the table above reflect payments due for our lease of office and lab space in Boston, Massachusetts, that expires in August 2032. </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Our management’s discussion and analysis of financial condition and results of operations is based on our consolidated financial statements, which have been prepared in accordance with U.S. generally accepted accounting principles.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2024, there were no material changes to our critical accounting policies from those described in the section titled “Management’s Discussion and Analysis of Financial Condition and Operations” included in our Annual Report on Form 10-K for the year ended December 31, 2023, as filed with the SEC.</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assessed the recent accounting pronouncements for the nine months ended September 30, 2024, and determined no pronouncements have material impact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Emerging Growth Company Status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bidi w:val="0"/>
        <w:spacing w:before="80" w:after="283"/>
        <w:jc w:val="both"/>
        <w:rPr>
          <w:rFonts w:ascii="Arial" w:hAnsi="Arial"/>
          <w:color w:val="000000"/>
          <w:sz w:val="20"/>
        </w:rPr>
      </w:pPr>
      <w:r>
        <w:rPr>
          <w:rFonts w:ascii="Arial" w:hAnsi="Arial"/>
          <w:color w:val="000000"/>
          <w:sz w:val="20"/>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pStyle w:val="TextBody"/>
        <w:bidi w:val="0"/>
        <w:spacing w:before="8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pStyle w:val="TextBody"/>
        <w:bidi w:val="0"/>
        <w:spacing w:before="240" w:after="283"/>
        <w:jc w:val="both"/>
        <w:rPr>
          <w:rFonts w:ascii="Arial" w:hAnsi="Arial"/>
          <w:b/>
          <w:color w:val="000000"/>
          <w:sz w:val="20"/>
        </w:rPr>
      </w:pPr>
      <w:bookmarkStart w:id="11" w:name="item_3_quantitative_qualitative_disclosu"/>
      <w:bookmarkEnd w:id="11"/>
      <w:r>
        <w:rPr>
          <w:rFonts w:ascii="Arial" w:hAnsi="Arial"/>
          <w:b/>
          <w:color w:val="000000"/>
          <w:sz w:val="20"/>
        </w:rPr>
        <w:t>Item 3. Quantitative and Qualitative Disclosures About Market Risk.</w:t>
      </w:r>
    </w:p>
    <w:p>
      <w:pPr>
        <w:pStyle w:val="TextBody"/>
        <w:bidi w:val="0"/>
        <w:spacing w:before="80" w:after="283"/>
        <w:jc w:val="both"/>
        <w:rPr>
          <w:rFonts w:ascii="Times New Roman" w:hAnsi="Times New Roman"/>
          <w:sz w:val="20"/>
        </w:rPr>
      </w:pPr>
      <w:r>
        <w:rPr>
          <w:rFonts w:ascii="Arial" w:hAnsi="Arial"/>
          <w:color w:val="000000"/>
          <w:sz w:val="20"/>
        </w:rPr>
        <w:t>We are a smaller reporting company as defined by Rule 12b-2 of the Exchange Act and are not required to provide the information under this item.</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2" w:name="item_4_controls_and_procedures"/>
      <w:bookmarkEnd w:id="12"/>
      <w:r>
        <w:rPr>
          <w:rFonts w:ascii="Arial" w:hAnsi="Arial"/>
          <w:b/>
          <w:color w:val="000000"/>
          <w:sz w:val="20"/>
        </w:rPr>
        <w:t>Item 4. Controls and Procedures.</w:t>
      </w:r>
    </w:p>
    <w:p>
      <w:pPr>
        <w:pStyle w:val="TextBody"/>
        <w:bidi w:val="0"/>
        <w:spacing w:before="80" w:after="283"/>
        <w:jc w:val="both"/>
        <w:rPr>
          <w:rFonts w:ascii="Arial" w:hAnsi="Arial"/>
          <w:i/>
          <w:color w:val="000000"/>
          <w:sz w:val="20"/>
        </w:rPr>
      </w:pPr>
      <w:r>
        <w:rPr>
          <w:rFonts w:ascii="Arial" w:hAnsi="Arial"/>
          <w:i/>
          <w:color w:val="000000"/>
          <w:sz w:val="20"/>
        </w:rPr>
        <w:t>Disclosure Controls and Procedures</w:t>
      </w:r>
    </w:p>
    <w:p>
      <w:pPr>
        <w:pStyle w:val="TextBody"/>
        <w:bidi w:val="0"/>
        <w:spacing w:before="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Chief Executive Officer and Interim Principal Financial Officer, has evaluated the effectiveness of our disclosure controls and procedures (as defined in Rules 13a-15(e) and 15d-15(e) under the Exchange Act), as of the end of the period covered by this Quarterly Report. Based on such evaluation, our Chief Executive Officer and Interim Principal Financial Officer have concluded that as of September 30, 2024,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Interim Principal Financial Officer, to allow timely decisions regarding any required disclosure.</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8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3" w:name="part_ii_other_information"/>
      <w:bookmarkEnd w:id="13"/>
      <w:r>
        <w:rPr>
          <w:rFonts w:ascii="Arial" w:hAnsi="Arial"/>
          <w:b/>
          <w:color w:val="000000"/>
          <w:sz w:val="20"/>
        </w:rPr>
        <w:t>PART II—OTHER 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80" w:after="283"/>
        <w:jc w:val="both"/>
        <w:rPr>
          <w:rFonts w:ascii="Arial" w:hAnsi="Arial"/>
          <w:color w:val="000000"/>
          <w:sz w:val="20"/>
        </w:rPr>
      </w:pPr>
      <w:r>
        <w:rPr>
          <w:rFonts w:ascii="Arial" w:hAnsi="Arial"/>
          <w:color w:val="000000"/>
          <w:sz w:val="20"/>
        </w:rPr>
        <w:t>From time to time, we may become subject to various legal proceedings and claims that arise in the ordinary course of our business activities. Although the results of litigation and claims cannot be predicted with certainty, as of September 30, 2024,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80" w:after="283"/>
        <w:jc w:val="both"/>
        <w:rPr>
          <w:rFonts w:ascii="Times New Roman" w:hAnsi="Times New Roman"/>
          <w:sz w:val="20"/>
        </w:rPr>
      </w:pPr>
      <w:r>
        <w:rPr>
          <w:rFonts w:ascii="Arial" w:hAnsi="Arial"/>
          <w:i/>
          <w:color w:val="000000"/>
          <w:sz w:val="20"/>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Financial Position, and Additional Capital Needs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have incurred significant net losses since our inception and anticipate that we will continue to incur losses for the foreseeable future.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$61.1 million and $54.3 million for the nine months ended September 30, 2024 and 2023, respectively. As of September 30, 2024, we had an accumulated deficit of $348.4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initiating and completing research regarding, and preclinical and clinical development of, bel-sar in primary choroidal melanoma and additional oncology indications, including metastases to the choroid and bladder cancer as well as any other research programs from our VDC technology platform and any future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marketing approval for bel-sar and any future product candidates for which we complete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and maintaining it with, a CDMO for bel-sar and any future product candidates, including establishing and maintaining commercially viable supply and manufacturing relationships with third parties;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launching and commercializing bel-sar and any future product candidates for which we obtain marketing approvals, either directly or with a collaborator or distributor;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 acceptance of bel-sar and any future product candidates as viable treatment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acquiring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protecting, and expanding our portfolio of intellectual property rights, including patents, trade secrets, and know-how; and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pStyle w:val="TextBody"/>
        <w:bidi w:val="0"/>
        <w:spacing w:before="240" w:after="283"/>
        <w:jc w:val="both"/>
        <w:rPr>
          <w:rFonts w:ascii="Arial" w:hAnsi="Arial"/>
          <w:b/>
          <w:i/>
          <w:color w:val="000000"/>
          <w:sz w:val="20"/>
        </w:rPr>
      </w:pPr>
      <w:r>
        <w:rPr>
          <w:rFonts w:ascii="Arial" w:hAnsi="Arial"/>
          <w:b/>
          <w:i/>
          <w:color w:val="000000"/>
          <w:sz w:val="20"/>
        </w:rPr>
        <w:t>Recent volatility in capital markets may affect our ability to access new capital through sales of shares of our common stock or issuance of indebtedness.</w:t>
      </w:r>
    </w:p>
    <w:p>
      <w:pPr>
        <w:pStyle w:val="TextBody"/>
        <w:bidi w:val="0"/>
        <w:spacing w:before="80" w:after="283"/>
        <w:jc w:val="both"/>
        <w:rPr>
          <w:rFonts w:ascii="Times New Roman" w:hAnsi="Times New Roman"/>
          <w:sz w:val="20"/>
        </w:rPr>
      </w:pPr>
      <w:r>
        <w:rPr>
          <w:rFonts w:ascii="Arial" w:hAnsi="Arial"/>
          <w:color w:val="000000"/>
          <w:sz w:val="20"/>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finance unanticipated working capital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 or enhance our technological infrastructure and our existing solutions;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pursue acquisitions or other strategic relationships;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respond to competitive pressures.</w:t>
      </w:r>
    </w:p>
    <w:p>
      <w:pPr>
        <w:pStyle w:val="TextBody"/>
        <w:bidi w:val="0"/>
        <w:spacing w:before="240" w:after="283"/>
        <w:jc w:val="both"/>
        <w:rPr>
          <w:rFonts w:ascii="Arial" w:hAnsi="Arial"/>
          <w:color w:val="000000"/>
          <w:sz w:val="20"/>
        </w:rPr>
      </w:pPr>
      <w:r>
        <w:rPr>
          <w:rFonts w:ascii="Arial" w:hAnsi="Arial"/>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proprietary rights to our technologies or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our objectives relating to the discovery, development, regulatory approval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relationships with CROs and clinical sites for the clinical development of bel-sar,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or maintaining it with, a CDMO including obtaining finished products that are appropriately packaged for sale;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continued acceptable safety profile following any marketing approval of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commercial acceptance of our product candidates by patients, the medical community and third-party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satisfying any required post-marketing approval commitments to applicable regulatory authorities;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and expanding patent protection, trade secret protection and regulatory exclusivity, both in the United States and internationally;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defending against third-party interference or infringement claims, if 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coverage and adequate reimbursement by third-party payors for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therapies and technological and market developments;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heavily dependent on the success of bel-sar, our only product candidate to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the design or implementation of our clinical trials;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that a product candidate’s clinical and other benefits outweigh its safety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sz w:val="20"/>
        </w:rPr>
      </w:pPr>
      <w:r>
        <w:rPr>
          <w:rFonts w:ascii="Arial" w:hAnsi="Arial"/>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initiated but not yet completed a pivotal clinical trial nor have we commercialized any pharmaceutical products, which may make it difficult to evaluate our future prospects.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We have not yet demonstrated an ability to successfully complete pivotal clinical trials, though we have an ongoing global Phase 3 trial in small choroidal melanomas and indeterminate lesions,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fail to develop additional product candidates, or obtain additional indications of our first product candidate, our commercial opportunity could be limited.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Bel-sar is a biologic that requires the use of multiple medical devices, which may result in additional regulatory risks.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pStyle w:val="TextBody"/>
        <w:bidi w:val="0"/>
        <w:spacing w:before="240" w:after="283"/>
        <w:jc w:val="both"/>
        <w:rPr>
          <w:rFonts w:ascii="Times New Roman" w:hAnsi="Times New Roman"/>
          <w:sz w:val="20"/>
        </w:rPr>
      </w:pPr>
      <w:r>
        <w:rPr>
          <w:rFonts w:ascii="Arial" w:hAnsi="Arial"/>
          <w:color w:val="000000"/>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early-stage choroidal melanoma is a rare disease and as such clinical trial recruitment estimates may be inaccurate and such recruitment may take longer than expected.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Patient enrollment may be affected by other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clinicians’ and patients’ awareness of, and perceptions as to the potential advantages and risks of bel-sar in relation to other available therapies, including any new drugs that may be approved for the indications we are investigating;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efforts to obtain and maintain patient consents and facilitate timely enrollment in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monitor patients adequately during and after treatment;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risk that patients enrolled in clinical trials will drop out of the clinical trials before clinical trial completion;</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competing studies or trials with similar eligibility criteria;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reporting of the preliminary results of any of our clinical trials;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factors we may not be able to control that may limit patients, principal investigators or staff or clinical site availability. </w:t>
      </w:r>
    </w:p>
    <w:p>
      <w:pPr>
        <w:pStyle w:val="TextBody"/>
        <w:bidi w:val="0"/>
        <w:spacing w:before="240" w:after="283"/>
        <w:jc w:val="both"/>
        <w:rPr>
          <w:rFonts w:ascii="Times New Roman" w:hAnsi="Times New Roman"/>
          <w:sz w:val="20"/>
        </w:rPr>
      </w:pPr>
      <w:r>
        <w:rPr>
          <w:rFonts w:ascii="Arial" w:hAnsi="Arial"/>
          <w:b/>
          <w:i/>
          <w:color w:val="000000"/>
          <w:sz w:val="20"/>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currently conducting a Phase 3 clinical trial and have, or anticipate to have, sites in the United States as well as in some or all of the following countries, among others: Ireland, the UK, Canada, Australia, Austria, Italy, Greece, South Korea, Israel, Germany, France, Spain, Denmark, Sweden, Belgium, Finland,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results of preclinical studies and early clinical trials may not be predictive of future results.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withdraw approvals of such product or require additional warnings on the label;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additional clinical trials or post-approval studies;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subject to regulatory investigations and government enforcement actions;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color w:val="000000"/>
          <w:sz w:val="20"/>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incur additional costs or experience delays in initiating or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receive feedback from regulatory authorities that require us to modify the design or implementation of our preclinical studies or clinical trials or to delay or terminate a clinical trial;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regulators or institutional review board, or IRBs, or ethics committees may delay or may not authorize us or our investigators to commence a clinical trial or conduct a clinical trial at a prospective trial site;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not produce differentiated or clinically significant results across tumor types or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clinical trials of our product candidates may be greater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regulators may revise the requirements for approving our product candidates, or such requirements may not be as we anticipate. </w:t>
      </w:r>
    </w:p>
    <w:p>
      <w:pPr>
        <w:pStyle w:val="TextBody"/>
        <w:bidi w:val="0"/>
        <w:spacing w:before="240" w:after="283"/>
        <w:jc w:val="both"/>
        <w:rPr>
          <w:rFonts w:ascii="Times New Roman" w:hAnsi="Times New Roman"/>
          <w:sz w:val="20"/>
        </w:rPr>
      </w:pPr>
      <w:r>
        <w:rPr>
          <w:rFonts w:ascii="Arial" w:hAnsi="Arial"/>
          <w:color w:val="000000"/>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restrictions on the marketing or manufacturing of the product, withdrawal of the product from the market, or voluntary or mandatory product recalls;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manufacturing delays and supply disruptions where regulatory inspections identify observations of noncompliance requiring remediation;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imposition of a REMS which may include distribution or use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requirements to conduct additional post-market clinical trials to assess the safety of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clinical trial holds;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fines, warning letters or other regulatory enforcement action;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refusal by the FDA to approve pending applications or supplements to approved applications filed by us or suspension or revocation of approvals;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before="240" w:after="283"/>
        <w:jc w:val="both"/>
        <w:rPr>
          <w:rFonts w:ascii="Times New Roman" w:hAnsi="Times New Roman"/>
          <w:sz w:val="20"/>
        </w:rPr>
      </w:pPr>
      <w:r>
        <w:rPr>
          <w:rFonts w:ascii="Arial" w:hAnsi="Arial"/>
          <w:b/>
          <w:i/>
          <w:color w:val="000000"/>
          <w:sz w:val="20"/>
        </w:rPr>
        <w:t>We may be unable to obtain ODD for additional indications,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pStyle w:val="TextBody"/>
        <w:bidi w:val="0"/>
        <w:spacing w:before="240" w:after="283"/>
        <w:jc w:val="both"/>
        <w:rPr>
          <w:rFonts w:ascii="Times New Roman" w:hAnsi="Times New Roman"/>
          <w:sz w:val="20"/>
        </w:rPr>
      </w:pPr>
      <w:r>
        <w:rPr>
          <w:rFonts w:ascii="Arial" w:hAnsi="Arial"/>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FDA’s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pStyle w:val="TextBody"/>
        <w:bidi w:val="0"/>
        <w:spacing w:before="80" w:after="283"/>
        <w:jc w:val="both"/>
        <w:rPr>
          <w:rFonts w:ascii="Arial" w:hAnsi="Arial"/>
          <w:color w:val="000000"/>
          <w:sz w:val="20"/>
        </w:rPr>
      </w:pPr>
      <w:r>
        <w:rPr>
          <w:rFonts w:ascii="Arial" w:hAnsi="Arial"/>
          <w:color w:val="000000"/>
          <w:sz w:val="20"/>
        </w:rPr>
        <w:t>We obtained agreement from the FDA on the design and planned analysis of our global Phase 3 trial of bel-sar for the treatment of early-stage choroidal melanoma through a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pStyle w:val="TextBody"/>
        <w:bidi w:val="0"/>
        <w:spacing w:before="240" w:after="283"/>
        <w:jc w:val="both"/>
        <w:rPr>
          <w:rFonts w:ascii="Arial" w:hAnsi="Arial"/>
          <w:color w:val="000000"/>
          <w:sz w:val="20"/>
        </w:rPr>
      </w:pPr>
      <w:r>
        <w:rPr>
          <w:rFonts w:ascii="Arial" w:hAnsi="Arial"/>
          <w:color w:val="000000"/>
          <w:sz w:val="20"/>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pStyle w:val="TextBody"/>
        <w:bidi w:val="0"/>
        <w:spacing w:before="240" w:after="283"/>
        <w:jc w:val="both"/>
        <w:rPr>
          <w:rFonts w:ascii="Times New Roman" w:hAnsi="Times New Roman"/>
          <w:sz w:val="20"/>
        </w:rPr>
      </w:pPr>
      <w:r>
        <w:rPr>
          <w:rFonts w:ascii="Arial" w:hAnsi="Arial"/>
          <w:color w:val="000000"/>
          <w:sz w:val="20"/>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pStyle w:val="TextBody"/>
        <w:bidi w:val="0"/>
        <w:spacing w:before="240" w:after="283"/>
        <w:jc w:val="both"/>
        <w:rPr>
          <w:rFonts w:ascii="Arial" w:hAnsi="Arial"/>
          <w:color w:val="000000"/>
          <w:sz w:val="20"/>
        </w:rPr>
      </w:pPr>
      <w:r>
        <w:rPr>
          <w:rFonts w:ascii="Arial" w:hAnsi="Arial"/>
          <w:color w:val="000000"/>
          <w:sz w:val="20"/>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early-stage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of third-party manufacturers to comply with regulatory requirements and maintain quality assurance;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breach of the manufacturing agreement by the third-party manufacturers;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specifications;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lack of qualified backup suppliers for those components or materials that are currently purchased from a sole or single source supplier;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schedule or at all;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production difficulties caused by unforeseen events that may delay the availability of one or more of the necessary raw materials or delay the manufacture of bel-sar or any future product candidates for use in clinical trials or for commercial supply;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supply or service disruptions or increased costs that are beyond our control;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misappropriation of our proprietary information, including our trade secrets and know-how;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termination or nonrenewal of the agreement by the third party at a time that is costly or inconvenient for us. </w:t>
      </w:r>
    </w:p>
    <w:p>
      <w:pPr>
        <w:pStyle w:val="TextBody"/>
        <w:bidi w:val="0"/>
        <w:spacing w:before="240" w:after="283"/>
        <w:jc w:val="both"/>
        <w:rPr>
          <w:rFonts w:ascii="Times New Roman" w:hAnsi="Times New Roman"/>
          <w:sz w:val="20"/>
        </w:rPr>
      </w:pPr>
      <w:r>
        <w:rPr>
          <w:rFonts w:ascii="Arial" w:hAnsi="Arial"/>
          <w:color w:val="000000"/>
          <w:sz w:val="20"/>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Commercialization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bel-sar or any future product candidates do not achieve broad market acceptance, the revenue that we generate from their sales may be limited, and we may never become profitable.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efficacy of bel-sar and our VLP technology,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prevalence and severity of adverse events associated with bel-sar and any future product candidates or those products with which they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clinical indications for which bel-sar are approved and the approved claims that we may make for the products;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limitations or warnings contained in the product’s FDA-approved labeling or those of comparable foreign regulatory authorities, including potential limitations or warnings for bel-sar and any future product candidates that may be more restrictive than other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SoC for the targeted indications for bel-sar and any future product candidates, which could reduce the marketing impact of any claims that we could make following FDA approval or approval by comparable foreign regulatory authorities, if obtained;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relative convenience and ease of administration of bel-sar and any future product candidates and any products with which they are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treatment compared with the economic and clinical benefit of alternative treatments or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adequate coverage or reimbursement by third-party payors, including government healthcare programs such as Medicare and Medicaid and other healthcare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price concessions required by third-party payors to obtain coverage;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perception of physicians, patients, third-party payors and others in the medical community of the relative safety, efficacy, convenience, effect on quality of life and cost effectiveness of bel-sar compared to those of other available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patients to pay out-of-pocket in the absence of adequate coverage and reimbursement;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marketing and distribution of bel-sar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safety, efficacy, and other potential advantages over, and availability of, alternative treatments already used or that may later be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bel-sar and any future product candidates or to which we agree as part of a REMS or voluntary risk management plan;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timing of market introduction of bel-sar and any future product candidates, as well as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offer bel-sar and any future product candidates for sale at competitive prices;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the target patient population to try new therapies and of physicians to prescribe these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publicity concerning our bel-sar or competing products and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actions of companies that market any products with which bel-sar and any future product candidates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of other new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adverse publicity about bel-sar and any future product candidates or any products with which they are co-administered, or favorable publicity about competitive products;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product liability claims. </w:t>
      </w:r>
    </w:p>
    <w:p>
      <w:pPr>
        <w:pStyle w:val="TextBody"/>
        <w:bidi w:val="0"/>
        <w:spacing w:before="240" w:after="283"/>
        <w:jc w:val="both"/>
        <w:rPr>
          <w:rFonts w:ascii="Times New Roman" w:hAnsi="Times New Roman"/>
          <w:sz w:val="20"/>
        </w:rPr>
      </w:pPr>
      <w:r>
        <w:rPr>
          <w:rFonts w:ascii="Arial" w:hAnsi="Arial"/>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face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biopharmaceutical industry is characterized by intense competition and rapid innovation. While we are not aware of anyone currently developing a treatment for early-stage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FerGene,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bidi w:val="0"/>
        <w:spacing w:before="240" w:after="283"/>
        <w:jc w:val="both"/>
        <w:rPr>
          <w:rFonts w:ascii="Times New Roman" w:hAnsi="Times New Roman"/>
          <w:sz w:val="20"/>
        </w:rPr>
      </w:pPr>
      <w:r>
        <w:rPr>
          <w:rFonts w:ascii="Arial" w:hAnsi="Arial"/>
          <w:color w:val="000000"/>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2023 titled “Business—Competition.”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2023 titled “Business—Government Regulation—Coverage and Reimbursement.”</w:t>
      </w:r>
    </w:p>
    <w:p>
      <w:pPr>
        <w:pStyle w:val="TextBody"/>
        <w:bidi w:val="0"/>
        <w:spacing w:before="240" w:after="283"/>
        <w:jc w:val="both"/>
        <w:rPr>
          <w:rFonts w:ascii="Times New Roman" w:hAnsi="Times New Roman"/>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incidence and prevalence for target patient populations of bel-sar and any future product candidates has not been established with precision. Bel-sar is a VDC product candidate being developed for the first line treatment of early-stage choroidal melanoma. Our projections of both the number of people who have choroidal melanoma, as well as additional ocular oncology and bladder cancer indications, are based on our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before="80" w:after="283"/>
        <w:jc w:val="both"/>
        <w:rPr>
          <w:rFonts w:ascii="Arial" w:hAnsi="Arial"/>
          <w:color w:val="000000"/>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2023 titled “Business – Government Regulation – Health Care Laws and Regulations.”</w:t>
      </w:r>
    </w:p>
    <w:p>
      <w:pPr>
        <w:pStyle w:val="TextBody"/>
        <w:bidi w:val="0"/>
        <w:spacing w:before="240" w:after="283"/>
        <w:jc w:val="both"/>
        <w:rPr>
          <w:rFonts w:ascii="Times New Roman" w:hAnsi="Times New Roman"/>
          <w:sz w:val="20"/>
        </w:rPr>
      </w:pPr>
      <w:r>
        <w:rPr>
          <w:rFonts w:ascii="Arial" w:hAnsi="Arial"/>
          <w:color w:val="000000"/>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2023 titled “Business—Government Regulation—Health Care Reform &amp; Legislative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demand for our current or future product candidates, if we obtain regulatory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set a price that we believe is fair for our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obtain coverage and reimbursement approval for a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generate revenue and achieve or maintain profitability;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level of taxes that we are required to pay; and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capital. </w:t>
      </w:r>
    </w:p>
    <w:p>
      <w:pPr>
        <w:pStyle w:val="TextBody"/>
        <w:bidi w:val="0"/>
        <w:spacing w:before="240" w:after="283"/>
        <w:jc w:val="both"/>
        <w:rPr>
          <w:rFonts w:ascii="Times New Roman" w:hAnsi="Times New Roman"/>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others may design around our patent claims to produce competitive technologies, products or methods that fall outside of the scope of our patents;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not obtain patent protection in all jurisdictions that may eventually provide us a significant business opportunity;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patents issued to us may be successfully challenged by third parties. </w:t>
      </w:r>
    </w:p>
    <w:p>
      <w:pPr>
        <w:pStyle w:val="TextBody"/>
        <w:bidi w:val="0"/>
        <w:spacing w:before="240" w:after="283"/>
        <w:jc w:val="both"/>
        <w:rPr>
          <w:rFonts w:ascii="Times New Roman" w:hAnsi="Times New Roman"/>
          <w:sz w:val="20"/>
        </w:rPr>
      </w:pPr>
      <w:r>
        <w:rPr>
          <w:rFonts w:ascii="Arial" w:hAnsi="Arial"/>
          <w:color w:val="000000"/>
          <w:sz w:val="20"/>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Disputes may also arise between us and our licensors regarding intellectual property subject to a license agreement,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of rights granted and related obligations under the license agreement and other interpretation-related issues;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licensor’s right to license or sublicense patent and other rights to us, and whether and the extent to which the right is retained by a third party;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whether and the extent to which our technology infringes on intellectual property of the licensor that is not subject to the licensing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right to sublicense patent and other rights to third parties under collaborative development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diligence obligations with respect to the use of the licensed technology in relation to our development and commercialization of bel-sar or any future product candidates, and what activities satisfy those diligence obligations;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ownership of inventions and know-how resulting from the joint creation or use of intellectual property by our licensors and us.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283"/>
        <w:jc w:val="both"/>
        <w:rPr>
          <w:rFonts w:ascii="Times New Roman" w:hAnsi="Times New Roman"/>
          <w:sz w:val="20"/>
        </w:rPr>
      </w:pPr>
      <w:r>
        <w:rPr>
          <w:rFonts w:ascii="Arial" w:hAnsi="Arial"/>
          <w:b/>
          <w:i/>
          <w:color w:val="000000"/>
          <w:sz w:val="20"/>
        </w:rPr>
        <w:t>Patents and patent applications involve highly complex legal and factual questions, which, if determined adversely to us, could negatively impact our patent position.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hAnsi="Arial"/>
          <w:i/>
          <w:color w:val="000000"/>
          <w:sz w:val="20"/>
        </w:rPr>
        <w:t xml:space="preserve">inter partes </w:t>
      </w:r>
      <w:r>
        <w:rPr>
          <w:rFonts w:ascii="Arial" w:hAnsi="Arial"/>
          <w:color w:val="000000"/>
          <w:sz w:val="20"/>
        </w:rPr>
        <w:t>review and opposition proceedings may be costly. Accordingly, rights under any issued patents may not provide us with sufficient protection against competitive products or processes.</w:t>
      </w:r>
    </w:p>
    <w:p>
      <w:pPr>
        <w:pStyle w:val="TextBody"/>
        <w:bidi w:val="0"/>
        <w:spacing w:before="240" w:after="283"/>
        <w:jc w:val="both"/>
        <w:rPr>
          <w:rFonts w:ascii="Times New Roman" w:hAnsi="Times New Roman"/>
          <w:sz w:val="20"/>
        </w:rPr>
      </w:pPr>
      <w:r>
        <w:rPr>
          <w:rFonts w:ascii="Arial" w:hAnsi="Arial"/>
          <w:color w:val="000000"/>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pStyle w:val="TextBody"/>
        <w:bidi w:val="0"/>
        <w:spacing w:before="240" w:after="283"/>
        <w:jc w:val="both"/>
        <w:rPr>
          <w:rFonts w:ascii="Times New Roman" w:hAnsi="Times New Roman"/>
          <w:sz w:val="20"/>
        </w:rPr>
      </w:pPr>
      <w:r>
        <w:rPr>
          <w:rFonts w:ascii="Arial" w:hAnsi="Arial"/>
          <w:color w:val="000000"/>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our licensors are unable to protect the confidentiality of the proprietary information related to our product or process, our business and competitive position would be harmed.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hAnsi="Arial"/>
          <w:color w:val="000000"/>
          <w:sz w:val="13"/>
        </w:rPr>
        <w:t xml:space="preserve">® </w:t>
      </w:r>
      <w:r>
        <w:rPr>
          <w:rFonts w:ascii="Arial" w:hAnsi="Arial"/>
          <w:color w:val="000000"/>
          <w:sz w:val="20"/>
        </w:rPr>
        <w:t>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tax laws or in their implementation or interpretation may adversely affect us or our investors.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w:t>
      </w:r>
    </w:p>
    <w:p>
      <w:pPr>
        <w:pStyle w:val="TextBody"/>
        <w:bidi w:val="0"/>
        <w:spacing w:before="240" w:after="283"/>
        <w:jc w:val="both"/>
        <w:rPr>
          <w:rFonts w:ascii="Times New Roman" w:hAnsi="Times New Roman"/>
          <w:sz w:val="20"/>
        </w:rPr>
      </w:pPr>
      <w:r>
        <w:rPr>
          <w:rFonts w:ascii="Arial" w:hAnsi="Arial"/>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pStyle w:val="TextBody"/>
        <w:bidi w:val="0"/>
        <w:spacing w:before="80" w:after="283"/>
        <w:jc w:val="both"/>
        <w:rPr>
          <w:rFonts w:ascii="Times New Roman" w:hAnsi="Times New Roman"/>
          <w:sz w:val="20"/>
        </w:rPr>
      </w:pPr>
      <w:r>
        <w:rPr>
          <w:rFonts w:ascii="Arial" w:hAnsi="Arial"/>
          <w:color w:val="000000"/>
          <w:sz w:val="20"/>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CCPA, which went into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Although there are limited exemptions for protected health information covered under HIPAA and clinical trial data, the CCPA may increase our compliance costs and potential liability. The CCPA was expanded on January 1, 2023, when the California Privacy Rights Act of 2020, or CPRA, became operative. The amendments introduced by the CPRA expanded the scope of the CCPA in a number of ways, including by providing California residents the ability to limit use of certain sensitive information, establishing restrictions on the retention of personal data, expanding the types of data breaches subject to the CCPA’s private right of action and establishing a California Privacy Protection Agency to implement and enforce the legislation.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passed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pStyle w:val="TextBody"/>
        <w:bidi w:val="0"/>
        <w:spacing w:before="240" w:after="283"/>
        <w:jc w:val="both"/>
        <w:rPr>
          <w:rFonts w:ascii="Arial" w:hAnsi="Arial"/>
          <w:color w:val="000000"/>
          <w:sz w:val="20"/>
        </w:rPr>
      </w:pPr>
      <w:r>
        <w:rPr>
          <w:rFonts w:ascii="Arial" w:hAnsi="Arial"/>
          <w:color w:val="000000"/>
          <w:sz w:val="20"/>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240" w:after="283"/>
        <w:jc w:val="both"/>
        <w:rPr>
          <w:rFonts w:ascii="Times New Roman" w:hAnsi="Times New Roman"/>
          <w:sz w:val="20"/>
        </w:rPr>
      </w:pPr>
      <w:r>
        <w:rPr>
          <w:rFonts w:ascii="Arial" w:hAnsi="Arial"/>
          <w:color w:val="000000"/>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80" w:after="283"/>
        <w:jc w:val="both"/>
        <w:rPr>
          <w:rFonts w:ascii="Arial" w:hAnsi="Arial"/>
          <w:color w:val="000000"/>
          <w:sz w:val="20"/>
        </w:rPr>
      </w:pPr>
      <w:r>
        <w:rPr>
          <w:rFonts w:ascii="Arial" w:hAnsi="Arial"/>
          <w:color w:val="000000"/>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assumption of indebtedness or contingent liabilities;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assimilation of operations, intellectual property, products and product candidates of an acquired company, including difficulties associated with integrating new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spend substantial operational, financial and management resources in integrating new businesses, technologies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Product liability lawsuits against us could cause us to incur substantial liabilities and could limit commercialization of any current or future product candidates that we may develop.</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decreased demand for any current or future product candidates that we may develop;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injury to our reputation and significant negative media attention;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significant costs to defend the related litigation;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diversion of management’s time and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revenue;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decline in our stock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inability to commercialize any current or future product candidates that we may develop. </w:t>
      </w:r>
    </w:p>
    <w:p>
      <w:pPr>
        <w:pStyle w:val="TextBody"/>
        <w:bidi w:val="0"/>
        <w:spacing w:before="240" w:after="283"/>
        <w:jc w:val="both"/>
        <w:rPr>
          <w:rFonts w:ascii="Times New Roman" w:hAnsi="Times New Roman"/>
          <w:sz w:val="20"/>
        </w:rPr>
      </w:pPr>
      <w:r>
        <w:rPr>
          <w:rFonts w:ascii="Arial" w:hAnsi="Arial"/>
          <w:color w:val="000000"/>
          <w:sz w:val="20"/>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Related to Our Common Stock</w:t>
      </w:r>
    </w:p>
    <w:p>
      <w:pPr>
        <w:pStyle w:val="TextBody"/>
        <w:bidi w:val="0"/>
        <w:spacing w:before="80" w:after="283"/>
        <w:jc w:val="both"/>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principal stockholders and management own a significant percentage of our stock and will be able to exert significant influence over matters subject to stockholder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Based on the beneficial ownership of our common stock as of September 30, 2024, our executive officers, directors, holders of 5% or more of our capital stock and their respective affiliates beneficially owned approximately 51.0%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2023, we had federal gross operating loss carryforwards of approximately $174.4 million, state gross operating loss carryforwards of $148.5 million, and foreign gross operating loss carryforwards of $0.1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pStyle w:val="TextBody"/>
        <w:bidi w:val="0"/>
        <w:spacing w:before="240" w:after="283"/>
        <w:jc w:val="both"/>
        <w:rPr>
          <w:rFonts w:ascii="Arial" w:hAnsi="Arial"/>
          <w:b/>
          <w:i/>
          <w:color w:val="000000"/>
          <w:sz w:val="20"/>
        </w:rPr>
      </w:pPr>
      <w:r>
        <w:rPr>
          <w:rFonts w:ascii="Arial" w:hAnsi="Arial"/>
          <w:b/>
          <w:i/>
          <w:color w:val="000000"/>
          <w:sz w:val="20"/>
        </w:rPr>
        <w:t>Because we do not anticipate paying any cash dividends on our capital stock in the foreseeable future, capital appreciation, if any, will be your sole source of gain.</w:t>
      </w:r>
    </w:p>
    <w:p>
      <w:pPr>
        <w:pStyle w:val="TextBody"/>
        <w:bidi w:val="0"/>
        <w:spacing w:before="80" w:after="283"/>
        <w:jc w:val="both"/>
        <w:rPr>
          <w:rFonts w:ascii="Times New Roman" w:hAnsi="Times New Roman"/>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our operating results to be subject to quarterly fluctuations. Our net loss and other operating results will be affected by numerous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variations in the level of expense related to the ongoing development of bel-sar or future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clinical trials, or the addition or termination of clinical trials or funding support by us, or existing or future collaborators or licensing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intellectual property infringement lawsuit or opposition, interference or cancellation proceeding in which we may become involved;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additions and departures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strategic decisions by us or our competitors, such as acquisitions, divestitures, spin-offs, joint ventures, strategic investments or changes in business strategy;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any of our product candidates receives regulatory approval, the terms of such approval and market acceptance and demand for such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developments affecting our product candidates or those of our competitors;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general market and economic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Board divided into three classes serving staggered three-year terms, such that not all members of the Board will be elected at one time;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prohibition on stockholder action through written consent, which requires that all stockholder actions be taken at a meeting of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advance notice requirements for stockholder proposals and nominations for election to our Board;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pStyle w:val="TextBody"/>
        <w:bidi w:val="0"/>
        <w:spacing w:before="240" w:after="283"/>
        <w:jc w:val="both"/>
        <w:rPr>
          <w:rFonts w:ascii="Arial" w:hAnsi="Arial"/>
          <w:b/>
          <w:i/>
          <w:color w:val="000000"/>
          <w:sz w:val="20"/>
        </w:rPr>
      </w:pPr>
      <w:r>
        <w:rPr>
          <w:rFonts w:ascii="Arial" w:hAnsi="Arial"/>
          <w:b/>
          <w:i/>
          <w:color w:val="000000"/>
          <w:sz w:val="20"/>
        </w:rPr>
        <w:t>Future sales and issuances of our common stock or rights to acquire shares of our common stock, could result in additional dilution to the ownership of our stockholders and cause the market price of our common stock to decline significantly.</w:t>
      </w:r>
    </w:p>
    <w:p>
      <w:pPr>
        <w:pStyle w:val="TextBody"/>
        <w:bidi w:val="0"/>
        <w:spacing w:before="80" w:after="283"/>
        <w:jc w:val="both"/>
        <w:rPr>
          <w:rFonts w:ascii="Arial" w:hAnsi="Arial"/>
          <w:color w:val="000000"/>
          <w:sz w:val="20"/>
        </w:rPr>
      </w:pPr>
      <w:r>
        <w:rPr>
          <w:rFonts w:ascii="Arial" w:hAnsi="Arial"/>
          <w:color w:val="000000"/>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September 30, 2024, we have 49,778,861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jc w:val="both"/>
        <w:rPr>
          <w:rFonts w:ascii="Arial" w:hAnsi="Arial"/>
          <w:color w:val="000000"/>
          <w:sz w:val="20"/>
        </w:rPr>
      </w:pPr>
      <w:r>
        <w:rPr>
          <w:rFonts w:ascii="Arial" w:hAnsi="Arial"/>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delayed access to deposits or other financial assets or the uninsured loss of deposits or other financial assets;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access to revolving existing credit facilities or other working capital sources and/or the inability to refund, roll over or extend the maturity of, or enter into new credit facilities or other working capital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contractual obligations that require us to maintain letters of credit or other credit support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financial covenants in our credit agreements or credit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cross-defaults in other credit agreements, credit arrangements or operating or financing agreements; 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Unfavorable global economic or political conditions could adversely affect our business, financial condition or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which began in 2020, caused significant volatility and uncertainty in the U.S. and international markets. 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employees, independent contractors, consultants, academic collaborators, partners and vendors may engage in misconduct or other improper activities, including noncompliance with regulatory standards and requirements.</w:t>
      </w:r>
    </w:p>
    <w:p>
      <w:pPr>
        <w:pStyle w:val="TextBody"/>
        <w:bidi w:val="0"/>
        <w:spacing w:before="80" w:after="283"/>
        <w:jc w:val="both"/>
        <w:rPr>
          <w:rFonts w:ascii="Times New Roman" w:hAnsi="Times New Roman"/>
          <w:sz w:val="20"/>
        </w:rPr>
      </w:pPr>
      <w:r>
        <w:rPr>
          <w:rFonts w:ascii="Arial" w:hAnsi="Arial"/>
          <w:color w:val="000000"/>
          <w:sz w:val="20"/>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preclinical studies and results or enrollment of clinical trials of bel-sar or our future product candidates, or those of our potential future competitors or our existing or future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or legal developments in the United States and other countries, especially changes in laws or regulations applicable to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future competitive products or technologies;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actions taken by regulatory agencies with respect to our products, clinical trials, manufacturing process or sales and marketing terms;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our efforts to acquire or in-license additional technologies, products or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announcements by us or our competitors of significant acquisitions, strategic collaborations, joint ventures or capital commitments;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or disputes concerning patents or other proprietary rights, including patents, litigation matters and our ability to obtain patent protection for bel-sar or our future product candidates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or inability to raise additional capital and the terms on which we raise it;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failure or the failure of our competitors to meet analysts’ projections or guidance that we or our competitors may give to the market;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fluctuations in the valuation of companies perceived by investors to be comparable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 and expectation of additional financing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speculation in the press or investment community;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trading volume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sales of our common stock by us 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concentrated ownership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accounting principles;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natural disasters, pandemics and other calamities;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acts of war or periods of widespread civil unrest, including the increasingly volatile global economic conditions resulting from the Russia-Ukraine conflict and the conflict in the Middle East;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general economic, industry, and market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incurred and will continue to incur increased costs as a result of operating as a public company, and our management devotes substantial time to compliance initiatives.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both"/>
        <w:rPr>
          <w:rFonts w:ascii="Arial" w:hAnsi="Arial"/>
          <w:b/>
          <w:i/>
          <w:color w:val="000000"/>
          <w:sz w:val="20"/>
        </w:rPr>
      </w:pPr>
      <w:r>
        <w:rPr>
          <w:rFonts w:ascii="Arial" w:hAnsi="Arial"/>
          <w:b/>
          <w:i/>
          <w:color w:val="000000"/>
          <w:sz w:val="20"/>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pStyle w:val="TextBody"/>
        <w:bidi w:val="0"/>
        <w:spacing w:before="80" w:after="283"/>
        <w:jc w:val="both"/>
        <w:rPr>
          <w:rFonts w:ascii="Arial" w:hAnsi="Arial"/>
          <w:color w:val="000000"/>
          <w:sz w:val="20"/>
        </w:rPr>
      </w:pPr>
      <w:r>
        <w:rPr>
          <w:rFonts w:ascii="Arial" w:hAnsi="Arial"/>
          <w:color w:val="000000"/>
          <w:sz w:val="20"/>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the conflict in the Middle East and the 2024 presidential election in the United States,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Arial" w:hAnsi="Arial"/>
          <w:b/>
          <w:color w:val="000000"/>
          <w:sz w:val="20"/>
        </w:rPr>
      </w:pPr>
      <w:bookmarkStart w:id="16" w:name="item_2_unregistered_sales"/>
      <w:bookmarkEnd w:id="16"/>
      <w:r>
        <w:rPr>
          <w:rFonts w:ascii="Arial" w:hAnsi="Arial"/>
          <w:b/>
          <w:color w:val="000000"/>
          <w:sz w:val="20"/>
        </w:rPr>
        <w:t>Item 2. Unregistered Sales of Equity Securities and Use of Proceeds.</w:t>
      </w:r>
    </w:p>
    <w:p>
      <w:pPr>
        <w:pStyle w:val="TextBody"/>
        <w:bidi w:val="0"/>
        <w:spacing w:before="80" w:after="283"/>
        <w:jc w:val="both"/>
        <w:rPr>
          <w:rFonts w:ascii="Arial" w:hAnsi="Arial"/>
          <w:b/>
          <w:color w:val="000000"/>
          <w:sz w:val="20"/>
        </w:rPr>
      </w:pPr>
      <w:r>
        <w:rPr>
          <w:rFonts w:ascii="Arial" w:hAnsi="Arial"/>
          <w:b/>
          <w:color w:val="000000"/>
          <w:sz w:val="20"/>
        </w:rPr>
        <w:t>(a) Recent Sales of Unregistered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(b) Use of Proceeds from the Initial Public Offering of Common Stock</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(c) Issuer Purchases of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_5_other_information"/>
      <w:bookmarkEnd w:id="19"/>
      <w:r>
        <w:rPr>
          <w:rFonts w:ascii="Arial" w:hAnsi="Arial"/>
          <w:b/>
          <w:color w:val="000000"/>
          <w:sz w:val="20"/>
        </w:rPr>
        <w:t>Item 5. Other Information.</w:t>
      </w:r>
    </w:p>
    <w:p>
      <w:pPr>
        <w:pStyle w:val="TextBody"/>
        <w:bidi w:val="0"/>
        <w:spacing w:before="80" w:after="283"/>
        <w:jc w:val="left"/>
        <w:rPr>
          <w:rFonts w:ascii="Arial" w:hAnsi="Arial"/>
          <w:b/>
          <w:color w:val="000000"/>
          <w:sz w:val="20"/>
        </w:rPr>
      </w:pPr>
      <w:r>
        <w:rPr>
          <w:rFonts w:ascii="Arial" w:hAnsi="Arial"/>
          <w:b/>
          <w:color w:val="000000"/>
          <w:sz w:val="20"/>
        </w:rPr>
        <w:t>(a) Executive Severance Plan</w:t>
      </w:r>
    </w:p>
    <w:p>
      <w:pPr>
        <w:pStyle w:val="TextBody"/>
        <w:bidi w:val="0"/>
        <w:spacing w:before="80" w:after="283"/>
        <w:jc w:val="both"/>
        <w:rPr>
          <w:rFonts w:ascii="Arial" w:hAnsi="Arial"/>
          <w:color w:val="000000"/>
          <w:sz w:val="20"/>
        </w:rPr>
      </w:pPr>
      <w:r>
        <w:rPr>
          <w:rFonts w:ascii="Arial" w:hAnsi="Arial"/>
          <w:color w:val="000000"/>
          <w:sz w:val="20"/>
        </w:rPr>
        <w:t>On November 10, 2024, the Compensation Committee (the “Committee”) of our Board adopted an Executive Severance Plan for participating executives (the “Plan”). The Plan provides for severance payments and benefits to eligible executives (each, a “Covered Executive”) in the event that we terminate the employment of a Covered Executive without Cause (as defined in the Plan) or if a Covered Executive resigns with Good Reason (as defined in the Plan) (such termination or resignation, a “Qualifying Termination”). Upon acceptance of participation in the Plan, the severance payments and benefits under the Plan shall supersede and replace any severance benefits under any individual employment agreement or offer letter previously entered into between us and a Covered Executive. At the time of the Plan’s adoption, it was anticipated that the Covered Executives would initially be comprised of Elisabet de los Pinos, Ph.D., our Chief Executive Officer, J. Jill Hopkins, M.D., our Chief Medical Officer and President of R&amp;D, Conor Kilroy, our General Counsel and Secretary, and Mark Plavsic, Ph.D., our Chief Technology Officer.</w:t>
      </w:r>
    </w:p>
    <w:p>
      <w:pPr>
        <w:pStyle w:val="TextBody"/>
        <w:bidi w:val="0"/>
        <w:spacing w:before="240" w:after="283"/>
        <w:jc w:val="both"/>
        <w:rPr>
          <w:rFonts w:ascii="Arial" w:hAnsi="Arial"/>
          <w:color w:val="000000"/>
          <w:sz w:val="20"/>
        </w:rPr>
      </w:pPr>
      <w:r>
        <w:rPr>
          <w:rFonts w:ascii="Arial" w:hAnsi="Arial"/>
          <w:color w:val="000000"/>
          <w:sz w:val="20"/>
        </w:rPr>
        <w:t>Under the terms of the Plan, upon a Qualifying Termination outside of the Change of Control Period (defined as the period beginning three months prior and ending 12 months following a Change of Control (as defined in the Plan)), a Covered Executive will be entitled to receive severance pay in the form of: (i) continuation of the Covered Executive’s Base Salary (as defined in the Plan) for nine months (12 months in the case of Dr. de los Pinos), and (ii) payment to the group health plan provider or the Consolidated Omnibus Budget Reconciliation Act (“COBRA”) provider of the employer cost of the COBRA premiums at the time of the Qualifying Termination applicable to the Covered Executive and his or her eligible dependents for a period of up to nine months (up to 12 months in the case of Dr. de los Pinos).</w:t>
      </w:r>
    </w:p>
    <w:p>
      <w:pPr>
        <w:pStyle w:val="TextBody"/>
        <w:bidi w:val="0"/>
        <w:spacing w:before="240" w:after="283"/>
        <w:jc w:val="both"/>
        <w:rPr>
          <w:rFonts w:ascii="Arial" w:hAnsi="Arial"/>
          <w:color w:val="000000"/>
          <w:sz w:val="20"/>
        </w:rPr>
      </w:pPr>
      <w:r>
        <w:rPr>
          <w:rFonts w:ascii="Arial" w:hAnsi="Arial"/>
          <w:color w:val="000000"/>
          <w:sz w:val="20"/>
        </w:rPr>
        <w:t>Upon a Qualifying Termination within the Change in Control Period, a Covered Executive will be entitled to receive severance pay in the form of: (i) a lump sum cash payment equivalent to 12 months (18 months in the case of Dr. de los Pinos) of the Covered Executive’s Base Salary, (ii) a lump sum cash payment equivalent to one times (one and one-half times in the case of Dr. de los Pinos) the Covered Executive’s Target Bonus (as defined in the Plan) plus the Covered Executive’s Target Bonus pro-rated for the number of days of service during the year in which the Qualifying Termination occurs, (iii) payment to the group health plan provider or the COBRA provider of the employer cost of the COBRA premiums at the time of the Qualifying Termination applicable to the Covered Executive and his or her eligible dependents for a period of up to 12 months (18 months in the case of Dr. de los Pinos), and (iii) to cause equity awards with time-based vesting held by the Covered Executive to immediately become fully vested, exercisable or nonforfeitable. For equity awards held by a Covered Executive as of November 10, 2024, the effective date of the Plan, such awards shall immediately become fully vested, exercisable or nonforfeitable upon a Change of Control.</w:t>
      </w:r>
    </w:p>
    <w:p>
      <w:pPr>
        <w:pStyle w:val="TextBody"/>
        <w:bidi w:val="0"/>
        <w:spacing w:before="240" w:after="283"/>
        <w:jc w:val="both"/>
        <w:rPr>
          <w:rFonts w:ascii="Times New Roman" w:hAnsi="Times New Roman"/>
          <w:sz w:val="20"/>
        </w:rPr>
      </w:pPr>
      <w:r>
        <w:rPr>
          <w:rFonts w:ascii="Arial" w:hAnsi="Arial"/>
          <w:color w:val="000000"/>
          <w:sz w:val="20"/>
        </w:rPr>
        <w:t>As described more fully in the Plan, in order to receive the foregoing benefits, a Covered Executive must execute a separation agreement and general release of claims in our favor and affirm his or her continuing obligations towards us, including his or her ongoing restrictive covenants.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foregoing description of the Plan does not purport to be complete and is qualified in its entirety by reference to the complete text of the Plan, a copy of which is filed herewith as Exhibit 10.3 and incorporated herein by reference.</w:t>
      </w:r>
    </w:p>
    <w:p>
      <w:pPr>
        <w:pStyle w:val="TextBody"/>
        <w:bidi w:val="0"/>
        <w:spacing w:before="80" w:after="283"/>
        <w:jc w:val="both"/>
        <w:rPr>
          <w:rFonts w:ascii="Times New Roman" w:hAnsi="Times New Roman"/>
          <w:sz w:val="20"/>
        </w:rPr>
      </w:pPr>
      <w:r>
        <w:rPr>
          <w:rFonts w:ascii="Arial" w:hAnsi="Arial"/>
          <w:b/>
          <w:color w:val="000000"/>
          <w:sz w:val="20"/>
        </w:rPr>
        <w:t>(c) Insider Trading Arrangements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None of our directors or officers, as defined in Rule 16a-1(f) under the Securities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as defined in Item 408(c) of Regulation S-K, during the quarter ended September 30, 2024.</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Tenth Amended and Restated Certificate of Incorporation of the Registrant, as currently in effect, as amended by the Certificate of Amendment, dated June 20, 2024 (incorporated by reference to Exhibit 3.1 of the Registrant’s Quarterly Report on Form 10-Q (File No. 001-40971) filed on August 8, 2024).</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of the Registrant, as currently in effect (incorporated by reference to Exhibit 3.2 of the Registrant’s Annual Report on Form 10-K (File No. 001-40971) filed on March 23, 2022).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Fifth Amended and Restated Investors’ Rights Agreement (incorporated by reference to Exhibit 4.2 to the Registrant’s Registration Statement on Form S-1, as amended (File No. 333-260156) filed on October 8, 2021)</w:t>
              </w:r>
            </w:hyperlink>
            <w:r>
              <w:rPr>
                <w:rFonts w:ascii="Arial" w:hAnsi="Arial"/>
                <w:color w:val="000000"/>
                <w:sz w:val="20"/>
              </w:rPr>
              <w: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1.htm">
              <w:r>
                <w:rPr>
                  <w:rStyle w:val="InternetLink"/>
                  <w:rFonts w:ascii="Arial" w:hAnsi="Arial"/>
                  <w:color w:val="0000FF"/>
                  <w:sz w:val="20"/>
                  <w:u w:val="single"/>
                </w:rPr>
                <w:t>Transition and Release Agreement, dated September 25, 2024, by and between Julie Feder and the Registrant.</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2.htm">
              <w:r>
                <w:rPr>
                  <w:rStyle w:val="InternetLink"/>
                  <w:rFonts w:ascii="Arial" w:hAnsi="Arial"/>
                  <w:color w:val="0000FF"/>
                  <w:sz w:val="20"/>
                  <w:u w:val="single"/>
                </w:rPr>
                <w:t>Resignation and Consulting Agreement, dated September 25, 2024, by and between Julie Feder and the Registrant.</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3.htm">
              <w:r>
                <w:rPr>
                  <w:rStyle w:val="InternetLink"/>
                  <w:rFonts w:ascii="Arial" w:hAnsi="Arial"/>
                  <w:color w:val="0000FF"/>
                  <w:sz w:val="20"/>
                  <w:u w:val="single"/>
                </w:rPr>
                <w:t>Executive Severance Plan, and form of participation agreement thereunder.</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2.htm">
              <w:r>
                <w:rPr>
                  <w:rStyle w:val="InternetLink"/>
                  <w:rFonts w:ascii="Arial" w:hAnsi="Arial"/>
                  <w:color w:val="0000FF"/>
                  <w:sz w:val="20"/>
                  <w:u w:val="single"/>
                </w:rPr>
                <w:t>Certification of Interim Principal Financial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2_1.htm">
              <w:r>
                <w:rPr>
                  <w:rStyle w:val="InternetLink"/>
                  <w:rFonts w:ascii="Arial" w:hAnsi="Arial"/>
                  <w:color w:val="0000FF"/>
                  <w:sz w:val="20"/>
                  <w:u w:val="single"/>
                </w:rPr>
                <w:t>Certification of Principal Executive Officer and Interim Principal Financial Officer Pursuant to 18 U.S.C. Section 1350, as Adopted Pursuant to Section 906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Indicates a management contract or any compensatory plan, contract or arrangement.</w:t>
      </w:r>
    </w:p>
    <w:p>
      <w:pPr>
        <w:pStyle w:val="TextBody"/>
        <w:bidi w:val="0"/>
        <w:spacing w:before="60" w:after="283"/>
        <w:jc w:val="both"/>
        <w:rPr>
          <w:rFonts w:ascii="Arial" w:hAnsi="Arial"/>
          <w:color w:val="000000"/>
          <w:sz w:val="20"/>
        </w:rPr>
      </w:pPr>
      <w:r>
        <w:rPr>
          <w:rFonts w:ascii="Arial" w:hAnsi="Arial"/>
          <w:color w:val="000000"/>
          <w:sz w:val="20"/>
        </w:rPr>
        <w:t># These certifications are furnished to the SEC pursuant to Section 906 of the Sarbanes-Oxley Act of 2002 and are deemed not filed for purposes of Section 18 of the Exchange Act nor shall they be deemed incorporated by reference in any filing under the Securities Act, except as shall be expressly set forth by specific reference in such filing.</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2341"/>
        <w:gridCol w:w="146"/>
        <w:gridCol w:w="406"/>
        <w:gridCol w:w="730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30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Aura Biosciences, Inc.</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3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Elisabet de los Pinos</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Elisabet de los Pinos</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President and Chief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Amy Elazzouzi</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Amy Elazzouzi</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Vice President, Finance</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20"/>
              </w:rPr>
              <w:t>(Interim Principal Financial Officer and Interim 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2" w:name="aura-ex10_1.htm"/>
      <w:bookmarkStart w:id="23" w:name="ksauraex10_1"/>
      <w:bookmarkEnd w:id="22"/>
      <w:bookmarkEnd w:id="23"/>
      <w:r>
        <w:rPr>
          <w:rFonts w:ascii="Times New Roman" w:hAnsi="Times New Roman"/>
          <w:b/>
          <w:color w:val="000000"/>
          <w:sz w:val="22"/>
        </w:rPr>
        <w:t>Exhibit 10.1</w:t>
      </w:r>
      <w:r>
        <w:br w:type="page"/>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September 25, 2024</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PERSONAL AND CONFIDENTIAL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Julie Feder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Re: </w:t>
      </w:r>
      <w:r>
        <w:rPr>
          <w:rFonts w:ascii="Times New Roman" w:hAnsi="Times New Roman"/>
          <w:color w:val="000000"/>
          <w:sz w:val="22"/>
          <w:u w:val="single"/>
        </w:rPr>
        <w:t>Transition and Release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Ms. Feder:</w:t>
      </w:r>
    </w:p>
    <w:p>
      <w:pPr>
        <w:pStyle w:val="TextBody"/>
        <w:bidi w:val="0"/>
        <w:spacing w:before="0" w:after="240"/>
        <w:jc w:val="left"/>
        <w:rPr>
          <w:rFonts w:ascii="Times New Roman" w:hAnsi="Times New Roman"/>
          <w:sz w:val="20"/>
        </w:rPr>
      </w:pPr>
      <w:r>
        <w:rPr>
          <w:rFonts w:ascii="Times New Roman" w:hAnsi="Times New Roman"/>
          <w:color w:val="000000"/>
          <w:sz w:val="22"/>
        </w:rPr>
        <w:t>This letter confirms your resignation from employment with Aura Biosciences,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effective October 25, 2024. As you know, your employment relationship with the Company is governed by your offer letter with the Company dated August 10, 2018 (the “</w:t>
      </w:r>
      <w:r>
        <w:rPr>
          <w:rFonts w:ascii="Times New Roman" w:hAnsi="Times New Roman"/>
          <w:color w:val="000000"/>
          <w:sz w:val="22"/>
          <w:u w:val="single"/>
        </w:rPr>
        <w:t>Offer Letter</w:t>
      </w:r>
      <w:r>
        <w:rPr>
          <w:rFonts w:ascii="Times New Roman" w:hAnsi="Times New Roman"/>
          <w:color w:val="000000"/>
          <w:sz w:val="20"/>
        </w:rPr>
        <w:t>”</w:t>
      </w:r>
      <w:r>
        <w:rPr>
          <w:rFonts w:ascii="Times New Roman" w:hAnsi="Times New Roman"/>
          <w:color w:val="000000"/>
          <w:sz w:val="22"/>
        </w:rPr>
        <w:t>). As specified in Section 12 of the Offer Letter, you have been employed “at-will,” meaning that you or the Company could end the employment relationship at any time and for any reason, subject to the terms of the Offer Letter.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As set forth in Section 11 of the Offer Letter, you are eligible to receive severance benefits in connection with a termination by the Company without Cause (as defined in the Offer Letter) if you enter into, do not revoke and comply with a Release (as defined in the Offer Letter). Although you have voluntarily resigned from your employment with the Company, if you enter into the Release Agreement below, the Company will provide you with the opportunity to remain an at- will employee of the Company during a transition period and then subsequently receive the severance benefits outlined in this letter.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those understandings and regardless of whether you enter into the Release Agreement, the following bulleted terms and conditions apply in connection with the ending of your employment: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shall pay you salary, any accrued but unused vacation, and unpaid and properly documented business expenses accrued to you through the last day of your employment.</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2"/>
        </w:rPr>
        <w:t>Your eligibility to participate in the Company’s group health plans as an active employee will end in accordance with the terms and conditions of the health plans on October 31, 2024. The Company shall provide you with the opportunity to continue group health coverage at your own expense under the law known as “</w:t>
      </w:r>
      <w:r>
        <w:rPr>
          <w:rFonts w:ascii="Times New Roman" w:hAnsi="Times New Roman"/>
          <w:color w:val="000000"/>
          <w:sz w:val="22"/>
          <w:u w:val="single"/>
        </w:rPr>
        <w:t>COBRA</w:t>
      </w:r>
      <w:r>
        <w:rPr>
          <w:color w:val="000000"/>
        </w:rPr>
        <w:t>”</w:t>
      </w:r>
      <w:r>
        <w:rPr>
          <w:rFonts w:ascii="Times New Roman" w:hAnsi="Times New Roman"/>
          <w:color w:val="000000"/>
          <w:sz w:val="22"/>
        </w:rPr>
        <w:t>, subject to your COBRA eligibility as applicable. You will be notified by separate memoranda of your rights under COBRA. The COBRA benefits offered by the Company to you will include health insurance, dental insurance and vision insurance at the same level as currently offered to employees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Your eligibility to participate in the Company’s other employee benefit plans and programs will cease in accordance with the terms and conditions of each of those benefit plans and programs. Your rights to benefits, if any, are governed by the terms and conditions of those benefit plans and programs.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connection with the ending of your employment, you hereby (i) resign from your status as an employee, officer or other positions you occupy at the Company and resign from your status as an employee, officer, director or other positions you occupy at any subsidiary of the Company, in each case, effective as of the last day of your employment and (ii) agree to execute such documentation as the Company reasonably requires to effectuate such resignations.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2"/>
        </w:rPr>
        <w:t>You are subject to continuing obligations under (i) your Confidential Information, Non-Solicitation and Invention Assignment Agreement (the “</w:t>
      </w:r>
      <w:r>
        <w:rPr>
          <w:rFonts w:ascii="Times New Roman" w:hAnsi="Times New Roman"/>
          <w:color w:val="000000"/>
          <w:sz w:val="22"/>
          <w:u w:val="single"/>
        </w:rPr>
        <w:t>Restrictive Covenants Agreement</w:t>
      </w:r>
      <w:r>
        <w:rPr>
          <w:color w:val="000000"/>
        </w:rPr>
        <w:t>”</w:t>
      </w:r>
      <w:r>
        <w:rPr>
          <w:rFonts w:ascii="Times New Roman" w:hAnsi="Times New Roman"/>
          <w:color w:val="000000"/>
          <w:sz w:val="22"/>
        </w:rPr>
        <w:t xml:space="preserve">), (ii) Sections 10 (Non-disparagement) of the Offer Letter, (iii) the Resignation and Consulting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Agreement, which the Company provided to you on September 25, 2024 (the “</w:t>
      </w:r>
      <w:r>
        <w:rPr>
          <w:rFonts w:ascii="Times New Roman" w:hAnsi="Times New Roman"/>
          <w:color w:val="000000"/>
          <w:sz w:val="22"/>
          <w:u w:val="single"/>
        </w:rPr>
        <w:t>Consulting Agreement</w:t>
      </w:r>
      <w:r>
        <w:rPr>
          <w:color w:val="000000"/>
        </w:rPr>
        <w:t>”</w:t>
      </w:r>
      <w:r>
        <w:rPr>
          <w:rFonts w:ascii="Times New Roman" w:hAnsi="Times New Roman"/>
          <w:color w:val="000000"/>
          <w:sz w:val="22"/>
        </w:rPr>
        <w:t>), and (iv) this Release Agreement (collectively, the “</w:t>
      </w:r>
      <w:r>
        <w:rPr>
          <w:rFonts w:ascii="Times New Roman" w:hAnsi="Times New Roman"/>
          <w:color w:val="000000"/>
          <w:sz w:val="22"/>
          <w:u w:val="single"/>
        </w:rPr>
        <w:t>Ongoing Obligations</w:t>
      </w:r>
      <w:r>
        <w:rPr>
          <w:color w:val="000000"/>
        </w:rPr>
        <w:t>”</w:t>
      </w:r>
      <w:r>
        <w:rPr>
          <w:rFonts w:ascii="Times New Roman" w:hAnsi="Times New Roman"/>
          <w:color w:val="000000"/>
          <w:sz w:val="22"/>
        </w:rPr>
        <w:t>). The Ongoing Obligations, along with any other confidentiality and restrictive covenant obligations you have to any of the Releasees (as defined below) shall remain in full force and effect.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are not eligible to receive any Bonus (as defined in the Offer Letter) for calendar year 2024 and you are not entitled to receive any other incentive compensation.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remainder of this letter proposes the Release Agreement between you and the Company. You and the Company agree as follows: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Resignation Date; Transition Period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2"/>
          <w:u w:val="single"/>
        </w:rPr>
        <w:t>Resignation Date; Transition Period</w:t>
      </w:r>
      <w:r>
        <w:rPr>
          <w:rFonts w:ascii="Times New Roman" w:hAnsi="Times New Roman"/>
          <w:color w:val="000000"/>
          <w:sz w:val="22"/>
        </w:rPr>
        <w:t>. Provided you enter into, do not revoke and comply with this Release Agreement, the Company will continue to employ you until October 25, 2024, unless, prior to that date, the Company terminates your employment due to (i) your breach of this Release Agreement (including without limitation your failure to provide the Transitional Services) or any of the Ongoing Obligations; or (ii) your engaging in other behavior that justified a for “Cause” termination as defined in the Offer Letter ((i) or (ii), a “</w:t>
      </w:r>
      <w:r>
        <w:rPr>
          <w:rFonts w:ascii="Times New Roman" w:hAnsi="Times New Roman"/>
          <w:color w:val="000000"/>
          <w:sz w:val="22"/>
          <w:u w:val="single"/>
        </w:rPr>
        <w:t>Specified Termination</w:t>
      </w:r>
      <w:r>
        <w:rPr>
          <w:color w:val="000000"/>
        </w:rPr>
        <w:t>”</w:t>
      </w:r>
      <w:r>
        <w:rPr>
          <w:rFonts w:ascii="Times New Roman" w:hAnsi="Times New Roman"/>
          <w:color w:val="000000"/>
          <w:sz w:val="22"/>
        </w:rPr>
        <w:t>). Subject to the foregoing, the actual last date of your employment, whether it is October 25, 2024 or another date as stated above, is the “</w:t>
      </w:r>
      <w:r>
        <w:rPr>
          <w:rFonts w:ascii="Times New Roman" w:hAnsi="Times New Roman"/>
          <w:color w:val="000000"/>
          <w:sz w:val="22"/>
          <w:u w:val="single"/>
        </w:rPr>
        <w:t>Resignation Date</w:t>
      </w:r>
      <w:r>
        <w:rPr>
          <w:rFonts w:ascii="Times New Roman" w:hAnsi="Times New Roman"/>
          <w:color w:val="000000"/>
          <w:sz w:val="22"/>
        </w:rPr>
        <w:t>.” The time period between the date of this letter and the Resignation Date shall be referred to as the “</w:t>
      </w:r>
      <w:r>
        <w:rPr>
          <w:rFonts w:ascii="Times New Roman" w:hAnsi="Times New Roman"/>
          <w:color w:val="000000"/>
          <w:sz w:val="22"/>
          <w:u w:val="single"/>
        </w:rPr>
        <w:t>Transition Period</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2"/>
          <w:u w:val="single"/>
        </w:rPr>
        <w:t>Transitional Services; Compensation</w:t>
      </w:r>
      <w:r>
        <w:rPr>
          <w:rFonts w:ascii="Times New Roman" w:hAnsi="Times New Roman"/>
          <w:color w:val="000000"/>
          <w:sz w:val="22"/>
        </w:rPr>
        <w:t>. Unless otherwise directed by the Company, during the Transition Period, you will (i) continue to perform your current full-time job duties in the position of Chief Financial Officer until October 25, 2024, (ii) assist the Company with the transition of your responsibilities, and (iii) perform any other duties as the Company in its reasonable discretion determines ((i), (ii) and (iii), the “</w:t>
      </w:r>
      <w:r>
        <w:rPr>
          <w:rFonts w:ascii="Times New Roman" w:hAnsi="Times New Roman"/>
          <w:color w:val="000000"/>
          <w:sz w:val="22"/>
          <w:u w:val="single"/>
        </w:rPr>
        <w:t>Transitional Services</w:t>
      </w:r>
      <w:r>
        <w:rPr>
          <w:color w:val="000000"/>
        </w:rPr>
        <w:t>”</w:t>
      </w:r>
      <w:r>
        <w:rPr>
          <w:rFonts w:ascii="Times New Roman" w:hAnsi="Times New Roman"/>
          <w:color w:val="000000"/>
          <w:sz w:val="22"/>
        </w:rPr>
        <w:t>). For the avoidance of doubt, you must continue to comply with the Company’s policies, including but not limited to the Company’s Amended and Restated Insider Trading Policy. During the Transition Period, you will continue to receive your current base salary and you will continue to be eligible for regular employee benefits as currently in effect (subject to the terms of the Company’s benefit plans), provided that (to avoid doubt) you will not be eligible for any bonuses during the Transition Period or related to your employment during 2024. Subject to the terms of the Equity Documents, your previously granted equity shall continue to vest during the Transition Period.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Severance Benefits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Provided you (i) enter into, do not revoke and comply with this Release Agreement, (ii) do not experience a Specified Termination prior to October 25, 2024, and (iii) reaffirm the terms of this Release Agreement including the general release in Section 4 so that it covers the period between the date of this Release Agreement and the Resignation Date by signing and returning the Certificate attached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 after the Resignation Date in accordance with the time frame provided in such Certificate, and such Certificate becomes effective, the Company shall provide you with the following “</w:t>
      </w:r>
      <w:r>
        <w:rPr>
          <w:rFonts w:ascii="Times New Roman" w:hAnsi="Times New Roman"/>
          <w:color w:val="000000"/>
          <w:sz w:val="22"/>
          <w:u w:val="single"/>
        </w:rPr>
        <w:t>Severance Benefits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2"/>
          <w:u w:val="single"/>
        </w:rPr>
        <w:t>Severance Pay</w:t>
      </w:r>
      <w:r>
        <w:rPr>
          <w:rFonts w:ascii="Times New Roman" w:hAnsi="Times New Roman"/>
          <w:color w:val="000000"/>
          <w:sz w:val="22"/>
        </w:rPr>
        <w:t>: The Company shall pay you severance pay (“</w:t>
      </w:r>
      <w:r>
        <w:rPr>
          <w:rFonts w:ascii="Times New Roman" w:hAnsi="Times New Roman"/>
          <w:color w:val="000000"/>
          <w:sz w:val="22"/>
          <w:u w:val="single"/>
        </w:rPr>
        <w:t>Severance Pay</w:t>
      </w:r>
      <w:r>
        <w:rPr>
          <w:color w:val="000000"/>
        </w:rPr>
        <w:t>”</w:t>
      </w:r>
      <w:r>
        <w:rPr>
          <w:rFonts w:ascii="Times New Roman" w:hAnsi="Times New Roman"/>
          <w:color w:val="000000"/>
          <w:sz w:val="22"/>
        </w:rPr>
        <w:t>) by continuing your base salary (at the annual rate of $468,473.28 per year) effective for the ten (10) month period immediately following the Resignation Date (the “</w:t>
      </w:r>
      <w:r>
        <w:rPr>
          <w:rFonts w:ascii="Times New Roman" w:hAnsi="Times New Roman"/>
          <w:color w:val="000000"/>
          <w:sz w:val="22"/>
          <w:u w:val="single"/>
        </w:rPr>
        <w:t>Severance Pay Period</w:t>
      </w:r>
      <w:r>
        <w:rPr>
          <w:color w:val="000000"/>
        </w:rPr>
        <w:t>”</w:t>
      </w:r>
      <w:r>
        <w:rPr>
          <w:rFonts w:ascii="Times New Roman" w:hAnsi="Times New Roman"/>
          <w:color w:val="000000"/>
          <w:sz w:val="22"/>
        </w:rPr>
        <w:t xml:space="preserve">). The Company shall pay you Severance Pay in installments on its regular payroll dates during the Severance Pay Period; provided that the Company shall not be obligated to pay any Severance Pay before the Certificate Effective Date (as defined in </w:t>
      </w:r>
      <w:r>
        <w:rPr>
          <w:rFonts w:ascii="Times New Roman" w:hAnsi="Times New Roman"/>
          <w:color w:val="000000"/>
          <w:sz w:val="22"/>
          <w:u w:val="single"/>
        </w:rPr>
        <w:t>Exhibit A</w:t>
      </w:r>
      <w:r>
        <w:rPr>
          <w:rFonts w:ascii="Times New Roman" w:hAnsi="Times New Roman"/>
          <w:color w:val="000000"/>
          <w:sz w:val="22"/>
        </w:rPr>
        <w:t xml:space="preserve">). If the Company does not make one or more payments of Severance Pay on a regular payroll date because the Certificate has not yet become effective,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Company shall make all such delayed payments by the first payroll date when it is practicable to do so after the Certificate Effective Date.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2"/>
          <w:u w:val="single"/>
        </w:rPr>
        <w:t>Health Benefits/401k</w:t>
      </w:r>
      <w:r>
        <w:rPr>
          <w:rFonts w:ascii="Times New Roman" w:hAnsi="Times New Roman"/>
          <w:color w:val="000000"/>
          <w:sz w:val="22"/>
        </w:rPr>
        <w:t>: If you elect COBRA continuation coverage, the Company shall pay the same portion of COBRA premiums that the Company pays for its active employees for the same level of group healthcare coverage as in effect for you on the Resignation Date until the earliest of the following: (i) the end of the nine (9) month period immediately following the Resignation Date (the “</w:t>
      </w:r>
      <w:r>
        <w:rPr>
          <w:rFonts w:ascii="Times New Roman" w:hAnsi="Times New Roman"/>
          <w:color w:val="000000"/>
          <w:sz w:val="22"/>
          <w:u w:val="single"/>
        </w:rPr>
        <w:t>COBRA Period</w:t>
      </w:r>
      <w:r>
        <w:rPr>
          <w:color w:val="000000"/>
        </w:rPr>
        <w:t>”</w:t>
      </w:r>
      <w:r>
        <w:rPr>
          <w:rFonts w:ascii="Times New Roman" w:hAnsi="Times New Roman"/>
          <w:color w:val="000000"/>
          <w:sz w:val="22"/>
        </w:rPr>
        <w:t>); (ii) your eligibility for group medical care coverage through other employment; or (iii) the end of your eligibility under COBRA for continuation coverage for health care. You agree to notify the Company promptly if you become eligible for group medical care coverage through another employer. You also agree to respond promptly and fully to any reasonable requests for information by the Company concerning your eligibility for such coverage. You may continue coverage after the end of the COBRA Period at your own expense for the remainder of the COBRA continuation period, subject to continued eligibility. Notwithstanding the foregoing, if the Company determines at any time that its payments pursuant to this paragraph may be taxable income to you, it may convert such payments to payroll payments directly to you on the Company’s regular payroll dates, which shall be subject to tax-related deductions and withholdings. In accordance with the Company’s 401k plan, you may transfer your 401k account at any point following the Resignation Date.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2"/>
          <w:u w:val="single"/>
        </w:rPr>
        <w:t>Tax Treatment</w:t>
      </w:r>
      <w:r>
        <w:rPr>
          <w:rFonts w:ascii="Times New Roman" w:hAnsi="Times New Roman"/>
          <w:color w:val="000000"/>
          <w:sz w:val="22"/>
        </w:rPr>
        <w:t>. The Company shall make deductions, withholdings and tax reports with respect to payments and benefits under this Release Agreement that it reasonably determines to be required. Payments under this Release Agreement shall be in amounts net of any such deductions or withholdings. Nothing in this Release Agreement shall be construed to require the Company to make any payments to compensate you for any adverse tax effect associated with any payments or benefits or for any deduction or withholding from any payment or benefit.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Your receipt of the Severance Benefits under this Release Agreement is conditioned on your continued compliance with the Consulting Agreement. If the Consulting Agreement is terminated for Cause (as defined in the Consulting Agreement), then your receipt of the Severance Benefits shall immediately cease and you will not be eligible for receive any additional Severance Benefits.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Equity</w:t>
      </w:r>
    </w:p>
    <w:p>
      <w:pPr>
        <w:pStyle w:val="TextBody"/>
        <w:bidi w:val="0"/>
        <w:spacing w:before="0" w:after="240"/>
        <w:jc w:val="left"/>
        <w:rPr>
          <w:rFonts w:ascii="Times New Roman" w:hAnsi="Times New Roman"/>
          <w:sz w:val="20"/>
        </w:rPr>
      </w:pPr>
      <w:r>
        <w:rPr>
          <w:rFonts w:ascii="Times New Roman" w:hAnsi="Times New Roman"/>
          <w:color w:val="000000"/>
          <w:sz w:val="22"/>
        </w:rPr>
        <w:t>During the course of your employment, you were awarded a total of 146,285 Restricted Stock Units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and stock options to purchase 559,658 shares of the Company’s common stock (the “</w:t>
      </w:r>
      <w:r>
        <w:rPr>
          <w:rFonts w:ascii="Times New Roman" w:hAnsi="Times New Roman"/>
          <w:color w:val="000000"/>
          <w:sz w:val="22"/>
          <w:u w:val="single"/>
        </w:rPr>
        <w:t>Option</w:t>
      </w:r>
      <w:r>
        <w:rPr>
          <w:rFonts w:ascii="Times New Roman" w:hAnsi="Times New Roman"/>
          <w:color w:val="000000"/>
          <w:sz w:val="20"/>
        </w:rPr>
        <w:t>”</w:t>
      </w:r>
      <w:r>
        <w:rPr>
          <w:rFonts w:ascii="Times New Roman" w:hAnsi="Times New Roman"/>
          <w:color w:val="000000"/>
          <w:sz w:val="22"/>
        </w:rPr>
        <w:t>), in each case under the Company’s 2009 Amended and Restated Stock Option and Restricted Stock Plan, 2018 Equity Incentive Plan and 2021 Stock Option and Incentive Plan and associated restricted stock unit award agreements and stock option agreements (collectively, the “</w:t>
      </w:r>
      <w:r>
        <w:rPr>
          <w:rFonts w:ascii="Times New Roman" w:hAnsi="Times New Roman"/>
          <w:color w:val="000000"/>
          <w:sz w:val="22"/>
          <w:u w:val="single"/>
        </w:rPr>
        <w:t>Equity Documents</w:t>
      </w:r>
      <w:r>
        <w:rPr>
          <w:rFonts w:ascii="Times New Roman" w:hAnsi="Times New Roman"/>
          <w:color w:val="000000"/>
          <w:sz w:val="20"/>
        </w:rPr>
        <w:t>”</w:t>
      </w:r>
      <w:r>
        <w:rPr>
          <w:rFonts w:ascii="Times New Roman" w:hAnsi="Times New Roman"/>
          <w:color w:val="000000"/>
          <w:sz w:val="22"/>
        </w:rPr>
        <w:t>). If you enter into and comply with this Release Agreement, and do not experience a Specified Termination prior to October 25, 2024, you will have 25,314 Restricted Stock Units of the Award vested and 359,748 shares of the Option vested. As of September 25, 2024, 3,900 of such vested Options were previously exercised by you. The remaining 120,971 Restricted Stock Units of the Award and 199,910 shares of the Option shall be unvested as of October 25, 2024 and shall become null and void as of such date, unless you enter into the Consulting Agreement under which your equity will continue to vest (as described below and in the Consulting Agreement). The vested and unexercised equity as of October 25, 2024, along with any other equity that may vest during the Consulting Period (as described in the Consulting Agreement) is collectively referred to herein as the “</w:t>
      </w:r>
      <w:r>
        <w:rPr>
          <w:rFonts w:ascii="Times New Roman" w:hAnsi="Times New Roman"/>
          <w:color w:val="000000"/>
          <w:sz w:val="22"/>
          <w:u w:val="single"/>
        </w:rPr>
        <w:t>Vested Equity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The Vested Equity shall continue to be subject to the terms and conditions of the Equity Documents, provided that you agree, effective as of September 25, 2024, to the following: (i) from September 25, 2024 through the expiration of your existing 10b5-1 Plan with Morgan Stanley (the “</w:t>
      </w:r>
      <w:r>
        <w:rPr>
          <w:rFonts w:ascii="Times New Roman" w:hAnsi="Times New Roman"/>
          <w:color w:val="000000"/>
          <w:sz w:val="22"/>
          <w:u w:val="single"/>
        </w:rPr>
        <w:t>10b5-1 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which is expected to occur on December 20, 2024 (the “</w:t>
      </w:r>
      <w:r>
        <w:rPr>
          <w:rFonts w:ascii="Times New Roman" w:hAnsi="Times New Roman"/>
          <w:color w:val="000000"/>
          <w:sz w:val="22"/>
          <w:u w:val="single"/>
        </w:rPr>
        <w:t>Plan Termination Date</w:t>
      </w:r>
      <w:r>
        <w:rPr>
          <w:rFonts w:ascii="Times New Roman" w:hAnsi="Times New Roman"/>
          <w:color w:val="000000"/>
          <w:sz w:val="20"/>
        </w:rPr>
        <w:t>”</w:t>
      </w:r>
      <w:r>
        <w:rPr>
          <w:rFonts w:ascii="Times New Roman" w:hAnsi="Times New Roman"/>
          <w:color w:val="000000"/>
          <w:sz w:val="22"/>
        </w:rPr>
        <w:t>), you will not sell, directly or indirectly, any shares of Vested Equity other than pursuant to the 10b5-l Plan; and (ii) after the Plan Termination Date, you shall not sell, directly or indirectly, more than 5,000 shares of your Vested Equity during any 30 day period beginning on the Plan Termination Date, in each case, without the prior written approval of an authorized representative of the Company. In addition, you will continue to be eligible to participate in your 10b5-1 Plan during the Consulting Period through the Plan Termination Date, and agree not to amend or terminate the 10b5-1 Plan prior to the Plan Termination Date. After the Plan Termination Date, you shall not enter into a subsequent 10b5-1 trading plan but rather will be subject to the limitations set forth in clause (ii) above. In accordance with the Consulting Agreement, you are also eligible for continued vesting during the Consulting Period (as defined in the Consulting Agreement). For the avoidance of doubt, as provided in the Equity Documents, except in the event of disability, death or Cause, the three- month post-service relationship exercise period for any vested equity shall not begin until after your service relationship with the Company has ended (i.e. after the Consulting Period ends). For the avoidance of doubt, during the Transition Period, the Consulting Period and thereafter as specified in the Company’s Amended and Restated Insider Trading Policy (the “</w:t>
      </w:r>
      <w:r>
        <w:rPr>
          <w:rFonts w:ascii="Times New Roman" w:hAnsi="Times New Roman"/>
          <w:color w:val="000000"/>
          <w:sz w:val="22"/>
          <w:u w:val="single"/>
        </w:rPr>
        <w:t>Trading Policy</w:t>
      </w:r>
      <w:r>
        <w:rPr>
          <w:rFonts w:ascii="Times New Roman" w:hAnsi="Times New Roman"/>
          <w:color w:val="000000"/>
          <w:sz w:val="20"/>
        </w:rPr>
        <w:t>”</w:t>
      </w:r>
      <w:r>
        <w:rPr>
          <w:rFonts w:ascii="Times New Roman" w:hAnsi="Times New Roman"/>
          <w:color w:val="000000"/>
          <w:sz w:val="22"/>
        </w:rPr>
        <w:t>), you shall at all times comply with the Trading Policy.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Release of Claims</w:t>
      </w:r>
    </w:p>
    <w:p>
      <w:pPr>
        <w:pStyle w:val="TextBody"/>
        <w:bidi w:val="0"/>
        <w:spacing w:before="0" w:after="240"/>
        <w:jc w:val="left"/>
        <w:rPr>
          <w:rFonts w:ascii="Times New Roman" w:hAnsi="Times New Roman"/>
          <w:sz w:val="20"/>
        </w:rPr>
      </w:pPr>
      <w:r>
        <w:rPr>
          <w:rFonts w:ascii="Times New Roman" w:hAnsi="Times New Roman"/>
          <w:color w:val="000000"/>
          <w:sz w:val="22"/>
        </w:rPr>
        <w:t>In consideration for, among other terms, the opportunity to continue your employment with the Company during the Transition Period and to receive the Severance Benefits, each of which you acknowledge you would otherwise not be entitled to, you voluntarily release and forever discharge the Company and its affiliated and related entities, their respective predecessors, successors and assigns, its and their respective employee benefit plans and fiduciaries of such plans, and the current and former officers, directors, managers, members, shareholders, employees, attorneys, accountants and agents of each of the foregoing in their official and personal capacities (collectively referred to as the “</w:t>
      </w:r>
      <w:r>
        <w:rPr>
          <w:rFonts w:ascii="Times New Roman" w:hAnsi="Times New Roman"/>
          <w:color w:val="000000"/>
          <w:sz w:val="22"/>
          <w:u w:val="single"/>
        </w:rPr>
        <w:t>Releasees</w:t>
      </w:r>
      <w:r>
        <w:rPr>
          <w:rFonts w:ascii="Times New Roman" w:hAnsi="Times New Roman"/>
          <w:color w:val="000000"/>
          <w:sz w:val="20"/>
        </w:rPr>
        <w:t>”</w:t>
      </w:r>
      <w:r>
        <w:rPr>
          <w:rFonts w:ascii="Times New Roman" w:hAnsi="Times New Roman"/>
          <w:color w:val="000000"/>
          <w:sz w:val="22"/>
        </w:rPr>
        <w:t>) generally from all claims, demands, debts, damages and liabilities of every name and nature, known or unknown (“</w:t>
      </w:r>
      <w:r>
        <w:rPr>
          <w:rFonts w:ascii="Times New Roman" w:hAnsi="Times New Roman"/>
          <w:color w:val="000000"/>
          <w:sz w:val="22"/>
          <w:u w:val="single"/>
        </w:rPr>
        <w:t>Claims</w:t>
      </w:r>
      <w:r>
        <w:rPr>
          <w:rFonts w:ascii="Times New Roman" w:hAnsi="Times New Roman"/>
          <w:color w:val="000000"/>
          <w:sz w:val="20"/>
        </w:rPr>
        <w:t>”</w:t>
      </w:r>
      <w:r>
        <w:rPr>
          <w:rFonts w:ascii="Times New Roman" w:hAnsi="Times New Roman"/>
          <w:color w:val="000000"/>
          <w:sz w:val="22"/>
        </w:rPr>
        <w:t>) that, as of the date when you sign this Release Agreement, you have, ever had, now claim to have or ever claimed to have had against any or all of the Releasees. This release includes, without limitation, all Claims: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relating to your employment by and resignation from employment with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relating to your Offer Letter or the Equity Documents;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 wrongful discharge or violation of public policy;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 breach of contract;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 retaliation or discrimination under federal, state or local law (including, without limitation, Claims of discrimination, retaliation or otherwise under the Americans with Disabilities Act, Title VII of the Civil Rights Act of 1964, and the Massachusetts Fair Employment Practices Act (M.G.L. c. 151B));</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under any other federal or state statute;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wages, bonuses, incentive compensation, commissions, stock, stock options, vacation pay or any other compensation or benefits, whether under Massachusetts Wage Act, M.G.L. c. 149, §§148-150C, or otherwise; and</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damages or other remedies of any sort, including, without limitation, compensatory damages, punitive damages, injunctive relief and attorney’s fees;</w:t>
      </w:r>
    </w:p>
    <w:p>
      <w:pPr>
        <w:pStyle w:val="TextBody"/>
        <w:bidi w:val="0"/>
        <w:spacing w:before="0" w:after="240"/>
        <w:jc w:val="left"/>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release shall not affect your rights under this Release Agreement or under any “employee benefit plan,” as that term is defined in Section 3(3) of the Employee Retirement Income Security Act, 29 U.S.C. §1002(3).</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acknowledge and represent that, except as expressly provided in this Release Agreement, the Company has paid or provided all salary, wages, bonuses, accrued vacation/paid time off, premiums, leaves, severance, reimbursable expenses, commissions, stock, stock options, equity awards, vesting, and any and all other benefits and compensation due to you.</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agree not to accept damages of any nature, other equitable or legal remedies for your own benefit or attorney’s fees or costs from any of the Releasees with respect to any Claim released by this Release Agreement. As a material inducement to the Company to enter into this Release Agreement, you represent that you have not assigned any Claim to any third party.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Return of Property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accordance with Section 3 of the Restrictive Covenants Agreement, you agree to return to the Company by the Resignation Date all Company property, including, without limitation, computer equipment, keys and access cards, credit cards and any documents (including electronic documents as well as hard copies) containing information concerning the Company, its business or its business relationships. You also commit to deleting and finally purging any duplicates of files or documents that may contain Company information from any computer or other device that remains your property after the Resignation Date. In the event that you discover that you continue to retain any such property, you shall return it to the Company immediately.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Non-disparagement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accordance with Section 10 of the Offer Letter, you agree that you will not directly or indirectly, make or ratify any statement, public or private, oral or written, to any person that disparages, either professionally or personally, the Company or any of its affiliates, past and present, and each of them, as well as its and their trustees, directors, officers, members, managers, partners, agents, attorneys, insurers, employees, stockholders, representatives, assigns, and successors, past and present, and each of them. You represent that during the period since this Release Agreement was proposed to you, you have not made any such disparaging statements.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agrees to direct its C-Suite executives not to make disparaging statements about you during such persons’ employment with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Confidentiality of Agreement-Related Information</w:t>
      </w:r>
    </w:p>
    <w:p>
      <w:pPr>
        <w:pStyle w:val="TextBody"/>
        <w:bidi w:val="0"/>
        <w:spacing w:before="0" w:after="240"/>
        <w:jc w:val="left"/>
        <w:rPr>
          <w:rFonts w:ascii="Times New Roman" w:hAnsi="Times New Roman"/>
          <w:sz w:val="20"/>
        </w:rPr>
      </w:pPr>
      <w:r>
        <w:rPr>
          <w:rFonts w:ascii="Times New Roman" w:hAnsi="Times New Roman"/>
          <w:color w:val="000000"/>
          <w:sz w:val="22"/>
        </w:rPr>
        <w:t>You agree, to the fullest extent permitted by law, to keep all Release Agreement-Related Information completely confidential. “</w:t>
      </w:r>
      <w:r>
        <w:rPr>
          <w:rFonts w:ascii="Times New Roman" w:hAnsi="Times New Roman"/>
          <w:color w:val="000000"/>
          <w:sz w:val="22"/>
          <w:u w:val="single"/>
        </w:rPr>
        <w:t>Release Agreement-Related Information</w:t>
      </w:r>
      <w:r>
        <w:rPr>
          <w:rFonts w:ascii="Times New Roman" w:hAnsi="Times New Roman"/>
          <w:color w:val="000000"/>
          <w:sz w:val="20"/>
        </w:rPr>
        <w:t xml:space="preserve">” </w:t>
      </w:r>
      <w:r>
        <w:rPr>
          <w:rFonts w:ascii="Times New Roman" w:hAnsi="Times New Roman"/>
          <w:color w:val="000000"/>
          <w:sz w:val="22"/>
        </w:rPr>
        <w:t>means the negotiations leading to this Release Agreement and the terms of this Release Agreement. Notwithstanding the foregoing, you may disclose Release Agreement-Related Information to your spouse, your attorney and your financial advisors (if applicable), and to them only provided that they first agree for the benefit of the Company to keep Release Agreement-Related Information confidential. You represent that during the period since this Release Agreement was proposed to you, you have not made any disclosures that would have been contrary to the foregoing obligation if it had then been in effect. Nothing in this section shall be construed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prevent you from disclosing Release Agreement-Related Information to the extent required by a lawfully issued subpoena or duly issued court order; provided that you provide the Company with advance written notice and a reasonable opportunity to contest such subpoena or court order.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Protected Disclosures and Other Protected Actions</w:t>
      </w:r>
    </w:p>
    <w:p>
      <w:pPr>
        <w:pStyle w:val="TextBody"/>
        <w:bidi w:val="0"/>
        <w:spacing w:before="0" w:after="240"/>
        <w:jc w:val="left"/>
        <w:rPr>
          <w:rFonts w:ascii="Times New Roman" w:hAnsi="Times New Roman"/>
          <w:sz w:val="20"/>
        </w:rPr>
      </w:pPr>
      <w:r>
        <w:rPr>
          <w:rFonts w:ascii="Times New Roman" w:hAnsi="Times New Roman"/>
          <w:color w:val="000000"/>
          <w:sz w:val="22"/>
        </w:rPr>
        <w:t>Nothing contained in this Agreement, any other agreement with the Company (including without limitation the Ongoing Obligations), or any Company policy limits your ability, with or without notice to the Company, to: (i) file a charge or complaint with any federal, state or local governmental agency or commission (a “</w:t>
      </w:r>
      <w:r>
        <w:rPr>
          <w:rFonts w:ascii="Times New Roman" w:hAnsi="Times New Roman"/>
          <w:color w:val="000000"/>
          <w:sz w:val="22"/>
          <w:u w:val="single"/>
        </w:rPr>
        <w:t>Government Agency</w:t>
      </w:r>
      <w:r>
        <w:rPr>
          <w:rFonts w:ascii="Times New Roman" w:hAnsi="Times New Roman"/>
          <w:color w:val="000000"/>
          <w:sz w:val="20"/>
        </w:rPr>
        <w:t>”</w:t>
      </w:r>
      <w:r>
        <w:rPr>
          <w:rFonts w:ascii="Times New Roman" w:hAnsi="Times New Roman"/>
          <w:color w:val="000000"/>
          <w:sz w:val="22"/>
        </w:rPr>
        <w:t>), including without limitation, the Equal Employment Opportunity Commission, the National Labor Relations Board or the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(ii) communicate with any Government Agency or otherwise participate in any investigation or proceeding that may be conducted by any Government Agency, including by providing non-privileged documents or information; (iii) discuss or disclose information about unlawful acts in the workplace, such as harassment or discrimination or any other conduct that you have reason to believe is unlawful; or (iv)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Defend Trade Secrets Act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the avoidance of doubt, pursuant to the federal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Other Provisions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2"/>
          <w:u w:val="single"/>
        </w:rPr>
        <w:t>Termination and Return of Payments; Certain Remedies</w:t>
      </w:r>
      <w:r>
        <w:rPr>
          <w:rFonts w:ascii="Times New Roman" w:hAnsi="Times New Roman"/>
          <w:color w:val="000000"/>
          <w:sz w:val="22"/>
        </w:rPr>
        <w:t>. If you materially breach any of your obligations under any Ongoing Obligation, in addition to any other legal or equitable remedies it may have for such breach, the Company shall have the right to: (i) terminate the Transition Period, (ii) cancel any equity that has vested during the Transition Period and instruct you to reimburse the Company for any proceeds resulting from the sale of any equity that vested during the Transition Period, and/or (iii) enforce the return of its non-wage payments to you or for your benefit under this Release Agreement. If the Company initiates (i), (ii) or (iii) in the preceding sentence due to a breach, you shall continue to be subject to the Ongoing Obligations. Without limiting the Company’s remedies hereunder, if the Company prevails in any action to enforce this Release Agreement, then you shall be liable to the Company for reasonable attorneys’ fees and costs incurred by the Company in connection with such action.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2"/>
          <w:u w:val="single"/>
        </w:rPr>
        <w:t>Enforceability</w:t>
      </w:r>
      <w:r>
        <w:rPr>
          <w:rFonts w:ascii="Times New Roman" w:hAnsi="Times New Roman"/>
          <w:color w:val="000000"/>
          <w:sz w:val="22"/>
        </w:rPr>
        <w:t>. If any provision of this Release Agreement is held to be unenforceable, this Release Agreement will be deemed amended to the extent necessary to render the otherwise unenforceable provision, and the rest of the Release Agreement, valid and enforceable. If a court declines to amend this Release Agreement as provided herein, the invalidity or unenforceability of any provision of this Release Agreement shall not affect the validity or enforceability of the remaining provisions.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2"/>
          <w:u w:val="single"/>
        </w:rPr>
        <w:t>Waiver; Absence of Reliance</w:t>
      </w:r>
      <w:r>
        <w:rPr>
          <w:rFonts w:ascii="Times New Roman" w:hAnsi="Times New Roman"/>
          <w:color w:val="000000"/>
          <w:sz w:val="22"/>
        </w:rPr>
        <w:t>. No waiver of any provision of this Release Agreement shall be effective unless made in writing and signed by the waiving party. In signing this Release Agreement, you are not relying upon any promises or representations made by anyone at or on behalf of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2"/>
          <w:u w:val="single"/>
        </w:rPr>
        <w:t>Jurisdiction; Governing Law; Interpretation</w:t>
      </w:r>
      <w:r>
        <w:rPr>
          <w:rFonts w:ascii="Times New Roman" w:hAnsi="Times New Roman"/>
          <w:color w:val="000000"/>
          <w:sz w:val="22"/>
        </w:rPr>
        <w:t>. You and the Company hereby agree that the state and federal courts of Massachusetts shall have the exclusive jurisdiction to consider any matters related to this Release Agreement. With respect to any such court action, you submit to the jurisdiction and venue of such courts, you acknowledge that venue in such courts is proper and you waive any right to a jury with respect to any such action. This Release Agreement shall be interpreted and enforced under the laws of Massachusetts, without regard to conflict of law principles.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2"/>
          <w:u w:val="single"/>
        </w:rPr>
        <w:t>Entire Agreement</w:t>
      </w:r>
      <w:r>
        <w:rPr>
          <w:rFonts w:ascii="Times New Roman" w:hAnsi="Times New Roman"/>
          <w:color w:val="000000"/>
          <w:sz w:val="22"/>
        </w:rPr>
        <w:t>. The Equity Documents and the Ongoing Obligations constitute the entire agreement between you and the Company and supersedes any previous agreements or understandings between you and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2"/>
          <w:u w:val="single"/>
        </w:rPr>
        <w:t>Time for Consideration; Effective Date</w:t>
      </w:r>
      <w:r>
        <w:rPr>
          <w:rFonts w:ascii="Times New Roman" w:hAnsi="Times New Roman"/>
          <w:color w:val="000000"/>
          <w:sz w:val="22"/>
        </w:rPr>
        <w:t>. You acknowledge that you have knowingly and voluntarily entered into this Release Agreement and that the Company advises you to consult with an attorney before signing this Release Agreement. By entering into this Release Agreement, you acknowledge that you have been given the opportunity to consider this Release Agreement for twenty-one (21) days from your receipt of this Release Agreement before signing it (the “</w:t>
      </w:r>
      <w:r>
        <w:rPr>
          <w:rFonts w:ascii="Times New Roman" w:hAnsi="Times New Roman"/>
          <w:color w:val="000000"/>
          <w:sz w:val="22"/>
          <w:u w:val="single"/>
        </w:rPr>
        <w:t>Consideration Period</w:t>
      </w:r>
      <w:r>
        <w:rPr>
          <w:color w:val="000000"/>
        </w:rPr>
        <w:t>”</w:t>
      </w:r>
      <w:r>
        <w:rPr>
          <w:rFonts w:ascii="Times New Roman" w:hAnsi="Times New Roman"/>
          <w:color w:val="000000"/>
          <w:sz w:val="22"/>
        </w:rPr>
        <w:t>). To accept this Release Agreement, you must return a signed original or a signed PDF copy of this Release Agreement so that it is received by the undersigned at or before the expiration of the Consideration Period. If you sign this Release Agreement before the end of the Consideration Period, you acknowledge that such decision was entirely voluntary and that you had the opportunity to consider this Release Agreement for the entire Consideration Period. For the period of seven (7) days from the date when you sign this Release Agreement, you have the right to revoke this Release Agreement by written notice to the undersigned, provided that such notice is delivered so that it is received at or before the expiration of the seven (7) day revocation period. This Release Agreement shall not become effective or enforceable during the revocation period. This Release Agreement shall become effective on the first business day following the expiration of the revocation period (the “</w:t>
      </w:r>
      <w:r>
        <w:rPr>
          <w:rFonts w:ascii="Times New Roman" w:hAnsi="Times New Roman"/>
          <w:color w:val="000000"/>
          <w:sz w:val="22"/>
          <w:u w:val="single"/>
        </w:rPr>
        <w:t>Effective Date</w:t>
      </w:r>
      <w:r>
        <w:rPr>
          <w:color w:val="00000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left"/>
        <w:rPr/>
      </w:pPr>
      <w:r>
        <w:rPr>
          <w:rFonts w:ascii="Times New Roman" w:hAnsi="Times New Roman"/>
          <w:color w:val="000000"/>
          <w:sz w:val="22"/>
          <w:u w:val="single"/>
        </w:rPr>
        <w:t>Counterparts</w:t>
      </w:r>
      <w:r>
        <w:rPr>
          <w:rFonts w:ascii="Times New Roman" w:hAnsi="Times New Roman"/>
          <w:color w:val="000000"/>
          <w:sz w:val="22"/>
        </w:rPr>
        <w:t>. This Release Agreement may be executed in separate counterparts. When all counterparts are signed, they shall be treated together as one and the same document.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409A</w:t>
      </w:r>
    </w:p>
    <w:p>
      <w:pPr>
        <w:pStyle w:val="TextBody"/>
        <w:bidi w:val="0"/>
        <w:spacing w:before="0" w:after="240"/>
        <w:jc w:val="left"/>
        <w:rPr>
          <w:rFonts w:ascii="Times New Roman" w:hAnsi="Times New Roman"/>
          <w:sz w:val="20"/>
        </w:rPr>
      </w:pPr>
      <w:r>
        <w:rPr>
          <w:rFonts w:ascii="Times New Roman" w:hAnsi="Times New Roman"/>
          <w:color w:val="000000"/>
          <w:sz w:val="22"/>
        </w:rPr>
        <w:t>This Release Agreement is not intended to provide for any deferral of compensation subject to Section 409A of the Internal Revenue Code of 1986, as amended (the “</w:t>
      </w:r>
      <w:r>
        <w:rPr>
          <w:rFonts w:ascii="Times New Roman" w:hAnsi="Times New Roman"/>
          <w:color w:val="000000"/>
          <w:sz w:val="22"/>
          <w:u w:val="single"/>
        </w:rPr>
        <w:t>Code</w:t>
      </w:r>
      <w:r>
        <w:rPr>
          <w:rFonts w:ascii="Times New Roman" w:hAnsi="Times New Roman"/>
          <w:color w:val="000000"/>
          <w:sz w:val="20"/>
        </w:rPr>
        <w:t>”</w:t>
      </w:r>
      <w:r>
        <w:rPr>
          <w:rFonts w:ascii="Times New Roman" w:hAnsi="Times New Roman"/>
          <w:color w:val="000000"/>
          <w:sz w:val="22"/>
        </w:rPr>
        <w:t>), and, to the maximum extent permitted by applicable law, amounts payable to you pursuant to Section 2 shall be made in reliance upon Treasury Regulation Section 1.409A-1(b)(9) (with respect to separation pay plans) or Treasury Regulation Section 1.409A-1(b)(4) (with respect to short-term deferrals). To the extent applicable, this Release Agreement shall be interpreted in accordance with Code Section 409A and Department of Treasury regulations and other interpretive guidance issued thereunder consistent with the foregoing intention. Each series of installment payments made under this Agreement is hereby designated as a series of “separate payments” within the meaning of Section 409A of the Code. Notwithstanding anything herein to the contrary, to the extent any payments to you hereunder constitute “non-qualified deferred compensation” subject to Section 409A of the Code or are intended to be exempt from Section 409A of the Code pursuant to Treasury Regulation Section 1.409A-1(b)(9), then, to the extent required by Section 409A of the Code or to satisfy such exception, no amount shall be payable pursuant to such sections unless your termination of employment constitutes a “separation from service” with the Company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such term is defined in Treasury Regulation Section 1.409A-1(h) and any successor provision thereto) (a “</w:t>
      </w:r>
      <w:r>
        <w:rPr>
          <w:rFonts w:ascii="Times New Roman" w:hAnsi="Times New Roman"/>
          <w:color w:val="000000"/>
          <w:sz w:val="22"/>
          <w:u w:val="single"/>
        </w:rPr>
        <w:t>Separation from Service</w:t>
      </w:r>
      <w:r>
        <w:rPr>
          <w:rFonts w:ascii="Times New Roman" w:hAnsi="Times New Roman"/>
          <w:color w:val="000000"/>
          <w:sz w:val="20"/>
        </w:rPr>
        <w:t>”</w:t>
      </w:r>
      <w:r>
        <w:rPr>
          <w:rFonts w:ascii="Times New Roman" w:hAnsi="Times New Roman"/>
          <w:color w:val="000000"/>
          <w:sz w:val="22"/>
        </w:rPr>
        <w:t>). If you are a “specified employee” (as defined in Section 409A of the Code), as determined by the Company in accordance with Section 409A of the Code, on the date of your Separation from Service, to the extent that the payments or benefits under this Release Agreement constitute “non-qualified deferred compensation” subject to Section 409A of the Code and the delayed payment or distribution of all or any portion of such amounts to which you are entitled under this Release Agreement is required in order to avoid a prohibited distribution under Section 409A(a)(2)(B)(i) of the Code, then such portion deferred pursuant to this Section shall be paid or distributed to you in a lump sum on the earlier of (A) the date that is six (6) months following your Separation from Service, (B) the date of your death or (C) the earliest date as is permitted under Section 409A of the Code. Any remaining payments due under this Release Agreement shall be paid as otherwise provided herein. Further, in the event that the amounts payable under Section 2 constitute “non-qualified deferred compensation” subject to Section 409A of the Code and the timing of the delivery of this Release Agreement could cause such amounts to be paid in one or another taxable year, then, notwithstanding the payment timing set forth in such sections, such amounts shall not be payable until the later of (A) the payment date specified in such section or (B) the first business day of the taxable year following your Separation from Service. Any reimbursements or in-kind benefits payable under this Release Agreement shall be made in accordance with Treasury Regulation Section 1.409A-3(i)(1)(iv) and shall be paid on or before the last day of your taxable year following the taxable year in which you incurred the expenses. The reimbursements or in-kind benefits provided under this Release Agreement during any taxable year of yours will not affect such amounts provided in any other taxable year of yours, and your right to reimbursement for such amounts shall not be subject to liquidation or exchange for any other benefit. The Company makes no representation or warranty and shall have no liability to you or any other person if any provisions of this Release Agreement are determined to constitute deferred compensation subject to Section 409A but do not satisfy an exemption from, or the conditions of, Section 409A.</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Please indicate your agreement to the terms of this Release Agreement by signing and returning to the undersigned the original or a PDF copy of this letter within the time period set forth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Aura Biosciences, Inc.</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w:t>
      </w:r>
    </w:p>
    <w:p>
      <w:pPr>
        <w:pStyle w:val="TextBody"/>
        <w:bidi w:val="0"/>
        <w:spacing w:before="0" w:after="720"/>
        <w:jc w:val="left"/>
        <w:rPr>
          <w:rFonts w:ascii="Times New Roman" w:hAnsi="Times New Roman"/>
          <w:sz w:val="20"/>
        </w:rPr>
      </w:pPr>
      <w:r>
        <w:rPr>
          <w:rFonts w:ascii="Times New Roman" w:hAnsi="Times New Roman"/>
          <w:color w:val="000000"/>
          <w:sz w:val="22"/>
          <w:u w:val="single"/>
        </w:rPr>
        <w:t xml:space="preserve">/s/ Elisabet de los Pinos </w:t>
      </w:r>
      <w:r>
        <w:rPr>
          <w:rFonts w:ascii="Times New Roman" w:hAnsi="Times New Roman"/>
          <w:color w:val="000000"/>
          <w:sz w:val="22"/>
        </w:rPr>
        <w:br/>
        <w:t>Name: Elisabet de los Pinos, Ph.D.</w:t>
        <w:br/>
        <w:t>Title: CEO</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You are advised to consult with an attorney before signing this Release Agreement. This is a legal document. Your signature will commit you to its terms. By signing below, you acknowledge that you have carefully read and fully understand all of the provisions of this Release Agreement and that you are knowingly and voluntarily entering into this Release Agreement.</w:t>
      </w:r>
    </w:p>
    <w:tbl>
      <w:tblPr>
        <w:tblW w:w="2987" w:type="dxa"/>
        <w:jc w:val="left"/>
        <w:tblInd w:w="0" w:type="dxa"/>
        <w:tblLayout w:type="fixed"/>
        <w:tblCellMar>
          <w:top w:w="28" w:type="dxa"/>
          <w:left w:w="28" w:type="dxa"/>
          <w:bottom w:w="28" w:type="dxa"/>
          <w:right w:w="28" w:type="dxa"/>
        </w:tblCellMar>
      </w:tblPr>
      <w:tblGrid>
        <w:gridCol w:w="1816"/>
        <w:gridCol w:w="1171"/>
      </w:tblGrid>
      <w:tr>
        <w:trPr/>
        <w:tc>
          <w:tcPr>
            <w:tcW w:w="181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 xml:space="preserve">/s/ Julie Feder </w:t>
            </w:r>
            <w:r>
              <w:rPr>
                <w:rFonts w:ascii="Times New Roman" w:hAnsi="Times New Roman"/>
                <w:color w:val="000000"/>
                <w:sz w:val="22"/>
              </w:rPr>
              <w:br/>
              <w:t>Name: Julie Feder</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 xml:space="preserve">9/26/2024 </w:t>
            </w:r>
            <w:r>
              <w:rPr>
                <w:rFonts w:ascii="Times New Roman" w:hAnsi="Times New Roman"/>
                <w:color w:val="000000"/>
                <w:sz w:val="22"/>
              </w:rPr>
              <w:b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aura-ex10_2.htm"/>
      <w:bookmarkStart w:id="25" w:name="ksauraex10_2"/>
      <w:bookmarkEnd w:id="24"/>
      <w:bookmarkEnd w:id="25"/>
      <w:r>
        <w:rPr>
          <w:rFonts w:ascii="Times New Roman" w:hAnsi="Times New Roman"/>
          <w:b/>
          <w:color w:val="000000"/>
          <w:sz w:val="22"/>
        </w:rPr>
        <w:t>Exhibit 10.2</w:t>
      </w:r>
      <w:r>
        <w:br w:type="page"/>
      </w:r>
    </w:p>
    <w:p>
      <w:pPr>
        <w:pStyle w:val="TextBody"/>
        <w:bidi w:val="0"/>
        <w:jc w:val="left"/>
        <w:rPr/>
      </w:pPr>
      <w:r>
        <w:rPr/>
        <w:t> </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September 25, 2024</w:t>
      </w:r>
    </w:p>
    <w:p>
      <w:pPr>
        <w:pStyle w:val="TextBody"/>
        <w:bidi w:val="0"/>
        <w:spacing w:before="0" w:after="240"/>
        <w:jc w:val="left"/>
        <w:rPr>
          <w:rFonts w:ascii="Times New Roman" w:hAnsi="Times New Roman"/>
          <w:b/>
          <w:color w:val="231F20"/>
          <w:sz w:val="22"/>
          <w:u w:val="single"/>
        </w:rPr>
      </w:pPr>
      <w:r>
        <w:rPr>
          <w:rFonts w:ascii="Times New Roman" w:hAnsi="Times New Roman"/>
          <w:b/>
          <w:color w:val="231F20"/>
          <w:sz w:val="22"/>
          <w:u w:val="single"/>
        </w:rPr>
        <w:t>PERSONAL AND CONFIDENTIAL</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Julie Feder</w:t>
      </w:r>
    </w:p>
    <w:p>
      <w:pPr>
        <w:pStyle w:val="TextBody"/>
        <w:bidi w:val="0"/>
        <w:spacing w:before="0" w:after="240"/>
        <w:jc w:val="left"/>
        <w:rPr>
          <w:rFonts w:ascii="Times New Roman" w:hAnsi="Times New Roman"/>
          <w:sz w:val="20"/>
        </w:rPr>
      </w:pPr>
      <w:r>
        <w:rPr>
          <w:rFonts w:ascii="Times New Roman" w:hAnsi="Times New Roman"/>
          <w:b/>
          <w:color w:val="231F20"/>
          <w:sz w:val="22"/>
        </w:rPr>
        <w:t>Re</w:t>
      </w:r>
      <w:r>
        <w:rPr>
          <w:rFonts w:ascii="Times New Roman" w:hAnsi="Times New Roman"/>
          <w:color w:val="231F20"/>
          <w:sz w:val="22"/>
        </w:rPr>
        <w:t xml:space="preserve">: </w:t>
      </w:r>
      <w:r>
        <w:rPr>
          <w:rFonts w:ascii="Times New Roman" w:hAnsi="Times New Roman"/>
          <w:b/>
          <w:color w:val="231F20"/>
          <w:sz w:val="22"/>
        </w:rPr>
        <w:t>Resignation and Consulting Agreement</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Dear Ms. Feder:</w:t>
      </w:r>
    </w:p>
    <w:p>
      <w:pPr>
        <w:pStyle w:val="TextBody"/>
        <w:bidi w:val="0"/>
        <w:spacing w:before="0" w:after="240"/>
        <w:jc w:val="left"/>
        <w:rPr>
          <w:rFonts w:ascii="Times New Roman" w:hAnsi="Times New Roman"/>
          <w:sz w:val="20"/>
        </w:rPr>
      </w:pPr>
      <w:r>
        <w:rPr>
          <w:rFonts w:ascii="Times New Roman" w:hAnsi="Times New Roman"/>
          <w:color w:val="231F20"/>
          <w:sz w:val="22"/>
        </w:rPr>
        <w:t>This letter confirms your resignation from your employment with Aura Biosciences, Inc. (the “</w:t>
      </w:r>
      <w:r>
        <w:rPr>
          <w:rFonts w:ascii="Times New Roman" w:hAnsi="Times New Roman"/>
          <w:color w:val="231F20"/>
          <w:sz w:val="22"/>
          <w:u w:val="single"/>
        </w:rPr>
        <w:t>Company</w:t>
      </w:r>
      <w:r>
        <w:rPr>
          <w:rFonts w:ascii="Times New Roman" w:hAnsi="Times New Roman"/>
          <w:color w:val="231F20"/>
          <w:sz w:val="20"/>
        </w:rPr>
        <w:t>”</w:t>
      </w:r>
      <w:r>
        <w:rPr>
          <w:rFonts w:ascii="Times New Roman" w:hAnsi="Times New Roman"/>
          <w:color w:val="231F20"/>
          <w:sz w:val="22"/>
        </w:rPr>
        <w:t>) effective on October 25, 2024 (the “</w:t>
      </w:r>
      <w:r>
        <w:rPr>
          <w:rFonts w:ascii="Times New Roman" w:hAnsi="Times New Roman"/>
          <w:color w:val="231F20"/>
          <w:sz w:val="22"/>
          <w:u w:val="single"/>
        </w:rPr>
        <w:t>Resignation Date</w:t>
      </w:r>
      <w:r>
        <w:rPr>
          <w:rFonts w:ascii="Times New Roman" w:hAnsi="Times New Roman"/>
          <w:color w:val="231F20"/>
          <w:sz w:val="20"/>
        </w:rPr>
        <w:t>”</w:t>
      </w:r>
      <w:r>
        <w:rPr>
          <w:rFonts w:ascii="Times New Roman" w:hAnsi="Times New Roman"/>
          <w:color w:val="231F20"/>
          <w:sz w:val="22"/>
        </w:rPr>
        <w:t>). The Company is also offering you the opportunity to enter into a consulting relationship with the Company following the Resignation Date. The terms of the consulting engagement, should you accept this offer, are set forth below (the “</w:t>
      </w:r>
      <w:r>
        <w:rPr>
          <w:rFonts w:ascii="Times New Roman" w:hAnsi="Times New Roman"/>
          <w:color w:val="231F20"/>
          <w:sz w:val="22"/>
          <w:u w:val="single"/>
        </w:rPr>
        <w:t>Consulting Agreement</w:t>
      </w:r>
      <w:r>
        <w:rPr>
          <w:rFonts w:ascii="Times New Roman" w:hAnsi="Times New Roman"/>
          <w:color w:val="231F20"/>
          <w:sz w:val="20"/>
        </w:rPr>
        <w:t>”</w:t>
      </w:r>
      <w:r>
        <w:rPr>
          <w:rFonts w:ascii="Times New Roman" w:hAnsi="Times New Roman"/>
          <w:color w:val="231F20"/>
          <w:sz w:val="22"/>
        </w:rPr>
        <w: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left"/>
        <w:rPr/>
      </w:pPr>
      <w:r>
        <w:rPr>
          <w:rFonts w:ascii="Times New Roman" w:hAnsi="Times New Roman"/>
          <w:color w:val="000000"/>
          <w:sz w:val="22"/>
          <w:u w:val="single"/>
        </w:rPr>
        <w:t>Consulting Period; Services; Consideration</w:t>
      </w:r>
      <w:r>
        <w:rPr>
          <w:rFonts w:ascii="Times New Roman" w:hAnsi="Times New Roman"/>
          <w:color w:val="000000"/>
          <w:sz w:val="22"/>
        </w:rPr>
        <w:t>. Provided you enter into, do not revoke and comply with the Transition and Release Agreement with the Company, which was provided to you on September 25, 2024 (the “</w:t>
      </w:r>
      <w:r>
        <w:rPr>
          <w:rFonts w:ascii="Times New Roman" w:hAnsi="Times New Roman"/>
          <w:color w:val="000000"/>
          <w:sz w:val="22"/>
          <w:u w:val="single"/>
        </w:rPr>
        <w:t>Release Agreement</w:t>
      </w:r>
      <w:r>
        <w:rPr>
          <w:color w:val="000000"/>
        </w:rPr>
        <w:t>”</w:t>
      </w:r>
      <w:r>
        <w:rPr>
          <w:rFonts w:ascii="Times New Roman" w:hAnsi="Times New Roman"/>
          <w:color w:val="000000"/>
          <w:sz w:val="22"/>
        </w:rPr>
        <w:t>), the term of this Consulting Agreement and your services as a consultant for the Company shall commence immediately following the Resignation Date and, unless terminated earlier pursuant to Section 6 below, shall continue in effect through December 31, 2024 (the “</w:t>
      </w:r>
      <w:r>
        <w:rPr>
          <w:rFonts w:ascii="Times New Roman" w:hAnsi="Times New Roman"/>
          <w:color w:val="000000"/>
          <w:sz w:val="22"/>
          <w:u w:val="single"/>
        </w:rPr>
        <w:t>Consulting Period</w:t>
      </w:r>
      <w:r>
        <w:rPr>
          <w:color w:val="000000"/>
        </w:rPr>
        <w:t>”</w:t>
      </w:r>
      <w:r>
        <w:rPr>
          <w:rFonts w:ascii="Times New Roman" w:hAnsi="Times New Roman"/>
          <w:color w:val="000000"/>
          <w:sz w:val="22"/>
        </w:rPr>
        <w:t>). During the Consulting Period, you shall provide to the Company the services reasonably requested by the Company that relate to your responsibilities during your employment (the “</w:t>
      </w:r>
      <w:r>
        <w:rPr>
          <w:rFonts w:ascii="Times New Roman" w:hAnsi="Times New Roman"/>
          <w:color w:val="000000"/>
          <w:sz w:val="22"/>
          <w:u w:val="single"/>
        </w:rPr>
        <w:t>Services</w:t>
      </w:r>
      <w:r>
        <w:rPr>
          <w:color w:val="000000"/>
        </w:rPr>
        <w:t>”</w:t>
      </w:r>
      <w:r>
        <w:rPr>
          <w:rFonts w:ascii="Times New Roman" w:hAnsi="Times New Roman"/>
          <w:color w:val="000000"/>
          <w:sz w:val="22"/>
        </w:rPr>
        <w:t>), with such Services approximating ten (10) hours per month on average during the Consulting Period, unless otherwise mutually agreed by you and the Company. As consideration for your agreement to this Consulting Agreement, subject to the terms of the Company’s Amended and Restated 2009 Stock Option and Restricted Stock Plan, 2018 Equity Incentive Plan and 2021 Stock Option and Incentive Plan, and the associated restricted stock unit award agreements and stock option agreements (the “</w:t>
      </w:r>
      <w:r>
        <w:rPr>
          <w:rFonts w:ascii="Times New Roman" w:hAnsi="Times New Roman"/>
          <w:color w:val="000000"/>
          <w:sz w:val="22"/>
          <w:u w:val="single"/>
        </w:rPr>
        <w:t>Equity Documents</w:t>
      </w:r>
      <w:r>
        <w:rPr>
          <w:color w:val="000000"/>
        </w:rPr>
        <w:t>”</w:t>
      </w:r>
      <w:r>
        <w:rPr>
          <w:rFonts w:ascii="Times New Roman" w:hAnsi="Times New Roman"/>
          <w:color w:val="000000"/>
          <w:sz w:val="22"/>
        </w:rPr>
        <w:t>), your previously granted equity (the “</w:t>
      </w:r>
      <w:r>
        <w:rPr>
          <w:rFonts w:ascii="Times New Roman" w:hAnsi="Times New Roman"/>
          <w:color w:val="000000"/>
          <w:sz w:val="22"/>
          <w:u w:val="single"/>
        </w:rPr>
        <w:t>Equity Grants</w:t>
      </w:r>
      <w:r>
        <w:rPr>
          <w:color w:val="000000"/>
        </w:rPr>
        <w:t>”</w:t>
      </w:r>
      <w:r>
        <w:rPr>
          <w:rFonts w:ascii="Times New Roman" w:hAnsi="Times New Roman"/>
          <w:color w:val="000000"/>
          <w:sz w:val="22"/>
        </w:rPr>
        <w:t>) shall continue to vest during the Consulting Period, provided that you comply with the restrictions on your sale of Vested Equity (as defined in the Release Agreement) as set forth in Section 3 of the Release Agreement. Consultant hereby acknowledges and agrees that (i) to the extent any Equity Grants that are stock options are currently “incentive stock options”, such shares must be exercised within three months following the date Consultant ceased being an employee of the Company to qualify as “incentive stock options”, and (ii) after such three-month period, such shares shall automatically become non-qualified stock options. Consultant is encouraged to consult with a tax advisor regarding the tax treatment of Consultant’s stock options.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left"/>
        <w:rPr/>
      </w:pPr>
      <w:r>
        <w:rPr>
          <w:rFonts w:ascii="Times New Roman" w:hAnsi="Times New Roman"/>
          <w:color w:val="000000"/>
          <w:sz w:val="22"/>
          <w:u w:val="single"/>
        </w:rPr>
        <w:t>Expenses</w:t>
      </w:r>
      <w:r>
        <w:rPr>
          <w:rFonts w:ascii="Times New Roman" w:hAnsi="Times New Roman"/>
          <w:color w:val="000000"/>
          <w:sz w:val="22"/>
        </w:rPr>
        <w:t>. The Company shall reimburse you for reasonable and necessary out-of-pocket expenses incurred by you in the performance of the Services to the Company, provided such out-of-pocket expenses are approved in advance by the Company in writing and further supported by reasonable documentation.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left"/>
        <w:rPr/>
      </w:pPr>
      <w:r>
        <w:rPr>
          <w:rFonts w:ascii="Times New Roman" w:hAnsi="Times New Roman"/>
          <w:color w:val="000000"/>
          <w:sz w:val="22"/>
          <w:u w:val="single"/>
        </w:rPr>
        <w:t>Resignation from Other Positions</w:t>
      </w:r>
      <w:r>
        <w:rPr>
          <w:rFonts w:ascii="Times New Roman" w:hAnsi="Times New Roman"/>
          <w:color w:val="000000"/>
          <w:sz w:val="22"/>
        </w:rPr>
        <w:t>. In connection with the ending of your employment, you hereby (i) resign from your status as an employee, officer or other positions you occupy at the Company and resign from your status as an employee, officer, director or other positions you occupy at any subsidiary of the Company, in each case, effective as of the last day of your employment and (ii) agree to execute such documentation as the Company reasonably requires to effectuate such resignations.</w:t>
      </w:r>
    </w:p>
    <w:p>
      <w:pPr>
        <w:pStyle w:val="TextBody"/>
        <w:bidi w:val="0"/>
        <w:spacing w:before="0" w:after="240"/>
        <w:jc w:val="left"/>
        <w:rPr>
          <w:rFonts w:ascii="Times New Roman" w:hAnsi="Times New Roman"/>
          <w:color w:val="231F20"/>
          <w:sz w:val="24"/>
          <w:u w:val="single"/>
        </w:rPr>
      </w:pPr>
      <w:r>
        <w:rPr>
          <w:rFonts w:ascii="Times New Roman" w:hAnsi="Times New Roman"/>
          <w:color w:val="231F20"/>
          <w:sz w:val="24"/>
          <w:u w:val="single"/>
        </w:rPr>
        <w:t>4.</w:t>
      </w:r>
    </w:p>
    <w:p>
      <w:pPr>
        <w:pStyle w:val="TextBody"/>
        <w:bidi w:val="0"/>
        <w:spacing w:before="0" w:after="240"/>
        <w:jc w:val="left"/>
        <w:rPr/>
      </w:pPr>
      <w:r>
        <w:rPr>
          <w:rFonts w:ascii="Times New Roman" w:hAnsi="Times New Roman"/>
          <w:color w:val="231F20"/>
          <w:sz w:val="22"/>
          <w:u w:val="single"/>
        </w:rPr>
        <w:t>Ongoing Obligations</w:t>
      </w:r>
      <w:r>
        <w:rPr>
          <w:rFonts w:ascii="Times New Roman" w:hAnsi="Times New Roman"/>
          <w:color w:val="231F20"/>
          <w:sz w:val="22"/>
        </w:rPr>
        <w:t xml:space="preserve">. You are subject to continuing obligations under (i) </w:t>
      </w:r>
      <w:r>
        <w:rPr>
          <w:rFonts w:ascii="Times New Roman" w:hAnsi="Times New Roman"/>
          <w:color w:val="000000"/>
          <w:sz w:val="22"/>
        </w:rPr>
        <w:t>your Confidential Information, Non-Solicitation and Invention Assignment Agreement (the “</w:t>
      </w:r>
      <w:r>
        <w:rPr>
          <w:rFonts w:ascii="Times New Roman" w:hAnsi="Times New Roman"/>
          <w:color w:val="000000"/>
          <w:sz w:val="22"/>
          <w:u w:val="single"/>
        </w:rPr>
        <w:t xml:space="preserve">Restrictive </w:t>
      </w:r>
      <w:r>
        <w:rPr>
          <w:rFonts w:ascii="Times New Roman" w:hAnsi="Times New Roman"/>
          <w:color w:val="3F3F3F"/>
          <w:sz w:val="22"/>
          <w:u w:val="single"/>
        </w:rPr>
        <w:t xml:space="preserve">Covenants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u w:val="single"/>
        </w:rPr>
        <w:t>Agreement</w:t>
      </w:r>
      <w:r>
        <w:rPr>
          <w:color w:val="000000"/>
        </w:rPr>
        <w:t>”</w:t>
      </w:r>
      <w:r>
        <w:rPr>
          <w:rFonts w:ascii="Times New Roman" w:hAnsi="Times New Roman"/>
          <w:color w:val="000000"/>
          <w:sz w:val="22"/>
        </w:rPr>
        <w:t xml:space="preserve">), </w:t>
      </w:r>
      <w:r>
        <w:rPr>
          <w:rFonts w:ascii="Times New Roman" w:hAnsi="Times New Roman"/>
          <w:color w:val="231F20"/>
          <w:sz w:val="22"/>
        </w:rPr>
        <w:t xml:space="preserve">(ii) </w:t>
      </w:r>
      <w:r>
        <w:rPr>
          <w:rFonts w:ascii="Times New Roman" w:hAnsi="Times New Roman"/>
          <w:color w:val="000000"/>
          <w:sz w:val="22"/>
        </w:rPr>
        <w:t>Section 10 (Non-disparagement) of your offer letter with the Company dated August 10, 2018</w:t>
      </w:r>
      <w:r>
        <w:rPr>
          <w:rFonts w:ascii="Times New Roman" w:hAnsi="Times New Roman"/>
          <w:color w:val="231F20"/>
          <w:sz w:val="22"/>
        </w:rPr>
        <w:t>, and (iii) the Release Agreement (collectively, the “</w:t>
      </w:r>
      <w:r>
        <w:rPr>
          <w:rFonts w:ascii="Times New Roman" w:hAnsi="Times New Roman"/>
          <w:color w:val="231F20"/>
          <w:sz w:val="22"/>
          <w:u w:val="single"/>
        </w:rPr>
        <w:t>Ongoing Obligations</w:t>
      </w:r>
      <w:r>
        <w:rPr>
          <w:color w:val="231F20"/>
        </w:rPr>
        <w:t>”</w:t>
      </w:r>
      <w:r>
        <w:rPr>
          <w:rFonts w:ascii="Times New Roman" w:hAnsi="Times New Roman"/>
          <w:color w:val="231F20"/>
          <w:sz w:val="22"/>
        </w:rPr>
        <w:t>). The Ongoing Obligations, along with any other confidentiality and restrictive covenant obligations you have to the Company, shall remain in full force and effect, and are incorporated by reference herein. Additionally, you shall continue to be subject to the terms of the Company’s Amended and Restated Insider Trading Policy and any other policies applicable to consultants.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left"/>
        <w:rPr/>
      </w:pPr>
      <w:r>
        <w:rPr>
          <w:rFonts w:ascii="Times New Roman" w:hAnsi="Times New Roman"/>
          <w:color w:val="000000"/>
          <w:sz w:val="22"/>
          <w:u w:val="single"/>
        </w:rPr>
        <w:t>Independent Contractor</w:t>
      </w:r>
      <w:r>
        <w:rPr>
          <w:rFonts w:ascii="Times New Roman" w:hAnsi="Times New Roman"/>
          <w:color w:val="000000"/>
          <w:sz w:val="22"/>
        </w:rPr>
        <w:t>. You agree that you are not, nor shall you be deemed to be at any time during the term of this Consulting Agreement, an employee of the Company. Your status and relationship with the Company shall be that of an independent contractor and consultant. You shall not state or imply, directly or indirectly, that you are empowered to bind the Company without the Company’s prior written consent. Nothing herein shall create, expressly or by implication, a partnership, joint venture or other association between you and the Company. You acknowledge and agree that you are obligated to pay all taxes, unemployment, disability insurance and workers’ compensation payments applicable to you or the Services, and that you will not be eligible for any employee benefits, except as specified herein or in the Release Agreement, and expressly waive any entitlement to such benefits. You agree that the Services will be provided by you directly and not any other person or entity.</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Except insofar as it would preclude you from providing the Services under this Consulting Agreement or violate a term of this Consulting Agreement or the Ongoing Obligations, you are free to perform services for any other person.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left"/>
        <w:rPr/>
      </w:pPr>
      <w:r>
        <w:rPr>
          <w:rFonts w:ascii="Times New Roman" w:hAnsi="Times New Roman"/>
          <w:color w:val="000000"/>
          <w:sz w:val="22"/>
          <w:u w:val="single"/>
        </w:rPr>
        <w:t>Cancellation of Services</w:t>
      </w:r>
      <w:r>
        <w:rPr>
          <w:rFonts w:ascii="Times New Roman" w:hAnsi="Times New Roman"/>
          <w:color w:val="000000"/>
          <w:sz w:val="22"/>
        </w:rPr>
        <w:t>. The Company may, at any time, terminate the performance of all or any portion of the Services to be provided hereunder and either you or the Company may terminate this Consulting Agreement upon sixty (60) days prior written notice to the non?terminating party stating its intention to terminate. The Company, however, may immediately terminate the Services and this Agreement for Cause. For purposes of this Consulting Agreement, “</w:t>
      </w:r>
      <w:r>
        <w:rPr>
          <w:rFonts w:ascii="Times New Roman" w:hAnsi="Times New Roman"/>
          <w:color w:val="000000"/>
          <w:sz w:val="22"/>
          <w:u w:val="single"/>
        </w:rPr>
        <w:t>Cause</w:t>
      </w:r>
      <w:r>
        <w:rPr>
          <w:color w:val="000000"/>
        </w:rPr>
        <w:t xml:space="preserve">” </w:t>
      </w:r>
      <w:r>
        <w:rPr>
          <w:rFonts w:ascii="Times New Roman" w:hAnsi="Times New Roman"/>
          <w:color w:val="000000"/>
          <w:sz w:val="22"/>
        </w:rPr>
        <w:t>shall mean, as determined by the Company in good faith: (a) willful failure or refusal to perform the Services; (b) your material breach of any written agreement between you and the Company, including but not limited to this Consulting Agreement and the Ongoing Obligations; or (c) your gross negligence or willful misconduct that would reasonably be expected to result in material injury or reputational harm to the Company if you were to continue to be engaged by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left"/>
        <w:rPr/>
      </w:pPr>
      <w:r>
        <w:rPr>
          <w:rFonts w:ascii="Times New Roman" w:hAnsi="Times New Roman"/>
          <w:color w:val="000000"/>
          <w:sz w:val="22"/>
          <w:u w:val="single"/>
        </w:rPr>
        <w:t>Warranties of Consultant</w:t>
      </w:r>
      <w:r>
        <w:rPr>
          <w:rFonts w:ascii="Times New Roman" w:hAnsi="Times New Roman"/>
          <w:color w:val="000000"/>
          <w:sz w:val="22"/>
        </w:rPr>
        <w:t xml:space="preserve">. You represent to the Company that (i) with respect to any information, know-how, knowledge or data disclosed by you to the Company in the performance of this Consulting Agreement, you have the full and unrestricted right to disclose the same; and (ii) you are free to undertake the services required by this Agreement, and there is, and shall be, </w:t>
      </w:r>
      <w:r>
        <w:rPr>
          <w:rFonts w:ascii="Times New Roman" w:hAnsi="Times New Roman"/>
          <w:color w:val="231F20"/>
          <w:sz w:val="22"/>
        </w:rPr>
        <w:t>no conflict of interest between your performance of this Consulting Agreement and any obligation you may have to other parties.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left"/>
        <w:rPr/>
      </w:pPr>
      <w:r>
        <w:rPr>
          <w:rFonts w:ascii="Times New Roman" w:hAnsi="Times New Roman"/>
          <w:color w:val="000000"/>
          <w:sz w:val="22"/>
          <w:u w:val="single"/>
        </w:rPr>
        <w:t>Indemnification</w:t>
      </w:r>
      <w:r>
        <w:rPr>
          <w:rFonts w:ascii="Times New Roman" w:hAnsi="Times New Roman"/>
          <w:color w:val="000000"/>
          <w:sz w:val="22"/>
        </w:rPr>
        <w:t>. You shall indemnify and hold the Company, its affiliates and their respective directors, officers, agents and employees harmless from and against all claims, demands, losses, damages and judgments, including court costs and attorneys’ fees, arising out of or based upon any breach or alleged breach by you of any obligation set forth in this Consulting Agreement, or your gross negligence or willful misconduct. You further agree to indemnify the Company and hold it harmless to the extent of any obligation imposed on the Company (i) to pay withholding taxes or any other applicable taxes or (ii) otherwise resulting from you being determined not to be an independent contractor.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left"/>
        <w:rPr/>
      </w:pPr>
      <w:r>
        <w:rPr>
          <w:rFonts w:ascii="Times New Roman" w:hAnsi="Times New Roman"/>
          <w:color w:val="000000"/>
          <w:sz w:val="22"/>
          <w:u w:val="single"/>
        </w:rPr>
        <w:t>Entire Agreement; Jurisdiction; Governing Law; Interpretation</w:t>
      </w:r>
      <w:r>
        <w:rPr>
          <w:rFonts w:ascii="Times New Roman" w:hAnsi="Times New Roman"/>
          <w:color w:val="000000"/>
          <w:sz w:val="22"/>
        </w:rPr>
        <w:t xml:space="preserve">. This Consulting Agreement and the Ongoing Obligations constitute the entire agreement between you and the Company with respect to the matters contained herein, and supersede all proposals and agreements, written or oral, and all other communications between you and the Company relating to the subject matter of this Consulting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Agreement. You and the Company hereby agree that the state and federal courts of Massachusetts shall have the exclusive jurisdiction to consider any matters related to this Consulting Agreement. This Consulting Agreement shall be interpreted and enforced under the laws of the Commonwealth of Massachusetts, without regard to conflict of law principles. This Consulting Agreement may not be modified or amended except in writing signed or executed by you and the Company. In case any provisions (or portions thereof) contained in this Consulting Agreement will, for any reason, be held invalid, illegal or unenforceable in any respect, such invalidity, illegality or unenforceability will not affect the other provisions of this Consulting Agreement, and this Consulting Agreement will be construed as if such invalid, illegal or unenforceable provision had never been contained herein.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left"/>
        <w:rPr/>
      </w:pPr>
      <w:r>
        <w:rPr>
          <w:rFonts w:ascii="Times New Roman" w:hAnsi="Times New Roman"/>
          <w:color w:val="000000"/>
          <w:sz w:val="22"/>
          <w:u w:val="single"/>
        </w:rPr>
        <w:t>Effective Date</w:t>
      </w:r>
      <w:r>
        <w:rPr>
          <w:rFonts w:ascii="Times New Roman" w:hAnsi="Times New Roman"/>
          <w:color w:val="000000"/>
          <w:sz w:val="22"/>
        </w:rPr>
        <w:t>. To accept this Consulting Agreement, you must return a signed original or a signed PDF copy of this Consulting Agreement so that it is received by the General Counsel of the Company by 5:00 PM on September 26, 2024. This Consulting Agreement shall become effective on the day it becomes fully executed.</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Please indicate your agreement to the terms of this Consulting Agreement by signing and returning to the Chief Executive Officer the original or a PDF copy of this Consulting Agreement within the time period set forth above.</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Sincerely,</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AURA BIOSCIENCES, INC.</w:t>
      </w:r>
    </w:p>
    <w:p>
      <w:pPr>
        <w:pStyle w:val="TextBody"/>
        <w:bidi w:val="0"/>
        <w:jc w:val="left"/>
        <w:rPr>
          <w:rFonts w:ascii="Times New Roman" w:hAnsi="Times New Roman"/>
          <w:sz w:val="20"/>
        </w:rPr>
      </w:pPr>
      <w:r>
        <w:rPr>
          <w:rFonts w:ascii="Times New Roman" w:hAnsi="Times New Roman"/>
          <w:color w:val="231F20"/>
          <w:sz w:val="22"/>
        </w:rPr>
        <w:t xml:space="preserve">By: </w:t>
      </w:r>
      <w:r>
        <w:rPr>
          <w:rFonts w:ascii="Times New Roman" w:hAnsi="Times New Roman"/>
          <w:color w:val="231F20"/>
          <w:sz w:val="22"/>
          <w:u w:val="single"/>
        </w:rPr>
        <w:t xml:space="preserve">/s/ Elisabet de los Pinos </w:t>
      </w:r>
    </w:p>
    <w:p>
      <w:pPr>
        <w:pStyle w:val="TextBody"/>
        <w:bidi w:val="0"/>
        <w:jc w:val="left"/>
        <w:rPr>
          <w:rFonts w:ascii="Times New Roman" w:hAnsi="Times New Roman"/>
          <w:color w:val="231F20"/>
          <w:sz w:val="22"/>
        </w:rPr>
      </w:pPr>
      <w:r>
        <w:rPr>
          <w:rFonts w:ascii="Times New Roman" w:hAnsi="Times New Roman"/>
          <w:color w:val="231F20"/>
          <w:sz w:val="22"/>
        </w:rPr>
        <w:t>Elisabet de los Pinos, PhD</w:t>
      </w:r>
    </w:p>
    <w:p>
      <w:pPr>
        <w:pStyle w:val="TextBody"/>
        <w:bidi w:val="0"/>
        <w:spacing w:before="0" w:after="240"/>
        <w:jc w:val="left"/>
        <w:rPr>
          <w:rFonts w:ascii="Times New Roman" w:hAnsi="Times New Roman"/>
          <w:color w:val="231F20"/>
          <w:sz w:val="22"/>
        </w:rPr>
      </w:pPr>
      <w:r>
        <w:rPr>
          <w:rFonts w:ascii="Times New Roman" w:hAnsi="Times New Roman"/>
          <w:color w:val="231F20"/>
          <w:sz w:val="22"/>
        </w:rPr>
        <w:t>Chief Executive Officer</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231F20"/>
          <w:sz w:val="22"/>
        </w:rPr>
      </w:pPr>
      <w:r>
        <w:rPr>
          <w:rFonts w:ascii="Times New Roman" w:hAnsi="Times New Roman"/>
          <w:color w:val="231F20"/>
          <w:sz w:val="22"/>
        </w:rPr>
        <w:t>I agree to the terms of this Consulting Agreement.</w:t>
      </w:r>
    </w:p>
    <w:tbl>
      <w:tblPr>
        <w:tblW w:w="2642" w:type="dxa"/>
        <w:jc w:val="left"/>
        <w:tblInd w:w="0" w:type="dxa"/>
        <w:tblLayout w:type="fixed"/>
        <w:tblCellMar>
          <w:top w:w="28" w:type="dxa"/>
          <w:left w:w="28" w:type="dxa"/>
          <w:bottom w:w="28" w:type="dxa"/>
          <w:right w:w="28" w:type="dxa"/>
        </w:tblCellMar>
      </w:tblPr>
      <w:tblGrid>
        <w:gridCol w:w="1471"/>
        <w:gridCol w:w="1171"/>
      </w:tblGrid>
      <w:tr>
        <w:trPr/>
        <w:tc>
          <w:tcPr>
            <w:tcW w:w="14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231F20"/>
                <w:sz w:val="22"/>
                <w:u w:val="single"/>
              </w:rPr>
              <w:t xml:space="preserve">/s/ Julie Feder </w:t>
            </w:r>
            <w:r>
              <w:rPr>
                <w:rFonts w:ascii="Times New Roman" w:hAnsi="Times New Roman"/>
                <w:color w:val="000000"/>
                <w:sz w:val="22"/>
              </w:rPr>
              <w:br/>
              <w:t>Julie Feder</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231F20"/>
                <w:sz w:val="22"/>
                <w:u w:val="single"/>
              </w:rPr>
              <w:t xml:space="preserve">9/26/2024 </w:t>
            </w:r>
            <w:r>
              <w:rPr>
                <w:rFonts w:ascii="Times New Roman" w:hAnsi="Times New Roman"/>
                <w:color w:val="000000"/>
                <w:sz w:val="22"/>
              </w:rPr>
              <w:br/>
              <w:t>Date</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aura-ex10_3.htm"/>
      <w:bookmarkStart w:id="27" w:name="ksauraex10_3"/>
      <w:bookmarkEnd w:id="26"/>
      <w:bookmarkEnd w:id="27"/>
      <w:r>
        <w:rPr>
          <w:rFonts w:ascii="Times New Roman" w:hAnsi="Times New Roman"/>
          <w:b/>
          <w:color w:val="000000"/>
          <w:sz w:val="24"/>
        </w:rPr>
        <w:t>Exhibit 10.3</w:t>
      </w:r>
      <w:r>
        <w:br w:type="page"/>
      </w:r>
    </w:p>
    <w:p>
      <w:pPr>
        <w:pStyle w:val="TextBody"/>
        <w:bidi w:val="0"/>
        <w:jc w:val="left"/>
        <w:rPr/>
      </w:pPr>
      <w:r>
        <w:rPr/>
        <w:t> </w:t>
      </w:r>
    </w:p>
    <w:p>
      <w:pPr>
        <w:pStyle w:val="TextBody"/>
        <w:bidi w:val="0"/>
        <w:spacing w:before="0" w:after="240"/>
        <w:jc w:val="center"/>
        <w:rPr>
          <w:rFonts w:ascii="Times New Roman" w:hAnsi="Times New Roman"/>
          <w:b/>
          <w:smallCaps/>
          <w:color w:val="000000"/>
          <w:sz w:val="28"/>
        </w:rPr>
      </w:pPr>
      <w:r>
        <w:rPr>
          <w:rFonts w:ascii="Times New Roman" w:hAnsi="Times New Roman"/>
          <w:b/>
          <w:smallCaps/>
          <w:color w:val="000000"/>
          <w:sz w:val="28"/>
        </w:rPr>
        <w:t>Aura Biosciences, Inc.</w:t>
      </w:r>
    </w:p>
    <w:p>
      <w:pPr>
        <w:pStyle w:val="TextBody"/>
        <w:bidi w:val="0"/>
        <w:spacing w:before="0" w:after="360"/>
        <w:jc w:val="center"/>
        <w:rPr>
          <w:rFonts w:ascii="Times New Roman" w:hAnsi="Times New Roman"/>
          <w:b/>
          <w:smallCaps/>
          <w:color w:val="000000"/>
          <w:sz w:val="28"/>
        </w:rPr>
      </w:pPr>
      <w:r>
        <w:rPr>
          <w:rFonts w:ascii="Times New Roman" w:hAnsi="Times New Roman"/>
          <w:b/>
          <w:smallCaps/>
          <w:color w:val="000000"/>
          <w:sz w:val="28"/>
        </w:rPr>
        <w:t>Executive Severance Plan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left"/>
        <w:rPr/>
      </w:pPr>
      <w:r>
        <w:rPr>
          <w:rFonts w:ascii="Times New Roman" w:hAnsi="Times New Roman"/>
          <w:color w:val="000000"/>
          <w:sz w:val="24"/>
          <w:u w:val="single"/>
        </w:rPr>
        <w:t>Purpose</w:t>
      </w:r>
      <w:r>
        <w:rPr>
          <w:rFonts w:ascii="Times New Roman" w:hAnsi="Times New Roman"/>
          <w:color w:val="000000"/>
          <w:sz w:val="24"/>
        </w:rPr>
        <w:t>. Aura Biosciences, Inc., a Delaware corporation (the “Company”), considers it essential to the best interests of its stockholders to foster the continuous employment of key management personnel. The Board of Directors of the Company (the “Board”) recognizes, however, that, as is the case with many publicly-held corporations, the possibility of an involuntary termination of employment exists and that such possibility, and the uncertainty and questions that it may raise among management, may result in the departure or distraction of management personnel to the detriment of the Company and its stockholders. Therefore, the Board has determined that the Aura Biosciences, Inc. Executive Severance Plan (the “Plan”) should be adopted to reinforce and encourage the continued attention and dedication of the Company’s Covered Executives (as defined in Section 2 hereof) to their assigned duties without distraction. Nothing in this Plan shall be construed as creating an express or implied contract of employment and nothing shall alter the “at will” nature of the Covered Executives’ employment with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left"/>
        <w:rPr/>
      </w:pPr>
      <w:r>
        <w:rPr>
          <w:rFonts w:ascii="Times New Roman" w:hAnsi="Times New Roman"/>
          <w:color w:val="000000"/>
          <w:sz w:val="24"/>
          <w:u w:val="single"/>
        </w:rPr>
        <w:t>Definitions</w:t>
      </w:r>
      <w:r>
        <w:rPr>
          <w:rFonts w:ascii="Times New Roman" w:hAnsi="Times New Roman"/>
          <w:color w:val="000000"/>
          <w:sz w:val="24"/>
        </w:rPr>
        <w:t>.</w:t>
      </w:r>
      <w:r>
        <w:rPr>
          <w:color w:val="000000"/>
        </w:rPr>
        <w:t xml:space="preserve"> </w:t>
      </w:r>
      <w:r>
        <w:rPr>
          <w:rFonts w:ascii="Times New Roman" w:hAnsi="Times New Roman"/>
          <w:color w:val="000000"/>
          <w:sz w:val="24"/>
        </w:rPr>
        <w:t>The following terms shall be defined as set forth below:</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color w:val="000000"/>
        </w:rPr>
        <w:t>“</w:t>
      </w:r>
      <w:r>
        <w:rPr>
          <w:rFonts w:ascii="Times New Roman" w:hAnsi="Times New Roman"/>
          <w:i/>
          <w:color w:val="000000"/>
          <w:sz w:val="24"/>
        </w:rPr>
        <w:t xml:space="preserve">Accounting Firm” </w:t>
      </w:r>
      <w:r>
        <w:rPr>
          <w:rFonts w:ascii="Times New Roman" w:hAnsi="Times New Roman"/>
          <w:color w:val="000000"/>
          <w:sz w:val="24"/>
        </w:rPr>
        <w:t>shall mean a nationally recognized accounting firm selected by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color w:val="000000"/>
        </w:rPr>
        <w:t>“</w:t>
      </w:r>
      <w:r>
        <w:rPr>
          <w:rFonts w:ascii="Times New Roman" w:hAnsi="Times New Roman"/>
          <w:i/>
          <w:color w:val="000000"/>
          <w:sz w:val="24"/>
        </w:rPr>
        <w:t>Administrator”</w:t>
      </w:r>
      <w:r>
        <w:rPr>
          <w:color w:val="000000"/>
        </w:rPr>
        <w:t xml:space="preserve"> </w:t>
      </w:r>
      <w:r>
        <w:rPr>
          <w:rFonts w:ascii="Times New Roman" w:hAnsi="Times New Roman"/>
          <w:color w:val="000000"/>
          <w:sz w:val="24"/>
        </w:rPr>
        <w:t xml:space="preserve">means the Board or the Compensation Committee of the Board.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color w:val="000000"/>
        </w:rPr>
        <w:t>“</w:t>
      </w:r>
      <w:r>
        <w:rPr>
          <w:rFonts w:ascii="Times New Roman" w:hAnsi="Times New Roman"/>
          <w:i/>
          <w:color w:val="000000"/>
          <w:sz w:val="24"/>
        </w:rPr>
        <w:t>Base Salary</w:t>
      </w:r>
      <w:r>
        <w:rPr>
          <w:color w:val="000000"/>
        </w:rPr>
        <w:t xml:space="preserve">” </w:t>
      </w:r>
      <w:r>
        <w:rPr>
          <w:rFonts w:ascii="Times New Roman" w:hAnsi="Times New Roman"/>
          <w:color w:val="000000"/>
          <w:sz w:val="24"/>
        </w:rPr>
        <w:t>shall mean the higher of (i) the annual base salary in effect immediately prior to the Date of Termination (prior to any “Good Reason” reduction) or (ii) the annual base salary in effect immediately prior to the Change in Control (if applicable).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color w:val="000000"/>
        </w:rPr>
        <w:t>“</w:t>
      </w:r>
      <w:r>
        <w:rPr>
          <w:rFonts w:ascii="Times New Roman" w:hAnsi="Times New Roman"/>
          <w:i/>
          <w:color w:val="000000"/>
          <w:sz w:val="24"/>
        </w:rPr>
        <w:t>Cause</w:t>
      </w:r>
      <w:r>
        <w:rPr>
          <w:color w:val="000000"/>
        </w:rPr>
        <w:t xml:space="preserve">” </w:t>
      </w:r>
      <w:r>
        <w:rPr>
          <w:rFonts w:ascii="Times New Roman" w:hAnsi="Times New Roman"/>
          <w:color w:val="000000"/>
          <w:sz w:val="24"/>
        </w:rPr>
        <w:t xml:space="preserve">shall mean that the Covered Executive has: (i) violated the Covered Executive’s fiduciary duty to the Company or committed any other act involving material dishonesty or fraud with respect to the Company; (ii) been indicted for or pled guilty or </w:t>
      </w:r>
      <w:r>
        <w:rPr>
          <w:rFonts w:ascii="Times New Roman" w:hAnsi="Times New Roman"/>
          <w:i/>
          <w:color w:val="000000"/>
          <w:sz w:val="24"/>
        </w:rPr>
        <w:t>nolo contendere</w:t>
      </w:r>
      <w:r>
        <w:rPr>
          <w:color w:val="000000"/>
        </w:rPr>
        <w:t xml:space="preserve"> </w:t>
      </w:r>
      <w:r>
        <w:rPr>
          <w:rFonts w:ascii="Times New Roman" w:hAnsi="Times New Roman"/>
          <w:color w:val="000000"/>
          <w:sz w:val="24"/>
        </w:rPr>
        <w:t>to a felony involving violence, conversion, theft or misappropriation of property of another, controlled substances, moral turpitude, or the regulatory good standing of the Company; (iii) engaged in grossly negligent or willful misconduct that the Company determines to be materially injurious to the Company; (iv) willfully violated any Company policy that harmed the Company or breached any material provision of any agreement between the Covered Executive and the Company; or (v) failed or refused to perform the Covered Executive’s material duties or failed or refused to follow a lawful directive from the Board or, with respect to the Tier 2 Executives, the CEO, unrelated to a Disability. Further, before terminating the Covered Executive for Cause the Company will provide the Covered Executive in writing the reason for the Covered Executive’s termination, and if the Company determines that the Covered Executive can cure, ten (10) business days to cure. For purposes of clarity, receiving a poor performance review is not Cause for purposes of this Plan. If the Covered Executive is given a cure period, the Company will only terminate the Covered Executive’s employment if the Covered Executive failed to cure.</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color w:val="000000"/>
        </w:rPr>
        <w:t>“</w:t>
      </w:r>
      <w:r>
        <w:rPr>
          <w:rFonts w:ascii="Times New Roman" w:hAnsi="Times New Roman"/>
          <w:i/>
          <w:color w:val="000000"/>
          <w:sz w:val="24"/>
        </w:rPr>
        <w:t>Change in Control</w:t>
      </w:r>
      <w:r>
        <w:rPr>
          <w:color w:val="000000"/>
        </w:rPr>
        <w:t xml:space="preserve">” </w:t>
      </w:r>
      <w:r>
        <w:rPr>
          <w:rFonts w:ascii="Times New Roman" w:hAnsi="Times New Roman"/>
          <w:color w:val="000000"/>
          <w:sz w:val="24"/>
        </w:rPr>
        <w:t xml:space="preserve">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color w:val="000000"/>
        </w:rPr>
        <w:t>“</w:t>
      </w:r>
      <w:r>
        <w:rPr>
          <w:rFonts w:ascii="Times New Roman" w:hAnsi="Times New Roman"/>
          <w:i/>
          <w:color w:val="000000"/>
          <w:sz w:val="24"/>
        </w:rPr>
        <w:t>Change in Control Period</w:t>
      </w:r>
      <w:r>
        <w:rPr>
          <w:color w:val="000000"/>
        </w:rPr>
        <w:t xml:space="preserve">” </w:t>
      </w:r>
      <w:r>
        <w:rPr>
          <w:rFonts w:ascii="Times New Roman" w:hAnsi="Times New Roman"/>
          <w:color w:val="000000"/>
          <w:sz w:val="24"/>
        </w:rPr>
        <w:t>shall mean the period beginning on the date three months prior to a Change in Control and ending on the one-year anniversary of the Change in Control.</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left"/>
        <w:rPr/>
      </w:pPr>
      <w:r>
        <w:rPr>
          <w:color w:val="000000"/>
        </w:rPr>
        <w:t>“</w:t>
      </w:r>
      <w:r>
        <w:rPr>
          <w:rFonts w:ascii="Times New Roman" w:hAnsi="Times New Roman"/>
          <w:i/>
          <w:color w:val="000000"/>
          <w:sz w:val="24"/>
        </w:rPr>
        <w:t>Code”</w:t>
      </w:r>
      <w:r>
        <w:rPr>
          <w:color w:val="000000"/>
        </w:rPr>
        <w:t xml:space="preserve"> </w:t>
      </w:r>
      <w:r>
        <w:rPr>
          <w:rFonts w:ascii="Times New Roman" w:hAnsi="Times New Roman"/>
          <w:color w:val="000000"/>
          <w:sz w:val="24"/>
        </w:rPr>
        <w:t>shall mean the Internal Revenue Code of 1986, as amended.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left"/>
        <w:rPr/>
      </w:pPr>
      <w:r>
        <w:rPr>
          <w:color w:val="000000"/>
        </w:rPr>
        <w:t>“</w:t>
      </w:r>
      <w:r>
        <w:rPr>
          <w:rFonts w:ascii="Times New Roman" w:hAnsi="Times New Roman"/>
          <w:i/>
          <w:color w:val="000000"/>
          <w:sz w:val="24"/>
        </w:rPr>
        <w:t>Covered Executives</w:t>
      </w:r>
      <w:r>
        <w:rPr>
          <w:color w:val="000000"/>
        </w:rPr>
        <w:t xml:space="preserve">” </w:t>
      </w:r>
      <w:r>
        <w:rPr>
          <w:rFonts w:ascii="Times New Roman" w:hAnsi="Times New Roman"/>
          <w:color w:val="000000"/>
          <w:sz w:val="24"/>
        </w:rPr>
        <w:t>shall mean the Tier 1 Executive and Tier 2 Executives, in each case, who meet the eligibility requirements set forth in Section 4 of the Plan.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left"/>
        <w:rPr/>
      </w:pPr>
      <w:r>
        <w:rPr>
          <w:color w:val="000000"/>
        </w:rPr>
        <w:t>“</w:t>
      </w:r>
      <w:r>
        <w:rPr>
          <w:rFonts w:ascii="Times New Roman" w:hAnsi="Times New Roman"/>
          <w:i/>
          <w:color w:val="000000"/>
          <w:sz w:val="24"/>
        </w:rPr>
        <w:t>Date of Termination</w:t>
      </w:r>
      <w:r>
        <w:rPr>
          <w:color w:val="000000"/>
        </w:rPr>
        <w:t xml:space="preserve">” </w:t>
      </w:r>
      <w:r>
        <w:rPr>
          <w:rFonts w:ascii="Times New Roman" w:hAnsi="Times New Roman"/>
          <w:color w:val="000000"/>
          <w:sz w:val="24"/>
        </w:rPr>
        <w:t>shall mean the date that a Covered Executive’s employment with the Company (or any successor) ends, which date shall be specified in the Notice of Termination. Notwithstanding the foregoing, a Covered Executive’s employment shall not be deemed to have been terminated solely as a result of the Covered Executive becoming an employee of any direct or indirect successor to the business or assets of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left"/>
        <w:rPr/>
      </w:pPr>
      <w:r>
        <w:rPr>
          <w:color w:val="000000"/>
        </w:rPr>
        <w:t>“</w:t>
      </w:r>
      <w:r>
        <w:rPr>
          <w:rFonts w:ascii="Times New Roman" w:hAnsi="Times New Roman"/>
          <w:i/>
          <w:color w:val="000000"/>
          <w:sz w:val="24"/>
        </w:rPr>
        <w:t>Disability</w:t>
      </w:r>
      <w:r>
        <w:rPr>
          <w:color w:val="000000"/>
        </w:rPr>
        <w:t xml:space="preserve">” </w:t>
      </w:r>
      <w:r>
        <w:rPr>
          <w:rFonts w:ascii="Times New Roman" w:hAnsi="Times New Roman"/>
          <w:color w:val="000000"/>
          <w:sz w:val="24"/>
        </w:rPr>
        <w:t xml:space="preserve">shall mean a physical or mental illness, impairment, or condition determined by a physician reasonably selected by the Covered Executive and the Company, and if an agreement on such selection cannot be reached, selected jointly by the two physicians identified by the Covered Executive and the Company, that prevents the Covered Executive from performing the essential functions of the Covered Executive’s role, with or without a reasonable accommodation, for a period of 90 consecutive dates, or 180 days (which need not be consecutive) in any 12 month period. The determination of any such physician shall be final and conclusive for all purposes of this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left"/>
        <w:rPr/>
      </w:pPr>
      <w:r>
        <w:rPr>
          <w:color w:val="000000"/>
        </w:rPr>
        <w:t>“</w:t>
      </w:r>
      <w:r>
        <w:rPr>
          <w:rFonts w:ascii="Times New Roman" w:hAnsi="Times New Roman"/>
          <w:i/>
          <w:color w:val="000000"/>
          <w:sz w:val="24"/>
        </w:rPr>
        <w:t>Effective Date</w:t>
      </w:r>
      <w:r>
        <w:rPr>
          <w:color w:val="000000"/>
        </w:rPr>
        <w:t xml:space="preserve">” </w:t>
      </w:r>
      <w:r>
        <w:rPr>
          <w:rFonts w:ascii="Times New Roman" w:hAnsi="Times New Roman"/>
          <w:color w:val="000000"/>
          <w:sz w:val="24"/>
        </w:rPr>
        <w:t>shall mean the date the Plan is effective as set forth in Section 23 of the Plan.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left"/>
        <w:rPr/>
      </w:pPr>
      <w:r>
        <w:rPr>
          <w:color w:val="000000"/>
        </w:rPr>
        <w:t>“</w:t>
      </w:r>
      <w:r>
        <w:rPr>
          <w:rFonts w:ascii="Times New Roman" w:hAnsi="Times New Roman"/>
          <w:i/>
          <w:color w:val="000000"/>
          <w:sz w:val="24"/>
        </w:rPr>
        <w:t>Existing Equity Awards</w:t>
      </w:r>
      <w:r>
        <w:rPr>
          <w:color w:val="000000"/>
        </w:rPr>
        <w:t xml:space="preserve">” </w:t>
      </w:r>
      <w:r>
        <w:rPr>
          <w:rFonts w:ascii="Times New Roman" w:hAnsi="Times New Roman"/>
          <w:color w:val="000000"/>
          <w:sz w:val="24"/>
        </w:rPr>
        <w:t>shall mean any stock options, restricted stock units or other equity awards outstanding as of the Effective Date.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left"/>
        <w:rPr/>
      </w:pPr>
      <w:r>
        <w:rPr>
          <w:color w:val="000000"/>
        </w:rPr>
        <w:t>“</w:t>
      </w:r>
      <w:r>
        <w:rPr>
          <w:rFonts w:ascii="Times New Roman" w:hAnsi="Times New Roman"/>
          <w:i/>
          <w:color w:val="000000"/>
          <w:sz w:val="24"/>
        </w:rPr>
        <w:t>Good Reason”</w:t>
      </w:r>
      <w:r>
        <w:rPr>
          <w:color w:val="000000"/>
        </w:rPr>
        <w:t xml:space="preserve"> </w:t>
      </w:r>
      <w:r>
        <w:rPr>
          <w:rFonts w:ascii="Times New Roman" w:hAnsi="Times New Roman"/>
          <w:color w:val="000000"/>
          <w:sz w:val="24"/>
        </w:rPr>
        <w:t>shall mean that the Covered Executive has completed all steps of the “Good Reason Process” following the occurrence of any of the following events without the Covered Executive’s consent (each, a “</w:t>
      </w:r>
      <w:r>
        <w:rPr>
          <w:rFonts w:ascii="Times New Roman" w:hAnsi="Times New Roman"/>
          <w:i/>
          <w:color w:val="000000"/>
          <w:sz w:val="24"/>
        </w:rPr>
        <w:t>Good Reason Condition</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Covered Executive’s responsibilities,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authority or duties;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Covered Executive’s Base Salary except for across-the-board salary reductions based on the Company’s financial performance similarly affecting all or substantially all senior management employees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breach by the Company of this Plan or any offer letter or employment agreement between the Covered Executive and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change in the geographic location at which the Covered Executive provides services to the Company.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left"/>
        <w:rPr/>
      </w:pPr>
      <w:r>
        <w:rPr>
          <w:color w:val="000000"/>
        </w:rPr>
        <w:t>“</w:t>
      </w:r>
      <w:r>
        <w:rPr>
          <w:rFonts w:ascii="Times New Roman" w:hAnsi="Times New Roman"/>
          <w:i/>
          <w:color w:val="000000"/>
          <w:sz w:val="24"/>
        </w:rPr>
        <w:t>Good Reason Process</w:t>
      </w:r>
      <w:r>
        <w:rPr>
          <w:color w:val="000000"/>
        </w:rPr>
        <w:t xml:space="preserve">” </w:t>
      </w:r>
      <w:r>
        <w:rPr>
          <w:rFonts w:ascii="Times New Roman" w:hAnsi="Times New Roman"/>
          <w:color w:val="000000"/>
          <w:sz w:val="24"/>
        </w:rPr>
        <w:t>shall mean: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Covered Executive reasonably determines in good faith that a Good Reason Condition has occurred;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Covered Executive notifies the Company in writing of the first occurrence of the Good Reason Condition within sixty (60) days of the first occurrence of such condition;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the Covered Executive cooperates in good faith with the Company’s efforts, for a period of not less than thirty (30) days following such notice (the “</w:t>
      </w:r>
      <w:r>
        <w:rPr>
          <w:rFonts w:ascii="Times New Roman" w:hAnsi="Times New Roman"/>
          <w:i/>
          <w:color w:val="000000"/>
          <w:sz w:val="24"/>
        </w:rPr>
        <w:t>Cure Period</w:t>
      </w:r>
      <w:r>
        <w:rPr>
          <w:color w:val="000000"/>
        </w:rPr>
        <w:t>”</w:t>
      </w:r>
      <w:r>
        <w:rPr>
          <w:rFonts w:ascii="Times New Roman" w:hAnsi="Times New Roman"/>
          <w:color w:val="000000"/>
          <w:sz w:val="24"/>
        </w:rPr>
        <w:t xml:space="preserve">), to remedy the Good Reason Condition;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such efforts, the Good Reason Condition continues to exist at the end of the Cure Period;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Covered Executive terminates his or her employment and provides the Company with a Notice of Termination with respect to such termination, each within sixty (60) days after the end of the Cure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cures the Good Reason Condition during the Cure Period, Good Reason shall be deemed not to have occurred.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(o)</w:t>
      </w:r>
    </w:p>
    <w:p>
      <w:pPr>
        <w:pStyle w:val="TextBody"/>
        <w:bidi w:val="0"/>
        <w:spacing w:before="0" w:after="240"/>
        <w:jc w:val="left"/>
        <w:rPr/>
      </w:pPr>
      <w:r>
        <w:rPr>
          <w:color w:val="000000"/>
        </w:rPr>
        <w:t>“</w:t>
      </w:r>
      <w:r>
        <w:rPr>
          <w:rFonts w:ascii="Times New Roman" w:hAnsi="Times New Roman"/>
          <w:i/>
          <w:color w:val="000000"/>
          <w:sz w:val="24"/>
        </w:rPr>
        <w:t>Notice of Termination</w:t>
      </w:r>
      <w:r>
        <w:rPr>
          <w:color w:val="000000"/>
        </w:rPr>
        <w:t xml:space="preserve">” </w:t>
      </w:r>
      <w:r>
        <w:rPr>
          <w:rFonts w:ascii="Times New Roman" w:hAnsi="Times New Roman"/>
          <w:color w:val="000000"/>
          <w:sz w:val="24"/>
        </w:rPr>
        <w:t xml:space="preserve">shall mean a written notice which shall indicate the specific termination provision in this Plan relied upon for the termination of a Covered Executive’s employment and the Date of Termination.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(p)</w:t>
      </w:r>
    </w:p>
    <w:p>
      <w:pPr>
        <w:pStyle w:val="TextBody"/>
        <w:bidi w:val="0"/>
        <w:spacing w:before="0" w:after="240"/>
        <w:jc w:val="left"/>
        <w:rPr/>
      </w:pPr>
      <w:r>
        <w:rPr>
          <w:color w:val="000000"/>
        </w:rPr>
        <w:t>“</w:t>
      </w:r>
      <w:r>
        <w:rPr>
          <w:rFonts w:ascii="Times New Roman" w:hAnsi="Times New Roman"/>
          <w:i/>
          <w:color w:val="000000"/>
          <w:sz w:val="24"/>
        </w:rPr>
        <w:t xml:space="preserve">Participation Agreement” </w:t>
      </w:r>
      <w:r>
        <w:rPr>
          <w:rFonts w:ascii="Times New Roman" w:hAnsi="Times New Roman"/>
          <w:color w:val="000000"/>
          <w:sz w:val="24"/>
        </w:rPr>
        <w:t>shall mean an agreement between a Covered Executive and the Company that acknowledges the Covered Executive’s participation in the Plan.</w:t>
      </w:r>
      <w:r>
        <w:rPr>
          <w:color w:val="00000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(q)</w:t>
      </w:r>
    </w:p>
    <w:p>
      <w:pPr>
        <w:pStyle w:val="TextBody"/>
        <w:bidi w:val="0"/>
        <w:spacing w:before="0" w:after="240"/>
        <w:jc w:val="left"/>
        <w:rPr/>
      </w:pPr>
      <w:r>
        <w:rPr>
          <w:color w:val="000000"/>
        </w:rPr>
        <w:t>“</w:t>
      </w:r>
      <w:r>
        <w:rPr>
          <w:rFonts w:ascii="Times New Roman" w:hAnsi="Times New Roman"/>
          <w:i/>
          <w:color w:val="000000"/>
          <w:sz w:val="24"/>
        </w:rPr>
        <w:t>Qualified Termination Event”</w:t>
      </w:r>
      <w:r>
        <w:rPr>
          <w:color w:val="000000"/>
        </w:rPr>
        <w:t xml:space="preserve"> </w:t>
      </w:r>
      <w:r>
        <w:rPr>
          <w:rFonts w:ascii="Times New Roman" w:hAnsi="Times New Roman"/>
          <w:color w:val="000000"/>
          <w:sz w:val="24"/>
        </w:rPr>
        <w:t>shall mean (i) a termination of the Covered Executive’s employment by the Company other than for Cause, death or Disability or (ii) the Covered Executive’s resignation from the Company for Good Reason.</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(r)</w:t>
      </w:r>
    </w:p>
    <w:p>
      <w:pPr>
        <w:pStyle w:val="TextBody"/>
        <w:bidi w:val="0"/>
        <w:spacing w:before="0" w:after="240"/>
        <w:jc w:val="left"/>
        <w:rPr/>
      </w:pPr>
      <w:r>
        <w:rPr>
          <w:color w:val="000000"/>
        </w:rPr>
        <w:t>“</w:t>
      </w:r>
      <w:r>
        <w:rPr>
          <w:rFonts w:ascii="Times New Roman" w:hAnsi="Times New Roman"/>
          <w:i/>
          <w:color w:val="000000"/>
          <w:sz w:val="24"/>
        </w:rPr>
        <w:t>Restrictive Covenants Agreement</w:t>
      </w:r>
      <w:r>
        <w:rPr>
          <w:color w:val="000000"/>
        </w:rPr>
        <w:t xml:space="preserve">” </w:t>
      </w:r>
      <w:r>
        <w:rPr>
          <w:rFonts w:ascii="Times New Roman" w:hAnsi="Times New Roman"/>
          <w:color w:val="000000"/>
          <w:sz w:val="24"/>
        </w:rPr>
        <w:t>shall mean the Confidential Information, Non-Solicitation, and Invention Assignment Agreement</w:t>
      </w:r>
      <w:r>
        <w:rPr>
          <w:color w:val="000000"/>
        </w:rPr>
        <w:t xml:space="preserve"> </w:t>
      </w:r>
      <w:r>
        <w:rPr>
          <w:rFonts w:ascii="Times New Roman" w:hAnsi="Times New Roman"/>
          <w:color w:val="000000"/>
          <w:sz w:val="24"/>
        </w:rPr>
        <w:t>or similar agreement entered into between the Covered Executive and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w:t>
      </w:r>
    </w:p>
    <w:p>
      <w:pPr>
        <w:pStyle w:val="TextBody"/>
        <w:bidi w:val="0"/>
        <w:spacing w:before="0" w:after="240"/>
        <w:jc w:val="left"/>
        <w:rPr/>
      </w:pPr>
      <w:r>
        <w:rPr>
          <w:color w:val="000000"/>
        </w:rPr>
        <w:t>“</w:t>
      </w:r>
      <w:r>
        <w:rPr>
          <w:rFonts w:ascii="Times New Roman" w:hAnsi="Times New Roman"/>
          <w:i/>
          <w:color w:val="000000"/>
          <w:sz w:val="24"/>
        </w:rPr>
        <w:t>Target Bonus</w:t>
      </w:r>
      <w:r>
        <w:rPr>
          <w:color w:val="000000"/>
        </w:rPr>
        <w:t xml:space="preserve">” </w:t>
      </w:r>
      <w:r>
        <w:rPr>
          <w:rFonts w:ascii="Times New Roman" w:hAnsi="Times New Roman"/>
          <w:color w:val="000000"/>
          <w:sz w:val="24"/>
        </w:rPr>
        <w:t>shall mean the Covered Executive’s target annual cash incentive compensation at the higher of (i) the rate in effect for the year in which the Qualified Termination Event occurs (prior to any reduction that constituted “Good Reason”) or (ii) at the rate in effect immediately prior to the Change in Control (if applicable).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(t)</w:t>
      </w:r>
    </w:p>
    <w:p>
      <w:pPr>
        <w:pStyle w:val="TextBody"/>
        <w:bidi w:val="0"/>
        <w:spacing w:before="0" w:after="240"/>
        <w:jc w:val="left"/>
        <w:rPr/>
      </w:pPr>
      <w:r>
        <w:rPr>
          <w:color w:val="000000"/>
        </w:rPr>
        <w:t>“</w:t>
      </w:r>
      <w:r>
        <w:rPr>
          <w:rFonts w:ascii="Times New Roman" w:hAnsi="Times New Roman"/>
          <w:i/>
          <w:color w:val="000000"/>
          <w:sz w:val="24"/>
        </w:rPr>
        <w:t>Tier 1 Executive</w:t>
      </w:r>
      <w:r>
        <w:rPr>
          <w:color w:val="000000"/>
        </w:rPr>
        <w:t xml:space="preserve">” </w:t>
      </w:r>
      <w:r>
        <w:rPr>
          <w:rFonts w:ascii="Times New Roman" w:hAnsi="Times New Roman"/>
          <w:color w:val="000000"/>
          <w:sz w:val="24"/>
        </w:rPr>
        <w:t>shall mean the Company’s Chief Executive Officer.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(u)</w:t>
      </w:r>
    </w:p>
    <w:p>
      <w:pPr>
        <w:pStyle w:val="TextBody"/>
        <w:bidi w:val="0"/>
        <w:spacing w:before="0" w:after="240"/>
        <w:jc w:val="left"/>
        <w:rPr/>
      </w:pPr>
      <w:r>
        <w:rPr>
          <w:color w:val="000000"/>
        </w:rPr>
        <w:t>“</w:t>
      </w:r>
      <w:r>
        <w:rPr>
          <w:rFonts w:ascii="Times New Roman" w:hAnsi="Times New Roman"/>
          <w:i/>
          <w:color w:val="000000"/>
          <w:sz w:val="24"/>
        </w:rPr>
        <w:t>Tier 2 Executives</w:t>
      </w:r>
      <w:r>
        <w:rPr>
          <w:color w:val="000000"/>
        </w:rPr>
        <w:t xml:space="preserve">” </w:t>
      </w:r>
      <w:r>
        <w:rPr>
          <w:rFonts w:ascii="Times New Roman" w:hAnsi="Times New Roman"/>
          <w:color w:val="000000"/>
          <w:sz w:val="24"/>
        </w:rPr>
        <w:t>shall mean the individuals designated as such by the Administrator.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Administration of the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(v)</w:t>
      </w:r>
    </w:p>
    <w:p>
      <w:pPr>
        <w:pStyle w:val="TextBody"/>
        <w:bidi w:val="0"/>
        <w:spacing w:before="0" w:after="240"/>
        <w:jc w:val="left"/>
        <w:rPr/>
      </w:pPr>
      <w:r>
        <w:rPr>
          <w:rFonts w:ascii="Times New Roman" w:hAnsi="Times New Roman"/>
          <w:color w:val="000000"/>
          <w:sz w:val="24"/>
          <w:u w:val="single"/>
        </w:rPr>
        <w:t>Administrator</w:t>
      </w:r>
      <w:r>
        <w:rPr>
          <w:rFonts w:ascii="Times New Roman" w:hAnsi="Times New Roman"/>
          <w:color w:val="000000"/>
          <w:sz w:val="24"/>
        </w:rPr>
        <w:t>. The Plan shall be administered by the Administrator.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w:t>
      </w:r>
    </w:p>
    <w:p>
      <w:pPr>
        <w:pStyle w:val="TextBody"/>
        <w:bidi w:val="0"/>
        <w:spacing w:before="0" w:after="240"/>
        <w:jc w:val="left"/>
        <w:rPr/>
      </w:pPr>
      <w:r>
        <w:rPr>
          <w:rFonts w:ascii="Times New Roman" w:hAnsi="Times New Roman"/>
          <w:color w:val="000000"/>
          <w:sz w:val="24"/>
          <w:u w:val="single"/>
        </w:rPr>
        <w:t>Powers of Administrator</w:t>
      </w:r>
      <w:r>
        <w:rPr>
          <w:rFonts w:ascii="Times New Roman" w:hAnsi="Times New Roman"/>
          <w:color w:val="000000"/>
          <w:sz w:val="24"/>
        </w:rPr>
        <w:t>. The Administrator shall have all powers necessary to enable it properly to carry out its duties with respect to the complete control of the administration of the Plan. Not in limitation, but in amplification of the foregoing, the Administrator shall have the power and authority in its discretion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construe the Plan to determine all questions that shall arise as to interpretations of the Plan’s provisions;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determine which individuals are and are not Covered Executives, designate an individual as a Tier 2 Executive, determine the benefits to which any Covered Executives may be entitled in accordance with this Plan, the eligibility requirements for participation in the Plan and all other matters pertaining to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 amendments to the Plan which are deemed necessary or desirable to comply with all applicable laws and regulations, including but not limited to Code Section 409A and the guidance thereunder;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make all determinations it deems advisable for the administration of the Plan, including the authority and ability to delegate administrative functions to a third party;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decide all disputes arising in connection with the Plan;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otherwise supervise the administration of the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All decisions and interpretations of the Administrator shall be binding on all persons, including the Company and Covered Executives.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left"/>
        <w:rPr/>
      </w:pPr>
      <w:r>
        <w:rPr>
          <w:rFonts w:ascii="Times New Roman" w:hAnsi="Times New Roman"/>
          <w:color w:val="000000"/>
          <w:sz w:val="24"/>
          <w:u w:val="single"/>
        </w:rPr>
        <w:t>Eligibility</w:t>
      </w:r>
      <w:r>
        <w:rPr>
          <w:rFonts w:ascii="Times New Roman" w:hAnsi="Times New Roman"/>
          <w:color w:val="000000"/>
          <w:sz w:val="24"/>
        </w:rPr>
        <w:t xml:space="preserve">. All Covered Executives who have executed and submitted to the Company a Participation Agreement, and satisfied such other requirements as may be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determined by the Administrator in accordance with this Plan, are eligible to participate in the Plan.</w:t>
      </w:r>
      <w:r>
        <w:rPr>
          <w:color w:val="00000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left"/>
        <w:rPr/>
      </w:pPr>
      <w:r>
        <w:rPr>
          <w:rFonts w:ascii="Times New Roman" w:hAnsi="Times New Roman"/>
          <w:color w:val="000000"/>
          <w:sz w:val="24"/>
          <w:u w:val="single"/>
        </w:rPr>
        <w:t>Termination Benefits Generally</w:t>
      </w:r>
      <w:r>
        <w:rPr>
          <w:rFonts w:ascii="Times New Roman" w:hAnsi="Times New Roman"/>
          <w:color w:val="000000"/>
          <w:sz w:val="24"/>
        </w:rPr>
        <w:t>. In the event a Covered Executive’s employment with the Company is terminated for any reason, the Company shall pay or provide to the Covered Executive any earned but unpaid salary, unpaid expense reimbursements in accordance with Company policy, accrued but unused vacation or leave entitlement, and any vested benefits the Covered Executive may have under any employee benefit plan of the Company in accordance with the terms and conditions of such employee benefit plan (collectively, the “</w:t>
      </w:r>
      <w:r>
        <w:rPr>
          <w:rFonts w:ascii="Times New Roman" w:hAnsi="Times New Roman"/>
          <w:i/>
          <w:color w:val="000000"/>
          <w:sz w:val="24"/>
        </w:rPr>
        <w:t>Accrued Benefits</w:t>
      </w:r>
      <w:r>
        <w:rPr>
          <w:color w:val="000000"/>
        </w:rPr>
        <w:t>”</w:t>
      </w:r>
      <w:r>
        <w:rPr>
          <w:rFonts w:ascii="Times New Roman" w:hAnsi="Times New Roman"/>
          <w:color w:val="000000"/>
          <w:sz w:val="24"/>
        </w:rPr>
        <w:t xml:space="preserve">), within the time required by law but in no event more than sixty (60) days after the Date of Termination.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left"/>
        <w:rPr/>
      </w:pPr>
      <w:r>
        <w:rPr>
          <w:rFonts w:ascii="Times New Roman" w:hAnsi="Times New Roman"/>
          <w:color w:val="000000"/>
          <w:sz w:val="24"/>
          <w:u w:val="single"/>
        </w:rPr>
        <w:t>Termination Not in Connection with a Change in Control</w:t>
      </w:r>
      <w:r>
        <w:rPr>
          <w:rFonts w:ascii="Times New Roman" w:hAnsi="Times New Roman"/>
          <w:color w:val="000000"/>
          <w:sz w:val="24"/>
        </w:rPr>
        <w:t>. In the event a Qualified Termination Event occurs at any time other than during the Change in Control Period, with respect to such Covered Executive, in addition to the Accrued Benefits, subject to his or her execution of a separation agreement in a form and manner satisfactory to the Company containing, among other provisions, a general release of claims in favor of the Company and related persons and entities, confidentiality, return of property, non-disparagement and reaffirmation of the Restrictive Covenants Agreement and, in the Company’s sole discretion and to the extent permitted by applicable law, a one-year post-employment non-competition agreement (it being understood that such one-year post-employment non-competition agreement shall not be required of any Covered Executive residing in California) (the “</w:t>
      </w:r>
      <w:r>
        <w:rPr>
          <w:rFonts w:ascii="Times New Roman" w:hAnsi="Times New Roman"/>
          <w:i/>
          <w:color w:val="000000"/>
          <w:sz w:val="24"/>
        </w:rPr>
        <w:t>Separation Agreement and Release</w:t>
      </w:r>
      <w:r>
        <w:rPr>
          <w:color w:val="000000"/>
        </w:rPr>
        <w:t>”</w:t>
      </w:r>
      <w:r>
        <w:rPr>
          <w:rFonts w:ascii="Times New Roman" w:hAnsi="Times New Roman"/>
          <w:color w:val="000000"/>
          <w:sz w:val="24"/>
        </w:rPr>
        <w:t>) and the Separation Agreement and Release becoming irrevocable, all within the time period set forth in the Separation Agreement and Release but in no event more than sixty (60) days after the Date of Termination, and subject to the Covered Executive complying with the Separation Agreement and Release, the Company shall:</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 the Covered Executive an amount equal to twelve (12) months’ Base Salary for the Tier 1 Executive and nine (9) months’ Base Salary for each Tier 2 Executive; and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(z)</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Covered Executive was participating in the Company’s group health and/or dental plans immediately prior to the Date of Termination and elects COBRA health continuation, then the Company shall pay to the group health or dental plan provider or the COBRA provider a monthly cash payment in an amount equal to the monthly employer contribution that the Company would have made to provide health and/or dental insurance to the Covered Executive and his or her eligible dependents’ if the Covered Executive had remained employed by the Company, based on the premiums as of the Date of Termination, until the earliest of (i) twelve (12) months for the Tier 1 Executive and nine (9) months for each Tier 2 Executive, (ii) the date as of which the Covered Executive qualifies for alternative health coverage pursuant to other employment or (iii) the cessation of the Covered Executive’s health continuation rights under COBRA; provided, however, that if the Company reasonably determines that it cannot pay such amounts to the group health or dental plan provider(s) or the COBRA provider (if applicable) without potentially violating applicable law (including, without limitation, Section 2716 of the Public Health Service Act), then the Company shall convert such payments to payroll payments directly to the Covered Executive for the time period specified above. Such payments, if to the Covered Executive, shall be subject to tax-related deductions and withholdings and paid on the Company’s regular payroll dates.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amounts payable under Section 6(a) shall be paid out in a substantially equal installments in accordance with the Company’s payroll practice over twelve (12) months for the Tier 1 Executive and nine (9) months for each Tier 2 Executive, commencing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in the second calendar year no later than the last day of such 60-day period; provided further, that the initial payment shall include a catch-up payment to cover amounts retroactive to the day immediately following the Date of Termination. Each payment pursuant to this Plan is intended to constitute a separate payment for purposes of Treasury Regulation Section 1.409A-2(b)(2).</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left"/>
        <w:rPr/>
      </w:pPr>
      <w:r>
        <w:rPr>
          <w:rFonts w:ascii="Times New Roman" w:hAnsi="Times New Roman"/>
          <w:color w:val="000000"/>
          <w:sz w:val="24"/>
          <w:u w:val="single"/>
        </w:rPr>
        <w:t>Termination in Connection with a Change in Control</w:t>
      </w:r>
      <w:r>
        <w:rPr>
          <w:rFonts w:ascii="Times New Roman" w:hAnsi="Times New Roman"/>
          <w:color w:val="000000"/>
          <w:sz w:val="24"/>
        </w:rPr>
        <w:t>. In the event a Qualified Termination Event occurs within the Change in Control Period, then with respect to such Covered Executive, in addition to the Accrued Benefits, subject to his or her execution and non-revocation of the Separation Agreement and Release, all within the time period set forth in the Separation Agreement and Release, but in no event more than sixty (60) days after the Date of Termination, the Company shall:</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(aa)</w:t>
      </w:r>
    </w:p>
    <w:p>
      <w:pPr>
        <w:pStyle w:val="TextBody"/>
        <w:bidi w:val="0"/>
        <w:spacing w:before="0" w:after="240"/>
        <w:jc w:val="left"/>
        <w:rPr/>
      </w:pPr>
      <w:r>
        <w:rPr>
          <w:rFonts w:ascii="Times New Roman" w:hAnsi="Times New Roman"/>
          <w:color w:val="000000"/>
          <w:sz w:val="24"/>
        </w:rPr>
        <w:t>notwithstanding anything to the contrary in any applicable option agreement or other stock-based award agreement, cause 100% of the outstanding and unvested equity awards with time-based vesting held by the Covered Executive to immediately become fully vested, exercisable or nonforfeitable as of the later of the Date of Termination (or, if later, upon the Change in Control) and the effective date of the Release (the “</w:t>
      </w:r>
      <w:r>
        <w:rPr>
          <w:rFonts w:ascii="Times New Roman" w:hAnsi="Times New Roman"/>
          <w:i/>
          <w:color w:val="000000"/>
          <w:sz w:val="24"/>
        </w:rPr>
        <w:t>Accelerated Vesting Date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termination or forfeiture of any of such equity awards will be delayed to the extent necessary to effectuate this provision and will not occur if the acceleration pursuant to this provision occurs. No additional vesting of such equity awards shall occur during the period between the Covered Executive’s Date of Termination and the Accelerated Vesting Date. Notwithstanding the foregoing, any Existing Equity Awards shall be subject to Section 8 of the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 to the Covered Executive an amount equal to the sum of (i) 150% of Base Salary for the Tier 1 Executive and 100% of Base Salary for each Tier 2 Executive, and (ii) 150% of the Target Bonus for the Tier 1 Executive and 100% of the Target Bonus for each Tier 2 Executive, and (iii) the Covered Executive’s Target Bonus, pro-rated for the number of days of service provided by the Covered Executive during the year in which the Date of Termination occurs; and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the Covered Executive was participating in the Company’s group health and/or dental plan immediately prior to the Date of Termination and elects COBRA health continuation, then the Company shall pay to the group health or dental plan provider or the COBRA provider a monthly cash payment in an amount equal to the monthly employer contribution that the Company would have made to provide health insurance to the Covered Executive and his or her eligible dependents’ if the Covered Executive had remained employed by the Company for eighteen (18) months for the Tier 1 Executive and twelve (12) months for each Tier 2 Executive, after the Date of Termination, based on the premiums as of the Date of Termination; provided, however, that if the Company reasonably determines that it cannot pay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the Covered Executive for the time period specified above. Such payments, if to the Covered Executive, shall be subject to tax-related deductions and withholdings and paid on the Company’s regular payroll dates.</w:t>
      </w:r>
    </w:p>
    <w:p>
      <w:pPr>
        <w:pStyle w:val="TextBody"/>
        <w:bidi w:val="0"/>
        <w:spacing w:before="0" w:after="240"/>
        <w:jc w:val="left"/>
        <w:rPr>
          <w:rFonts w:ascii="Times New Roman" w:hAnsi="Times New Roman"/>
          <w:sz w:val="20"/>
        </w:rPr>
      </w:pPr>
      <w:r>
        <w:rPr>
          <w:rFonts w:ascii="Times New Roman" w:hAnsi="Times New Roman"/>
          <w:color w:val="000000"/>
          <w:sz w:val="24"/>
        </w:rPr>
        <w:t>The amounts payable under Section 7(b) shall be paid out in a lump sum within sixty (60) days after the Date of Termination and the amounts payable under Section 7(c), as applicable, shall be paid out in a substantially equal installments in accordance with the Company’s payroll practice over eighteen (18) months for the Tier 1 Executive and twelve (12) months for each Tier 2 Executive, commencing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in the second calendar year no later than the last day of the 60-day period.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provisions of this Section 7 shall apply in lieu of, and expressly supersede, the provisions of Section 6 if (i) the Covered Executive undergoes a Qualified Termination Event and (ii) the Date of Termination is within the Change in Control Period. For the avoidance of doubt, (i) in no event will the Covered Executive be entitled to severance pay and benefits under both Section 6 and Section 7 of this Plan, and (ii) if the Company has commenced providing severance pay and benefits to the Covered Executive under Section 6 prior to the date that the Covered Executive becomes eligible to receive severance pay and benefits under this Section 7, the severance pay and benefits previously provided to the Covered Executive under Section 6 shall reduce the severance pay and benefits to be provided under this Section 7. The provisions of this Section 7 shall terminate and be of no further force or effect after the Change in Control Period.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left"/>
        <w:rPr/>
      </w:pPr>
      <w:r>
        <w:rPr>
          <w:rFonts w:ascii="Times New Roman" w:hAnsi="Times New Roman"/>
          <w:color w:val="000000"/>
          <w:sz w:val="24"/>
          <w:u w:val="single"/>
        </w:rPr>
        <w:t>Existing Equity Awards</w:t>
      </w:r>
      <w:r>
        <w:rPr>
          <w:rFonts w:ascii="Times New Roman" w:hAnsi="Times New Roman"/>
          <w:color w:val="000000"/>
          <w:sz w:val="24"/>
        </w:rPr>
        <w:t>. Notwithstanding anything to the contrary herein or in any applicable option agreement or other stock-based award agreement, upon a Change in Control, and subject to the Covered Executive’s continued employment through the date of such Change in Control, 100% of any then outstanding Existing Equity Awards shall immediately become fully vested, exercisable or nonforfeitable as of the Change in Control.</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Additional Limitation.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(dd)</w:t>
      </w:r>
    </w:p>
    <w:p>
      <w:pPr>
        <w:pStyle w:val="TextBody"/>
        <w:bidi w:val="0"/>
        <w:spacing w:before="0" w:after="240"/>
        <w:jc w:val="left"/>
        <w:rPr/>
      </w:pPr>
      <w:r>
        <w:rPr>
          <w:rFonts w:ascii="Times New Roman" w:hAnsi="Times New Roman"/>
          <w:color w:val="000000"/>
          <w:sz w:val="24"/>
        </w:rPr>
        <w:t>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 w:hAnsi="Times New Roman"/>
          <w:i/>
          <w:color w:val="000000"/>
          <w:sz w:val="24"/>
        </w:rPr>
        <w:t>Aggregate Payments</w:t>
      </w:r>
      <w:r>
        <w:rPr>
          <w:color w:val="000000"/>
        </w:rPr>
        <w:t>”</w:t>
      </w:r>
      <w:r>
        <w:rPr>
          <w:rFonts w:ascii="Times New Roman" w:hAnsi="Times New Roman"/>
          <w:color w:val="000000"/>
          <w:sz w:val="24"/>
        </w:rPr>
        <w:t xml:space="preserve">),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shall only occur if it would result in the Covered Executive receiving a higher After Tax Amount (as defined below) than the Covered Executive would receive if the Aggregate Payments were not subject to such reduction. In the event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reduction,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(ee)</w:t>
      </w:r>
    </w:p>
    <w:p>
      <w:pPr>
        <w:pStyle w:val="TextBody"/>
        <w:bidi w:val="0"/>
        <w:spacing w:before="0" w:after="240"/>
        <w:jc w:val="left"/>
        <w:rPr/>
      </w:pPr>
      <w:r>
        <w:rPr>
          <w:rFonts w:ascii="Times New Roman" w:hAnsi="Times New Roman"/>
          <w:color w:val="000000"/>
          <w:sz w:val="24"/>
        </w:rPr>
        <w:t>For purposes of this Section 9, the “</w:t>
      </w:r>
      <w:r>
        <w:rPr>
          <w:rFonts w:ascii="Times New Roman" w:hAnsi="Times New Roman"/>
          <w:i/>
          <w:color w:val="000000"/>
          <w:sz w:val="24"/>
        </w:rPr>
        <w:t>After Tax Amount</w:t>
      </w:r>
      <w:r>
        <w:rPr>
          <w:color w:val="000000"/>
        </w:rPr>
        <w:t xml:space="preserve">” </w:t>
      </w:r>
      <w:r>
        <w:rPr>
          <w:rFonts w:ascii="Times New Roman" w:hAnsi="Times New Roman"/>
          <w:color w:val="000000"/>
          <w:sz w:val="24"/>
        </w:rPr>
        <w:t>means the amount of the Aggregate Payments less all federal, state, and local income, excise and employment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(if any) which could be obtained from deduction of such state and local taxes.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determination as to whether a reduction in the Aggregate Payments shall be made pursuant to Section 9(a) shall be made by the Accounting Firm, which shall provide detailed supporting calculations both to the Company and the Covered Executive within fifteen (15) business days of the Date of Termination, if applicable, or at such earlier time as is reasonably requested by the Company or the Covered Executive. Any determination by the Accounting Firm shall be binding upon the Company and the Covered Executive.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left"/>
        <w:rPr/>
      </w:pPr>
      <w:r>
        <w:rPr>
          <w:rFonts w:ascii="Times New Roman" w:hAnsi="Times New Roman"/>
          <w:color w:val="000000"/>
          <w:sz w:val="24"/>
          <w:u w:val="single"/>
        </w:rPr>
        <w:t>Restrictive Covenants Agreement.</w:t>
      </w:r>
      <w:r>
        <w:rPr>
          <w:color w:val="000000"/>
        </w:rPr>
        <w:t xml:space="preserve"> </w:t>
      </w:r>
      <w:r>
        <w:rPr>
          <w:rFonts w:ascii="Times New Roman" w:hAnsi="Times New Roman"/>
          <w:color w:val="000000"/>
          <w:sz w:val="24"/>
        </w:rPr>
        <w:t>As a condition to participating in the Plan, each Covered Executive shall continue to comply with the terms and conditions contained in the Restrictive Covenants Agreements and such other agreement(s) as designated in the applicable Participation Agreement. If a Covered Executive has not entered into a Restrictive Covenants Agreement, he or she shall enter into such agreement prior to participating in the Plan.</w:t>
      </w:r>
      <w:r>
        <w:rPr>
          <w:color w:val="000000"/>
          <w:u w:val="single"/>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left"/>
        <w:rPr/>
      </w:pPr>
      <w:r>
        <w:rPr>
          <w:rFonts w:ascii="Times New Roman" w:hAnsi="Times New Roman"/>
          <w:color w:val="000000"/>
          <w:sz w:val="24"/>
          <w:u w:val="single"/>
        </w:rPr>
        <w:t>Withholding</w:t>
      </w:r>
      <w:r>
        <w:rPr>
          <w:rFonts w:ascii="Times New Roman" w:hAnsi="Times New Roman"/>
          <w:color w:val="000000"/>
          <w:sz w:val="24"/>
        </w:rPr>
        <w:t xml:space="preserve">. All payments made by the Company under this Plan shall be subject to any tax or other amounts required to be withheld by the Company under applicable law.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Anything in this Plan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would be considered deferred compensation subject to the twenty (20) percent additional tax imposed pursuant to Section 409A(a) of the Code as a result of the application of Section 409A(a)(2)(B)(i) of the Code, such payment shall not be payable and such benefit shall not be provided until the date that is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earlier of (i) six (6) months and one (1) day after the Covered Executive’s separation from service, or (ii)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(hh)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that this Plan will be administered in accordance with Section 409A of the Code and that all amounts payable hereunder shall be exempt from the requirements of such section as a result of being “short term deferrals” for purposes of Section 409A of the Code to the greatest extent possible. To the extent that any provision of this Plan is not exempt from Section 409A of the Code and ambiguous as to its compliance with Section 409A of the Code, the provision shall be read in such a manner to comply with Section 409A of the Code. Each payment pursuant to this Plan is intended to constitute a separate payment for purposes of Treasury Regulation Section 1.409A</w:t>
        <w:noBreakHyphen/>
        <w:t>2(b)(2). The parties agree that this Plan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(jj)</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in-kind benefits provided and expenses eligible for reimbursement under this Plan shall be provided by the Company or incurred by the Covered Executive during the time periods set forth in this Plan.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(kk)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Company makes no representation or warranty and shall have no liability to the Covered Executive or any other person if any provisions of this Plan are determined to constitute deferred compensation subject to Section 409A of the Code but do not satisfy an exemption from, or the conditions of, such Section.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left"/>
        <w:rPr/>
      </w:pPr>
      <w:r>
        <w:rPr>
          <w:rFonts w:ascii="Times New Roman" w:hAnsi="Times New Roman"/>
          <w:color w:val="000000"/>
          <w:sz w:val="24"/>
          <w:u w:val="single"/>
        </w:rPr>
        <w:t>Notice and Date of Termination</w:t>
      </w:r>
      <w:r>
        <w:rPr>
          <w:rFonts w:ascii="Times New Roman" w:hAnsi="Times New Roman"/>
          <w:color w:val="000000"/>
          <w:sz w:val="24"/>
        </w:rPr>
        <w:t>.</w:t>
      </w:r>
      <w:r>
        <w:rPr>
          <w:color w:val="000000"/>
          <w:u w:val="single"/>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(ll)</w:t>
      </w:r>
    </w:p>
    <w:p>
      <w:pPr>
        <w:pStyle w:val="TextBody"/>
        <w:bidi w:val="0"/>
        <w:spacing w:before="0" w:after="240"/>
        <w:jc w:val="left"/>
        <w:rPr/>
      </w:pPr>
      <w:r>
        <w:rPr>
          <w:rFonts w:ascii="Times New Roman" w:hAnsi="Times New Roman"/>
          <w:color w:val="000000"/>
          <w:sz w:val="24"/>
          <w:u w:val="single"/>
        </w:rPr>
        <w:t>Notice of Termination</w:t>
      </w:r>
      <w:r>
        <w:rPr>
          <w:rFonts w:ascii="Times New Roman" w:hAnsi="Times New Roman"/>
          <w:color w:val="000000"/>
          <w:sz w:val="24"/>
        </w:rPr>
        <w:t xml:space="preserve">. A termination of the Covered Executive’s employment shall be communicated by Notice of Termination from the Company to the Covered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Executive or vice versa in accordance with this Section 13.</w:t>
      </w:r>
      <w:r>
        <w:rPr>
          <w:color w:val="00000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(mm)</w:t>
      </w:r>
    </w:p>
    <w:p>
      <w:pPr>
        <w:pStyle w:val="TextBody"/>
        <w:bidi w:val="0"/>
        <w:spacing w:before="0" w:after="240"/>
        <w:jc w:val="left"/>
        <w:rPr/>
      </w:pPr>
      <w:r>
        <w:rPr>
          <w:rFonts w:ascii="Times New Roman" w:hAnsi="Times New Roman"/>
          <w:color w:val="000000"/>
          <w:sz w:val="24"/>
          <w:u w:val="single"/>
        </w:rPr>
        <w:t>Notice to the Company</w:t>
      </w:r>
      <w:r>
        <w:rPr>
          <w:rFonts w:ascii="Times New Roman" w:hAnsi="Times New Roman"/>
          <w:color w:val="000000"/>
          <w:sz w:val="24"/>
        </w:rPr>
        <w:t>. Any notices, requests, demands, and other communications provided for by this Plan shall be sufficient if in writing and delivered in person or sent by registered or certified mail, postage prepaid, to a Covered Executive at the last address the Covered Executive has filed in writing with the Company, or to the Company at the following physical or email address:</w:t>
      </w:r>
    </w:p>
    <w:p>
      <w:pPr>
        <w:pStyle w:val="TextBody"/>
        <w:bidi w:val="0"/>
        <w:jc w:val="left"/>
        <w:rPr>
          <w:rFonts w:ascii="Times New Roman" w:hAnsi="Times New Roman"/>
          <w:sz w:val="20"/>
        </w:rPr>
      </w:pPr>
      <w:r>
        <w:rPr>
          <w:rFonts w:ascii="Times New Roman" w:hAnsi="Times New Roman"/>
          <w:color w:val="000000"/>
          <w:sz w:val="24"/>
        </w:rPr>
        <w:t>Aura Biosciences,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w:t>
      </w:r>
    </w:p>
    <w:p>
      <w:pPr>
        <w:pStyle w:val="TextBody"/>
        <w:bidi w:val="0"/>
        <w:jc w:val="left"/>
        <w:rPr>
          <w:rFonts w:ascii="Times New Roman" w:hAnsi="Times New Roman"/>
          <w:color w:val="000000"/>
          <w:sz w:val="24"/>
        </w:rPr>
      </w:pPr>
      <w:r>
        <w:rPr>
          <w:rFonts w:ascii="Times New Roman" w:hAnsi="Times New Roman"/>
          <w:color w:val="000000"/>
          <w:sz w:val="24"/>
        </w:rPr>
        <w:t>80 Guest Street</w:t>
      </w:r>
    </w:p>
    <w:p>
      <w:pPr>
        <w:pStyle w:val="TextBody"/>
        <w:bidi w:val="0"/>
        <w:jc w:val="left"/>
        <w:rPr>
          <w:rFonts w:ascii="Times New Roman" w:hAnsi="Times New Roman"/>
          <w:color w:val="000000"/>
          <w:sz w:val="24"/>
        </w:rPr>
      </w:pPr>
      <w:r>
        <w:rPr>
          <w:rFonts w:ascii="Times New Roman" w:hAnsi="Times New Roman"/>
          <w:color w:val="000000"/>
          <w:sz w:val="24"/>
        </w:rPr>
        <w:t>Boston, MA 02135</w:t>
      </w:r>
    </w:p>
    <w:p>
      <w:pPr>
        <w:pStyle w:val="TextBody"/>
        <w:bidi w:val="0"/>
        <w:jc w:val="left"/>
        <w:rPr>
          <w:rFonts w:ascii="Times New Roman" w:hAnsi="Times New Roman"/>
          <w:color w:val="000000"/>
          <w:sz w:val="24"/>
        </w:rPr>
      </w:pPr>
      <w:r>
        <w:rPr>
          <w:rFonts w:ascii="Times New Roman" w:hAnsi="Times New Roman"/>
          <w:color w:val="000000"/>
          <w:sz w:val="24"/>
        </w:rPr>
        <w:t>Email: legaldepartment@aurabiosciences.com</w:t>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left"/>
        <w:rPr/>
      </w:pPr>
      <w:r>
        <w:rPr>
          <w:rFonts w:ascii="Times New Roman" w:hAnsi="Times New Roman"/>
          <w:color w:val="000000"/>
          <w:sz w:val="24"/>
          <w:u w:val="single"/>
        </w:rPr>
        <w:t>No Mitigation</w:t>
      </w:r>
      <w:r>
        <w:rPr>
          <w:rFonts w:ascii="Times New Roman" w:hAnsi="Times New Roman"/>
          <w:color w:val="000000"/>
          <w:sz w:val="24"/>
        </w:rPr>
        <w:t xml:space="preserve">. The Covered Executive is not required to seek other employment or to attempt in any way to reduce any amounts payable to the Covered Executive by the Company under this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left"/>
        <w:rPr/>
      </w:pPr>
      <w:r>
        <w:rPr>
          <w:rFonts w:ascii="Times New Roman" w:hAnsi="Times New Roman"/>
          <w:color w:val="000000"/>
          <w:sz w:val="24"/>
          <w:u w:val="single"/>
        </w:rPr>
        <w:t>Benefits and Burdens</w:t>
      </w:r>
      <w:r>
        <w:rPr>
          <w:rFonts w:ascii="Times New Roman" w:hAnsi="Times New Roman"/>
          <w:color w:val="000000"/>
          <w:sz w:val="24"/>
        </w:rPr>
        <w:t>. This Plan shall inure to the benefit of and be binding upon the Company and the Covered Executives, their respective successors, executors, administrators, heirs and permitted assigns. In the event of a Covered Executive’s death after a termination of employment but prior to the completion by the Company of all payments due to him or her under this Plan, the Company shall continue such payments to the Covered Executive’s beneficiary designated in writing to the Company prior to his or her death (or to his or her estate, if the Covered Executive fails to make such designation).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left"/>
        <w:rPr/>
      </w:pPr>
      <w:r>
        <w:rPr>
          <w:rFonts w:ascii="Times New Roman" w:hAnsi="Times New Roman"/>
          <w:color w:val="000000"/>
          <w:sz w:val="24"/>
          <w:u w:val="single"/>
        </w:rPr>
        <w:t>Enforceability</w:t>
      </w:r>
      <w:r>
        <w:rPr>
          <w:rFonts w:ascii="Times New Roman" w:hAnsi="Times New Roman"/>
          <w:color w:val="000000"/>
          <w:sz w:val="24"/>
        </w:rPr>
        <w:t>. If any portion or provision of this Plan shall to any extent be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left"/>
        <w:rPr/>
      </w:pPr>
      <w:r>
        <w:rPr>
          <w:rFonts w:ascii="Times New Roman" w:hAnsi="Times New Roman"/>
          <w:color w:val="000000"/>
          <w:sz w:val="24"/>
          <w:u w:val="single"/>
        </w:rPr>
        <w:t>Waiver</w:t>
      </w:r>
      <w:r>
        <w:rPr>
          <w:rFonts w:ascii="Times New Roman" w:hAnsi="Times New Roman"/>
          <w:color w:val="000000"/>
          <w:sz w:val="24"/>
        </w:rPr>
        <w:t>. 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left"/>
        <w:rPr/>
      </w:pPr>
      <w:r>
        <w:rPr>
          <w:rFonts w:ascii="Times New Roman" w:hAnsi="Times New Roman"/>
          <w:color w:val="000000"/>
          <w:sz w:val="24"/>
          <w:u w:val="single"/>
        </w:rPr>
        <w:t>Non-Duplication of Benefits and Effect on Other Plans</w:t>
      </w:r>
      <w:r>
        <w:rPr>
          <w:rFonts w:ascii="Times New Roman" w:hAnsi="Times New Roman"/>
          <w:color w:val="000000"/>
          <w:sz w:val="24"/>
        </w:rPr>
        <w:t xml:space="preserve">. Notwithstanding any other provision in the Plan to the contrary, the benefits provided hereunder shall be in lieu of any other severance payments and/or benefits provided by the Company, including any such payments and/or benefits pursuant to an employment agreement or offer letter between the Company and the Covered Executive, other than as provided in Section 3(c) of the Company’s 2021 Stock Option and Incentive Plan, as amended from time to time, or any equivalent provision of a successor equity plan of the Company.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left"/>
        <w:rPr/>
      </w:pPr>
      <w:r>
        <w:rPr>
          <w:rFonts w:ascii="Times New Roman" w:hAnsi="Times New Roman"/>
          <w:color w:val="000000"/>
          <w:sz w:val="24"/>
          <w:u w:val="single"/>
        </w:rPr>
        <w:t>No Contract of Employment</w:t>
      </w:r>
      <w:r>
        <w:rPr>
          <w:rFonts w:ascii="Times New Roman" w:hAnsi="Times New Roman"/>
          <w:color w:val="000000"/>
          <w:sz w:val="24"/>
        </w:rPr>
        <w:t>. Nothing in this Plan shall be construed as giving any Covered Executive any right to be retained in the employ of the Company or shall affect the terms and conditions of a Covered Executive’s employment with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0" w:after="240"/>
        <w:jc w:val="left"/>
        <w:rPr/>
      </w:pPr>
      <w:r>
        <w:rPr>
          <w:rFonts w:ascii="Times New Roman" w:hAnsi="Times New Roman"/>
          <w:color w:val="000000"/>
          <w:sz w:val="24"/>
          <w:u w:val="single"/>
        </w:rPr>
        <w:t>Amendment or Termination of Plan</w:t>
      </w:r>
      <w:r>
        <w:rPr>
          <w:rFonts w:ascii="Times New Roman" w:hAnsi="Times New Roman"/>
          <w:color w:val="000000"/>
          <w:sz w:val="24"/>
        </w:rPr>
        <w:t>. The Company may amend or terminate this Plan at any time or from time to time, but no such action shall adversely affect the rights of any Covered Executive without the Covered Executive’s written consent.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This Plan shall be construed under and be governed in all respects by the laws of the State of Delaware, without giving effect to the conflict of laws principles.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0" w:after="240"/>
        <w:jc w:val="left"/>
        <w:rPr/>
      </w:pPr>
      <w:r>
        <w:rPr>
          <w:rFonts w:ascii="Times New Roman" w:hAnsi="Times New Roman"/>
          <w:color w:val="000000"/>
          <w:sz w:val="24"/>
          <w:u w:val="single"/>
        </w:rPr>
        <w:t>Obligations of Successors</w:t>
      </w:r>
      <w:r>
        <w:rPr>
          <w:rFonts w:ascii="Times New Roman" w:hAnsi="Times New Roman"/>
          <w:color w:val="000000"/>
          <w:sz w:val="24"/>
        </w:rPr>
        <w:t>. In addition to any obligations imposed by law upon any successor to the Company, any successor (whether direct or indirect, by purchase, merger, consolidation or otherwise) to all or substantially all of the business or assets of the Company shall expressly assume and agree to perform this Plan in the same manner and to the same extent that the Company would be required to perform if no such succession had taken place.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23.</w:t>
      </w:r>
    </w:p>
    <w:p>
      <w:pPr>
        <w:pStyle w:val="TextBody"/>
        <w:bidi w:val="0"/>
        <w:spacing w:before="0" w:after="240"/>
        <w:jc w:val="left"/>
        <w:rPr/>
      </w:pPr>
      <w:r>
        <w:rPr>
          <w:rFonts w:ascii="Times New Roman" w:hAnsi="Times New Roman"/>
          <w:color w:val="000000"/>
          <w:sz w:val="24"/>
          <w:u w:val="single"/>
        </w:rPr>
        <w:t>Effectiveness and Term</w:t>
      </w:r>
      <w:r>
        <w:rPr>
          <w:rFonts w:ascii="Times New Roman" w:hAnsi="Times New Roman"/>
          <w:color w:val="000000"/>
          <w:sz w:val="24"/>
        </w:rPr>
        <w:t>. The Plan is effective as of November 10, 2024.</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Executive Severance Plan Participation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[NAME]</w:t>
        <w:br/>
        <w:t>[ADDRESS]</w:t>
        <w:br/>
        <w:t>[ADDRESS]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 Executive Severance Plan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[NAME],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Aura Biosciences, Inc., a Delaware corporation (the “Company”) is pleased to inform you that you have been designated as an eligible participant in the Company’s Executive Severance Plan, as amended from time to time (the “Severance Plan”), a copy of which (excluding the exhibits thereto) is attached hereto as </w:t>
      </w:r>
      <w:r>
        <w:rPr>
          <w:rFonts w:ascii="Times New Roman" w:hAnsi="Times New Roman"/>
          <w:color w:val="000000"/>
          <w:sz w:val="22"/>
          <w:u w:val="single"/>
        </w:rPr>
        <w:t>Exhibit A</w:t>
      </w:r>
      <w:r>
        <w:rPr>
          <w:rFonts w:ascii="Times New Roman" w:hAnsi="Times New Roman"/>
          <w:color w:val="000000"/>
          <w:sz w:val="22"/>
        </w:rPr>
        <w:t>. You have been designated as a Tier [1][2] Executive under the Severance Plan.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Under certain circumstances, you will be eligible for certain severance benefits as described in the Severance Plan. Any and all such severance benefits are subject to the terms and conditions of the Severance Plan.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As a condition to participate in the Severance Plan, you hereby acknowledge that the severance benefits that may be provided to you under the Severance Plan will supersede and replace any severance benefit plan, policy or practice previously maintained by the Company or any of its affiliates that may have been applicable to you and any severance benefits under any individually negotiated employment agreement, offer letter agreement or equity award agreement between you and the Company or any of its affiliates, as may be amended from time to time, but other than Section 3(d) of the Company’s 2021 Stock Option and Incentive Plan, as amended from time to time, or any equivalent provision of a successor equity plan of the Company. In addition, as a condition to participate in the Severance Plan, you hereby acknowledge that you will continue to comply with the [Confidential Information, Non-Solicitation and Invention Assignment Agreement] entered into between you and the Company on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Please review the information in this letter and the Severance Plan carefully. If you have any questions regarding the letter or the Severance Plan, please contact [NAME] at [email].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accept the terms of this letter and participate in the Severance Plan, please sign and date this letter in the space provided below and return the signed copy to [NAME] by [DATE] (the “Expiration Date”). If you do not return the signed copy by the Expiration Date, the terms of this letter shall be null and void and you may not participate in the Severance Plan.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Aura Biosciences, Inc.</w:t>
      </w:r>
    </w:p>
    <w:p>
      <w:pPr>
        <w:pStyle w:val="TextBody"/>
        <w:bidi w:val="0"/>
        <w:spacing w:before="0" w:after="240"/>
        <w:jc w:val="both"/>
        <w:rPr>
          <w:rFonts w:ascii="Times New Roman" w:hAnsi="Times New Roman"/>
          <w:sz w:val="20"/>
        </w:rPr>
      </w:pPr>
      <w:r>
        <w:rPr>
          <w:rFonts w:ascii="Times New Roman" w:hAnsi="Times New Roman"/>
          <w:color w:val="000000"/>
          <w:sz w:val="22"/>
        </w:rPr>
        <w:t>Name:</w:t>
        <w:br/>
        <w:t>Title: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Agreed and Accepted:</w:t>
      </w:r>
    </w:p>
    <w:p>
      <w:pPr>
        <w:pStyle w:val="TextBody"/>
        <w:bidi w:val="0"/>
        <w:jc w:val="both"/>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Date: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Aura Biosciences, Inc. Executive Severance Plan</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bookmarkStart w:id="28" w:name="aura-ex31_1.htm"/>
      <w:bookmarkStart w:id="29" w:name="ksauraex31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Elisabet de los Pinos,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6004" w:type="dxa"/>
        <w:jc w:val="left"/>
        <w:tblInd w:w="0" w:type="dxa"/>
        <w:tblLayout w:type="fixed"/>
        <w:tblCellMar>
          <w:top w:w="28" w:type="dxa"/>
          <w:left w:w="28" w:type="dxa"/>
          <w:bottom w:w="28" w:type="dxa"/>
          <w:right w:w="28" w:type="dxa"/>
        </w:tblCellMar>
      </w:tblPr>
      <w:tblGrid>
        <w:gridCol w:w="556"/>
        <w:gridCol w:w="1726"/>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12, 2024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8"/>
              </w:rPr>
              <w:t>President and Chief Executive Officer</w:t>
            </w:r>
            <w:r>
              <w:rPr>
                <w:rFonts w:ascii="Times New Roman" w:hAnsi="Times New Roman"/>
                <w:b/>
                <w:color w:val="000000"/>
                <w:sz w:val="20"/>
              </w:rPr>
              <w:br/>
            </w:r>
            <w:r>
              <w:rPr>
                <w:rFonts w:ascii="Arial" w:hAnsi="Arial"/>
                <w:b/>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ura-ex31_2.htm"/>
      <w:bookmarkStart w:id="31" w:name="ksauraex31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Amy Elazzouzi,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9259" w:type="dxa"/>
        <w:jc w:val="left"/>
        <w:tblInd w:w="0" w:type="dxa"/>
        <w:tblLayout w:type="fixed"/>
        <w:tblCellMar>
          <w:top w:w="28" w:type="dxa"/>
          <w:left w:w="28" w:type="dxa"/>
          <w:bottom w:w="28" w:type="dxa"/>
          <w:right w:w="28" w:type="dxa"/>
        </w:tblCellMar>
      </w:tblPr>
      <w:tblGrid>
        <w:gridCol w:w="556"/>
        <w:gridCol w:w="1786"/>
        <w:gridCol w:w="361"/>
        <w:gridCol w:w="6556"/>
      </w:tblGrid>
      <w:tr>
        <w:trPr/>
        <w:tc>
          <w:tcPr>
            <w:tcW w:w="5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November 12, 2024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6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Amy Elazzouzi</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Amy Elazzouzi</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Vice President, Finance</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(Interim Principal Financial Officer and Interim Principal Accounting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ura-ex32_1.htm"/>
      <w:bookmarkStart w:id="33" w:name="ksauraex32_1"/>
      <w:bookmarkEnd w:id="32"/>
      <w:bookmarkEnd w:id="33"/>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Aura Biosciences, Inc. (the “Company”) for the period ended September 30, 2024 as filed with the Securities and Exchange Commission on the date hereof (the “Report”), each of the undersigned certifies, pursuant to 18 U.S.C. §1350, as adopted pursuant to §906 of the Sarbanes-Oxley Act of 2002, that, to the best of her knowledge:</w:t>
      </w:r>
    </w:p>
    <w:p>
      <w:pPr>
        <w:pStyle w:val="TextBody"/>
        <w:bidi w:val="0"/>
        <w:spacing w:before="24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9259" w:type="dxa"/>
        <w:jc w:val="left"/>
        <w:tblInd w:w="0" w:type="dxa"/>
        <w:tblLayout w:type="fixed"/>
        <w:tblCellMar>
          <w:top w:w="28" w:type="dxa"/>
          <w:left w:w="28" w:type="dxa"/>
          <w:bottom w:w="28" w:type="dxa"/>
          <w:right w:w="28" w:type="dxa"/>
        </w:tblCellMar>
      </w:tblPr>
      <w:tblGrid>
        <w:gridCol w:w="556"/>
        <w:gridCol w:w="1786"/>
        <w:gridCol w:w="361"/>
        <w:gridCol w:w="6556"/>
      </w:tblGrid>
      <w:tr>
        <w:trPr/>
        <w:tc>
          <w:tcPr>
            <w:tcW w:w="5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6917" w:type="dxa"/>
            <w:gridSpan w:val="2"/>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sz w:val="4"/>
                <w:szCs w:val="4"/>
              </w:rPr>
            </w:pPr>
            <w:r>
              <w:rPr>
                <w:sz w:val="4"/>
                <w:szCs w:val="4"/>
              </w:rPr>
            </w:r>
          </w:p>
        </w:tc>
        <w:tc>
          <w:tcPr>
            <w:tcW w:w="6556"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786"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18"/>
              </w:rPr>
              <w:t>November 12, 2024</w:t>
            </w:r>
          </w:p>
        </w:tc>
        <w:tc>
          <w:tcPr>
            <w:tcW w:w="3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6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Elisabet de los Pinos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sz w:val="4"/>
                <w:szCs w:val="4"/>
              </w:rPr>
            </w:pPr>
            <w:r>
              <w:rPr>
                <w:sz w:val="4"/>
                <w:szCs w:val="4"/>
              </w:rPr>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Elisabet de los Pinos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sz w:val="4"/>
                <w:szCs w:val="4"/>
              </w:rPr>
            </w:pPr>
            <w:r>
              <w:rPr>
                <w:sz w:val="4"/>
                <w:szCs w:val="4"/>
              </w:rPr>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President and Chief Executive Officer</w:t>
            </w:r>
          </w:p>
        </w:tc>
      </w:tr>
      <w:tr>
        <w:trPr/>
        <w:tc>
          <w:tcPr>
            <w:tcW w:w="55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Executive Officer)</w:t>
            </w:r>
          </w:p>
        </w:tc>
      </w:tr>
      <w:tr>
        <w:trPr/>
        <w:tc>
          <w:tcPr>
            <w:tcW w:w="55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556"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7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November 12, 2024</w:t>
            </w:r>
          </w:p>
        </w:tc>
        <w:tc>
          <w:tcPr>
            <w:tcW w:w="3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6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Amy Elazzouzi</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sz w:val="4"/>
                <w:szCs w:val="4"/>
              </w:rPr>
            </w:pPr>
            <w:r>
              <w:rPr>
                <w:sz w:val="4"/>
                <w:szCs w:val="4"/>
              </w:rPr>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Amy Elazzouzi</w:t>
            </w:r>
          </w:p>
        </w:tc>
      </w:tr>
      <w:tr>
        <w:trPr/>
        <w:tc>
          <w:tcPr>
            <w:tcW w:w="55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Vice President, Finance</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sz w:val="4"/>
                <w:szCs w:val="4"/>
              </w:rPr>
            </w:pPr>
            <w:r>
              <w:rPr>
                <w:sz w:val="4"/>
                <w:szCs w:val="4"/>
              </w:rPr>
            </w:r>
          </w:p>
        </w:tc>
        <w:tc>
          <w:tcPr>
            <w:tcW w:w="6556" w:type="dxa"/>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(Interim Principal Financial Officer and Interim Principal Accounting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4093308/aura-ex3_1.htm" TargetMode="External"/><Relationship Id="rId3" Type="http://schemas.openxmlformats.org/officeDocument/2006/relationships/hyperlink" Target="https://www.sec.gov/Archives/edgar/data/1501796/000095017022004425/aura-ex3_2.htm" TargetMode="External"/><Relationship Id="rId4" Type="http://schemas.openxmlformats.org/officeDocument/2006/relationships/hyperlink" Target="https://www.sec.gov/Archives/edgar/data/1501796/000119312521295543/d209588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67850</Words>
  <Characters>373609</Characters>
  <CharactersWithSpaces>441600</CharactersWithSpaces>
  <Paragraphs>5715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