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74930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106680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3" w:lineRule="exact"/>
        <w:rPr>
          <w:sz w:val="24"/>
          <w:szCs w:val="24"/>
          <w:color w:val="auto"/>
        </w:rPr>
      </w:pPr>
    </w:p>
    <w:p>
      <w:pPr>
        <w:ind w:left="3460" w:right="1540" w:hanging="3439"/>
        <w:spacing w:after="0" w:line="326" w:lineRule="auto"/>
        <w:tabs>
          <w:tab w:leader="none" w:pos="48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jc w:val="center"/>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29" w:lineRule="exact"/>
        <w:rPr>
          <w:sz w:val="24"/>
          <w:szCs w:val="24"/>
          <w:color w:val="auto"/>
        </w:rPr>
      </w:pPr>
    </w:p>
    <w:p>
      <w:pPr>
        <w:ind w:left="2300"/>
        <w:spacing w:after="0"/>
        <w:rPr>
          <w:sz w:val="20"/>
          <w:szCs w:val="20"/>
          <w:color w:val="auto"/>
        </w:rPr>
      </w:pPr>
      <w:r>
        <w:rPr>
          <w:rFonts w:ascii="Arial" w:cs="Arial" w:eastAsia="Arial" w:hAnsi="Arial"/>
          <w:sz w:val="18"/>
          <w:szCs w:val="18"/>
          <w:b w:val="1"/>
          <w:bCs w:val="1"/>
          <w:color w:val="auto"/>
        </w:rPr>
        <w:t>For the transition period from ___________________ to ___________________</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001-40971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88900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AURA BIOSCIENCES,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74930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p>
      <w:pPr>
        <w:spacing w:after="0" w:line="244"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32-0271970</w:t>
      </w:r>
    </w:p>
    <w:p>
      <w:pPr>
        <w:spacing w:after="0" w:line="38"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61" w:lineRule="exact"/>
        <w:rPr>
          <w:sz w:val="24"/>
          <w:szCs w:val="24"/>
          <w:color w:val="auto"/>
        </w:rPr>
      </w:pPr>
    </w:p>
    <w:p>
      <w:pPr>
        <w:sectPr>
          <w:pgSz w:w="11900" w:h="16838" w:orient="portrait"/>
          <w:cols w:equalWidth="0" w:num="2">
            <w:col w:w="7180" w:space="720"/>
            <w:col w:w="3340"/>
          </w:cols>
          <w:pgMar w:left="320" w:top="360" w:right="339" w:bottom="1440" w:gutter="0" w:footer="0" w:header="0"/>
          <w:type w:val="continuous"/>
        </w:sectPr>
      </w:pPr>
    </w:p>
    <w:tbl>
      <w:tblPr>
        <w:tblLayout w:type="fixed"/>
        <w:tblInd w:w="1640" w:type="dxa"/>
        <w:tblCellMar>
          <w:top w:w="0" w:type="dxa"/>
          <w:left w:w="0" w:type="dxa"/>
          <w:bottom w:w="0" w:type="dxa"/>
          <w:right w:w="0" w:type="dxa"/>
        </w:tblCellMar>
      </w:tblPr>
      <w:tr>
        <w:trPr>
          <w:trHeight w:val="216"/>
        </w:trPr>
        <w:tc>
          <w:tcPr>
            <w:tcW w:w="4420" w:type="dxa"/>
            <w:vAlign w:val="bottom"/>
          </w:tcPr>
          <w:p>
            <w:pPr>
              <w:jc w:val="center"/>
              <w:ind w:right="1979"/>
              <w:spacing w:after="0"/>
              <w:rPr>
                <w:sz w:val="20"/>
                <w:szCs w:val="20"/>
                <w:color w:val="auto"/>
              </w:rPr>
            </w:pPr>
            <w:r>
              <w:rPr>
                <w:rFonts w:ascii="Arial" w:cs="Arial" w:eastAsia="Arial" w:hAnsi="Arial"/>
                <w:sz w:val="18"/>
                <w:szCs w:val="18"/>
                <w:b w:val="1"/>
                <w:bCs w:val="1"/>
                <w:color w:val="auto"/>
                <w:w w:val="99"/>
              </w:rPr>
              <w:t>80 Guest Street</w:t>
            </w:r>
          </w:p>
        </w:tc>
        <w:tc>
          <w:tcPr>
            <w:tcW w:w="2680" w:type="dxa"/>
            <w:vAlign w:val="bottom"/>
          </w:tcPr>
          <w:p>
            <w:pPr>
              <w:spacing w:after="0"/>
              <w:rPr>
                <w:sz w:val="18"/>
                <w:szCs w:val="18"/>
                <w:color w:val="auto"/>
              </w:rPr>
            </w:pPr>
          </w:p>
        </w:tc>
      </w:tr>
      <w:tr>
        <w:trPr>
          <w:trHeight w:val="244"/>
        </w:trPr>
        <w:tc>
          <w:tcPr>
            <w:tcW w:w="4420" w:type="dxa"/>
            <w:vAlign w:val="bottom"/>
          </w:tcPr>
          <w:p>
            <w:pPr>
              <w:jc w:val="center"/>
              <w:ind w:right="1979"/>
              <w:spacing w:after="0"/>
              <w:rPr>
                <w:sz w:val="20"/>
                <w:szCs w:val="20"/>
                <w:color w:val="auto"/>
              </w:rPr>
            </w:pPr>
            <w:r>
              <w:rPr>
                <w:rFonts w:ascii="Arial" w:cs="Arial" w:eastAsia="Arial" w:hAnsi="Arial"/>
                <w:sz w:val="18"/>
                <w:szCs w:val="18"/>
                <w:b w:val="1"/>
                <w:bCs w:val="1"/>
                <w:color w:val="auto"/>
                <w:w w:val="99"/>
              </w:rPr>
              <w:t>Boston, MA</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02135</w:t>
            </w:r>
          </w:p>
        </w:tc>
      </w:tr>
      <w:tr>
        <w:trPr>
          <w:trHeight w:val="176"/>
        </w:trPr>
        <w:tc>
          <w:tcPr>
            <w:tcW w:w="4420" w:type="dxa"/>
            <w:vAlign w:val="bottom"/>
          </w:tcPr>
          <w:p>
            <w:pPr>
              <w:jc w:val="center"/>
              <w:ind w:right="1979"/>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2680" w:type="dxa"/>
            <w:vAlign w:val="bottom"/>
          </w:tcPr>
          <w:p>
            <w:pPr>
              <w:jc w:val="center"/>
              <w:ind w:left="1984"/>
              <w:spacing w:after="0"/>
              <w:rPr>
                <w:sz w:val="20"/>
                <w:szCs w:val="20"/>
                <w:color w:val="auto"/>
              </w:rPr>
            </w:pPr>
            <w:r>
              <w:rPr>
                <w:rFonts w:ascii="Arial" w:cs="Arial" w:eastAsia="Arial" w:hAnsi="Arial"/>
                <w:sz w:val="13"/>
                <w:szCs w:val="13"/>
                <w:b w:val="1"/>
                <w:bCs w:val="1"/>
                <w:color w:val="auto"/>
                <w:w w:val="96"/>
              </w:rPr>
              <w:t>(Zip Code)</w:t>
            </w:r>
          </w:p>
        </w:tc>
      </w:tr>
    </w:tbl>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500-8864</w:t>
      </w:r>
    </w:p>
    <w:p>
      <w:pPr>
        <w:spacing w:after="0" w:line="37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0"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189"/>
        </w:trPr>
        <w:tc>
          <w:tcPr>
            <w:tcW w:w="428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3"/>
        </w:trPr>
        <w:tc>
          <w:tcPr>
            <w:tcW w:w="4280" w:type="dxa"/>
            <w:vAlign w:val="bottom"/>
          </w:tcPr>
          <w:p>
            <w:pPr>
              <w:ind w:left="20"/>
              <w:spacing w:after="0"/>
              <w:rPr>
                <w:sz w:val="20"/>
                <w:szCs w:val="20"/>
                <w:color w:val="auto"/>
              </w:rPr>
            </w:pPr>
            <w:r>
              <w:rPr>
                <w:rFonts w:ascii="Arial" w:cs="Arial" w:eastAsia="Arial" w:hAnsi="Arial"/>
                <w:sz w:val="16"/>
                <w:szCs w:val="16"/>
                <w:color w:val="auto"/>
              </w:rPr>
              <w:t>Common Stock, par value $0.00001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AURA</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rPr>
              <w:t>Nasdaq Global Market LLC</w:t>
            </w:r>
          </w:p>
        </w:tc>
      </w:tr>
    </w:tbl>
    <w:p>
      <w:pPr>
        <w:spacing w:after="0" w:line="104" w:lineRule="exact"/>
        <w:rPr>
          <w:sz w:val="24"/>
          <w:szCs w:val="24"/>
          <w:color w:val="auto"/>
        </w:rPr>
      </w:pPr>
    </w:p>
    <w:p>
      <w:pPr>
        <w:ind w:right="120" w:firstLine="599"/>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2" w:lineRule="exact"/>
        <w:rPr>
          <w:sz w:val="24"/>
          <w:szCs w:val="24"/>
          <w:color w:val="auto"/>
        </w:rPr>
      </w:pPr>
    </w:p>
    <w:p>
      <w:pPr>
        <w:jc w:val="both"/>
        <w:ind w:right="40" w:firstLine="599"/>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9" w:lineRule="exact"/>
        <w:rPr>
          <w:sz w:val="24"/>
          <w:szCs w:val="24"/>
          <w:color w:val="auto"/>
        </w:rPr>
      </w:pPr>
    </w:p>
    <w:p>
      <w:pPr>
        <w:ind w:right="120" w:firstLine="599"/>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6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4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1720"/>
              <w:spacing w:after="0"/>
              <w:rPr>
                <w:sz w:val="20"/>
                <w:szCs w:val="20"/>
                <w:color w:val="auto"/>
              </w:rPr>
            </w:pPr>
            <w:r>
              <w:rPr>
                <w:rFonts w:ascii="Arial" w:cs="Arial" w:eastAsia="Arial" w:hAnsi="Arial"/>
                <w:sz w:val="16"/>
                <w:szCs w:val="16"/>
                <w:color w:val="auto"/>
              </w:rPr>
              <w:t>Accelerated filer</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660" w:type="dxa"/>
            <w:vAlign w:val="bottom"/>
          </w:tcPr>
          <w:p>
            <w:pPr>
              <w:spacing w:after="0"/>
              <w:rPr>
                <w:sz w:val="20"/>
                <w:szCs w:val="20"/>
                <w:color w:val="auto"/>
              </w:rPr>
            </w:pPr>
            <w:r>
              <w:rPr>
                <w:rFonts w:ascii="Arial" w:cs="Arial" w:eastAsia="Arial" w:hAnsi="Arial"/>
                <w:sz w:val="16"/>
                <w:szCs w:val="16"/>
                <w:color w:val="auto"/>
              </w:rPr>
              <w:t>Non-accelerated filer</w:t>
            </w:r>
          </w:p>
        </w:tc>
        <w:tc>
          <w:tcPr>
            <w:tcW w:w="294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1720"/>
              <w:spacing w:after="0"/>
              <w:rPr>
                <w:sz w:val="20"/>
                <w:szCs w:val="20"/>
                <w:color w:val="auto"/>
              </w:rPr>
            </w:pPr>
            <w:r>
              <w:rPr>
                <w:rFonts w:ascii="Arial" w:cs="Arial" w:eastAsia="Arial" w:hAnsi="Arial"/>
                <w:sz w:val="16"/>
                <w:szCs w:val="16"/>
                <w:color w:val="auto"/>
              </w:rPr>
              <w:t>Smaller reporting company</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66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4540" w:type="dxa"/>
            <w:vAlign w:val="bottom"/>
          </w:tcPr>
          <w:p>
            <w:pPr>
              <w:ind w:left="1720"/>
              <w:spacing w:after="0"/>
              <w:rPr>
                <w:sz w:val="20"/>
                <w:szCs w:val="20"/>
                <w:color w:val="auto"/>
              </w:rPr>
            </w:pPr>
            <w:r>
              <w:rPr>
                <w:rFonts w:ascii="Arial" w:cs="Arial" w:eastAsia="Arial" w:hAnsi="Arial"/>
                <w:sz w:val="16"/>
                <w:szCs w:val="16"/>
                <w:color w:val="auto"/>
              </w:rPr>
              <w:t>Emerging growth company</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4" w:lineRule="exact"/>
        <w:rPr>
          <w:sz w:val="24"/>
          <w:szCs w:val="24"/>
          <w:color w:val="auto"/>
        </w:rPr>
      </w:pPr>
    </w:p>
    <w:p>
      <w:pPr>
        <w:jc w:val="both"/>
        <w:ind w:right="60" w:firstLine="599"/>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600" w:right="1180"/>
        <w:spacing w:after="0" w:line="26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3, 2023, the registrant had 38,259,879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402590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Summary of the Material Risks Associated with Our Business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is subject to numerous material and other risks and uncertainties that you should be aware of in evaluating our business.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risks are described more fully in Part II, “Item 1A—Risk Factors,” and include, but are not limited to, the following:</w:t>
      </w:r>
    </w:p>
    <w:p>
      <w:pPr>
        <w:spacing w:after="0" w:line="51" w:lineRule="exact"/>
        <w:rPr>
          <w:sz w:val="20"/>
          <w:szCs w:val="20"/>
          <w:color w:val="auto"/>
        </w:rPr>
      </w:pPr>
    </w:p>
    <w:p>
      <w:pPr>
        <w:ind w:left="1020" w:right="20" w:hanging="503"/>
        <w:spacing w:after="0" w:line="25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significant net losses since our inception and anticipate that we will continue to incur losses for the foreseeable future.</w:t>
      </w:r>
    </w:p>
    <w:p>
      <w:pPr>
        <w:spacing w:after="0" w:line="2"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Raising additional capital may cause dilution to our existing stockholders, restrict our operations or require us to relinquish proprietary rights to our technologies or product candidates.</w:t>
      </w:r>
    </w:p>
    <w:p>
      <w:pPr>
        <w:spacing w:after="0" w:line="2"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revenue and achieve profitability depends significantly on our ability to achieve our objectives relating to the discovery, development and commercialization of our product candidates.</w:t>
      </w: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heavily dependent on the success of AU-011 or belzupacap sarotalocan, or bel-sar, our only product candidate to date.</w:t>
      </w:r>
    </w:p>
    <w:p>
      <w:pPr>
        <w:spacing w:after="0" w:line="49" w:lineRule="exact"/>
        <w:rPr>
          <w:rFonts w:ascii="Arial" w:cs="Arial" w:eastAsia="Arial" w:hAnsi="Arial"/>
          <w:sz w:val="18"/>
          <w:szCs w:val="18"/>
          <w:color w:val="auto"/>
        </w:rPr>
      </w:pPr>
    </w:p>
    <w:p>
      <w:pPr>
        <w:jc w:val="both"/>
        <w:ind w:left="1020" w:hanging="503"/>
        <w:spacing w:after="0" w:line="24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not able to obtain, or if there are delays in obtaining, required regulatory approvals for bel-sar, we will not be able to commercialize, or will be delayed in commercializing, our product candidates, and our ability to generate revenue will be materially impaired.</w:t>
      </w:r>
    </w:p>
    <w:p>
      <w:pPr>
        <w:spacing w:after="0" w:line="8"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not yet successfully completed any pivotal clinical trials nor commercialized any pharmaceutical products, which may make it difficult to evaluate our future prospects.</w:t>
      </w:r>
    </w:p>
    <w:p>
      <w:pPr>
        <w:ind w:left="1020" w:hanging="503"/>
        <w:spacing w:after="0" w:line="25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develop additional product candidates, or obtain additional indications of our first product candidate our commercial opportunity could be limited.</w:t>
      </w:r>
    </w:p>
    <w:p>
      <w:pPr>
        <w:spacing w:after="0" w:line="2" w:lineRule="exact"/>
        <w:rPr>
          <w:rFonts w:ascii="Arial" w:cs="Arial" w:eastAsia="Arial" w:hAnsi="Arial"/>
          <w:sz w:val="18"/>
          <w:szCs w:val="18"/>
          <w:color w:val="auto"/>
        </w:rPr>
      </w:pPr>
    </w:p>
    <w:p>
      <w:pPr>
        <w:jc w:val="both"/>
        <w:ind w:left="1020" w:hanging="503"/>
        <w:spacing w:after="0" w:line="24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FDA's agreement to a Special Protocol Assessment with respect to the study design of our Phase 3 clinical trial of bel-sar for the treatment of early-stage choroidal melanoma does not guarantee any particular outcome from regulatory review, including ultimate approval, and may not lead to a successful review or approval process.</w:t>
      </w:r>
    </w:p>
    <w:p>
      <w:pPr>
        <w:spacing w:after="0" w:line="8" w:lineRule="exact"/>
        <w:rPr>
          <w:rFonts w:ascii="Arial" w:cs="Arial" w:eastAsia="Arial" w:hAnsi="Arial"/>
          <w:sz w:val="18"/>
          <w:szCs w:val="18"/>
          <w:color w:val="auto"/>
        </w:rPr>
      </w:pPr>
    </w:p>
    <w:p>
      <w:pPr>
        <w:jc w:val="both"/>
        <w:ind w:left="1020" w:hanging="503"/>
        <w:spacing w:after="0" w:line="244"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3" w:lineRule="exact"/>
        <w:rPr>
          <w:rFonts w:ascii="Arial" w:cs="Arial" w:eastAsia="Arial" w:hAnsi="Arial"/>
          <w:sz w:val="18"/>
          <w:szCs w:val="18"/>
          <w:color w:val="auto"/>
        </w:rPr>
      </w:pPr>
    </w:p>
    <w:p>
      <w:pPr>
        <w:jc w:val="both"/>
        <w:ind w:left="1020" w:hanging="503"/>
        <w:spacing w:after="0" w:line="24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currently rely on third-party contract manufacturing organizations, or CMOs, for the production of clinical supply of bel-sar and may continue to rely on CMOs for the production of commercial supply of bel-sar, if approved. This reliance on CMOs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spacing w:after="0" w:line="13"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bel-sar or any future product candidates do not achieve broad market acceptance, the revenue that we generate from their sales may be limited, and we may never become profitable.</w:t>
      </w:r>
    </w:p>
    <w:p>
      <w:pPr>
        <w:spacing w:after="0" w:line="2" w:lineRule="exact"/>
        <w:rPr>
          <w:rFonts w:ascii="Arial" w:cs="Arial" w:eastAsia="Arial" w:hAnsi="Arial"/>
          <w:sz w:val="18"/>
          <w:szCs w:val="18"/>
          <w:color w:val="auto"/>
        </w:rPr>
      </w:pPr>
    </w:p>
    <w:p>
      <w:pPr>
        <w:jc w:val="both"/>
        <w:ind w:left="1020" w:hanging="503"/>
        <w:spacing w:after="0" w:line="244"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market opportunity for bel-sar is smaller than we estimate or if any regulatory approval that we obtain is based on a narrower definition of the patient population, our revenue and ability to achieve profitability will be adversely affected, possibly materially.</w:t>
      </w:r>
    </w:p>
    <w:p>
      <w:pPr>
        <w:spacing w:after="0" w:line="3"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may decline if we do not adequately protect our proprietary rights, and our proprietary rights do not necessarily address all potential threats to our competitive advantage.</w:t>
      </w:r>
    </w:p>
    <w:p>
      <w:pPr>
        <w:spacing w:after="0" w:line="2"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lose key management personnel, or if we fail to recruit additional highly skilled personnel, our ability to pursue our business strategy will be impaired, could result in loss of markets or market share and could make us less competitive.</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disruptions could seriously harm our future revenue and financial condition and increase our costs and expenses.</w:t>
      </w:r>
    </w:p>
    <w:p>
      <w:pPr>
        <w:spacing w:after="0" w:line="36" w:lineRule="exact"/>
        <w:rPr>
          <w:rFonts w:ascii="Arial" w:cs="Arial" w:eastAsia="Arial" w:hAnsi="Arial"/>
          <w:sz w:val="18"/>
          <w:szCs w:val="18"/>
          <w:color w:val="auto"/>
        </w:rPr>
      </w:pPr>
    </w:p>
    <w:p>
      <w:pPr>
        <w:ind w:left="1020" w:hanging="503"/>
        <w:spacing w:after="0" w:line="26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principal stockholders and management own a significant percentage of our stock and will be able to exert significant influence over matters subject to stockholder approval.</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8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Quarterly Report on Form 10-Q, or the Quarterly Report, contains forward-looking statements which are made pursuant to the safe harbor provisions of Section 27A of the Securities Act of 1933, as amended, or the or the Securities Act, and Section 21E of the Securities Exchange Act of 1934, as amended, or the Exchange Act.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Quarterly Report include, but are not limited to, statements about:</w:t>
      </w:r>
    </w:p>
    <w:p>
      <w:pPr>
        <w:spacing w:after="0" w:line="15" w:lineRule="exact"/>
        <w:rPr>
          <w:sz w:val="20"/>
          <w:szCs w:val="20"/>
          <w:color w:val="auto"/>
        </w:rPr>
      </w:pPr>
    </w:p>
    <w:p>
      <w:pPr>
        <w:jc w:val="both"/>
        <w:ind w:left="1020" w:hanging="503"/>
        <w:spacing w:after="0" w:line="242"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efficiently develop our existing product candidates and discover new product candidates;</w:t>
      </w:r>
    </w:p>
    <w:p>
      <w:pPr>
        <w:spacing w:after="0" w:line="49"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manufacture our drug substances and product candidates for preclinical use, for clinical trials and on a larger scale for commercial use, if approved;</w:t>
      </w:r>
    </w:p>
    <w:p>
      <w:pPr>
        <w:spacing w:after="0" w:line="2"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and willingness of our third-party strategic collaborators to continue research and development activities relating to our development candidates and product candidates;</w:t>
      </w:r>
    </w:p>
    <w:p>
      <w:pPr>
        <w:ind w:left="1020" w:hanging="503"/>
        <w:spacing w:after="0" w:line="25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funding for our operations necessary to complete further development and commercialization of our product candidates;</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commercialize our products, if approved;</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and product candidates;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our future expenses, revenues, capital requirements, and our needs for additional financing;</w:t>
      </w:r>
    </w:p>
    <w:p>
      <w:pPr>
        <w:spacing w:after="0" w:line="49"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2" w:lineRule="exact"/>
        <w:rPr>
          <w:rFonts w:ascii="Arial" w:cs="Arial" w:eastAsia="Arial" w:hAnsi="Arial"/>
          <w:sz w:val="18"/>
          <w:szCs w:val="18"/>
          <w:color w:val="auto"/>
        </w:rPr>
      </w:pPr>
    </w:p>
    <w:p>
      <w:pPr>
        <w:ind w:left="1020" w:right="20" w:hanging="503"/>
        <w:spacing w:after="0" w:line="250"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product candidates and any other approved product;</w:t>
      </w: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produce our products or product candidates with advantages in turnaround times or manufacturing cost;</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macroeconomic conditions, including rising interest rates and inflation, on our business operations; and</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1"/>
        </w:trPr>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40" w:type="dxa"/>
            <w:vAlign w:val="bottom"/>
            <w:gridSpan w:val="9"/>
          </w:tcPr>
          <w:p>
            <w:pPr>
              <w:ind w:left="36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1"/>
                <w:szCs w:val="21"/>
                <w:color w:val="auto"/>
              </w:rPr>
            </w:pPr>
          </w:p>
        </w:tc>
      </w:tr>
      <w:tr>
        <w:trPr>
          <w:trHeight w:val="353"/>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r>
      <w:tr>
        <w:trPr>
          <w:trHeight w:val="385"/>
        </w:trPr>
        <w:tc>
          <w:tcPr>
            <w:tcW w:w="1140" w:type="dxa"/>
            <w:vAlign w:val="bottom"/>
          </w:tcPr>
          <w:p>
            <w:pPr>
              <w:spacing w:after="0"/>
              <w:rPr>
                <w:sz w:val="24"/>
                <w:szCs w:val="24"/>
                <w:color w:val="auto"/>
              </w:rPr>
            </w:pPr>
          </w:p>
        </w:tc>
        <w:tc>
          <w:tcPr>
            <w:tcW w:w="18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SUMMARY OF RISKS</w:t>
            </w:r>
          </w:p>
        </w:tc>
        <w:tc>
          <w:tcPr>
            <w:tcW w:w="40" w:type="dxa"/>
            <w:vAlign w:val="bottom"/>
            <w:tcBorders>
              <w:bottom w:val="single" w:sz="8" w:color="0000EE"/>
            </w:tcBorders>
          </w:tcPr>
          <w:p>
            <w:pPr>
              <w:spacing w:after="0"/>
              <w:rPr>
                <w:sz w:val="24"/>
                <w:szCs w:val="24"/>
                <w:color w:val="auto"/>
              </w:rPr>
            </w:pPr>
          </w:p>
        </w:tc>
        <w:tc>
          <w:tcPr>
            <w:tcW w:w="7440" w:type="dxa"/>
            <w:vAlign w:val="bottom"/>
            <w:gridSpan w:val="17"/>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412"/>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5"/>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26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Financial Statements (Unaudited)</w:t>
            </w:r>
          </w:p>
        </w:tc>
        <w:tc>
          <w:tcPr>
            <w:tcW w:w="20" w:type="dxa"/>
            <w:vAlign w:val="bottom"/>
            <w:tcBorders>
              <w:bottom w:val="single" w:sz="8" w:color="0000EE"/>
            </w:tcBorders>
          </w:tcPr>
          <w:p>
            <w:pPr>
              <w:spacing w:after="0"/>
              <w:rPr>
                <w:sz w:val="24"/>
                <w:szCs w:val="24"/>
                <w:color w:val="auto"/>
              </w:rPr>
            </w:pPr>
          </w:p>
        </w:tc>
        <w:tc>
          <w:tcPr>
            <w:tcW w:w="660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140" w:type="dxa"/>
            <w:vAlign w:val="bottom"/>
          </w:tcPr>
          <w:p>
            <w:pPr>
              <w:spacing w:after="0"/>
              <w:rPr>
                <w:sz w:val="17"/>
                <w:szCs w:val="17"/>
                <w:color w:val="auto"/>
              </w:rPr>
            </w:pPr>
          </w:p>
        </w:tc>
        <w:tc>
          <w:tcPr>
            <w:tcW w:w="3340" w:type="dxa"/>
            <w:vAlign w:val="bottom"/>
            <w:tcBorders>
              <w:bottom w:val="single" w:sz="8" w:color="0000FF"/>
            </w:tcBorders>
            <w:gridSpan w:val="15"/>
          </w:tcPr>
          <w:p>
            <w:pPr>
              <w:spacing w:after="0" w:line="196" w:lineRule="exact"/>
              <w:rPr>
                <w:sz w:val="20"/>
                <w:szCs w:val="20"/>
                <w:color w:val="auto"/>
              </w:rPr>
            </w:pPr>
            <w:r>
              <w:rPr>
                <w:rFonts w:ascii="Arial" w:cs="Arial" w:eastAsia="Arial" w:hAnsi="Arial"/>
                <w:sz w:val="18"/>
                <w:szCs w:val="18"/>
                <w:color w:val="0000FF"/>
                <w:w w:val="99"/>
              </w:rPr>
              <w:t>Condensed Consolidated Balance Sheets</w:t>
            </w:r>
          </w:p>
        </w:tc>
        <w:tc>
          <w:tcPr>
            <w:tcW w:w="20" w:type="dxa"/>
            <w:vAlign w:val="bottom"/>
            <w:tcBorders>
              <w:bottom w:val="single" w:sz="8" w:color="0000EE"/>
            </w:tcBorders>
          </w:tcPr>
          <w:p>
            <w:pPr>
              <w:spacing w:after="0"/>
              <w:rPr>
                <w:sz w:val="17"/>
                <w:szCs w:val="17"/>
                <w:color w:val="auto"/>
              </w:rPr>
            </w:pPr>
          </w:p>
        </w:tc>
        <w:tc>
          <w:tcPr>
            <w:tcW w:w="5940" w:type="dxa"/>
            <w:vAlign w:val="bottom"/>
            <w:gridSpan w:val="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140" w:type="dxa"/>
            <w:vAlign w:val="bottom"/>
          </w:tcPr>
          <w:p>
            <w:pPr>
              <w:spacing w:after="0"/>
              <w:rPr>
                <w:sz w:val="17"/>
                <w:szCs w:val="17"/>
                <w:color w:val="auto"/>
              </w:rPr>
            </w:pPr>
          </w:p>
        </w:tc>
        <w:tc>
          <w:tcPr>
            <w:tcW w:w="6220" w:type="dxa"/>
            <w:vAlign w:val="bottom"/>
            <w:tcBorders>
              <w:bottom w:val="single" w:sz="8" w:color="0000FF"/>
            </w:tcBorders>
            <w:gridSpan w:val="23"/>
          </w:tcPr>
          <w:p>
            <w:pPr>
              <w:spacing w:after="0" w:line="196" w:lineRule="exact"/>
              <w:rPr>
                <w:sz w:val="20"/>
                <w:szCs w:val="20"/>
                <w:color w:val="auto"/>
              </w:rPr>
            </w:pPr>
            <w:r>
              <w:rPr>
                <w:rFonts w:ascii="Arial" w:cs="Arial" w:eastAsia="Arial" w:hAnsi="Arial"/>
                <w:sz w:val="18"/>
                <w:szCs w:val="18"/>
                <w:color w:val="0000FF"/>
                <w:w w:val="99"/>
              </w:rPr>
              <w:t>Condensed Consolidated Statements of Operations and Comprehensive Loss</w:t>
            </w:r>
          </w:p>
        </w:tc>
        <w:tc>
          <w:tcPr>
            <w:tcW w:w="308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140" w:type="dxa"/>
            <w:vAlign w:val="bottom"/>
          </w:tcPr>
          <w:p>
            <w:pPr>
              <w:spacing w:after="0"/>
              <w:rPr>
                <w:sz w:val="17"/>
                <w:szCs w:val="17"/>
                <w:color w:val="auto"/>
              </w:rPr>
            </w:pPr>
          </w:p>
        </w:tc>
        <w:tc>
          <w:tcPr>
            <w:tcW w:w="4880" w:type="dxa"/>
            <w:vAlign w:val="bottom"/>
            <w:tcBorders>
              <w:bottom w:val="single" w:sz="8" w:color="0000FF"/>
            </w:tcBorders>
            <w:gridSpan w:val="21"/>
          </w:tcPr>
          <w:p>
            <w:pPr>
              <w:spacing w:after="0" w:line="196" w:lineRule="exact"/>
              <w:rPr>
                <w:sz w:val="20"/>
                <w:szCs w:val="20"/>
                <w:color w:val="auto"/>
              </w:rPr>
            </w:pPr>
            <w:r>
              <w:rPr>
                <w:rFonts w:ascii="Arial" w:cs="Arial" w:eastAsia="Arial" w:hAnsi="Arial"/>
                <w:sz w:val="18"/>
                <w:szCs w:val="18"/>
                <w:color w:val="0000FF"/>
                <w:w w:val="99"/>
              </w:rPr>
              <w:t>Condensed Consolidated Statements of Stockholders’ Equity</w:t>
            </w:r>
          </w:p>
        </w:tc>
        <w:tc>
          <w:tcPr>
            <w:tcW w:w="442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140" w:type="dxa"/>
            <w:vAlign w:val="bottom"/>
          </w:tcPr>
          <w:p>
            <w:pPr>
              <w:spacing w:after="0"/>
              <w:rPr>
                <w:sz w:val="17"/>
                <w:szCs w:val="17"/>
                <w:color w:val="auto"/>
              </w:rPr>
            </w:pPr>
          </w:p>
        </w:tc>
        <w:tc>
          <w:tcPr>
            <w:tcW w:w="4180" w:type="dxa"/>
            <w:vAlign w:val="bottom"/>
            <w:tcBorders>
              <w:bottom w:val="single" w:sz="8" w:color="0000FF"/>
            </w:tcBorders>
            <w:gridSpan w:val="17"/>
          </w:tcPr>
          <w:p>
            <w:pPr>
              <w:spacing w:after="0" w:line="196" w:lineRule="exact"/>
              <w:rPr>
                <w:sz w:val="20"/>
                <w:szCs w:val="20"/>
                <w:color w:val="auto"/>
              </w:rPr>
            </w:pPr>
            <w:r>
              <w:rPr>
                <w:rFonts w:ascii="Arial" w:cs="Arial" w:eastAsia="Arial" w:hAnsi="Arial"/>
                <w:sz w:val="18"/>
                <w:szCs w:val="18"/>
                <w:color w:val="0000FF"/>
                <w:w w:val="99"/>
              </w:rPr>
              <w:t>Condensed Consolidated Statements of Cash Flows</w:t>
            </w:r>
          </w:p>
        </w:tc>
        <w:tc>
          <w:tcPr>
            <w:tcW w:w="20" w:type="dxa"/>
            <w:vAlign w:val="bottom"/>
            <w:tcBorders>
              <w:bottom w:val="single" w:sz="8" w:color="0000EE"/>
            </w:tcBorders>
          </w:tcPr>
          <w:p>
            <w:pPr>
              <w:spacing w:after="0"/>
              <w:rPr>
                <w:sz w:val="17"/>
                <w:szCs w:val="17"/>
                <w:color w:val="auto"/>
              </w:rPr>
            </w:pPr>
          </w:p>
        </w:tc>
        <w:tc>
          <w:tcPr>
            <w:tcW w:w="510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140" w:type="dxa"/>
            <w:vAlign w:val="bottom"/>
          </w:tcPr>
          <w:p>
            <w:pPr>
              <w:spacing w:after="0"/>
              <w:rPr>
                <w:sz w:val="17"/>
                <w:szCs w:val="17"/>
                <w:color w:val="auto"/>
              </w:rPr>
            </w:pPr>
          </w:p>
        </w:tc>
        <w:tc>
          <w:tcPr>
            <w:tcW w:w="5360" w:type="dxa"/>
            <w:vAlign w:val="bottom"/>
            <w:tcBorders>
              <w:bottom w:val="single" w:sz="8" w:color="0000FF"/>
            </w:tcBorders>
            <w:gridSpan w:val="22"/>
          </w:tcPr>
          <w:p>
            <w:pPr>
              <w:spacing w:after="0" w:line="196" w:lineRule="exact"/>
              <w:rPr>
                <w:sz w:val="20"/>
                <w:szCs w:val="20"/>
                <w:color w:val="auto"/>
              </w:rPr>
            </w:pPr>
            <w:r>
              <w:rPr>
                <w:rFonts w:ascii="Arial" w:cs="Arial" w:eastAsia="Arial" w:hAnsi="Arial"/>
                <w:sz w:val="18"/>
                <w:szCs w:val="18"/>
                <w:color w:val="0000FF"/>
                <w:w w:val="99"/>
              </w:rPr>
              <w:t>Notes to Unaudited Condensed Consolidated Financial Statements</w:t>
            </w:r>
          </w:p>
        </w:tc>
        <w:tc>
          <w:tcPr>
            <w:tcW w:w="394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300" w:type="dxa"/>
            <w:vAlign w:val="bottom"/>
            <w:gridSpan w:val="25"/>
          </w:tcPr>
          <w:p>
            <w:pPr>
              <w:spacing w:after="0" w:line="196"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720" w:type="dxa"/>
            <w:vAlign w:val="bottom"/>
            <w:tcBorders>
              <w:top w:val="single" w:sz="8" w:color="0000FF"/>
              <w:bottom w:val="single" w:sz="8" w:color="0000FF"/>
            </w:tcBorders>
            <w:gridSpan w:val="19"/>
          </w:tcPr>
          <w:p>
            <w:pPr>
              <w:spacing w:after="0" w:line="196" w:lineRule="exact"/>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tcBorders>
              <w:top w:val="single" w:sz="8" w:color="0000FF"/>
            </w:tcBorders>
            <w:gridSpan w:val="5"/>
          </w:tcPr>
          <w:p>
            <w:pPr>
              <w:spacing w:after="0"/>
              <w:rPr>
                <w:sz w:val="17"/>
                <w:szCs w:val="17"/>
                <w:color w:val="auto"/>
              </w:rPr>
            </w:pPr>
          </w:p>
        </w:tc>
        <w:tc>
          <w:tcPr>
            <w:tcW w:w="22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10"/>
          </w:tcPr>
          <w:p>
            <w:pPr>
              <w:spacing w:after="0" w:line="196" w:lineRule="exact"/>
              <w:rPr>
                <w:sz w:val="20"/>
                <w:szCs w:val="20"/>
                <w:color w:val="auto"/>
              </w:rPr>
            </w:pPr>
            <w:r>
              <w:rPr>
                <w:rFonts w:ascii="Arial" w:cs="Arial" w:eastAsia="Arial" w:hAnsi="Arial"/>
                <w:sz w:val="18"/>
                <w:szCs w:val="18"/>
                <w:color w:val="0000FF"/>
                <w:w w:val="99"/>
              </w:rPr>
              <w:t>Controls and Procedures</w:t>
            </w:r>
          </w:p>
        </w:tc>
        <w:tc>
          <w:tcPr>
            <w:tcW w:w="7300" w:type="dxa"/>
            <w:vAlign w:val="bottom"/>
            <w:gridSpan w:val="1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412"/>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300" w:type="dxa"/>
            <w:vAlign w:val="bottom"/>
            <w:gridSpan w:val="25"/>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4"/>
        </w:trPr>
        <w:tc>
          <w:tcPr>
            <w:tcW w:w="1140" w:type="dxa"/>
            <w:vAlign w:val="bottom"/>
          </w:tcPr>
          <w:p>
            <w:pPr>
              <w:spacing w:after="0"/>
              <w:rPr>
                <w:sz w:val="19"/>
                <w:szCs w:val="19"/>
                <w:color w:val="auto"/>
              </w:rPr>
            </w:pPr>
          </w:p>
        </w:tc>
        <w:tc>
          <w:tcPr>
            <w:tcW w:w="6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188"/>
        </w:trPr>
        <w:tc>
          <w:tcPr>
            <w:tcW w:w="1140" w:type="dxa"/>
            <w:vAlign w:val="bottom"/>
          </w:tcPr>
          <w:p>
            <w:pPr>
              <w:spacing w:after="0" w:line="189" w:lineRule="exact"/>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6"/>
          </w:tcPr>
          <w:p>
            <w:pPr>
              <w:spacing w:after="0" w:line="189" w:lineRule="exact"/>
              <w:rPr>
                <w:sz w:val="20"/>
                <w:szCs w:val="20"/>
                <w:color w:val="auto"/>
              </w:rPr>
            </w:pPr>
            <w:r>
              <w:rPr>
                <w:rFonts w:ascii="Arial" w:cs="Arial" w:eastAsia="Arial" w:hAnsi="Arial"/>
                <w:sz w:val="18"/>
                <w:szCs w:val="18"/>
                <w:color w:val="0000FF"/>
                <w:w w:val="99"/>
              </w:rPr>
              <w:t>Legal Proceedings</w:t>
            </w:r>
          </w:p>
        </w:tc>
        <w:tc>
          <w:tcPr>
            <w:tcW w:w="7800" w:type="dxa"/>
            <w:vAlign w:val="bottom"/>
            <w:gridSpan w:val="19"/>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27</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300" w:type="dxa"/>
            <w:vAlign w:val="bottom"/>
            <w:gridSpan w:val="25"/>
          </w:tcPr>
          <w:p>
            <w:pPr>
              <w:spacing w:after="0" w:line="196" w:lineRule="exact"/>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FF"/>
            </w:tcBorders>
            <w:gridSpan w:val="20"/>
          </w:tcPr>
          <w:p>
            <w:pPr>
              <w:spacing w:after="0" w:line="196" w:lineRule="exact"/>
              <w:rPr>
                <w:sz w:val="20"/>
                <w:szCs w:val="20"/>
                <w:color w:val="auto"/>
              </w:rPr>
            </w:pPr>
            <w:r>
              <w:rPr>
                <w:rFonts w:ascii="Arial" w:cs="Arial" w:eastAsia="Arial" w:hAnsi="Arial"/>
                <w:sz w:val="18"/>
                <w:szCs w:val="18"/>
                <w:color w:val="0000FF"/>
                <w:w w:val="99"/>
              </w:rPr>
              <w:t>Unregistered Sales of Equity Securities and Use of Proceeds</w:t>
            </w:r>
          </w:p>
        </w:tc>
        <w:tc>
          <w:tcPr>
            <w:tcW w:w="444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FF"/>
            </w:tcBorders>
            <w:gridSpan w:val="12"/>
          </w:tcPr>
          <w:p>
            <w:pPr>
              <w:spacing w:after="0" w:line="196" w:lineRule="exact"/>
              <w:rPr>
                <w:sz w:val="20"/>
                <w:szCs w:val="20"/>
                <w:color w:val="auto"/>
              </w:rPr>
            </w:pPr>
            <w:r>
              <w:rPr>
                <w:rFonts w:ascii="Arial" w:cs="Arial" w:eastAsia="Arial" w:hAnsi="Arial"/>
                <w:sz w:val="18"/>
                <w:szCs w:val="18"/>
                <w:color w:val="0000FF"/>
                <w:w w:val="99"/>
              </w:rPr>
              <w:t>Defaults Upon Senior Securities</w:t>
            </w:r>
          </w:p>
        </w:tc>
        <w:tc>
          <w:tcPr>
            <w:tcW w:w="674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9"/>
          </w:tcPr>
          <w:p>
            <w:pPr>
              <w:spacing w:after="0" w:line="196" w:lineRule="exact"/>
              <w:rPr>
                <w:sz w:val="20"/>
                <w:szCs w:val="20"/>
                <w:color w:val="auto"/>
              </w:rPr>
            </w:pPr>
            <w:r>
              <w:rPr>
                <w:rFonts w:ascii="Arial" w:cs="Arial" w:eastAsia="Arial" w:hAnsi="Arial"/>
                <w:sz w:val="18"/>
                <w:szCs w:val="18"/>
                <w:color w:val="0000FF"/>
                <w:w w:val="99"/>
              </w:rPr>
              <w:t>Mine Safety Disclosures</w:t>
            </w:r>
          </w:p>
        </w:tc>
        <w:tc>
          <w:tcPr>
            <w:tcW w:w="7360" w:type="dxa"/>
            <w:vAlign w:val="bottom"/>
            <w:gridSpan w:val="1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9300" w:type="dxa"/>
            <w:vAlign w:val="bottom"/>
            <w:gridSpan w:val="25"/>
          </w:tcPr>
          <w:p>
            <w:pPr>
              <w:spacing w:after="0" w:line="196" w:lineRule="exact"/>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4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98"/>
              </w:rPr>
              <w:t>Exhibits</w:t>
            </w:r>
          </w:p>
        </w:tc>
        <w:tc>
          <w:tcPr>
            <w:tcW w:w="20" w:type="dxa"/>
            <w:vAlign w:val="bottom"/>
            <w:tcBorders>
              <w:top w:val="single" w:sz="8" w:color="0000FF"/>
              <w:bottom w:val="single" w:sz="8" w:color="0000EE"/>
            </w:tcBorders>
          </w:tcPr>
          <w:p>
            <w:pPr>
              <w:spacing w:after="0"/>
              <w:rPr>
                <w:sz w:val="17"/>
                <w:szCs w:val="17"/>
                <w:color w:val="auto"/>
              </w:rPr>
            </w:pPr>
          </w:p>
        </w:tc>
        <w:tc>
          <w:tcPr>
            <w:tcW w:w="740" w:type="dxa"/>
            <w:vAlign w:val="bottom"/>
            <w:tcBorders>
              <w:top w:val="single" w:sz="8" w:color="0000FF"/>
            </w:tcBorders>
            <w:gridSpan w:val="3"/>
          </w:tcPr>
          <w:p>
            <w:pPr>
              <w:spacing w:after="0"/>
              <w:rPr>
                <w:sz w:val="17"/>
                <w:szCs w:val="17"/>
                <w:color w:val="auto"/>
              </w:rPr>
            </w:pPr>
          </w:p>
        </w:tc>
        <w:tc>
          <w:tcPr>
            <w:tcW w:w="7900" w:type="dxa"/>
            <w:vAlign w:val="bottom"/>
            <w:gridSpan w:val="2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1140" w:type="dxa"/>
            <w:vAlign w:val="bottom"/>
          </w:tcPr>
          <w:p>
            <w:pPr>
              <w:spacing w:after="0"/>
              <w:rPr>
                <w:sz w:val="17"/>
                <w:szCs w:val="17"/>
                <w:color w:val="auto"/>
              </w:rPr>
            </w:pPr>
          </w:p>
        </w:tc>
        <w:tc>
          <w:tcPr>
            <w:tcW w:w="9300" w:type="dxa"/>
            <w:vAlign w:val="bottom"/>
            <w:gridSpan w:val="25"/>
          </w:tcPr>
          <w:p>
            <w:pPr>
              <w:spacing w:after="0" w:line="196" w:lineRule="exact"/>
              <w:rPr>
                <w:sz w:val="20"/>
                <w:szCs w:val="20"/>
                <w:color w:val="auto"/>
              </w:rPr>
            </w:pPr>
            <w:r>
              <w:rPr>
                <w:rFonts w:ascii="Arial" w:cs="Arial" w:eastAsia="Arial" w:hAnsi="Arial"/>
                <w:sz w:val="18"/>
                <w:szCs w:val="18"/>
                <w:color w:val="0000FF"/>
              </w:rPr>
              <w:t>Signatures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Aura Biosciences, Inc.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7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December 31, 2022</w:t>
            </w:r>
          </w:p>
        </w:tc>
      </w:tr>
      <w:tr>
        <w:trPr>
          <w:trHeight w:val="22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55,584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121,582</w:t>
            </w:r>
          </w:p>
        </w:tc>
        <w:tc>
          <w:tcPr>
            <w:tcW w:w="100" w:type="dxa"/>
            <w:vAlign w:val="bottom"/>
            <w:shd w:val="clear" w:color="auto" w:fill="CFF0FC"/>
          </w:tcPr>
          <w:p>
            <w:pPr>
              <w:spacing w:after="0"/>
              <w:rPr>
                <w:sz w:val="19"/>
                <w:szCs w:val="19"/>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93,472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67,229</w:t>
            </w:r>
          </w:p>
        </w:tc>
        <w:tc>
          <w:tcPr>
            <w:tcW w:w="100" w:type="dxa"/>
            <w:vAlign w:val="bottom"/>
          </w:tcPr>
          <w:p>
            <w:pPr>
              <w:spacing w:after="0"/>
              <w:rPr>
                <w:sz w:val="19"/>
                <w:szCs w:val="19"/>
                <w:color w:val="auto"/>
              </w:rPr>
            </w:pPr>
          </w:p>
        </w:tc>
      </w:tr>
      <w:tr>
        <w:trPr>
          <w:trHeight w:val="230"/>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 and deposits</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7,871</w:t>
            </w:r>
          </w:p>
        </w:tc>
        <w:tc>
          <w:tcPr>
            <w:tcW w:w="100" w:type="dxa"/>
            <w:vAlign w:val="bottom"/>
          </w:tcPr>
          <w:p>
            <w:pPr>
              <w:spacing w:after="0"/>
              <w:rPr>
                <w:sz w:val="19"/>
                <w:szCs w:val="19"/>
                <w:color w:val="auto"/>
              </w:rPr>
            </w:pPr>
          </w:p>
        </w:tc>
      </w:tr>
      <w:tr>
        <w:trPr>
          <w:trHeight w:val="22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153,888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196,702</w:t>
            </w:r>
          </w:p>
        </w:tc>
        <w:tc>
          <w:tcPr>
            <w:tcW w:w="100" w:type="dxa"/>
            <w:vAlign w:val="bottom"/>
            <w:shd w:val="clear" w:color="auto" w:fill="CFF0FC"/>
          </w:tcPr>
          <w:p>
            <w:pPr>
              <w:spacing w:after="0"/>
              <w:rPr>
                <w:sz w:val="19"/>
                <w:szCs w:val="19"/>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Restricted cash and deposits, net of current portion</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9"/>
                <w:szCs w:val="19"/>
                <w:color w:val="auto"/>
              </w:rPr>
            </w:pPr>
          </w:p>
        </w:tc>
      </w:tr>
      <w:tr>
        <w:trPr>
          <w:trHeight w:val="230"/>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 of use assets - operating lease</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20,671</w:t>
            </w:r>
          </w:p>
        </w:tc>
        <w:tc>
          <w:tcPr>
            <w:tcW w:w="100" w:type="dxa"/>
            <w:vAlign w:val="bottom"/>
            <w:shd w:val="clear" w:color="auto" w:fill="CFF0FC"/>
          </w:tcPr>
          <w:p>
            <w:pPr>
              <w:spacing w:after="0"/>
              <w:rPr>
                <w:sz w:val="19"/>
                <w:szCs w:val="19"/>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r>
      <w:tr>
        <w:trPr>
          <w:trHeight w:val="229"/>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4,856</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560" w:type="dxa"/>
            <w:vAlign w:val="bottom"/>
          </w:tcPr>
          <w:p>
            <w:pPr>
              <w:ind w:left="20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223,935</w:t>
            </w:r>
          </w:p>
        </w:tc>
        <w:tc>
          <w:tcPr>
            <w:tcW w:w="10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2,921</w:t>
            </w:r>
          </w:p>
        </w:tc>
        <w:tc>
          <w:tcPr>
            <w:tcW w:w="100" w:type="dxa"/>
            <w:vAlign w:val="bottom"/>
            <w:shd w:val="clear" w:color="auto" w:fill="CFF0FC"/>
          </w:tcPr>
          <w:p>
            <w:pPr>
              <w:spacing w:after="0"/>
              <w:rPr>
                <w:sz w:val="19"/>
                <w:szCs w:val="19"/>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Short-term operating lease liability</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2,963</w:t>
            </w:r>
          </w:p>
        </w:tc>
        <w:tc>
          <w:tcPr>
            <w:tcW w:w="100" w:type="dxa"/>
            <w:vAlign w:val="bottom"/>
          </w:tcPr>
          <w:p>
            <w:pPr>
              <w:spacing w:after="0"/>
              <w:rPr>
                <w:sz w:val="19"/>
                <w:szCs w:val="19"/>
                <w:color w:val="auto"/>
              </w:rPr>
            </w:pPr>
          </w:p>
        </w:tc>
      </w:tr>
      <w:tr>
        <w:trPr>
          <w:trHeight w:val="230"/>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6,369</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10,894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10,457</w:t>
            </w:r>
          </w:p>
        </w:tc>
        <w:tc>
          <w:tcPr>
            <w:tcW w:w="100" w:type="dxa"/>
            <w:vAlign w:val="bottom"/>
          </w:tcPr>
          <w:p>
            <w:pPr>
              <w:spacing w:after="0"/>
              <w:rPr>
                <w:sz w:val="19"/>
                <w:szCs w:val="19"/>
                <w:color w:val="auto"/>
              </w:rPr>
            </w:pPr>
          </w:p>
        </w:tc>
      </w:tr>
      <w:tr>
        <w:trPr>
          <w:trHeight w:val="230"/>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Long-term operating lease liability</w:t>
            </w:r>
          </w:p>
        </w:tc>
        <w:tc>
          <w:tcPr>
            <w:tcW w:w="1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17,154</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17,895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560" w:type="dxa"/>
            <w:vAlign w:val="bottom"/>
          </w:tcPr>
          <w:p>
            <w:pPr>
              <w:ind w:left="20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28,048</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28,352</w:t>
            </w:r>
          </w:p>
        </w:tc>
        <w:tc>
          <w:tcPr>
            <w:tcW w:w="100" w:type="dxa"/>
            <w:vAlign w:val="bottom"/>
          </w:tcPr>
          <w:p>
            <w:pPr>
              <w:spacing w:after="0"/>
              <w:rPr>
                <w:sz w:val="19"/>
                <w:szCs w:val="19"/>
                <w:color w:val="auto"/>
              </w:rPr>
            </w:pPr>
          </w:p>
        </w:tc>
      </w:tr>
      <w:tr>
        <w:trPr>
          <w:trHeight w:val="22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Commitments and Contingencies (Note 12)</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756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Common stock, $0.00001 par value, 150,000,000 authorized at September 30, 2023 and</w:t>
            </w: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December 31, 2022, and 38,216,717 and 37,771,918 shares issued and outstanding at</w:t>
            </w: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9"/>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September 30, 2023 and December 31, 2022, respectively</w:t>
            </w:r>
          </w:p>
        </w:tc>
        <w:tc>
          <w:tcPr>
            <w:tcW w:w="140" w:type="dxa"/>
            <w:vAlign w:val="bottom"/>
            <w:shd w:val="clear" w:color="auto" w:fill="CFF0FC"/>
          </w:tcPr>
          <w:p>
            <w:pPr>
              <w:spacing w:after="0"/>
              <w:rPr>
                <w:sz w:val="19"/>
                <w:szCs w:val="19"/>
                <w:color w:val="auto"/>
              </w:rPr>
            </w:pPr>
          </w:p>
        </w:tc>
        <w:tc>
          <w:tcPr>
            <w:tcW w:w="174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417,029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406,555</w:t>
            </w:r>
          </w:p>
        </w:tc>
        <w:tc>
          <w:tcPr>
            <w:tcW w:w="100" w:type="dxa"/>
            <w:vAlign w:val="bottom"/>
          </w:tcPr>
          <w:p>
            <w:pPr>
              <w:spacing w:after="0"/>
              <w:rPr>
                <w:sz w:val="19"/>
                <w:szCs w:val="19"/>
                <w:color w:val="auto"/>
              </w:rPr>
            </w:pPr>
          </w:p>
        </w:tc>
      </w:tr>
      <w:tr>
        <w:trPr>
          <w:trHeight w:val="230"/>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(265,177 )</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(210,900 )</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(134 )</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(72 )</w:t>
            </w:r>
          </w:p>
        </w:tc>
      </w:tr>
      <w:tr>
        <w:trPr>
          <w:trHeight w:val="223"/>
        </w:trPr>
        <w:tc>
          <w:tcPr>
            <w:tcW w:w="7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151,718</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195,583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560" w:type="dxa"/>
            <w:vAlign w:val="bottom"/>
          </w:tcPr>
          <w:p>
            <w:pPr>
              <w:ind w:left="380"/>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223,935</w:t>
            </w:r>
          </w:p>
        </w:tc>
        <w:tc>
          <w:tcPr>
            <w:tcW w:w="10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-2836545</wp:posOffset>
            </wp:positionV>
            <wp:extent cx="6858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-2836545</wp:posOffset>
            </wp:positionV>
            <wp:extent cx="6858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-1927860</wp:posOffset>
            </wp:positionV>
            <wp:extent cx="6858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-1628140</wp:posOffset>
            </wp:positionV>
            <wp:extent cx="6858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-179070</wp:posOffset>
            </wp:positionV>
            <wp:extent cx="68580"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1"/>
        </w:trPr>
        <w:tc>
          <w:tcPr>
            <w:tcW w:w="7380" w:type="dxa"/>
            <w:vAlign w:val="bottom"/>
            <w:gridSpan w:val="6"/>
          </w:tcPr>
          <w:p>
            <w:pPr>
              <w:jc w:val="center"/>
              <w:ind w:left="3763"/>
              <w:spacing w:after="0"/>
              <w:rPr>
                <w:sz w:val="20"/>
                <w:szCs w:val="20"/>
                <w:color w:val="auto"/>
              </w:rPr>
            </w:pPr>
            <w:r>
              <w:rPr>
                <w:rFonts w:ascii="Arial" w:cs="Arial" w:eastAsia="Arial" w:hAnsi="Arial"/>
                <w:sz w:val="18"/>
                <w:szCs w:val="18"/>
                <w:b w:val="1"/>
                <w:bCs w:val="1"/>
                <w:color w:val="auto"/>
                <w:w w:val="99"/>
              </w:rPr>
              <w:t>Aura Biosciences, Inc.</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70"/>
        </w:trPr>
        <w:tc>
          <w:tcPr>
            <w:tcW w:w="8980" w:type="dxa"/>
            <w:vAlign w:val="bottom"/>
            <w:gridSpan w:val="9"/>
          </w:tcPr>
          <w:p>
            <w:pPr>
              <w:jc w:val="center"/>
              <w:ind w:left="2123"/>
              <w:spacing w:after="0"/>
              <w:rPr>
                <w:sz w:val="20"/>
                <w:szCs w:val="20"/>
                <w:color w:val="auto"/>
              </w:rPr>
            </w:pPr>
            <w:r>
              <w:rPr>
                <w:rFonts w:ascii="Arial" w:cs="Arial" w:eastAsia="Arial" w:hAnsi="Arial"/>
                <w:sz w:val="18"/>
                <w:szCs w:val="18"/>
                <w:b w:val="1"/>
                <w:bCs w:val="1"/>
                <w:color w:val="auto"/>
                <w:w w:val="99"/>
              </w:rPr>
              <w:t>Condensed Consolidated Statements of Operations and Comprehensive Loss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380" w:type="dxa"/>
            <w:vAlign w:val="bottom"/>
            <w:gridSpan w:val="6"/>
          </w:tcPr>
          <w:p>
            <w:pPr>
              <w:jc w:val="center"/>
              <w:ind w:left="3763"/>
              <w:spacing w:after="0" w:line="202" w:lineRule="exact"/>
              <w:rPr>
                <w:sz w:val="20"/>
                <w:szCs w:val="20"/>
                <w:color w:val="auto"/>
              </w:rPr>
            </w:pPr>
            <w:r>
              <w:rPr>
                <w:rFonts w:ascii="Arial" w:cs="Arial" w:eastAsia="Arial" w:hAnsi="Arial"/>
                <w:sz w:val="18"/>
                <w:szCs w:val="18"/>
                <w:b w:val="1"/>
                <w:bCs w:val="1"/>
                <w:color w:val="auto"/>
                <w:w w:val="99"/>
              </w:rPr>
              <w:t>(Unaudited)</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8980" w:type="dxa"/>
            <w:vAlign w:val="bottom"/>
            <w:gridSpan w:val="9"/>
          </w:tcPr>
          <w:p>
            <w:pPr>
              <w:jc w:val="center"/>
              <w:ind w:left="2163"/>
              <w:spacing w:after="0"/>
              <w:rPr>
                <w:sz w:val="20"/>
                <w:szCs w:val="20"/>
                <w:color w:val="auto"/>
              </w:rPr>
            </w:pPr>
            <w:r>
              <w:rPr>
                <w:rFonts w:ascii="Arial" w:cs="Arial" w:eastAsia="Arial" w:hAnsi="Arial"/>
                <w:sz w:val="18"/>
                <w:szCs w:val="18"/>
                <w:b w:val="1"/>
                <w:bCs w:val="1"/>
                <w:color w:val="auto"/>
                <w:w w:val="99"/>
              </w:rPr>
              <w:t>(in thousands, except share and per share data)</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80" w:type="dxa"/>
            <w:vAlign w:val="bottom"/>
            <w:gridSpan w:val="6"/>
          </w:tcPr>
          <w:p>
            <w:pPr>
              <w:jc w:val="right"/>
              <w:ind w:right="760"/>
              <w:spacing w:after="0" w:line="216" w:lineRule="exact"/>
              <w:rPr>
                <w:sz w:val="20"/>
                <w:szCs w:val="20"/>
                <w:color w:val="auto"/>
              </w:rPr>
            </w:pPr>
            <w:r>
              <w:rPr>
                <w:rFonts w:ascii="Arial" w:cs="Arial" w:eastAsia="Arial" w:hAnsi="Arial"/>
                <w:sz w:val="20"/>
                <w:szCs w:val="20"/>
                <w:b w:val="1"/>
                <w:bCs w:val="1"/>
                <w:color w:val="auto"/>
              </w:rPr>
              <w:t>Three Months Ended</w:t>
            </w:r>
          </w:p>
        </w:tc>
        <w:tc>
          <w:tcPr>
            <w:tcW w:w="140" w:type="dxa"/>
            <w:vAlign w:val="bottom"/>
          </w:tcPr>
          <w:p>
            <w:pPr>
              <w:spacing w:after="0"/>
              <w:rPr>
                <w:sz w:val="18"/>
                <w:szCs w:val="18"/>
                <w:color w:val="auto"/>
              </w:rPr>
            </w:pPr>
          </w:p>
        </w:tc>
        <w:tc>
          <w:tcPr>
            <w:tcW w:w="2120" w:type="dxa"/>
            <w:vAlign w:val="bottom"/>
            <w:gridSpan w:val="5"/>
          </w:tcPr>
          <w:p>
            <w:pPr>
              <w:jc w:val="right"/>
              <w:ind w:right="260"/>
              <w:spacing w:after="0" w:line="216" w:lineRule="exact"/>
              <w:rPr>
                <w:sz w:val="20"/>
                <w:szCs w:val="20"/>
                <w:color w:val="auto"/>
              </w:rPr>
            </w:pPr>
            <w:r>
              <w:rPr>
                <w:rFonts w:ascii="Arial" w:cs="Arial" w:eastAsia="Arial" w:hAnsi="Arial"/>
                <w:sz w:val="20"/>
                <w:szCs w:val="20"/>
                <w:b w:val="1"/>
                <w:bCs w:val="1"/>
                <w:color w:val="auto"/>
                <w:w w:val="98"/>
              </w:rPr>
              <w:t>Nine Months Ended</w:t>
            </w:r>
          </w:p>
        </w:tc>
      </w:tr>
      <w:tr>
        <w:trPr>
          <w:trHeight w:val="257"/>
        </w:trPr>
        <w:tc>
          <w:tcPr>
            <w:tcW w:w="5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80" w:type="dxa"/>
            <w:vAlign w:val="bottom"/>
            <w:gridSpan w:val="6"/>
          </w:tcPr>
          <w:p>
            <w:pPr>
              <w:jc w:val="right"/>
              <w:ind w:right="1060"/>
              <w:spacing w:after="0"/>
              <w:rPr>
                <w:sz w:val="20"/>
                <w:szCs w:val="20"/>
                <w:color w:val="auto"/>
              </w:rPr>
            </w:pPr>
            <w:r>
              <w:rPr>
                <w:rFonts w:ascii="Arial" w:cs="Arial" w:eastAsia="Arial" w:hAnsi="Arial"/>
                <w:sz w:val="20"/>
                <w:szCs w:val="20"/>
                <w:b w:val="1"/>
                <w:bCs w:val="1"/>
                <w:color w:val="auto"/>
              </w:rPr>
              <w:t>September 30,</w:t>
            </w:r>
          </w:p>
        </w:tc>
        <w:tc>
          <w:tcPr>
            <w:tcW w:w="140" w:type="dxa"/>
            <w:vAlign w:val="bottom"/>
          </w:tcPr>
          <w:p>
            <w:pPr>
              <w:spacing w:after="0"/>
              <w:rPr>
                <w:sz w:val="22"/>
                <w:szCs w:val="22"/>
                <w:color w:val="auto"/>
              </w:rPr>
            </w:pPr>
          </w:p>
        </w:tc>
        <w:tc>
          <w:tcPr>
            <w:tcW w:w="2120" w:type="dxa"/>
            <w:vAlign w:val="bottom"/>
            <w:gridSpan w:val="5"/>
          </w:tcPr>
          <w:p>
            <w:pPr>
              <w:jc w:val="right"/>
              <w:ind w:right="500"/>
              <w:spacing w:after="0"/>
              <w:rPr>
                <w:sz w:val="20"/>
                <w:szCs w:val="20"/>
                <w:color w:val="auto"/>
              </w:rPr>
            </w:pPr>
            <w:r>
              <w:rPr>
                <w:rFonts w:ascii="Arial" w:cs="Arial" w:eastAsia="Arial" w:hAnsi="Arial"/>
                <w:sz w:val="20"/>
                <w:szCs w:val="20"/>
                <w:b w:val="1"/>
                <w:bCs w:val="1"/>
                <w:color w:val="auto"/>
              </w:rPr>
              <w:t>September 30,</w:t>
            </w:r>
          </w:p>
        </w:tc>
      </w:tr>
      <w:tr>
        <w:trPr>
          <w:trHeight w:val="250"/>
        </w:trPr>
        <w:tc>
          <w:tcPr>
            <w:tcW w:w="5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20"/>
                <w:szCs w:val="20"/>
                <w:b w:val="1"/>
                <w:bCs w:val="1"/>
                <w:color w:val="auto"/>
              </w:rPr>
              <w:t>2023</w:t>
            </w: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20"/>
                <w:szCs w:val="20"/>
                <w:b w:val="1"/>
                <w:bCs w:val="1"/>
                <w:color w:val="auto"/>
              </w:rPr>
              <w:t>2022</w:t>
            </w:r>
          </w:p>
        </w:tc>
        <w:tc>
          <w:tcPr>
            <w:tcW w:w="44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20"/>
                <w:szCs w:val="20"/>
                <w:b w:val="1"/>
                <w:bCs w:val="1"/>
                <w:color w:val="auto"/>
              </w:rPr>
              <w:t>2023</w:t>
            </w: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20"/>
                <w:szCs w:val="20"/>
                <w:b w:val="1"/>
                <w:bCs w:val="1"/>
                <w:color w:val="auto"/>
              </w:rPr>
              <w:t>2022</w:t>
            </w:r>
          </w:p>
        </w:tc>
        <w:tc>
          <w:tcPr>
            <w:tcW w:w="100" w:type="dxa"/>
            <w:vAlign w:val="bottom"/>
          </w:tcPr>
          <w:p>
            <w:pPr>
              <w:spacing w:after="0"/>
              <w:rPr>
                <w:sz w:val="21"/>
                <w:szCs w:val="21"/>
                <w:color w:val="auto"/>
              </w:rPr>
            </w:pPr>
          </w:p>
        </w:tc>
      </w:tr>
      <w:tr>
        <w:trPr>
          <w:trHeight w:val="264"/>
        </w:trPr>
        <w:tc>
          <w:tcPr>
            <w:tcW w:w="5960" w:type="dxa"/>
            <w:vAlign w:val="bottom"/>
            <w:gridSpan w:val="2"/>
            <w:shd w:val="clear" w:color="auto" w:fill="CFF0FC"/>
          </w:tcPr>
          <w:p>
            <w:pPr>
              <w:ind w:left="20"/>
              <w:spacing w:after="0"/>
              <w:rPr>
                <w:sz w:val="20"/>
                <w:szCs w:val="20"/>
                <w:color w:val="auto"/>
              </w:rPr>
            </w:pPr>
            <w:r>
              <w:rPr>
                <w:rFonts w:ascii="Arial" w:cs="Arial" w:eastAsia="Arial" w:hAnsi="Arial"/>
                <w:sz w:val="20"/>
                <w:szCs w:val="20"/>
                <w:b w:val="1"/>
                <w:bCs w:val="1"/>
                <w:color w:val="auto"/>
              </w:rPr>
              <w:t>Operating Expenses:</w:t>
            </w: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70"/>
        </w:trPr>
        <w:tc>
          <w:tcPr>
            <w:tcW w:w="5960" w:type="dxa"/>
            <w:vAlign w:val="bottom"/>
            <w:gridSpan w:val="2"/>
          </w:tcPr>
          <w:p>
            <w:pPr>
              <w:ind w:left="280"/>
              <w:spacing w:after="0"/>
              <w:rPr>
                <w:sz w:val="20"/>
                <w:szCs w:val="20"/>
                <w:color w:val="auto"/>
              </w:rPr>
            </w:pPr>
            <w:r>
              <w:rPr>
                <w:rFonts w:ascii="Arial" w:cs="Arial" w:eastAsia="Arial" w:hAnsi="Arial"/>
                <w:sz w:val="20"/>
                <w:szCs w:val="20"/>
                <w:color w:val="auto"/>
              </w:rPr>
              <w:t>Research and development</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15,428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11,293</w:t>
            </w:r>
          </w:p>
        </w:tc>
        <w:tc>
          <w:tcPr>
            <w:tcW w:w="4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44,952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$ 29,079</w:t>
            </w:r>
          </w:p>
        </w:tc>
        <w:tc>
          <w:tcPr>
            <w:tcW w:w="100" w:type="dxa"/>
            <w:vAlign w:val="bottom"/>
          </w:tcPr>
          <w:p>
            <w:pPr>
              <w:spacing w:after="0"/>
              <w:rPr>
                <w:sz w:val="23"/>
                <w:szCs w:val="23"/>
                <w:color w:val="auto"/>
              </w:rPr>
            </w:pPr>
          </w:p>
        </w:tc>
      </w:tr>
      <w:tr>
        <w:trPr>
          <w:trHeight w:val="256"/>
        </w:trPr>
        <w:tc>
          <w:tcPr>
            <w:tcW w:w="596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20"/>
                <w:szCs w:val="20"/>
                <w:color w:val="auto"/>
              </w:rPr>
              <w:t>General and administrative</w:t>
            </w:r>
          </w:p>
        </w:tc>
        <w:tc>
          <w:tcPr>
            <w:tcW w:w="14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5,060</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4,762</w:t>
            </w:r>
          </w:p>
        </w:tc>
        <w:tc>
          <w:tcPr>
            <w:tcW w:w="4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15,256</w:t>
            </w:r>
          </w:p>
        </w:tc>
        <w:tc>
          <w:tcPr>
            <w:tcW w:w="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13,603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960" w:type="dxa"/>
            <w:vAlign w:val="bottom"/>
            <w:gridSpan w:val="2"/>
          </w:tcPr>
          <w:p>
            <w:pPr>
              <w:ind w:left="280"/>
              <w:spacing w:after="0"/>
              <w:rPr>
                <w:sz w:val="20"/>
                <w:szCs w:val="20"/>
                <w:color w:val="auto"/>
              </w:rPr>
            </w:pPr>
            <w:r>
              <w:rPr>
                <w:rFonts w:ascii="Arial" w:cs="Arial" w:eastAsia="Arial" w:hAnsi="Arial"/>
                <w:sz w:val="20"/>
                <w:szCs w:val="20"/>
                <w:color w:val="auto"/>
              </w:rPr>
              <w:t>Total operating expenses</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20,488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16,055</w:t>
            </w:r>
          </w:p>
        </w:tc>
        <w:tc>
          <w:tcPr>
            <w:tcW w:w="4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60,208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42,682</w:t>
            </w:r>
          </w:p>
        </w:tc>
        <w:tc>
          <w:tcPr>
            <w:tcW w:w="100" w:type="dxa"/>
            <w:vAlign w:val="bottom"/>
          </w:tcPr>
          <w:p>
            <w:pPr>
              <w:spacing w:after="0"/>
              <w:rPr>
                <w:sz w:val="21"/>
                <w:szCs w:val="21"/>
                <w:color w:val="auto"/>
              </w:rPr>
            </w:pPr>
          </w:p>
        </w:tc>
      </w:tr>
      <w:tr>
        <w:trPr>
          <w:trHeight w:val="250"/>
        </w:trPr>
        <w:tc>
          <w:tcPr>
            <w:tcW w:w="5960" w:type="dxa"/>
            <w:vAlign w:val="bottom"/>
            <w:gridSpan w:val="2"/>
            <w:shd w:val="clear" w:color="auto" w:fill="CFF0FC"/>
          </w:tcPr>
          <w:p>
            <w:pPr>
              <w:ind w:left="20"/>
              <w:spacing w:after="0"/>
              <w:rPr>
                <w:sz w:val="20"/>
                <w:szCs w:val="20"/>
                <w:color w:val="auto"/>
              </w:rPr>
            </w:pPr>
            <w:r>
              <w:rPr>
                <w:rFonts w:ascii="Arial" w:cs="Arial" w:eastAsia="Arial" w:hAnsi="Arial"/>
                <w:sz w:val="20"/>
                <w:szCs w:val="20"/>
                <w:color w:val="auto"/>
              </w:rPr>
              <w:t>Total operating loss</w:t>
            </w: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(20,488)</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360"/>
              <w:spacing w:after="0"/>
              <w:rPr>
                <w:sz w:val="20"/>
                <w:szCs w:val="20"/>
                <w:color w:val="auto"/>
              </w:rPr>
            </w:pPr>
            <w:r>
              <w:rPr>
                <w:rFonts w:ascii="Arial" w:cs="Arial" w:eastAsia="Arial" w:hAnsi="Arial"/>
                <w:sz w:val="20"/>
                <w:szCs w:val="20"/>
                <w:color w:val="auto"/>
              </w:rPr>
              <w:t>(16,055)</w:t>
            </w:r>
          </w:p>
        </w:tc>
        <w:tc>
          <w:tcPr>
            <w:tcW w:w="1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(60,208)</w:t>
            </w:r>
          </w:p>
        </w:tc>
        <w:tc>
          <w:tcPr>
            <w:tcW w:w="2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(42,682)</w:t>
            </w:r>
          </w:p>
        </w:tc>
      </w:tr>
      <w:tr>
        <w:trPr>
          <w:trHeight w:val="254"/>
        </w:trPr>
        <w:tc>
          <w:tcPr>
            <w:tcW w:w="5960" w:type="dxa"/>
            <w:vAlign w:val="bottom"/>
            <w:tcBorders>
              <w:top w:val="single" w:sz="8" w:color="CFF0FC"/>
            </w:tcBorders>
            <w:gridSpan w:val="2"/>
          </w:tcPr>
          <w:p>
            <w:pPr>
              <w:ind w:left="20"/>
              <w:spacing w:after="0"/>
              <w:rPr>
                <w:sz w:val="20"/>
                <w:szCs w:val="20"/>
                <w:color w:val="auto"/>
              </w:rPr>
            </w:pPr>
            <w:r>
              <w:rPr>
                <w:rFonts w:ascii="Arial" w:cs="Arial" w:eastAsia="Arial" w:hAnsi="Arial"/>
                <w:sz w:val="20"/>
                <w:szCs w:val="20"/>
                <w:color w:val="auto"/>
              </w:rPr>
              <w:t>Other income (expense):</w:t>
            </w: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Borders>
              <w:top w:val="single" w:sz="8" w:color="CFF0FC"/>
            </w:tcBorders>
          </w:tcPr>
          <w:p>
            <w:pPr>
              <w:spacing w:after="0"/>
              <w:rPr>
                <w:sz w:val="22"/>
                <w:szCs w:val="22"/>
                <w:color w:val="auto"/>
              </w:rPr>
            </w:pPr>
          </w:p>
        </w:tc>
        <w:tc>
          <w:tcPr>
            <w:tcW w:w="140" w:type="dxa"/>
            <w:vAlign w:val="bottom"/>
            <w:tcBorders>
              <w:top w:val="single" w:sz="8" w:color="CFF0FC"/>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440" w:type="dxa"/>
            <w:vAlign w:val="bottom"/>
            <w:tcBorders>
              <w:top w:val="single" w:sz="8" w:color="CFF0FC"/>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Borders>
              <w:top w:val="single" w:sz="8" w:color="CFF0FC"/>
            </w:tcBorders>
          </w:tcPr>
          <w:p>
            <w:pPr>
              <w:spacing w:after="0"/>
              <w:rPr>
                <w:sz w:val="22"/>
                <w:szCs w:val="22"/>
                <w:color w:val="auto"/>
              </w:rPr>
            </w:pPr>
          </w:p>
        </w:tc>
        <w:tc>
          <w:tcPr>
            <w:tcW w:w="240" w:type="dxa"/>
            <w:vAlign w:val="bottom"/>
            <w:tcBorders>
              <w:top w:val="single" w:sz="8" w:color="CFF0FC"/>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r>
      <w:tr>
        <w:trPr>
          <w:trHeight w:val="279"/>
        </w:trPr>
        <w:tc>
          <w:tcPr>
            <w:tcW w:w="5820" w:type="dxa"/>
            <w:vAlign w:val="bottom"/>
            <w:shd w:val="clear" w:color="auto" w:fill="CFF0FC"/>
          </w:tcPr>
          <w:p>
            <w:pPr>
              <w:ind w:left="280"/>
              <w:spacing w:after="0"/>
              <w:rPr>
                <w:sz w:val="20"/>
                <w:szCs w:val="20"/>
                <w:color w:val="auto"/>
              </w:rPr>
            </w:pPr>
            <w:r>
              <w:rPr>
                <w:rFonts w:ascii="Arial" w:cs="Arial" w:eastAsia="Arial" w:hAnsi="Arial"/>
                <w:sz w:val="20"/>
                <w:szCs w:val="20"/>
                <w:color w:val="auto"/>
              </w:rPr>
              <w:t>Interest income, including amortization and accretion income</w:t>
            </w:r>
          </w:p>
        </w:tc>
        <w:tc>
          <w:tcPr>
            <w:tcW w:w="140" w:type="dxa"/>
            <w:vAlign w:val="bottom"/>
            <w:shd w:val="clear" w:color="auto" w:fill="CCECFF"/>
          </w:tcPr>
          <w:p>
            <w:pPr>
              <w:spacing w:after="0"/>
              <w:rPr>
                <w:sz w:val="24"/>
                <w:szCs w:val="24"/>
                <w:color w:val="auto"/>
              </w:rPr>
            </w:pPr>
          </w:p>
        </w:tc>
        <w:tc>
          <w:tcPr>
            <w:tcW w:w="140" w:type="dxa"/>
            <w:vAlign w:val="bottom"/>
            <w:shd w:val="clear" w:color="auto" w:fill="CCECFF"/>
          </w:tcPr>
          <w:p>
            <w:pPr>
              <w:spacing w:after="0"/>
              <w:rPr>
                <w:sz w:val="24"/>
                <w:szCs w:val="2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20"/>
                <w:szCs w:val="20"/>
                <w:color w:val="auto"/>
              </w:rPr>
              <w:t>1,981</w:t>
            </w:r>
          </w:p>
        </w:tc>
        <w:tc>
          <w:tcPr>
            <w:tcW w:w="120" w:type="dxa"/>
            <w:vAlign w:val="bottom"/>
            <w:shd w:val="clear" w:color="auto" w:fill="CCECFF"/>
          </w:tcPr>
          <w:p>
            <w:pPr>
              <w:spacing w:after="0"/>
              <w:rPr>
                <w:sz w:val="24"/>
                <w:szCs w:val="24"/>
                <w:color w:val="auto"/>
              </w:rPr>
            </w:pPr>
          </w:p>
        </w:tc>
        <w:tc>
          <w:tcPr>
            <w:tcW w:w="140" w:type="dxa"/>
            <w:vAlign w:val="bottom"/>
            <w:shd w:val="clear" w:color="auto" w:fill="CCECFF"/>
          </w:tcPr>
          <w:p>
            <w:pPr>
              <w:spacing w:after="0"/>
              <w:rPr>
                <w:sz w:val="24"/>
                <w:szCs w:val="24"/>
                <w:color w:val="auto"/>
              </w:rPr>
            </w:pPr>
          </w:p>
        </w:tc>
        <w:tc>
          <w:tcPr>
            <w:tcW w:w="140" w:type="dxa"/>
            <w:vAlign w:val="bottom"/>
            <w:shd w:val="clear" w:color="auto" w:fill="CCECFF"/>
          </w:tcPr>
          <w:p>
            <w:pPr>
              <w:spacing w:after="0"/>
              <w:rPr>
                <w:sz w:val="24"/>
                <w:szCs w:val="2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20"/>
                <w:szCs w:val="20"/>
                <w:color w:val="auto"/>
              </w:rPr>
              <w:t>483</w:t>
            </w:r>
          </w:p>
        </w:tc>
        <w:tc>
          <w:tcPr>
            <w:tcW w:w="440" w:type="dxa"/>
            <w:vAlign w:val="bottom"/>
            <w:shd w:val="clear" w:color="auto" w:fill="CCECFF"/>
          </w:tcPr>
          <w:p>
            <w:pPr>
              <w:spacing w:after="0"/>
              <w:rPr>
                <w:sz w:val="24"/>
                <w:szCs w:val="24"/>
                <w:color w:val="auto"/>
              </w:rPr>
            </w:pPr>
          </w:p>
        </w:tc>
        <w:tc>
          <w:tcPr>
            <w:tcW w:w="140" w:type="dxa"/>
            <w:vAlign w:val="bottom"/>
            <w:shd w:val="clear" w:color="auto" w:fill="CCECFF"/>
          </w:tcPr>
          <w:p>
            <w:pPr>
              <w:spacing w:after="0"/>
              <w:rPr>
                <w:sz w:val="24"/>
                <w:szCs w:val="2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20"/>
                <w:szCs w:val="20"/>
                <w:color w:val="auto"/>
              </w:rPr>
              <w:t>5,981</w:t>
            </w:r>
          </w:p>
        </w:tc>
        <w:tc>
          <w:tcPr>
            <w:tcW w:w="120" w:type="dxa"/>
            <w:vAlign w:val="bottom"/>
            <w:shd w:val="clear" w:color="auto" w:fill="CCECFF"/>
          </w:tcPr>
          <w:p>
            <w:pPr>
              <w:spacing w:after="0"/>
              <w:rPr>
                <w:sz w:val="24"/>
                <w:szCs w:val="24"/>
                <w:color w:val="auto"/>
              </w:rPr>
            </w:pPr>
          </w:p>
        </w:tc>
        <w:tc>
          <w:tcPr>
            <w:tcW w:w="240" w:type="dxa"/>
            <w:vAlign w:val="bottom"/>
            <w:shd w:val="clear" w:color="auto" w:fill="CCECFF"/>
          </w:tcPr>
          <w:p>
            <w:pPr>
              <w:spacing w:after="0"/>
              <w:rPr>
                <w:sz w:val="24"/>
                <w:szCs w:val="2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20"/>
                <w:szCs w:val="20"/>
                <w:color w:val="auto"/>
              </w:rPr>
              <w:t>802</w:t>
            </w:r>
          </w:p>
        </w:tc>
        <w:tc>
          <w:tcPr>
            <w:tcW w:w="100" w:type="dxa"/>
            <w:vAlign w:val="bottom"/>
            <w:shd w:val="clear" w:color="auto" w:fill="CCECFF"/>
          </w:tcPr>
          <w:p>
            <w:pPr>
              <w:spacing w:after="0"/>
              <w:rPr>
                <w:sz w:val="24"/>
                <w:szCs w:val="24"/>
                <w:color w:val="auto"/>
              </w:rPr>
            </w:pPr>
          </w:p>
        </w:tc>
      </w:tr>
      <w:tr>
        <w:trPr>
          <w:trHeight w:val="257"/>
        </w:trPr>
        <w:tc>
          <w:tcPr>
            <w:tcW w:w="5820" w:type="dxa"/>
            <w:vAlign w:val="bottom"/>
          </w:tcPr>
          <w:p>
            <w:pPr>
              <w:ind w:left="280"/>
              <w:spacing w:after="0"/>
              <w:rPr>
                <w:sz w:val="20"/>
                <w:szCs w:val="20"/>
                <w:color w:val="auto"/>
              </w:rPr>
            </w:pPr>
            <w:r>
              <w:rPr>
                <w:rFonts w:ascii="Arial" w:cs="Arial" w:eastAsia="Arial" w:hAnsi="Arial"/>
                <w:sz w:val="20"/>
                <w:szCs w:val="20"/>
                <w:color w:val="auto"/>
              </w:rPr>
              <w:t>Other income (expense)</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(5)</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20"/>
                <w:szCs w:val="20"/>
                <w:color w:val="auto"/>
              </w:rPr>
              <w:t>(329)</w:t>
            </w:r>
          </w:p>
        </w:tc>
        <w:tc>
          <w:tcPr>
            <w:tcW w:w="14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20"/>
                <w:szCs w:val="20"/>
                <w:color w:val="auto"/>
              </w:rPr>
              <w:t>(50)</w:t>
            </w:r>
          </w:p>
        </w:tc>
        <w:tc>
          <w:tcPr>
            <w:tcW w:w="24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20"/>
                <w:szCs w:val="20"/>
                <w:color w:val="auto"/>
              </w:rPr>
              <w:t>(324)</w:t>
            </w:r>
          </w:p>
        </w:tc>
      </w:tr>
      <w:tr>
        <w:trPr>
          <w:trHeight w:val="250"/>
        </w:trPr>
        <w:tc>
          <w:tcPr>
            <w:tcW w:w="59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20"/>
                <w:szCs w:val="20"/>
                <w:color w:val="auto"/>
              </w:rPr>
              <w:t>Total other income</w:t>
            </w: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1,976</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154</w:t>
            </w:r>
          </w:p>
        </w:tc>
        <w:tc>
          <w:tcPr>
            <w:tcW w:w="4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5,931</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478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960" w:type="dxa"/>
            <w:vAlign w:val="bottom"/>
            <w:gridSpan w:val="2"/>
          </w:tcPr>
          <w:p>
            <w:pPr>
              <w:ind w:left="20"/>
              <w:spacing w:after="0"/>
              <w:rPr>
                <w:sz w:val="20"/>
                <w:szCs w:val="20"/>
                <w:color w:val="auto"/>
              </w:rPr>
            </w:pPr>
            <w:r>
              <w:rPr>
                <w:rFonts w:ascii="Arial" w:cs="Arial" w:eastAsia="Arial" w:hAnsi="Arial"/>
                <w:sz w:val="20"/>
                <w:szCs w:val="20"/>
                <w:color w:val="auto"/>
              </w:rPr>
              <w:t>Net loss</w:t>
            </w:r>
          </w:p>
        </w:tc>
        <w:tc>
          <w:tcPr>
            <w:tcW w:w="14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 xml:space="preserve">(18,512 </w:t>
            </w:r>
            <w:r>
              <w:rPr>
                <w:rFonts w:ascii="Arial" w:cs="Arial" w:eastAsia="Arial" w:hAnsi="Arial"/>
                <w:sz w:val="20"/>
                <w:szCs w:val="20"/>
                <w:color w:val="auto"/>
                <w:highlight w:val="white"/>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20"/>
                <w:szCs w:val="20"/>
                <w:color w:val="auto"/>
              </w:rPr>
              <w:t xml:space="preserve">(15,901 </w:t>
            </w:r>
            <w:r>
              <w:rPr>
                <w:rFonts w:ascii="Arial" w:cs="Arial" w:eastAsia="Arial" w:hAnsi="Arial"/>
                <w:sz w:val="20"/>
                <w:szCs w:val="20"/>
                <w:color w:val="auto"/>
                <w:highlight w:val="white"/>
              </w:rPr>
              <w:t>)</w:t>
            </w:r>
          </w:p>
        </w:tc>
        <w:tc>
          <w:tcPr>
            <w:tcW w:w="1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20"/>
                <w:szCs w:val="20"/>
                <w:color w:val="auto"/>
              </w:rPr>
              <w:t xml:space="preserve">(54,277 </w:t>
            </w:r>
            <w:r>
              <w:rPr>
                <w:rFonts w:ascii="Arial" w:cs="Arial" w:eastAsia="Arial" w:hAnsi="Arial"/>
                <w:sz w:val="20"/>
                <w:szCs w:val="20"/>
                <w:color w:val="auto"/>
                <w:highlight w:val="white"/>
              </w:rPr>
              <w:t>)</w:t>
            </w: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(42,204 </w:t>
            </w:r>
            <w:r>
              <w:rPr>
                <w:rFonts w:ascii="Arial" w:cs="Arial" w:eastAsia="Arial" w:hAnsi="Arial"/>
                <w:sz w:val="20"/>
                <w:szCs w:val="20"/>
                <w:color w:val="auto"/>
                <w:highlight w:val="white"/>
              </w:rPr>
              <w:t>)</w:t>
            </w:r>
          </w:p>
        </w:tc>
      </w:tr>
      <w:tr>
        <w:trPr>
          <w:trHeight w:val="20"/>
        </w:trPr>
        <w:tc>
          <w:tcPr>
            <w:tcW w:w="59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960" w:type="dxa"/>
            <w:vAlign w:val="bottom"/>
            <w:gridSpan w:val="2"/>
            <w:shd w:val="clear" w:color="auto" w:fill="CFF0FC"/>
          </w:tcPr>
          <w:p>
            <w:pPr>
              <w:ind w:left="20"/>
              <w:spacing w:after="0" w:line="224" w:lineRule="exact"/>
              <w:rPr>
                <w:sz w:val="20"/>
                <w:szCs w:val="20"/>
                <w:color w:val="auto"/>
              </w:rPr>
            </w:pPr>
            <w:r>
              <w:rPr>
                <w:rFonts w:ascii="Arial" w:cs="Arial" w:eastAsia="Arial" w:hAnsi="Arial"/>
                <w:sz w:val="20"/>
                <w:szCs w:val="20"/>
                <w:color w:val="auto"/>
              </w:rPr>
              <w:t>Net loss per common share—basic and diluted</w:t>
            </w:r>
          </w:p>
        </w:tc>
        <w:tc>
          <w:tcPr>
            <w:tcW w:w="14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40"/>
              <w:spacing w:after="0" w:line="224" w:lineRule="exact"/>
              <w:rPr>
                <w:sz w:val="20"/>
                <w:szCs w:val="20"/>
                <w:color w:val="auto"/>
              </w:rPr>
            </w:pPr>
            <w:r>
              <w:rPr>
                <w:rFonts w:ascii="Arial" w:cs="Arial" w:eastAsia="Arial" w:hAnsi="Arial"/>
                <w:sz w:val="20"/>
                <w:szCs w:val="20"/>
                <w:color w:val="auto"/>
              </w:rPr>
              <w:t>(0.48)</w:t>
            </w: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360"/>
              <w:spacing w:after="0" w:line="224" w:lineRule="exact"/>
              <w:rPr>
                <w:sz w:val="20"/>
                <w:szCs w:val="20"/>
                <w:color w:val="auto"/>
              </w:rPr>
            </w:pPr>
            <w:r>
              <w:rPr>
                <w:rFonts w:ascii="Arial" w:cs="Arial" w:eastAsia="Arial" w:hAnsi="Arial"/>
                <w:sz w:val="20"/>
                <w:szCs w:val="20"/>
                <w:color w:val="auto"/>
              </w:rPr>
              <w:t>(0.54)</w:t>
            </w:r>
          </w:p>
        </w:tc>
        <w:tc>
          <w:tcPr>
            <w:tcW w:w="14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40"/>
              <w:spacing w:after="0" w:line="224" w:lineRule="exact"/>
              <w:rPr>
                <w:sz w:val="20"/>
                <w:szCs w:val="20"/>
                <w:color w:val="auto"/>
              </w:rPr>
            </w:pPr>
            <w:r>
              <w:rPr>
                <w:rFonts w:ascii="Arial" w:cs="Arial" w:eastAsia="Arial" w:hAnsi="Arial"/>
                <w:sz w:val="20"/>
                <w:szCs w:val="20"/>
                <w:color w:val="auto"/>
              </w:rPr>
              <w:t>(1.43)</w:t>
            </w:r>
          </w:p>
        </w:tc>
        <w:tc>
          <w:tcPr>
            <w:tcW w:w="240" w:type="dxa"/>
            <w:vAlign w:val="bottom"/>
          </w:tcPr>
          <w:p>
            <w:pPr>
              <w:spacing w:after="0"/>
              <w:rPr>
                <w:sz w:val="22"/>
                <w:szCs w:val="22"/>
                <w:color w:val="auto"/>
              </w:rPr>
            </w:pPr>
          </w:p>
        </w:tc>
        <w:tc>
          <w:tcPr>
            <w:tcW w:w="940" w:type="dxa"/>
            <w:vAlign w:val="bottom"/>
            <w:gridSpan w:val="2"/>
            <w:shd w:val="clear" w:color="auto" w:fill="CFF0FC"/>
          </w:tcPr>
          <w:p>
            <w:pPr>
              <w:jc w:val="right"/>
              <w:ind w:right="20"/>
              <w:spacing w:after="0" w:line="224" w:lineRule="exact"/>
              <w:rPr>
                <w:sz w:val="20"/>
                <w:szCs w:val="20"/>
                <w:color w:val="auto"/>
              </w:rPr>
            </w:pPr>
            <w:r>
              <w:rPr>
                <w:rFonts w:ascii="Arial" w:cs="Arial" w:eastAsia="Arial" w:hAnsi="Arial"/>
                <w:sz w:val="20"/>
                <w:szCs w:val="20"/>
                <w:color w:val="auto"/>
              </w:rPr>
              <w:t>(1.44)</w:t>
            </w:r>
          </w:p>
        </w:tc>
      </w:tr>
      <w:tr>
        <w:trPr>
          <w:trHeight w:val="192"/>
        </w:trPr>
        <w:tc>
          <w:tcPr>
            <w:tcW w:w="5960" w:type="dxa"/>
            <w:vAlign w:val="bottom"/>
            <w:tcBorders>
              <w:top w:val="single" w:sz="8" w:color="CFF0FC"/>
            </w:tcBorders>
            <w:gridSpan w:val="2"/>
          </w:tcPr>
          <w:p>
            <w:pPr>
              <w:ind w:left="20"/>
              <w:spacing w:after="0" w:line="192" w:lineRule="exact"/>
              <w:rPr>
                <w:sz w:val="20"/>
                <w:szCs w:val="20"/>
                <w:color w:val="auto"/>
              </w:rPr>
            </w:pPr>
            <w:r>
              <w:rPr>
                <w:rFonts w:ascii="Arial" w:cs="Arial" w:eastAsia="Arial" w:hAnsi="Arial"/>
                <w:sz w:val="20"/>
                <w:szCs w:val="20"/>
                <w:color w:val="auto"/>
              </w:rPr>
              <w:t>Weighted average common stock outstanding—basic and diluted</w:t>
            </w: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44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20"/>
                <w:szCs w:val="20"/>
                <w:color w:val="auto"/>
              </w:rPr>
              <w:t>37,943,1</w:t>
            </w:r>
          </w:p>
        </w:tc>
        <w:tc>
          <w:tcPr>
            <w:tcW w:w="120" w:type="dxa"/>
            <w:vAlign w:val="bottom"/>
            <w:tcBorders>
              <w:top w:val="single" w:sz="8" w:color="CFF0FC"/>
            </w:tcBorders>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20"/>
                <w:szCs w:val="20"/>
                <w:color w:val="auto"/>
              </w:rPr>
              <w:t>29,246,</w:t>
            </w:r>
          </w:p>
        </w:tc>
        <w:tc>
          <w:tcPr>
            <w:tcW w:w="100" w:type="dxa"/>
            <w:vAlign w:val="bottom"/>
            <w:tcBorders>
              <w:top w:val="single" w:sz="8" w:color="CFF0FC"/>
            </w:tcBorders>
          </w:tcPr>
          <w:p>
            <w:pPr>
              <w:spacing w:after="0"/>
              <w:rPr>
                <w:sz w:val="16"/>
                <w:szCs w:val="16"/>
                <w:color w:val="auto"/>
              </w:rPr>
            </w:pPr>
          </w:p>
        </w:tc>
      </w:tr>
      <w:tr>
        <w:trPr>
          <w:trHeight w:val="247"/>
        </w:trPr>
        <w:tc>
          <w:tcPr>
            <w:tcW w:w="5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7"/>
              </w:rPr>
              <w:t>38,185,197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7"/>
              </w:rPr>
              <w:t>29,273,577</w:t>
            </w:r>
          </w:p>
        </w:tc>
        <w:tc>
          <w:tcPr>
            <w:tcW w:w="4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449</w:t>
            </w:r>
          </w:p>
        </w:tc>
        <w:tc>
          <w:tcPr>
            <w:tcW w:w="100" w:type="dxa"/>
            <w:vAlign w:val="bottom"/>
          </w:tcPr>
          <w:p>
            <w:pPr>
              <w:spacing w:after="0"/>
              <w:rPr>
                <w:sz w:val="21"/>
                <w:szCs w:val="21"/>
                <w:color w:val="auto"/>
              </w:rPr>
            </w:pPr>
          </w:p>
        </w:tc>
      </w:tr>
      <w:tr>
        <w:trPr>
          <w:trHeight w:val="20"/>
        </w:trPr>
        <w:tc>
          <w:tcPr>
            <w:tcW w:w="596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60" w:type="dxa"/>
            <w:vAlign w:val="bottom"/>
            <w:gridSpan w:val="2"/>
            <w:shd w:val="clear" w:color="auto" w:fill="CFF0FC"/>
          </w:tcPr>
          <w:p>
            <w:pPr>
              <w:ind w:left="20"/>
              <w:spacing w:after="0"/>
              <w:rPr>
                <w:sz w:val="20"/>
                <w:szCs w:val="20"/>
                <w:color w:val="auto"/>
              </w:rPr>
            </w:pPr>
            <w:r>
              <w:rPr>
                <w:rFonts w:ascii="Arial" w:cs="Arial" w:eastAsia="Arial" w:hAnsi="Arial"/>
                <w:sz w:val="20"/>
                <w:szCs w:val="20"/>
                <w:color w:val="auto"/>
              </w:rPr>
              <w:t>Comprehensive loss: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70"/>
        </w:trPr>
        <w:tc>
          <w:tcPr>
            <w:tcW w:w="5960" w:type="dxa"/>
            <w:vAlign w:val="bottom"/>
            <w:gridSpan w:val="2"/>
          </w:tcPr>
          <w:p>
            <w:pPr>
              <w:ind w:left="20"/>
              <w:spacing w:after="0"/>
              <w:rPr>
                <w:sz w:val="20"/>
                <w:szCs w:val="20"/>
                <w:color w:val="auto"/>
              </w:rPr>
            </w:pPr>
            <w:r>
              <w:rPr>
                <w:rFonts w:ascii="Arial" w:cs="Arial" w:eastAsia="Arial" w:hAnsi="Arial"/>
                <w:sz w:val="20"/>
                <w:szCs w:val="20"/>
                <w:color w:val="auto"/>
              </w:rPr>
              <w:t>Net loss</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(18,512)</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460" w:type="dxa"/>
            <w:vAlign w:val="bottom"/>
            <w:gridSpan w:val="2"/>
          </w:tcPr>
          <w:p>
            <w:pPr>
              <w:jc w:val="right"/>
              <w:ind w:right="360"/>
              <w:spacing w:after="0"/>
              <w:rPr>
                <w:sz w:val="20"/>
                <w:szCs w:val="20"/>
                <w:color w:val="auto"/>
              </w:rPr>
            </w:pPr>
            <w:r>
              <w:rPr>
                <w:rFonts w:ascii="Arial" w:cs="Arial" w:eastAsia="Arial" w:hAnsi="Arial"/>
                <w:sz w:val="20"/>
                <w:szCs w:val="20"/>
                <w:color w:val="auto"/>
              </w:rPr>
              <w:t>(15,901)</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gridSpan w:val="2"/>
          </w:tcPr>
          <w:p>
            <w:pPr>
              <w:jc w:val="right"/>
              <w:ind w:right="40"/>
              <w:spacing w:after="0"/>
              <w:rPr>
                <w:sz w:val="20"/>
                <w:szCs w:val="20"/>
                <w:color w:val="auto"/>
              </w:rPr>
            </w:pPr>
            <w:r>
              <w:rPr>
                <w:rFonts w:ascii="Arial" w:cs="Arial" w:eastAsia="Arial" w:hAnsi="Arial"/>
                <w:sz w:val="20"/>
                <w:szCs w:val="20"/>
                <w:color w:val="auto"/>
              </w:rPr>
              <w:t>(54,277)</w:t>
            </w:r>
          </w:p>
        </w:tc>
        <w:tc>
          <w:tcPr>
            <w:tcW w:w="240" w:type="dxa"/>
            <w:vAlign w:val="bottom"/>
          </w:tcPr>
          <w:p>
            <w:pPr>
              <w:spacing w:after="0"/>
              <w:rPr>
                <w:sz w:val="23"/>
                <w:szCs w:val="2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20"/>
                <w:szCs w:val="20"/>
                <w:color w:val="auto"/>
                <w:w w:val="98"/>
              </w:rPr>
              <w:t>$ (42,204)</w:t>
            </w:r>
          </w:p>
        </w:tc>
      </w:tr>
      <w:tr>
        <w:trPr>
          <w:trHeight w:val="270"/>
        </w:trPr>
        <w:tc>
          <w:tcPr>
            <w:tcW w:w="5960" w:type="dxa"/>
            <w:vAlign w:val="bottom"/>
            <w:gridSpan w:val="2"/>
            <w:shd w:val="clear" w:color="auto" w:fill="CFF0FC"/>
          </w:tcPr>
          <w:p>
            <w:pPr>
              <w:ind w:left="20"/>
              <w:spacing w:after="0"/>
              <w:rPr>
                <w:sz w:val="20"/>
                <w:szCs w:val="20"/>
                <w:color w:val="auto"/>
              </w:rPr>
            </w:pPr>
            <w:r>
              <w:rPr>
                <w:rFonts w:ascii="Arial" w:cs="Arial" w:eastAsia="Arial" w:hAnsi="Arial"/>
                <w:sz w:val="20"/>
                <w:szCs w:val="20"/>
                <w:color w:val="auto"/>
              </w:rPr>
              <w:t>Other comprehensive items:</w:t>
            </w:r>
          </w:p>
        </w:tc>
        <w:tc>
          <w:tcPr>
            <w:tcW w:w="140" w:type="dxa"/>
            <w:vAlign w:val="bottom"/>
            <w:shd w:val="clear" w:color="auto" w:fill="CFF0FC"/>
          </w:tcPr>
          <w:p>
            <w:pPr>
              <w:spacing w:after="0"/>
              <w:rPr>
                <w:sz w:val="23"/>
                <w:szCs w:val="23"/>
                <w:color w:val="auto"/>
              </w:rPr>
            </w:pPr>
          </w:p>
        </w:tc>
        <w:tc>
          <w:tcPr>
            <w:tcW w:w="102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020" w:type="dxa"/>
            <w:vAlign w:val="bottom"/>
            <w:shd w:val="clear" w:color="auto" w:fill="CFF0FC"/>
          </w:tcPr>
          <w:p>
            <w:pPr>
              <w:spacing w:after="0"/>
              <w:rPr>
                <w:sz w:val="23"/>
                <w:szCs w:val="23"/>
                <w:color w:val="auto"/>
              </w:rPr>
            </w:pPr>
          </w:p>
        </w:tc>
        <w:tc>
          <w:tcPr>
            <w:tcW w:w="44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82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r>
      <w:tr>
        <w:trPr>
          <w:trHeight w:val="257"/>
        </w:trPr>
        <w:tc>
          <w:tcPr>
            <w:tcW w:w="5960" w:type="dxa"/>
            <w:vAlign w:val="bottom"/>
            <w:gridSpan w:val="2"/>
          </w:tcPr>
          <w:p>
            <w:pPr>
              <w:ind w:left="280"/>
              <w:spacing w:after="0"/>
              <w:rPr>
                <w:sz w:val="20"/>
                <w:szCs w:val="20"/>
                <w:color w:val="auto"/>
              </w:rPr>
            </w:pPr>
            <w:r>
              <w:rPr>
                <w:rFonts w:ascii="Arial" w:cs="Arial" w:eastAsia="Arial" w:hAnsi="Arial"/>
                <w:sz w:val="20"/>
                <w:szCs w:val="20"/>
                <w:color w:val="auto"/>
              </w:rPr>
              <w:t>Unrealized gain (loss) on marketable securities</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89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20"/>
                <w:szCs w:val="20"/>
                <w:color w:val="auto"/>
              </w:rPr>
              <w:t>(19)</w:t>
            </w:r>
          </w:p>
        </w:tc>
        <w:tc>
          <w:tcPr>
            <w:tcW w:w="14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20"/>
                <w:szCs w:val="20"/>
                <w:color w:val="auto"/>
              </w:rPr>
              <w:t>(62)</w:t>
            </w:r>
          </w:p>
        </w:tc>
        <w:tc>
          <w:tcPr>
            <w:tcW w:w="24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20"/>
                <w:szCs w:val="20"/>
                <w:color w:val="auto"/>
              </w:rPr>
              <w:t>(147)</w:t>
            </w:r>
          </w:p>
        </w:tc>
      </w:tr>
      <w:tr>
        <w:trPr>
          <w:trHeight w:val="20"/>
        </w:trPr>
        <w:tc>
          <w:tcPr>
            <w:tcW w:w="596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60" w:type="dxa"/>
            <w:vAlign w:val="bottom"/>
            <w:gridSpan w:val="2"/>
            <w:shd w:val="clear" w:color="auto" w:fill="CFF0FC"/>
          </w:tcPr>
          <w:p>
            <w:pPr>
              <w:ind w:left="20"/>
              <w:spacing w:after="0"/>
              <w:rPr>
                <w:sz w:val="20"/>
                <w:szCs w:val="20"/>
                <w:color w:val="auto"/>
              </w:rPr>
            </w:pPr>
            <w:r>
              <w:rPr>
                <w:rFonts w:ascii="Arial" w:cs="Arial" w:eastAsia="Arial" w:hAnsi="Arial"/>
                <w:sz w:val="20"/>
                <w:szCs w:val="20"/>
                <w:color w:val="auto"/>
              </w:rPr>
              <w:t>Total other comprehensive income (loss)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360"/>
              <w:spacing w:after="0"/>
              <w:rPr>
                <w:sz w:val="20"/>
                <w:szCs w:val="20"/>
                <w:color w:val="auto"/>
              </w:rPr>
            </w:pPr>
            <w:r>
              <w:rPr>
                <w:rFonts w:ascii="Arial" w:cs="Arial" w:eastAsia="Arial" w:hAnsi="Arial"/>
                <w:sz w:val="20"/>
                <w:szCs w:val="20"/>
                <w:color w:val="auto"/>
              </w:rPr>
              <w:t>(19)</w:t>
            </w:r>
          </w:p>
        </w:tc>
        <w:tc>
          <w:tcPr>
            <w:tcW w:w="1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(62)</w:t>
            </w:r>
          </w:p>
        </w:tc>
        <w:tc>
          <w:tcPr>
            <w:tcW w:w="240" w:type="dxa"/>
            <w:vAlign w:val="bottom"/>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(147)</w:t>
            </w:r>
          </w:p>
        </w:tc>
      </w:tr>
      <w:tr>
        <w:trPr>
          <w:trHeight w:val="20"/>
        </w:trPr>
        <w:tc>
          <w:tcPr>
            <w:tcW w:w="58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960" w:type="dxa"/>
            <w:vAlign w:val="bottom"/>
            <w:gridSpan w:val="2"/>
          </w:tcPr>
          <w:p>
            <w:pPr>
              <w:ind w:left="20"/>
              <w:spacing w:after="0"/>
              <w:rPr>
                <w:sz w:val="20"/>
                <w:szCs w:val="20"/>
                <w:color w:val="auto"/>
              </w:rPr>
            </w:pPr>
            <w:r>
              <w:rPr>
                <w:rFonts w:ascii="Arial" w:cs="Arial" w:eastAsia="Arial" w:hAnsi="Arial"/>
                <w:sz w:val="20"/>
                <w:szCs w:val="20"/>
                <w:color w:val="auto"/>
              </w:rPr>
              <w:t>Total comprehensive loss</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(18,423 )</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460" w:type="dxa"/>
            <w:vAlign w:val="bottom"/>
            <w:gridSpan w:val="2"/>
          </w:tcPr>
          <w:p>
            <w:pPr>
              <w:jc w:val="right"/>
              <w:ind w:right="360"/>
              <w:spacing w:after="0"/>
              <w:rPr>
                <w:sz w:val="20"/>
                <w:szCs w:val="20"/>
                <w:color w:val="auto"/>
              </w:rPr>
            </w:pPr>
            <w:r>
              <w:rPr>
                <w:rFonts w:ascii="Arial" w:cs="Arial" w:eastAsia="Arial" w:hAnsi="Arial"/>
                <w:sz w:val="20"/>
                <w:szCs w:val="20"/>
                <w:color w:val="auto"/>
              </w:rPr>
              <w:t>(15,920 )</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gridSpan w:val="2"/>
          </w:tcPr>
          <w:p>
            <w:pPr>
              <w:jc w:val="right"/>
              <w:ind w:right="40"/>
              <w:spacing w:after="0"/>
              <w:rPr>
                <w:sz w:val="20"/>
                <w:szCs w:val="20"/>
                <w:color w:val="auto"/>
              </w:rPr>
            </w:pPr>
            <w:r>
              <w:rPr>
                <w:rFonts w:ascii="Arial" w:cs="Arial" w:eastAsia="Arial" w:hAnsi="Arial"/>
                <w:sz w:val="20"/>
                <w:szCs w:val="20"/>
                <w:color w:val="auto"/>
              </w:rPr>
              <w:t>(54,339 )</w:t>
            </w: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20"/>
                <w:szCs w:val="20"/>
                <w:color w:val="auto"/>
                <w:w w:val="93"/>
              </w:rPr>
              <w:t>$ (42,351 )</w:t>
            </w: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-2750820</wp:posOffset>
            </wp:positionV>
            <wp:extent cx="76835"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-2750820</wp:posOffset>
            </wp:positionV>
            <wp:extent cx="6858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-2750820</wp:posOffset>
            </wp:positionV>
            <wp:extent cx="6858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-2750820</wp:posOffset>
            </wp:positionV>
            <wp:extent cx="6858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-2407920</wp:posOffset>
            </wp:positionV>
            <wp:extent cx="76835"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-2407920</wp:posOffset>
            </wp:positionV>
            <wp:extent cx="6858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-2407920</wp:posOffset>
            </wp:positionV>
            <wp:extent cx="6858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-1379220</wp:posOffset>
            </wp:positionV>
            <wp:extent cx="2614295" cy="3429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14295" cy="34290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-187960</wp:posOffset>
            </wp:positionV>
            <wp:extent cx="76835"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-187960</wp:posOffset>
            </wp:positionV>
            <wp:extent cx="6858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-187960</wp:posOffset>
            </wp:positionV>
            <wp:extent cx="6858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Aura Biosciences,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Accumulated</w:t>
            </w:r>
          </w:p>
        </w:tc>
        <w:tc>
          <w:tcPr>
            <w:tcW w:w="14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2360" w:type="dxa"/>
            <w:vAlign w:val="bottom"/>
            <w:gridSpan w:val="3"/>
            <w:vMerge w:val="restart"/>
          </w:tcPr>
          <w:p>
            <w:pPr>
              <w:ind w:left="820"/>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2"/>
                <w:szCs w:val="12"/>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rPr>
              <w:t>Accumulated</w:t>
            </w:r>
          </w:p>
        </w:tc>
        <w:tc>
          <w:tcPr>
            <w:tcW w:w="14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Other</w:t>
            </w: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2360" w:type="dxa"/>
            <w:vAlign w:val="bottom"/>
            <w:tcBorders>
              <w:bottom w:val="single" w:sz="8" w:color="auto"/>
            </w:tcBorders>
            <w:gridSpan w:val="3"/>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Comprehensive</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80" w:type="dxa"/>
            <w:vAlign w:val="bottom"/>
          </w:tcPr>
          <w:p>
            <w:pPr>
              <w:spacing w:after="0"/>
              <w:rPr>
                <w:sz w:val="14"/>
                <w:szCs w:val="14"/>
                <w:color w:val="auto"/>
              </w:rPr>
            </w:pPr>
          </w:p>
        </w:tc>
        <w:tc>
          <w:tcPr>
            <w:tcW w:w="118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4"/>
                <w:szCs w:val="14"/>
                <w:color w:val="auto"/>
              </w:rPr>
            </w:pP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Amount</w:t>
            </w:r>
          </w:p>
        </w:tc>
        <w:tc>
          <w:tcPr>
            <w:tcW w:w="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Loss Amount</w:t>
            </w:r>
          </w:p>
        </w:tc>
        <w:tc>
          <w:tcPr>
            <w:tcW w:w="12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8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December 31, 2022</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37,771,918</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406,555</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(210,900 )</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(72 )</w:t>
            </w: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195,583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88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Stock-based compensation expense</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3"/>
                <w:szCs w:val="13"/>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1,913</w:t>
            </w:r>
          </w:p>
        </w:tc>
        <w:tc>
          <w:tcPr>
            <w:tcW w:w="100" w:type="dxa"/>
            <w:vAlign w:val="bottom"/>
            <w:tcBorders>
              <w:top w:val="single" w:sz="8" w:color="CFF0FC"/>
            </w:tcBorders>
          </w:tcPr>
          <w:p>
            <w:pPr>
              <w:spacing w:after="0"/>
              <w:rPr>
                <w:sz w:val="13"/>
                <w:szCs w:val="13"/>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3"/>
                <w:szCs w:val="13"/>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3"/>
                <w:szCs w:val="13"/>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1,913</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880" w:type="dxa"/>
            <w:vAlign w:val="bottom"/>
            <w:shd w:val="clear" w:color="auto" w:fill="CFF0FC"/>
          </w:tcPr>
          <w:p>
            <w:pPr>
              <w:ind w:left="20"/>
              <w:spacing w:after="0"/>
              <w:rPr>
                <w:sz w:val="20"/>
                <w:szCs w:val="20"/>
                <w:color w:val="auto"/>
              </w:rPr>
            </w:pPr>
            <w:r>
              <w:rPr>
                <w:rFonts w:ascii="Arial" w:cs="Arial" w:eastAsia="Arial" w:hAnsi="Arial"/>
                <w:sz w:val="13"/>
                <w:szCs w:val="13"/>
                <w:color w:val="auto"/>
              </w:rPr>
              <w:t>Employee Stock Purchase Plan Issuance</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6,635</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80" w:type="dxa"/>
            <w:vAlign w:val="bottom"/>
          </w:tcPr>
          <w:p>
            <w:pPr>
              <w:ind w:left="20"/>
              <w:spacing w:after="0"/>
              <w:rPr>
                <w:sz w:val="20"/>
                <w:szCs w:val="20"/>
                <w:color w:val="auto"/>
              </w:rPr>
            </w:pPr>
            <w:r>
              <w:rPr>
                <w:rFonts w:ascii="Arial" w:cs="Arial" w:eastAsia="Arial" w:hAnsi="Arial"/>
                <w:sz w:val="13"/>
                <w:szCs w:val="13"/>
                <w:color w:val="auto"/>
              </w:rPr>
              <w:t>Stock option exercises</w:t>
            </w:r>
          </w:p>
        </w:tc>
        <w:tc>
          <w:tcPr>
            <w:tcW w:w="1180" w:type="dxa"/>
            <w:vAlign w:val="bottom"/>
          </w:tcPr>
          <w:p>
            <w:pPr>
              <w:jc w:val="right"/>
              <w:spacing w:after="0"/>
              <w:rPr>
                <w:sz w:val="20"/>
                <w:szCs w:val="20"/>
                <w:color w:val="auto"/>
              </w:rPr>
            </w:pPr>
            <w:r>
              <w:rPr>
                <w:rFonts w:ascii="Arial" w:cs="Arial" w:eastAsia="Arial" w:hAnsi="Arial"/>
                <w:sz w:val="13"/>
                <w:szCs w:val="13"/>
                <w:color w:val="auto"/>
              </w:rPr>
              <w:t>21,549</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ind w:left="120"/>
              <w:spacing w:after="0"/>
              <w:rPr>
                <w:sz w:val="20"/>
                <w:szCs w:val="20"/>
                <w:color w:val="auto"/>
              </w:rPr>
            </w:pPr>
            <w:r>
              <w:rPr>
                <w:rFonts w:ascii="Arial" w:cs="Arial" w:eastAsia="Arial" w:hAnsi="Arial"/>
                <w:sz w:val="13"/>
                <w:szCs w:val="13"/>
                <w:color w:val="auto"/>
              </w:rPr>
              <w:t>—</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145</w:t>
            </w:r>
          </w:p>
        </w:tc>
        <w:tc>
          <w:tcPr>
            <w:tcW w:w="1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145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shd w:val="clear" w:color="auto" w:fill="CFF0FC"/>
          </w:tcPr>
          <w:p>
            <w:pPr>
              <w:ind w:left="20"/>
              <w:spacing w:after="0"/>
              <w:rPr>
                <w:sz w:val="20"/>
                <w:szCs w:val="20"/>
                <w:color w:val="auto"/>
              </w:rPr>
            </w:pPr>
            <w:r>
              <w:rPr>
                <w:rFonts w:ascii="Arial" w:cs="Arial" w:eastAsia="Arial" w:hAnsi="Arial"/>
                <w:sz w:val="13"/>
                <w:szCs w:val="13"/>
                <w:color w:val="auto"/>
              </w:rPr>
              <w:t>Unrealized gain on marketable securities</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8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3"/>
                <w:szCs w:val="13"/>
                <w:color w:val="auto"/>
              </w:rPr>
              <w:t>(17,466 )</w:t>
            </w: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3"/>
                <w:szCs w:val="13"/>
                <w:color w:val="auto"/>
              </w:rPr>
              <w:t>(17,466 )</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March 31, 2023</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37,800,102</w:t>
            </w: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408,669</w:t>
            </w: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(228,366 )</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(45 )</w:t>
            </w: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180,258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8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ind w:left="120"/>
              <w:spacing w:after="0"/>
              <w:rPr>
                <w:sz w:val="20"/>
                <w:szCs w:val="20"/>
                <w:color w:val="auto"/>
              </w:rPr>
            </w:pPr>
            <w:r>
              <w:rPr>
                <w:rFonts w:ascii="Arial" w:cs="Arial" w:eastAsia="Arial" w:hAnsi="Arial"/>
                <w:sz w:val="13"/>
                <w:szCs w:val="13"/>
                <w:color w:val="auto"/>
              </w:rPr>
              <w:t>—</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1,931</w:t>
            </w:r>
          </w:p>
        </w:tc>
        <w:tc>
          <w:tcPr>
            <w:tcW w:w="1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1,931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shd w:val="clear" w:color="auto" w:fill="CFF0FC"/>
          </w:tcPr>
          <w:p>
            <w:pPr>
              <w:ind w:left="20"/>
              <w:spacing w:after="0"/>
              <w:rPr>
                <w:sz w:val="20"/>
                <w:szCs w:val="20"/>
                <w:color w:val="auto"/>
              </w:rPr>
            </w:pPr>
            <w:r>
              <w:rPr>
                <w:rFonts w:ascii="Arial" w:cs="Arial" w:eastAsia="Arial" w:hAnsi="Arial"/>
                <w:sz w:val="13"/>
                <w:szCs w:val="13"/>
                <w:color w:val="auto"/>
              </w:rPr>
              <w:t>Issuance of common stock under ATM facility</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169,200</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2,065</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2,065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80" w:type="dxa"/>
            <w:vAlign w:val="bottom"/>
          </w:tcPr>
          <w:p>
            <w:pPr>
              <w:ind w:left="20"/>
              <w:spacing w:after="0"/>
              <w:rPr>
                <w:sz w:val="20"/>
                <w:szCs w:val="20"/>
                <w:color w:val="auto"/>
              </w:rPr>
            </w:pPr>
            <w:r>
              <w:rPr>
                <w:rFonts w:ascii="Arial" w:cs="Arial" w:eastAsia="Arial" w:hAnsi="Arial"/>
                <w:sz w:val="13"/>
                <w:szCs w:val="13"/>
                <w:color w:val="auto"/>
              </w:rPr>
              <w:t>Stock option exercises</w:t>
            </w:r>
          </w:p>
        </w:tc>
        <w:tc>
          <w:tcPr>
            <w:tcW w:w="1180" w:type="dxa"/>
            <w:vAlign w:val="bottom"/>
          </w:tcPr>
          <w:p>
            <w:pPr>
              <w:jc w:val="right"/>
              <w:spacing w:after="0"/>
              <w:rPr>
                <w:sz w:val="20"/>
                <w:szCs w:val="20"/>
                <w:color w:val="auto"/>
              </w:rPr>
            </w:pPr>
            <w:r>
              <w:rPr>
                <w:rFonts w:ascii="Arial" w:cs="Arial" w:eastAsia="Arial" w:hAnsi="Arial"/>
                <w:sz w:val="13"/>
                <w:szCs w:val="13"/>
                <w:color w:val="auto"/>
              </w:rPr>
              <w:t>117,304</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ind w:left="120"/>
              <w:spacing w:after="0"/>
              <w:rPr>
                <w:sz w:val="20"/>
                <w:szCs w:val="20"/>
                <w:color w:val="auto"/>
              </w:rPr>
            </w:pPr>
            <w:r>
              <w:rPr>
                <w:rFonts w:ascii="Arial" w:cs="Arial" w:eastAsia="Arial" w:hAnsi="Arial"/>
                <w:sz w:val="13"/>
                <w:szCs w:val="13"/>
                <w:color w:val="auto"/>
              </w:rPr>
              <w:t>—</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660</w:t>
            </w:r>
          </w:p>
        </w:tc>
        <w:tc>
          <w:tcPr>
            <w:tcW w:w="1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660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shd w:val="clear" w:color="auto" w:fill="CFF0FC"/>
          </w:tcPr>
          <w:p>
            <w:pPr>
              <w:ind w:left="20"/>
              <w:spacing w:after="0"/>
              <w:rPr>
                <w:sz w:val="20"/>
                <w:szCs w:val="20"/>
                <w:color w:val="auto"/>
              </w:rPr>
            </w:pPr>
            <w:r>
              <w:rPr>
                <w:rFonts w:ascii="Arial" w:cs="Arial" w:eastAsia="Arial" w:hAnsi="Arial"/>
                <w:sz w:val="13"/>
                <w:szCs w:val="13"/>
                <w:color w:val="auto"/>
              </w:rPr>
              <w:t>Unrealized loss on marketable securities</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(178 )</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(178 )</w:t>
            </w:r>
          </w:p>
        </w:tc>
        <w:tc>
          <w:tcPr>
            <w:tcW w:w="0" w:type="dxa"/>
            <w:vAlign w:val="bottom"/>
          </w:tcPr>
          <w:p>
            <w:pPr>
              <w:spacing w:after="0"/>
              <w:rPr>
                <w:sz w:val="1"/>
                <w:szCs w:val="1"/>
                <w:color w:val="auto"/>
              </w:rPr>
            </w:pPr>
          </w:p>
        </w:tc>
      </w:tr>
      <w:tr>
        <w:trPr>
          <w:trHeight w:val="175"/>
        </w:trPr>
        <w:tc>
          <w:tcPr>
            <w:tcW w:w="288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3"/>
                <w:szCs w:val="13"/>
                <w:color w:val="auto"/>
              </w:rPr>
              <w:t>(18,299 )</w:t>
            </w: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3"/>
                <w:szCs w:val="13"/>
                <w:color w:val="auto"/>
              </w:rPr>
              <w:t>(18,299 )</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June 30, 2023</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38,086,606</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413,325</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(246,665 )</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(223 )</w:t>
            </w: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166,437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88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Stock-based compensation expense</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3"/>
                <w:szCs w:val="13"/>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2,325</w:t>
            </w:r>
          </w:p>
        </w:tc>
        <w:tc>
          <w:tcPr>
            <w:tcW w:w="100" w:type="dxa"/>
            <w:vAlign w:val="bottom"/>
            <w:tcBorders>
              <w:top w:val="single" w:sz="8" w:color="CFF0FC"/>
            </w:tcBorders>
          </w:tcPr>
          <w:p>
            <w:pPr>
              <w:spacing w:after="0"/>
              <w:rPr>
                <w:sz w:val="13"/>
                <w:szCs w:val="13"/>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3"/>
                <w:szCs w:val="13"/>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3"/>
                <w:szCs w:val="13"/>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2,325</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880" w:type="dxa"/>
            <w:vAlign w:val="bottom"/>
            <w:shd w:val="clear" w:color="auto" w:fill="CFF0FC"/>
          </w:tcPr>
          <w:p>
            <w:pPr>
              <w:ind w:left="20"/>
              <w:spacing w:after="0"/>
              <w:rPr>
                <w:sz w:val="20"/>
                <w:szCs w:val="20"/>
                <w:color w:val="auto"/>
              </w:rPr>
            </w:pPr>
            <w:r>
              <w:rPr>
                <w:rFonts w:ascii="Arial" w:cs="Arial" w:eastAsia="Arial" w:hAnsi="Arial"/>
                <w:sz w:val="13"/>
                <w:szCs w:val="13"/>
                <w:color w:val="auto"/>
              </w:rPr>
              <w:t>Employee Stock Purchase Plan Issuance</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8,276</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72</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80" w:type="dxa"/>
            <w:vAlign w:val="bottom"/>
          </w:tcPr>
          <w:p>
            <w:pPr>
              <w:ind w:left="20"/>
              <w:spacing w:after="0"/>
              <w:rPr>
                <w:sz w:val="20"/>
                <w:szCs w:val="20"/>
                <w:color w:val="auto"/>
              </w:rPr>
            </w:pPr>
            <w:r>
              <w:rPr>
                <w:rFonts w:ascii="Arial" w:cs="Arial" w:eastAsia="Arial" w:hAnsi="Arial"/>
                <w:sz w:val="13"/>
                <w:szCs w:val="13"/>
                <w:color w:val="auto"/>
              </w:rPr>
              <w:t>Issuance of common stock under ATM facility</w:t>
            </w:r>
          </w:p>
        </w:tc>
        <w:tc>
          <w:tcPr>
            <w:tcW w:w="1180" w:type="dxa"/>
            <w:vAlign w:val="bottom"/>
          </w:tcPr>
          <w:p>
            <w:pPr>
              <w:jc w:val="right"/>
              <w:spacing w:after="0"/>
              <w:rPr>
                <w:sz w:val="20"/>
                <w:szCs w:val="20"/>
                <w:color w:val="auto"/>
              </w:rPr>
            </w:pPr>
            <w:r>
              <w:rPr>
                <w:rFonts w:ascii="Arial" w:cs="Arial" w:eastAsia="Arial" w:hAnsi="Arial"/>
                <w:sz w:val="13"/>
                <w:szCs w:val="13"/>
                <w:color w:val="auto"/>
              </w:rPr>
              <w:t>92,607</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ind w:left="120"/>
              <w:spacing w:after="0"/>
              <w:rPr>
                <w:sz w:val="20"/>
                <w:szCs w:val="20"/>
                <w:color w:val="auto"/>
              </w:rPr>
            </w:pPr>
            <w:r>
              <w:rPr>
                <w:rFonts w:ascii="Arial" w:cs="Arial" w:eastAsia="Arial" w:hAnsi="Arial"/>
                <w:sz w:val="13"/>
                <w:szCs w:val="13"/>
                <w:color w:val="auto"/>
              </w:rPr>
              <w:t>—</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1,105</w:t>
            </w:r>
          </w:p>
        </w:tc>
        <w:tc>
          <w:tcPr>
            <w:tcW w:w="1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1,105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 option exercises</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29,228</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202</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80" w:type="dxa"/>
            <w:vAlign w:val="bottom"/>
          </w:tcPr>
          <w:p>
            <w:pPr>
              <w:ind w:left="20"/>
              <w:spacing w:after="0"/>
              <w:rPr>
                <w:sz w:val="20"/>
                <w:szCs w:val="20"/>
                <w:color w:val="auto"/>
              </w:rPr>
            </w:pPr>
            <w:r>
              <w:rPr>
                <w:rFonts w:ascii="Arial" w:cs="Arial" w:eastAsia="Arial" w:hAnsi="Arial"/>
                <w:sz w:val="13"/>
                <w:szCs w:val="13"/>
                <w:color w:val="auto"/>
              </w:rPr>
              <w:t>Unrealized gain on marketable securities</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89</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(18,512 )</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(18,512 )</w:t>
            </w:r>
          </w:p>
        </w:tc>
        <w:tc>
          <w:tcPr>
            <w:tcW w:w="0" w:type="dxa"/>
            <w:vAlign w:val="bottom"/>
          </w:tcPr>
          <w:p>
            <w:pPr>
              <w:spacing w:after="0"/>
              <w:rPr>
                <w:sz w:val="1"/>
                <w:szCs w:val="1"/>
                <w:color w:val="auto"/>
              </w:rPr>
            </w:pPr>
          </w:p>
        </w:tc>
      </w:tr>
      <w:tr>
        <w:trPr>
          <w:trHeight w:val="20"/>
        </w:trPr>
        <w:tc>
          <w:tcPr>
            <w:tcW w:w="288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80" w:type="dxa"/>
            <w:vAlign w:val="bottom"/>
          </w:tcPr>
          <w:p>
            <w:pPr>
              <w:ind w:left="20"/>
              <w:spacing w:after="0"/>
              <w:rPr>
                <w:sz w:val="20"/>
                <w:szCs w:val="20"/>
                <w:color w:val="auto"/>
              </w:rPr>
            </w:pPr>
            <w:r>
              <w:rPr>
                <w:rFonts w:ascii="Arial" w:cs="Arial" w:eastAsia="Arial" w:hAnsi="Arial"/>
                <w:sz w:val="13"/>
                <w:szCs w:val="13"/>
                <w:b w:val="1"/>
                <w:bCs w:val="1"/>
                <w:color w:val="auto"/>
              </w:rPr>
              <w:t>Balance, September 30, 2023</w:t>
            </w:r>
          </w:p>
        </w:tc>
        <w:tc>
          <w:tcPr>
            <w:tcW w:w="1180" w:type="dxa"/>
            <w:vAlign w:val="bottom"/>
          </w:tcPr>
          <w:p>
            <w:pPr>
              <w:jc w:val="right"/>
              <w:spacing w:after="0"/>
              <w:rPr>
                <w:sz w:val="20"/>
                <w:szCs w:val="20"/>
                <w:color w:val="auto"/>
              </w:rPr>
            </w:pPr>
            <w:r>
              <w:rPr>
                <w:rFonts w:ascii="Arial" w:cs="Arial" w:eastAsia="Arial" w:hAnsi="Arial"/>
                <w:sz w:val="13"/>
                <w:szCs w:val="13"/>
                <w:color w:val="auto"/>
              </w:rPr>
              <w:t>38,216,717</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417,029</w:t>
            </w:r>
          </w:p>
        </w:tc>
        <w:tc>
          <w:tcPr>
            <w:tcW w:w="10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3"/>
                <w:szCs w:val="13"/>
                <w:color w:val="auto"/>
              </w:rPr>
              <w:t>(265,177 )</w:t>
            </w:r>
          </w:p>
        </w:tc>
        <w:tc>
          <w:tcPr>
            <w:tcW w:w="1440" w:type="dxa"/>
            <w:vAlign w:val="bottom"/>
            <w:gridSpan w:val="2"/>
          </w:tcPr>
          <w:p>
            <w:pPr>
              <w:jc w:val="right"/>
              <w:ind w:right="60"/>
              <w:spacing w:after="0"/>
              <w:rPr>
                <w:sz w:val="20"/>
                <w:szCs w:val="20"/>
                <w:color w:val="auto"/>
              </w:rPr>
            </w:pPr>
            <w:r>
              <w:rPr>
                <w:rFonts w:ascii="Arial" w:cs="Arial" w:eastAsia="Arial" w:hAnsi="Arial"/>
                <w:sz w:val="13"/>
                <w:szCs w:val="13"/>
                <w:color w:val="auto"/>
              </w:rPr>
              <w:t>(134 )</w:t>
            </w:r>
          </w:p>
        </w:tc>
        <w:tc>
          <w:tcPr>
            <w:tcW w:w="1380" w:type="dxa"/>
            <w:vAlign w:val="bottom"/>
          </w:tcPr>
          <w:p>
            <w:pPr>
              <w:jc w:val="right"/>
              <w:spacing w:after="0"/>
              <w:rPr>
                <w:sz w:val="20"/>
                <w:szCs w:val="20"/>
                <w:color w:val="auto"/>
              </w:rPr>
            </w:pPr>
            <w:r>
              <w:rPr>
                <w:rFonts w:ascii="Arial" w:cs="Arial" w:eastAsia="Arial" w:hAnsi="Arial"/>
                <w:sz w:val="13"/>
                <w:szCs w:val="13"/>
                <w:color w:val="auto"/>
              </w:rPr>
              <w:t>151,718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8"/>
        </w:trPr>
        <w:tc>
          <w:tcPr>
            <w:tcW w:w="2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Accumulated</w:t>
            </w:r>
          </w:p>
        </w:tc>
        <w:tc>
          <w:tcPr>
            <w:tcW w:w="14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2360" w:type="dxa"/>
            <w:vAlign w:val="bottom"/>
            <w:gridSpan w:val="3"/>
            <w:vMerge w:val="restart"/>
          </w:tcPr>
          <w:p>
            <w:pPr>
              <w:ind w:left="820"/>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2"/>
                <w:szCs w:val="12"/>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rPr>
              <w:t>Accumulated</w:t>
            </w:r>
          </w:p>
        </w:tc>
        <w:tc>
          <w:tcPr>
            <w:tcW w:w="14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Other</w:t>
            </w: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2360" w:type="dxa"/>
            <w:vAlign w:val="bottom"/>
            <w:tcBorders>
              <w:bottom w:val="single" w:sz="8" w:color="auto"/>
            </w:tcBorders>
            <w:gridSpan w:val="3"/>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Comprehensive</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80" w:type="dxa"/>
            <w:vAlign w:val="bottom"/>
          </w:tcPr>
          <w:p>
            <w:pPr>
              <w:spacing w:after="0"/>
              <w:rPr>
                <w:sz w:val="14"/>
                <w:szCs w:val="14"/>
                <w:color w:val="auto"/>
              </w:rPr>
            </w:pPr>
          </w:p>
        </w:tc>
        <w:tc>
          <w:tcPr>
            <w:tcW w:w="118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4"/>
                <w:szCs w:val="14"/>
                <w:color w:val="auto"/>
              </w:rPr>
            </w:pP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Amount</w:t>
            </w:r>
          </w:p>
        </w:tc>
        <w:tc>
          <w:tcPr>
            <w:tcW w:w="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Loss Amount</w:t>
            </w:r>
          </w:p>
        </w:tc>
        <w:tc>
          <w:tcPr>
            <w:tcW w:w="12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8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December 31, 2021</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29,211,643</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304,452</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(152,137 )</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152,315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88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Stock-based compensation expense</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3"/>
                <w:szCs w:val="13"/>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1,594</w:t>
            </w:r>
          </w:p>
        </w:tc>
        <w:tc>
          <w:tcPr>
            <w:tcW w:w="100" w:type="dxa"/>
            <w:vAlign w:val="bottom"/>
            <w:tcBorders>
              <w:top w:val="single" w:sz="8" w:color="CFF0FC"/>
            </w:tcBorders>
          </w:tcPr>
          <w:p>
            <w:pPr>
              <w:spacing w:after="0"/>
              <w:rPr>
                <w:sz w:val="13"/>
                <w:szCs w:val="13"/>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3"/>
                <w:szCs w:val="13"/>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3"/>
                <w:szCs w:val="13"/>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1,594</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8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 option exercises</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5,593</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80" w:type="dxa"/>
            <w:vAlign w:val="bottom"/>
          </w:tcPr>
          <w:p>
            <w:pPr>
              <w:ind w:left="20"/>
              <w:spacing w:after="0"/>
              <w:rPr>
                <w:sz w:val="20"/>
                <w:szCs w:val="20"/>
                <w:color w:val="auto"/>
              </w:rPr>
            </w:pPr>
            <w:r>
              <w:rPr>
                <w:rFonts w:ascii="Arial" w:cs="Arial" w:eastAsia="Arial" w:hAnsi="Arial"/>
                <w:sz w:val="13"/>
                <w:szCs w:val="13"/>
                <w:color w:val="auto"/>
              </w:rPr>
              <w:t>Unrealized loss on marketable securities</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3"/>
                <w:szCs w:val="13"/>
                <w:color w:val="auto"/>
              </w:rPr>
              <w:t>(5 )</w:t>
            </w:r>
          </w:p>
        </w:tc>
        <w:tc>
          <w:tcPr>
            <w:tcW w:w="1480" w:type="dxa"/>
            <w:vAlign w:val="bottom"/>
            <w:gridSpan w:val="2"/>
          </w:tcPr>
          <w:p>
            <w:pPr>
              <w:jc w:val="right"/>
              <w:ind w:right="40"/>
              <w:spacing w:after="0"/>
              <w:rPr>
                <w:sz w:val="20"/>
                <w:szCs w:val="20"/>
                <w:color w:val="auto"/>
              </w:rPr>
            </w:pPr>
            <w:r>
              <w:rPr>
                <w:rFonts w:ascii="Arial" w:cs="Arial" w:eastAsia="Arial" w:hAnsi="Arial"/>
                <w:sz w:val="13"/>
                <w:szCs w:val="13"/>
                <w:color w:val="auto"/>
              </w:rPr>
              <w:t>(5 )</w:t>
            </w:r>
          </w:p>
        </w:tc>
        <w:tc>
          <w:tcPr>
            <w:tcW w:w="0" w:type="dxa"/>
            <w:vAlign w:val="bottom"/>
          </w:tcPr>
          <w:p>
            <w:pPr>
              <w:spacing w:after="0"/>
              <w:rPr>
                <w:sz w:val="1"/>
                <w:szCs w:val="1"/>
                <w:color w:val="auto"/>
              </w:rPr>
            </w:pPr>
          </w:p>
        </w:tc>
      </w:tr>
      <w:tr>
        <w:trPr>
          <w:trHeight w:val="176"/>
        </w:trPr>
        <w:tc>
          <w:tcPr>
            <w:tcW w:w="288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(12,835 )</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(12,835 )</w:t>
            </w:r>
          </w:p>
        </w:tc>
        <w:tc>
          <w:tcPr>
            <w:tcW w:w="0" w:type="dxa"/>
            <w:vAlign w:val="bottom"/>
          </w:tcPr>
          <w:p>
            <w:pPr>
              <w:spacing w:after="0"/>
              <w:rPr>
                <w:sz w:val="1"/>
                <w:szCs w:val="1"/>
                <w:color w:val="auto"/>
              </w:rPr>
            </w:pPr>
          </w:p>
        </w:tc>
      </w:tr>
      <w:tr>
        <w:trPr>
          <w:trHeight w:val="20"/>
        </w:trPr>
        <w:tc>
          <w:tcPr>
            <w:tcW w:w="288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80" w:type="dxa"/>
            <w:vAlign w:val="bottom"/>
          </w:tcPr>
          <w:p>
            <w:pPr>
              <w:ind w:left="20"/>
              <w:spacing w:after="0"/>
              <w:rPr>
                <w:sz w:val="20"/>
                <w:szCs w:val="20"/>
                <w:color w:val="auto"/>
              </w:rPr>
            </w:pPr>
            <w:r>
              <w:rPr>
                <w:rFonts w:ascii="Arial" w:cs="Arial" w:eastAsia="Arial" w:hAnsi="Arial"/>
                <w:sz w:val="13"/>
                <w:szCs w:val="13"/>
                <w:b w:val="1"/>
                <w:bCs w:val="1"/>
                <w:color w:val="auto"/>
              </w:rPr>
              <w:t>Balance, March 31, 2022</w:t>
            </w:r>
          </w:p>
        </w:tc>
        <w:tc>
          <w:tcPr>
            <w:tcW w:w="1180" w:type="dxa"/>
            <w:vAlign w:val="bottom"/>
          </w:tcPr>
          <w:p>
            <w:pPr>
              <w:jc w:val="right"/>
              <w:spacing w:after="0"/>
              <w:rPr>
                <w:sz w:val="20"/>
                <w:szCs w:val="20"/>
                <w:color w:val="auto"/>
              </w:rPr>
            </w:pPr>
            <w:r>
              <w:rPr>
                <w:rFonts w:ascii="Arial" w:cs="Arial" w:eastAsia="Arial" w:hAnsi="Arial"/>
                <w:sz w:val="13"/>
                <w:szCs w:val="13"/>
                <w:color w:val="auto"/>
              </w:rPr>
              <w:t>29,217,236</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306,063</w:t>
            </w:r>
          </w:p>
        </w:tc>
        <w:tc>
          <w:tcPr>
            <w:tcW w:w="10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3"/>
                <w:szCs w:val="13"/>
                <w:color w:val="auto"/>
              </w:rPr>
              <w:t>(164,972 )</w:t>
            </w:r>
          </w:p>
        </w:tc>
        <w:tc>
          <w:tcPr>
            <w:tcW w:w="1440" w:type="dxa"/>
            <w:vAlign w:val="bottom"/>
            <w:gridSpan w:val="2"/>
          </w:tcPr>
          <w:p>
            <w:pPr>
              <w:jc w:val="right"/>
              <w:ind w:right="60"/>
              <w:spacing w:after="0"/>
              <w:rPr>
                <w:sz w:val="20"/>
                <w:szCs w:val="20"/>
                <w:color w:val="auto"/>
              </w:rPr>
            </w:pPr>
            <w:r>
              <w:rPr>
                <w:rFonts w:ascii="Arial" w:cs="Arial" w:eastAsia="Arial" w:hAnsi="Arial"/>
                <w:sz w:val="13"/>
                <w:szCs w:val="13"/>
                <w:color w:val="auto"/>
              </w:rPr>
              <w:t>(5 )</w:t>
            </w:r>
          </w:p>
        </w:tc>
        <w:tc>
          <w:tcPr>
            <w:tcW w:w="1380" w:type="dxa"/>
            <w:vAlign w:val="bottom"/>
          </w:tcPr>
          <w:p>
            <w:pPr>
              <w:jc w:val="right"/>
              <w:spacing w:after="0"/>
              <w:rPr>
                <w:sz w:val="20"/>
                <w:szCs w:val="20"/>
                <w:color w:val="auto"/>
              </w:rPr>
            </w:pPr>
            <w:r>
              <w:rPr>
                <w:rFonts w:ascii="Arial" w:cs="Arial" w:eastAsia="Arial" w:hAnsi="Arial"/>
                <w:sz w:val="13"/>
                <w:szCs w:val="13"/>
                <w:color w:val="auto"/>
              </w:rPr>
              <w:t>141,086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 expense</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1,287</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80" w:type="dxa"/>
            <w:vAlign w:val="bottom"/>
          </w:tcPr>
          <w:p>
            <w:pPr>
              <w:ind w:left="20"/>
              <w:spacing w:after="0"/>
              <w:rPr>
                <w:sz w:val="20"/>
                <w:szCs w:val="20"/>
                <w:color w:val="auto"/>
              </w:rPr>
            </w:pPr>
            <w:r>
              <w:rPr>
                <w:rFonts w:ascii="Arial" w:cs="Arial" w:eastAsia="Arial" w:hAnsi="Arial"/>
                <w:sz w:val="13"/>
                <w:szCs w:val="13"/>
                <w:color w:val="auto"/>
              </w:rPr>
              <w:t>Stock option exercises</w:t>
            </w:r>
          </w:p>
        </w:tc>
        <w:tc>
          <w:tcPr>
            <w:tcW w:w="1180" w:type="dxa"/>
            <w:vAlign w:val="bottom"/>
          </w:tcPr>
          <w:p>
            <w:pPr>
              <w:jc w:val="right"/>
              <w:spacing w:after="0"/>
              <w:rPr>
                <w:sz w:val="20"/>
                <w:szCs w:val="20"/>
                <w:color w:val="auto"/>
              </w:rPr>
            </w:pPr>
            <w:r>
              <w:rPr>
                <w:rFonts w:ascii="Arial" w:cs="Arial" w:eastAsia="Arial" w:hAnsi="Arial"/>
                <w:sz w:val="13"/>
                <w:szCs w:val="13"/>
                <w:color w:val="auto"/>
              </w:rPr>
              <w:t>49,612</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ind w:left="120"/>
              <w:spacing w:after="0"/>
              <w:rPr>
                <w:sz w:val="20"/>
                <w:szCs w:val="20"/>
                <w:color w:val="auto"/>
              </w:rPr>
            </w:pPr>
            <w:r>
              <w:rPr>
                <w:rFonts w:ascii="Arial" w:cs="Arial" w:eastAsia="Arial" w:hAnsi="Arial"/>
                <w:sz w:val="13"/>
                <w:szCs w:val="13"/>
                <w:color w:val="auto"/>
              </w:rPr>
              <w:t>—</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309</w:t>
            </w:r>
          </w:p>
        </w:tc>
        <w:tc>
          <w:tcPr>
            <w:tcW w:w="1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309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shd w:val="clear" w:color="auto" w:fill="CFF0FC"/>
          </w:tcPr>
          <w:p>
            <w:pPr>
              <w:ind w:left="20"/>
              <w:spacing w:after="0"/>
              <w:rPr>
                <w:sz w:val="20"/>
                <w:szCs w:val="20"/>
                <w:color w:val="auto"/>
              </w:rPr>
            </w:pPr>
            <w:r>
              <w:rPr>
                <w:rFonts w:ascii="Arial" w:cs="Arial" w:eastAsia="Arial" w:hAnsi="Arial"/>
                <w:sz w:val="13"/>
                <w:szCs w:val="13"/>
                <w:color w:val="auto"/>
              </w:rPr>
              <w:t>Unrealized loss on marketable securities</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(123 )</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(123 )</w:t>
            </w:r>
          </w:p>
        </w:tc>
        <w:tc>
          <w:tcPr>
            <w:tcW w:w="0" w:type="dxa"/>
            <w:vAlign w:val="bottom"/>
          </w:tcPr>
          <w:p>
            <w:pPr>
              <w:spacing w:after="0"/>
              <w:rPr>
                <w:sz w:val="1"/>
                <w:szCs w:val="1"/>
                <w:color w:val="auto"/>
              </w:rPr>
            </w:pPr>
          </w:p>
        </w:tc>
      </w:tr>
      <w:tr>
        <w:trPr>
          <w:trHeight w:val="175"/>
        </w:trPr>
        <w:tc>
          <w:tcPr>
            <w:tcW w:w="288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3"/>
                <w:szCs w:val="13"/>
                <w:color w:val="auto"/>
              </w:rPr>
              <w:t>(13,468 )</w:t>
            </w: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3"/>
                <w:szCs w:val="13"/>
                <w:color w:val="auto"/>
              </w:rPr>
              <w:t>(13,468 )</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June 30, 2022</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29,266,848</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307,659</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(178,440 )</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(128 )</w:t>
            </w: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129,091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88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Stock-based compensation expense</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3"/>
                <w:szCs w:val="13"/>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1,717</w:t>
            </w:r>
          </w:p>
        </w:tc>
        <w:tc>
          <w:tcPr>
            <w:tcW w:w="100" w:type="dxa"/>
            <w:vAlign w:val="bottom"/>
            <w:tcBorders>
              <w:top w:val="single" w:sz="8" w:color="CFF0FC"/>
            </w:tcBorders>
          </w:tcPr>
          <w:p>
            <w:pPr>
              <w:spacing w:after="0"/>
              <w:rPr>
                <w:sz w:val="13"/>
                <w:szCs w:val="13"/>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3"/>
                <w:szCs w:val="13"/>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3"/>
                <w:szCs w:val="13"/>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1,717</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8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 option exercises</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16,437</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104</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80" w:type="dxa"/>
            <w:vAlign w:val="bottom"/>
          </w:tcPr>
          <w:p>
            <w:pPr>
              <w:ind w:left="20"/>
              <w:spacing w:after="0"/>
              <w:rPr>
                <w:sz w:val="20"/>
                <w:szCs w:val="20"/>
                <w:color w:val="auto"/>
              </w:rPr>
            </w:pPr>
            <w:r>
              <w:rPr>
                <w:rFonts w:ascii="Arial" w:cs="Arial" w:eastAsia="Arial" w:hAnsi="Arial"/>
                <w:sz w:val="13"/>
                <w:szCs w:val="13"/>
                <w:color w:val="auto"/>
              </w:rPr>
              <w:t>Other</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ind w:left="120"/>
              <w:spacing w:after="0"/>
              <w:rPr>
                <w:sz w:val="20"/>
                <w:szCs w:val="20"/>
                <w:color w:val="auto"/>
              </w:rPr>
            </w:pPr>
            <w:r>
              <w:rPr>
                <w:rFonts w:ascii="Arial" w:cs="Arial" w:eastAsia="Arial" w:hAnsi="Arial"/>
                <w:sz w:val="13"/>
                <w:szCs w:val="13"/>
                <w:color w:val="auto"/>
              </w:rPr>
              <w:t>—</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shd w:val="clear" w:color="auto" w:fill="CFF0FC"/>
          </w:tcPr>
          <w:p>
            <w:pPr>
              <w:ind w:left="20"/>
              <w:spacing w:after="0"/>
              <w:rPr>
                <w:sz w:val="20"/>
                <w:szCs w:val="20"/>
                <w:color w:val="auto"/>
              </w:rPr>
            </w:pPr>
            <w:r>
              <w:rPr>
                <w:rFonts w:ascii="Arial" w:cs="Arial" w:eastAsia="Arial" w:hAnsi="Arial"/>
                <w:sz w:val="13"/>
                <w:szCs w:val="13"/>
                <w:color w:val="auto"/>
              </w:rPr>
              <w:t>Unrealized loss on marketable securities</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(19 )</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(19 )</w:t>
            </w:r>
          </w:p>
        </w:tc>
        <w:tc>
          <w:tcPr>
            <w:tcW w:w="0" w:type="dxa"/>
            <w:vAlign w:val="bottom"/>
          </w:tcPr>
          <w:p>
            <w:pPr>
              <w:spacing w:after="0"/>
              <w:rPr>
                <w:sz w:val="1"/>
                <w:szCs w:val="1"/>
                <w:color w:val="auto"/>
              </w:rPr>
            </w:pPr>
          </w:p>
        </w:tc>
      </w:tr>
      <w:tr>
        <w:trPr>
          <w:trHeight w:val="175"/>
        </w:trPr>
        <w:tc>
          <w:tcPr>
            <w:tcW w:w="288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3"/>
                <w:szCs w:val="13"/>
                <w:color w:val="auto"/>
              </w:rPr>
              <w:t>(15,901 )</w:t>
            </w: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3"/>
                <w:szCs w:val="13"/>
                <w:color w:val="auto"/>
              </w:rPr>
              <w:t>(15,901 )</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8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September 30, 2022</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29,283,285</w:t>
            </w: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309,542</w:t>
            </w:r>
          </w:p>
        </w:tc>
        <w:tc>
          <w:tcPr>
            <w:tcW w:w="1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(194,341 )</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(147 )</w:t>
            </w: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115,054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-4911090</wp:posOffset>
            </wp:positionV>
            <wp:extent cx="456057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560570" cy="13716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-3531235</wp:posOffset>
            </wp:positionV>
            <wp:extent cx="456057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560570" cy="13716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-2836545</wp:posOffset>
            </wp:positionV>
            <wp:extent cx="76835" cy="514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51435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-2836545</wp:posOffset>
            </wp:positionV>
            <wp:extent cx="77470" cy="8401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4010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-2836545</wp:posOffset>
            </wp:positionV>
            <wp:extent cx="68580" cy="8401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4010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-2836545</wp:posOffset>
            </wp:positionV>
            <wp:extent cx="68580" cy="8401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4010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-2836545</wp:posOffset>
            </wp:positionV>
            <wp:extent cx="68580" cy="8401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401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-2836545</wp:posOffset>
            </wp:positionV>
            <wp:extent cx="68580" cy="8401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4010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-1885315</wp:posOffset>
            </wp:positionV>
            <wp:extent cx="456057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560570" cy="13716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-1414145</wp:posOffset>
            </wp:positionV>
            <wp:extent cx="76835" cy="1200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-1414145</wp:posOffset>
            </wp:positionV>
            <wp:extent cx="77470" cy="120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-1414145</wp:posOffset>
            </wp:positionV>
            <wp:extent cx="68580" cy="1200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-1414145</wp:posOffset>
            </wp:positionV>
            <wp:extent cx="68580" cy="120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-1414145</wp:posOffset>
            </wp:positionV>
            <wp:extent cx="68580" cy="1200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-1414145</wp:posOffset>
            </wp:positionV>
            <wp:extent cx="68580" cy="120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-728345</wp:posOffset>
            </wp:positionV>
            <wp:extent cx="456057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560570" cy="13716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-24765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-8255</wp:posOffset>
            </wp:positionV>
            <wp:extent cx="768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-24765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-8255</wp:posOffset>
            </wp:positionV>
            <wp:extent cx="77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-8255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-8255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1"/>
        </w:trPr>
        <w:tc>
          <w:tcPr>
            <w:tcW w:w="7780" w:type="dxa"/>
            <w:vAlign w:val="bottom"/>
            <w:gridSpan w:val="2"/>
          </w:tcPr>
          <w:p>
            <w:pPr>
              <w:jc w:val="center"/>
              <w:ind w:left="3370"/>
              <w:spacing w:after="0"/>
              <w:rPr>
                <w:sz w:val="20"/>
                <w:szCs w:val="20"/>
                <w:color w:val="auto"/>
              </w:rPr>
            </w:pPr>
            <w:r>
              <w:rPr>
                <w:rFonts w:ascii="Arial" w:cs="Arial" w:eastAsia="Arial" w:hAnsi="Arial"/>
                <w:sz w:val="18"/>
                <w:szCs w:val="18"/>
                <w:b w:val="1"/>
                <w:bCs w:val="1"/>
                <w:color w:val="auto"/>
                <w:w w:val="99"/>
              </w:rPr>
              <w:t>Aura Biosciences, Inc.</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0"/>
        </w:trPr>
        <w:tc>
          <w:tcPr>
            <w:tcW w:w="8120" w:type="dxa"/>
            <w:vAlign w:val="bottom"/>
            <w:gridSpan w:val="3"/>
          </w:tcPr>
          <w:p>
            <w:pPr>
              <w:jc w:val="center"/>
              <w:ind w:left="2970"/>
              <w:spacing w:after="0"/>
              <w:rPr>
                <w:sz w:val="20"/>
                <w:szCs w:val="20"/>
                <w:color w:val="auto"/>
              </w:rPr>
            </w:pPr>
            <w:r>
              <w:rPr>
                <w:rFonts w:ascii="Arial" w:cs="Arial" w:eastAsia="Arial" w:hAnsi="Arial"/>
                <w:sz w:val="18"/>
                <w:szCs w:val="18"/>
                <w:b w:val="1"/>
                <w:bCs w:val="1"/>
                <w:color w:val="auto"/>
                <w:w w:val="99"/>
              </w:rPr>
              <w:t>Condensed Consolidated Statements of Cash Flows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80" w:type="dxa"/>
            <w:vAlign w:val="bottom"/>
            <w:gridSpan w:val="2"/>
          </w:tcPr>
          <w:p>
            <w:pPr>
              <w:jc w:val="center"/>
              <w:ind w:left="3370"/>
              <w:spacing w:after="0" w:line="202" w:lineRule="exact"/>
              <w:rPr>
                <w:sz w:val="20"/>
                <w:szCs w:val="20"/>
                <w:color w:val="auto"/>
              </w:rPr>
            </w:pPr>
            <w:r>
              <w:rPr>
                <w:rFonts w:ascii="Arial" w:cs="Arial" w:eastAsia="Arial" w:hAnsi="Arial"/>
                <w:sz w:val="18"/>
                <w:szCs w:val="18"/>
                <w:b w:val="1"/>
                <w:bCs w:val="1"/>
                <w:color w:val="auto"/>
                <w:w w:val="99"/>
              </w:rPr>
              <w:t>(Unaudited)</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7780" w:type="dxa"/>
            <w:vAlign w:val="bottom"/>
            <w:gridSpan w:val="2"/>
          </w:tcPr>
          <w:p>
            <w:pPr>
              <w:jc w:val="center"/>
              <w:ind w:left="3370"/>
              <w:spacing w:after="0"/>
              <w:rPr>
                <w:sz w:val="20"/>
                <w:szCs w:val="20"/>
                <w:color w:val="auto"/>
              </w:rPr>
            </w:pPr>
            <w:r>
              <w:rPr>
                <w:rFonts w:ascii="Arial" w:cs="Arial" w:eastAsia="Arial" w:hAnsi="Arial"/>
                <w:sz w:val="18"/>
                <w:szCs w:val="18"/>
                <w:b w:val="1"/>
                <w:bCs w:val="1"/>
                <w:color w:val="auto"/>
                <w:w w:val="99"/>
              </w:rPr>
              <w:t>(in thousands)</w:t>
            </w:r>
          </w:p>
        </w:tc>
        <w:tc>
          <w:tcPr>
            <w:tcW w:w="340" w:type="dxa"/>
            <w:vAlign w:val="bottom"/>
          </w:tcPr>
          <w:p>
            <w:pPr>
              <w:spacing w:after="0"/>
              <w:rPr>
                <w:sz w:val="21"/>
                <w:szCs w:val="21"/>
                <w:color w:val="auto"/>
              </w:rPr>
            </w:pPr>
          </w:p>
        </w:tc>
        <w:tc>
          <w:tcPr>
            <w:tcW w:w="3120" w:type="dxa"/>
            <w:vAlign w:val="bottom"/>
            <w:gridSpan w:val="6"/>
            <w:vMerge w:val="restart"/>
          </w:tcPr>
          <w:p>
            <w:pPr>
              <w:jc w:val="right"/>
              <w:ind w:right="9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68"/>
        </w:trPr>
        <w:tc>
          <w:tcPr>
            <w:tcW w:w="7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2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7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(54,277 )</w:t>
            </w:r>
          </w:p>
        </w:tc>
        <w:tc>
          <w:tcPr>
            <w:tcW w:w="16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(42,204 )</w:t>
            </w:r>
          </w:p>
        </w:tc>
        <w:tc>
          <w:tcPr>
            <w:tcW w:w="0" w:type="dxa"/>
            <w:vAlign w:val="bottom"/>
          </w:tcPr>
          <w:p>
            <w:pPr>
              <w:spacing w:after="0"/>
              <w:rPr>
                <w:sz w:val="1"/>
                <w:szCs w:val="1"/>
                <w:color w:val="auto"/>
              </w:rPr>
            </w:pPr>
          </w:p>
        </w:tc>
      </w:tr>
      <w:tr>
        <w:trPr>
          <w:trHeight w:val="229"/>
        </w:trPr>
        <w:tc>
          <w:tcPr>
            <w:tcW w:w="7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gridSpan w:val="2"/>
          </w:tcPr>
          <w:p>
            <w:pPr>
              <w:ind w:left="280"/>
              <w:spacing w:after="0"/>
              <w:rPr>
                <w:sz w:val="20"/>
                <w:szCs w:val="20"/>
                <w:color w:val="auto"/>
              </w:rPr>
            </w:pPr>
            <w:r>
              <w:rPr>
                <w:rFonts w:ascii="Arial" w:cs="Arial" w:eastAsia="Arial" w:hAnsi="Arial"/>
                <w:sz w:val="18"/>
                <w:szCs w:val="18"/>
                <w:color w:val="auto"/>
              </w:rPr>
              <w:t>Depreciation expense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Accretion on marketable securities</w:t>
            </w: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(2,853 )</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(299 )</w:t>
            </w:r>
          </w:p>
        </w:tc>
        <w:tc>
          <w:tcPr>
            <w:tcW w:w="0" w:type="dxa"/>
            <w:vAlign w:val="bottom"/>
          </w:tcPr>
          <w:p>
            <w:pPr>
              <w:spacing w:after="0"/>
              <w:rPr>
                <w:sz w:val="1"/>
                <w:szCs w:val="1"/>
                <w:color w:val="auto"/>
              </w:rPr>
            </w:pPr>
          </w:p>
        </w:tc>
      </w:tr>
      <w:tr>
        <w:trPr>
          <w:trHeight w:val="229"/>
        </w:trPr>
        <w:tc>
          <w:tcPr>
            <w:tcW w:w="7780" w:type="dxa"/>
            <w:vAlign w:val="bottom"/>
            <w:gridSpan w:val="2"/>
          </w:tcPr>
          <w:p>
            <w:pPr>
              <w:ind w:left="2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(Loss) gain on disposal of property and equipment</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(318 )</w:t>
            </w:r>
          </w:p>
        </w:tc>
        <w:tc>
          <w:tcPr>
            <w:tcW w:w="0" w:type="dxa"/>
            <w:vAlign w:val="bottom"/>
          </w:tcPr>
          <w:p>
            <w:pPr>
              <w:spacing w:after="0"/>
              <w:rPr>
                <w:sz w:val="1"/>
                <w:szCs w:val="1"/>
                <w:color w:val="auto"/>
              </w:rPr>
            </w:pPr>
          </w:p>
        </w:tc>
      </w:tr>
      <w:tr>
        <w:trPr>
          <w:trHeight w:val="229"/>
        </w:trPr>
        <w:tc>
          <w:tcPr>
            <w:tcW w:w="7780" w:type="dxa"/>
            <w:vAlign w:val="bottom"/>
            <w:gridSpan w:val="2"/>
          </w:tcPr>
          <w:p>
            <w:pPr>
              <w:ind w:left="280"/>
              <w:spacing w:after="0"/>
              <w:rPr>
                <w:sz w:val="20"/>
                <w:szCs w:val="20"/>
                <w:color w:val="auto"/>
              </w:rPr>
            </w:pPr>
            <w:r>
              <w:rPr>
                <w:rFonts w:ascii="Arial" w:cs="Arial" w:eastAsia="Arial" w:hAnsi="Arial"/>
                <w:sz w:val="18"/>
                <w:szCs w:val="18"/>
                <w:color w:val="auto"/>
              </w:rPr>
              <w:t>Non-cash lease expense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gridSpan w:val="2"/>
          </w:tcPr>
          <w:p>
            <w:pPr>
              <w:ind w:left="78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Other long-term assets</w:t>
            </w: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(262 )</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80" w:type="dxa"/>
            <w:vAlign w:val="bottom"/>
            <w:gridSpan w:val="2"/>
          </w:tcPr>
          <w:p>
            <w:pPr>
              <w:ind w:left="78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(1,497 )</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(678 )</w:t>
            </w: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gridSpan w:val="2"/>
          </w:tcPr>
          <w:p>
            <w:pPr>
              <w:ind w:left="780"/>
              <w:spacing w:after="0"/>
              <w:rPr>
                <w:sz w:val="20"/>
                <w:szCs w:val="20"/>
                <w:color w:val="auto"/>
              </w:rPr>
            </w:pPr>
            <w:r>
              <w:rPr>
                <w:rFonts w:ascii="Arial" w:cs="Arial" w:eastAsia="Arial" w:hAnsi="Arial"/>
                <w:sz w:val="18"/>
                <w:szCs w:val="18"/>
                <w:color w:val="auto"/>
              </w:rPr>
              <w:t>Operating lease liabilities</w:t>
            </w:r>
          </w:p>
        </w:tc>
        <w:tc>
          <w:tcPr>
            <w:tcW w:w="3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(689 )</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(494 )</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80" w:type="dxa"/>
            <w:vAlign w:val="bottom"/>
            <w:gridSpan w:val="2"/>
            <w:shd w:val="clear" w:color="auto" w:fill="CFF0FC"/>
          </w:tcPr>
          <w:p>
            <w:pPr>
              <w:ind w:left="520"/>
              <w:spacing w:after="0"/>
              <w:rPr>
                <w:sz w:val="20"/>
                <w:szCs w:val="20"/>
                <w:color w:val="auto"/>
              </w:rPr>
            </w:pPr>
            <w:r>
              <w:rPr>
                <w:rFonts w:ascii="Arial" w:cs="Arial" w:eastAsia="Arial" w:hAnsi="Arial"/>
                <w:sz w:val="18"/>
                <w:szCs w:val="18"/>
                <w:b w:val="1"/>
                <w:bCs w:val="1"/>
                <w:color w:val="auto"/>
              </w:rPr>
              <w:t>Net cash used in operating activities</w:t>
            </w: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(46,460 )</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(36,588 )</w:t>
            </w:r>
          </w:p>
        </w:tc>
        <w:tc>
          <w:tcPr>
            <w:tcW w:w="0" w:type="dxa"/>
            <w:vAlign w:val="bottom"/>
          </w:tcPr>
          <w:p>
            <w:pPr>
              <w:spacing w:after="0"/>
              <w:rPr>
                <w:sz w:val="1"/>
                <w:szCs w:val="1"/>
                <w:color w:val="auto"/>
              </w:rPr>
            </w:pPr>
          </w:p>
        </w:tc>
      </w:tr>
      <w:tr>
        <w:trPr>
          <w:trHeight w:val="223"/>
        </w:trPr>
        <w:tc>
          <w:tcPr>
            <w:tcW w:w="778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(392 )</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(736 )</w:t>
            </w:r>
          </w:p>
        </w:tc>
        <w:tc>
          <w:tcPr>
            <w:tcW w:w="0" w:type="dxa"/>
            <w:vAlign w:val="bottom"/>
          </w:tcPr>
          <w:p>
            <w:pPr>
              <w:spacing w:after="0"/>
              <w:rPr>
                <w:sz w:val="1"/>
                <w:szCs w:val="1"/>
                <w:color w:val="auto"/>
              </w:rPr>
            </w:pPr>
          </w:p>
        </w:tc>
      </w:tr>
      <w:tr>
        <w:trPr>
          <w:trHeight w:val="229"/>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Purchase of marketable securities</w:t>
            </w:r>
          </w:p>
        </w:tc>
        <w:tc>
          <w:tcPr>
            <w:tcW w:w="3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(88,847 )</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(71,266 )</w:t>
            </w: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Proceeds from sale of marketable securities</w:t>
            </w:r>
          </w:p>
        </w:tc>
        <w:tc>
          <w:tcPr>
            <w:tcW w:w="34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Maturities of marketable securities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gridSpan w:val="2"/>
            <w:shd w:val="clear" w:color="auto" w:fill="CFF0FC"/>
          </w:tcPr>
          <w:p>
            <w:pPr>
              <w:ind w:left="52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(23,843 )</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(50,993 )</w:t>
            </w:r>
          </w:p>
        </w:tc>
        <w:tc>
          <w:tcPr>
            <w:tcW w:w="0" w:type="dxa"/>
            <w:vAlign w:val="bottom"/>
          </w:tcPr>
          <w:p>
            <w:pPr>
              <w:spacing w:after="0"/>
              <w:rPr>
                <w:sz w:val="1"/>
                <w:szCs w:val="1"/>
                <w:color w:val="auto"/>
              </w:rPr>
            </w:pPr>
          </w:p>
        </w:tc>
      </w:tr>
      <w:tr>
        <w:trPr>
          <w:trHeight w:val="223"/>
        </w:trPr>
        <w:tc>
          <w:tcPr>
            <w:tcW w:w="778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Proceeds from issuance of common stock under ATM facility, net of issuance costs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Proceeds from ESPP purchase</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80" w:type="dxa"/>
            <w:vAlign w:val="bottom"/>
            <w:tcBorders>
              <w:top w:val="single" w:sz="8" w:color="CFF0FC"/>
            </w:tcBorders>
            <w:gridSpan w:val="2"/>
          </w:tcPr>
          <w:p>
            <w:pPr>
              <w:ind w:left="520"/>
              <w:spacing w:after="0"/>
              <w:rPr>
                <w:sz w:val="20"/>
                <w:szCs w:val="20"/>
                <w:color w:val="auto"/>
              </w:rPr>
            </w:pPr>
            <w:r>
              <w:rPr>
                <w:rFonts w:ascii="Arial" w:cs="Arial" w:eastAsia="Arial" w:hAnsi="Arial"/>
                <w:sz w:val="18"/>
                <w:szCs w:val="18"/>
                <w:b w:val="1"/>
                <w:bCs w:val="1"/>
                <w:color w:val="auto"/>
              </w:rPr>
              <w:t>Net cash provided by financing activities</w:t>
            </w: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4,305</w:t>
            </w:r>
          </w:p>
        </w:tc>
        <w:tc>
          <w:tcPr>
            <w:tcW w:w="10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(65,998 )</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(87,151 )</w:t>
            </w:r>
          </w:p>
        </w:tc>
        <w:tc>
          <w:tcPr>
            <w:tcW w:w="0" w:type="dxa"/>
            <w:vAlign w:val="bottom"/>
          </w:tcPr>
          <w:p>
            <w:pPr>
              <w:spacing w:after="0"/>
              <w:rPr>
                <w:sz w:val="1"/>
                <w:szCs w:val="1"/>
                <w:color w:val="auto"/>
              </w:rPr>
            </w:pPr>
          </w:p>
        </w:tc>
      </w:tr>
      <w:tr>
        <w:trPr>
          <w:trHeight w:val="229"/>
        </w:trPr>
        <w:tc>
          <w:tcPr>
            <w:tcW w:w="778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56,372</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62,060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80" w:type="dxa"/>
            <w:vAlign w:val="bottom"/>
            <w:gridSpan w:val="2"/>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Purchases of property and equipment in accounts payable and accrued expenses and other</w:t>
            </w:r>
          </w:p>
        </w:tc>
        <w:tc>
          <w:tcPr>
            <w:tcW w:w="180" w:type="dxa"/>
            <w:vAlign w:val="bottom"/>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Initial measurement of right-of-use assets and lease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-2682240</wp:posOffset>
            </wp:positionV>
            <wp:extent cx="6858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-1790700</wp:posOffset>
            </wp:positionV>
            <wp:extent cx="6858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-1199515</wp:posOffset>
            </wp:positionV>
            <wp:extent cx="6858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-590550</wp:posOffset>
            </wp:positionV>
            <wp:extent cx="120840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084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74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20" w:right="320"/>
        <w:spacing w:after="0" w:line="250"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balance sheets that sum to the total of the same such amounts shown in the unaudited condensed consolidated statements of cash flows (in thousands):</w:t>
      </w: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7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55,584</w:t>
            </w:r>
          </w:p>
        </w:tc>
        <w:tc>
          <w:tcPr>
            <w:tcW w:w="7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61,110</w:t>
            </w: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restricted cash, end of period</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FF0FC"/>
          </w:tcPr>
          <w:p>
            <w:pPr>
              <w:spacing w:after="0"/>
              <w:rPr>
                <w:sz w:val="19"/>
                <w:szCs w:val="19"/>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Long-term restricted cash, end of period</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2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9"/>
                <w:szCs w:val="19"/>
                <w:color w:val="auto"/>
              </w:rPr>
            </w:pPr>
          </w:p>
        </w:tc>
      </w:tr>
      <w:tr>
        <w:trPr>
          <w:trHeight w:val="263"/>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98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56,372</w:t>
            </w:r>
          </w:p>
        </w:tc>
        <w:tc>
          <w:tcPr>
            <w:tcW w:w="26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62,060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Aura Biosciences,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7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Aura Biosciences, Inc. (the “Company” or “Aura”) is a clinical-stage biotechnology company envisioning a new way to treat cancer. Leveraging its novel targeted oncology platform, the Company has the goal to develop a new standard of care across multiple cancer indications. Within these consolidated financial statements, unless the context otherwise requires, references to the Company or Aura refer to Aura Biosciences, Inc. and its subsidiaries on a consolidated basis. The Company’s initial focus is on ocular and urologic oncology where the disease is diagnosed early and there is a high unmet medical need for targeted local therapies. The Company’s proprietary platform is designed to enable the targeting of a broad range of solid tumors using Virus-Like Particles, or VLPs, that can be conjugated with drugs or loaded with nucleic acids to create Virus-Like Drug Conjugates, or VDCs. The Company’s VDCs are largely agnostic to tumor type and can recognize a subset of modified tumor associated glycosaminoglycans that are part of the heparan sulphate chain of HSPGs expressed on the cell surface of many tumor cells and in the tumor microenvironment. Bel-sar, the Company’s first VDC candidate, is being developed for the first-line treatment of early-stage choroidal melanoma, a rare disease with no drugs approved where the standard of care leaves many patients with blindness. The Company is also developing bel-sar for additional ocular oncology indications, including choroidal metastasis, and in non-muscle invasive bladder cancer, or NMIBC. Aura’s headquarters are located in Boston, Massachusetts.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operations to date have consisted primarily of conducting research and development and raising capital.</w:t>
      </w:r>
    </w:p>
    <w:p>
      <w:pPr>
        <w:spacing w:after="0" w:line="21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the successful development and commercialization of products, fluctuations in operating results and financial risks, need for additional financing or alternative means of financial support or both to fund its current operating plan, protection of proprietary technology and patent risks, compliance with government regulations, dependence on key personnel and collaborative partners, competition, customer demand, management of growth, and the effectiveness of marketing by the Company.</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w:t>
      </w:r>
    </w:p>
    <w:p>
      <w:pPr>
        <w:spacing w:after="0" w:line="87"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8"/>
          <w:szCs w:val="18"/>
          <w:color w:val="auto"/>
        </w:rPr>
        <w:t>Through September 30, 2023, the Company has funded its operations primarily with proceeds from the initial and additional closings of its convertible preferred stock financings, and through its IPO, follow-on offering and at-the-market offering, or ATM. On November 9, 2023, the Company issued and sold 11,000,000 shares of common stock at a price to the public of $9.00 per share for aggregate gross proceeds of $99.0 million, or the 2023 Follow-On Offering. The Company received approximately $92.6 million in net proceeds from the 2023 Follow-On Offering after deducting underwriting discounts and commissions and estimated offering expenses. In addition, the Company has granted the underwriters a 30-day option to purchase up to 1,650,000 additional shares of common stock at a price of $8.46 per share. On December 5, 2022, the Company issued and sold 7,705,000 shares of common stock, including the full exercise of the underwriters’ option to purchase additional shares at a price to the public of $12.00 per share for aggregate gross proceeds of $92.5 million, or the 2022 Follow-On Offering. The Company received approximately $86.7 million in net proceeds from the 2022 Follow-On Offering after deducting underwriting discounts, commissions and offering expenses. On November 1, 2022, the Company filed a shelf registration statement on Form S-3, or the 2022 Shelf, with the SEC in relation to the registration of up to an aggregate offering price of $250.0 million of common stock, preferred stock, debt securities, warrants and units or any combination thereof. The Company also simultaneously entered into the Open Market Sale Agreement</w:t>
      </w:r>
      <w:r>
        <w:rPr>
          <w:rFonts w:ascii="Arial" w:cs="Arial" w:eastAsia="Arial" w:hAnsi="Arial"/>
          <w:sz w:val="24"/>
          <w:szCs w:val="24"/>
          <w:color w:val="auto"/>
          <w:vertAlign w:val="superscript"/>
        </w:rPr>
        <w:t>SM</w:t>
      </w:r>
      <w:r>
        <w:rPr>
          <w:rFonts w:ascii="Arial" w:cs="Arial" w:eastAsia="Arial" w:hAnsi="Arial"/>
          <w:sz w:val="18"/>
          <w:szCs w:val="18"/>
          <w:color w:val="auto"/>
        </w:rPr>
        <w:t>, or Sales Agreement, with Jefferies LLC, or the Sales Agent, to provide for the offering, issuance and sale by the Company of up to an aggregate of $75.0 million of common stock from time to time in the ATM under the 2022 Shelf and subject to the limitations thereof. The Company issued 261,807 shares of common stock at an average price of $12.49 for aggregate gross proceeds of $3.3 million during the nine months ended September 30, 2023 under the ATM. In addition, the Company issued 732,189 shares of common stock at an average price of $12.51 for aggregate gross proceeds of $9.2 million as of December 31, 2022 under the ATM. In connection with the 2023 Follow-On Offering, on November 6, 2023, the Company delivered written notice to Jefferies that the Company was suspending and terminating the prospectus related to the shares issuable in the ATM pursuant to the terms of the Sales Agreement. As a result, the Company will not make any sales of its securities pursuant to the Sales Agreement, unless and until a new prospectus, prospectus supplement, or a new registration statement relating to the shares eligible to be sold in the ATM is filed. Other than the termination of the prospectus, the Sales Agreement remains in full force and effect.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both"/>
        <w:ind w:firstLine="509"/>
        <w:spacing w:after="0" w:line="243" w:lineRule="auto"/>
        <w:rPr>
          <w:sz w:val="20"/>
          <w:szCs w:val="20"/>
          <w:color w:val="auto"/>
        </w:rPr>
      </w:pPr>
      <w:r>
        <w:rPr>
          <w:rFonts w:ascii="Arial" w:cs="Arial" w:eastAsia="Arial" w:hAnsi="Arial"/>
          <w:sz w:val="18"/>
          <w:szCs w:val="18"/>
          <w:color w:val="auto"/>
        </w:rPr>
        <w:t>The Company has incurred recurring losses and negative operating cash flows from operations since its inception, including net losses of $54.3 million and $42.2 million for the nine months ended September 30, 2023 and 2022, respectively. As of September 30, 2023, the Company had cash and cash equivalents and marketable securities of $149.1 million and an accumulated deficit of $265.2 million. The Company expects to continue to generate operating losses for the foreseeable future.</w:t>
      </w:r>
    </w:p>
    <w:p>
      <w:pPr>
        <w:spacing w:after="0" w:line="188"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As of the issuance date of these unaudited condensed consolidated financial statements for the three and nine months ended September 30, 2023, the Company expects that its cash and cash equivalents and marketable securities will be sufficient to fund its operating expenses and capital expenditure requirements through at least 12 months from the issuance of these consolidated financial statements. The future viability of the Company beyond that point is dependent on its ability to raise additional capital to finance its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or U.S. GAAP. In management’s opinion, the accompanying unaudited condensed consolidated financial statements include all adjustments, consisting of normal recurring adjustments, which are necessary to present fairly the Company’s financial position, results of operations, and cash flows. The financial data and other information disclosed in these notes related to the three and nine months ended September 30, 2023 and 2022 are also unaudited. The unaudited condensed results of operations are not necessarily indicative of the operating results that may occur for the full fiscal year ending December 31, 2023. Certain information and footnote disclosures normally included in annual consolidated financial statements prepared in accordance with U.S. GAAP have been omitted pursuant to instructions, rules, and regulations prescribed by the United States Securities and Exchange Commission, or the SEC. Management believes that the disclosures provided here are adequate to make the information presented not misleading when these unaudited condensed consolidated financial statements are read in conjunction with the audited consolidated financial statements and notes thereto included in the Company’s Annual Report on Form 10-K.</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7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Company’s significant accounting policies are disclosed in the audited consolidated financial statements for the year ended December 31, 2022, in the Company’s Annual Report on Form 10-K filed with the SEC on March 15, 2023. There have been no changes to the Company’s significant accounting policies except as noted below.</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87"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which was subsequently amended in November 2018 through ASU No. 2018-19, “Codification Improvements to Topic 326, Financial Instruments—Credit Losses.” ASU No. 2016-13 will require entities to estimate lifetime expected credit losses for trade and other receivables, net investments in leases, financing receivables, debt securities and other instruments, which will result in earlier recognition of credit losses. Further, the new credit loss model will affect how entities in all industries estimate their allowance for losses for receivables that are current with respect to their payment terms. ASU No. 2018-19 further clarifies that receivables arising from operating leases are not within the scope of Topic 326. Instead, impairment from receivables of operating leases should be accounted for in accordance with Topic 842, Leases. As per the latest ASU 2020-02, FASB deferred the timelines for certain small public and private entities, thus the new guidance was adopted by the Company for the annual reporting period beginning January 1, 2023, including interim periods within that annual reporting period. The standard will apply as a cumulative-effect adjustment to retained earnings as of the beginning of the first reporting period in which the guidance is adopted. The Company adopted the standard on January 1, 2023 and it did not have a material impact on its results of operations, financial condition, and financial statement disclosures.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3. Fair Value of Assets and Liabilities</w:t>
      </w:r>
    </w:p>
    <w:p>
      <w:pPr>
        <w:spacing w:after="0" w:line="7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and indicates the level of the fair value hierarchy utilized to determine such fair values as of September 30, 2023 and December 31, 2022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8"/>
              </w:rPr>
              <w:t>Quoted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70"/>
              <w:spacing w:after="0" w:line="202" w:lineRule="exact"/>
              <w:rPr>
                <w:sz w:val="20"/>
                <w:szCs w:val="20"/>
                <w:color w:val="auto"/>
              </w:rPr>
            </w:pPr>
            <w:r>
              <w:rPr>
                <w:rFonts w:ascii="Arial" w:cs="Arial" w:eastAsia="Arial" w:hAnsi="Arial"/>
                <w:sz w:val="18"/>
                <w:szCs w:val="18"/>
                <w:b w:val="1"/>
                <w:bCs w:val="1"/>
                <w:color w:val="auto"/>
              </w:rPr>
              <w:t>prices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7"/>
              </w:rPr>
              <w:t>active</w:t>
            </w:r>
          </w:p>
        </w:tc>
        <w:tc>
          <w:tcPr>
            <w:tcW w:w="220" w:type="dxa"/>
            <w:vAlign w:val="bottom"/>
          </w:tcPr>
          <w:p>
            <w:pPr>
              <w:spacing w:after="0"/>
              <w:rPr>
                <w:sz w:val="19"/>
                <w:szCs w:val="19"/>
                <w:color w:val="auto"/>
              </w:rPr>
            </w:pPr>
          </w:p>
        </w:tc>
        <w:tc>
          <w:tcPr>
            <w:tcW w:w="11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Significant</w:t>
            </w:r>
          </w:p>
        </w:tc>
        <w:tc>
          <w:tcPr>
            <w:tcW w:w="240" w:type="dxa"/>
            <w:vAlign w:val="bottom"/>
          </w:tcPr>
          <w:p>
            <w:pPr>
              <w:spacing w:after="0"/>
              <w:rPr>
                <w:sz w:val="19"/>
                <w:szCs w:val="19"/>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Significant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70"/>
              <w:spacing w:after="0" w:line="202" w:lineRule="exact"/>
              <w:rPr>
                <w:sz w:val="20"/>
                <w:szCs w:val="20"/>
                <w:color w:val="auto"/>
              </w:rPr>
            </w:pPr>
            <w:r>
              <w:rPr>
                <w:rFonts w:ascii="Arial" w:cs="Arial" w:eastAsia="Arial" w:hAnsi="Arial"/>
                <w:sz w:val="18"/>
                <w:szCs w:val="18"/>
                <w:b w:val="1"/>
                <w:bCs w:val="1"/>
                <w:color w:val="auto"/>
              </w:rPr>
              <w:t>markets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7"/>
              </w:rPr>
              <w:t>other</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w w:val="98"/>
              </w:rPr>
              <w:t>September</w:t>
            </w:r>
          </w:p>
        </w:tc>
        <w:tc>
          <w:tcPr>
            <w:tcW w:w="260" w:type="dxa"/>
            <w:vAlign w:val="bottom"/>
          </w:tcPr>
          <w:p>
            <w:pPr>
              <w:spacing w:after="0"/>
              <w:rPr>
                <w:sz w:val="17"/>
                <w:szCs w:val="17"/>
                <w:color w:val="auto"/>
              </w:rPr>
            </w:pPr>
          </w:p>
        </w:tc>
        <w:tc>
          <w:tcPr>
            <w:tcW w:w="1120" w:type="dxa"/>
            <w:vAlign w:val="bottom"/>
            <w:gridSpan w:val="3"/>
          </w:tcPr>
          <w:p>
            <w:pPr>
              <w:jc w:val="center"/>
              <w:spacing w:after="0" w:line="202" w:lineRule="exact"/>
              <w:rPr>
                <w:sz w:val="20"/>
                <w:szCs w:val="20"/>
                <w:color w:val="auto"/>
              </w:rPr>
            </w:pPr>
            <w:r>
              <w:rPr>
                <w:rFonts w:ascii="Arial" w:cs="Arial" w:eastAsia="Arial" w:hAnsi="Arial"/>
                <w:sz w:val="18"/>
                <w:szCs w:val="18"/>
                <w:b w:val="1"/>
                <w:bCs w:val="1"/>
                <w:color w:val="auto"/>
                <w:w w:val="99"/>
              </w:rPr>
              <w:t>for identical</w:t>
            </w:r>
          </w:p>
        </w:tc>
        <w:tc>
          <w:tcPr>
            <w:tcW w:w="220" w:type="dxa"/>
            <w:vAlign w:val="bottom"/>
          </w:tcPr>
          <w:p>
            <w:pPr>
              <w:spacing w:after="0"/>
              <w:rPr>
                <w:sz w:val="17"/>
                <w:szCs w:val="17"/>
                <w:color w:val="auto"/>
              </w:rPr>
            </w:pPr>
          </w:p>
        </w:tc>
        <w:tc>
          <w:tcPr>
            <w:tcW w:w="1120" w:type="dxa"/>
            <w:vAlign w:val="bottom"/>
            <w:gridSpan w:val="5"/>
          </w:tcPr>
          <w:p>
            <w:pPr>
              <w:jc w:val="center"/>
              <w:spacing w:after="0" w:line="202" w:lineRule="exact"/>
              <w:rPr>
                <w:sz w:val="20"/>
                <w:szCs w:val="20"/>
                <w:color w:val="auto"/>
              </w:rPr>
            </w:pPr>
            <w:r>
              <w:rPr>
                <w:rFonts w:ascii="Arial" w:cs="Arial" w:eastAsia="Arial" w:hAnsi="Arial"/>
                <w:sz w:val="18"/>
                <w:szCs w:val="18"/>
                <w:b w:val="1"/>
                <w:bCs w:val="1"/>
                <w:color w:val="auto"/>
              </w:rPr>
              <w:t>observable</w:t>
            </w:r>
          </w:p>
        </w:tc>
        <w:tc>
          <w:tcPr>
            <w:tcW w:w="240" w:type="dxa"/>
            <w:vAlign w:val="bottom"/>
          </w:tcPr>
          <w:p>
            <w:pPr>
              <w:spacing w:after="0"/>
              <w:rPr>
                <w:sz w:val="17"/>
                <w:szCs w:val="17"/>
                <w:color w:val="auto"/>
              </w:rPr>
            </w:pPr>
          </w:p>
        </w:tc>
        <w:tc>
          <w:tcPr>
            <w:tcW w:w="1220" w:type="dxa"/>
            <w:vAlign w:val="bottom"/>
            <w:gridSpan w:val="3"/>
          </w:tcPr>
          <w:p>
            <w:pPr>
              <w:jc w:val="center"/>
              <w:ind w:right="120"/>
              <w:spacing w:after="0" w:line="202" w:lineRule="exact"/>
              <w:rPr>
                <w:sz w:val="20"/>
                <w:szCs w:val="20"/>
                <w:color w:val="auto"/>
              </w:rPr>
            </w:pPr>
            <w:r>
              <w:rPr>
                <w:rFonts w:ascii="Arial" w:cs="Arial" w:eastAsia="Arial" w:hAnsi="Arial"/>
                <w:sz w:val="18"/>
                <w:szCs w:val="18"/>
                <w:b w:val="1"/>
                <w:bCs w:val="1"/>
                <w:color w:val="auto"/>
                <w:w w:val="98"/>
              </w:rPr>
              <w:t>observable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5"/>
              </w:rPr>
              <w:t>30,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assets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inputs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inputs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Description</w:t>
            </w:r>
          </w:p>
        </w:tc>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2023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(Level 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
        </w:trPr>
        <w:tc>
          <w:tcPr>
            <w:tcW w:w="5860" w:type="dxa"/>
            <w:vAlign w:val="bottom"/>
            <w:gridSpan w:val="3"/>
            <w:vMerge w:val="restart"/>
          </w:tcPr>
          <w:p>
            <w:pPr>
              <w:ind w:left="20"/>
              <w:spacing w:after="0"/>
              <w:rPr>
                <w:sz w:val="20"/>
                <w:szCs w:val="20"/>
                <w:color w:val="auto"/>
              </w:rPr>
            </w:pPr>
            <w:r>
              <w:rPr>
                <w:rFonts w:ascii="Arial" w:cs="Arial" w:eastAsia="Arial" w:hAnsi="Arial"/>
                <w:sz w:val="18"/>
                <w:szCs w:val="18"/>
                <w:i w:val="1"/>
                <w:iCs w:val="1"/>
                <w:color w:val="auto"/>
              </w:rPr>
              <w:t>Financial assets</w:t>
            </w: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40" w:type="dxa"/>
            <w:vAlign w:val="bottom"/>
            <w:gridSpan w:val="2"/>
          </w:tcPr>
          <w:p>
            <w:pPr>
              <w:ind w:left="26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55,072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55,072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gridSpan w:val="2"/>
          </w:tcPr>
          <w:p>
            <w:pPr>
              <w:ind w:left="36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33,591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33,591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584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13,593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13,593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gridSpan w:val="2"/>
          </w:tcPr>
          <w:p>
            <w:pPr>
              <w:ind w:left="360"/>
              <w:spacing w:after="0"/>
              <w:rPr>
                <w:sz w:val="20"/>
                <w:szCs w:val="20"/>
                <w:color w:val="auto"/>
              </w:rPr>
            </w:pPr>
            <w:r>
              <w:rPr>
                <w:rFonts w:ascii="Arial" w:cs="Arial" w:eastAsia="Arial" w:hAnsi="Arial"/>
                <w:sz w:val="18"/>
                <w:szCs w:val="18"/>
                <w:color w:val="auto"/>
              </w:rPr>
              <w:t>U.S. Government agencies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42,254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42,254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584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Yankee bonds</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2,956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40" w:type="dxa"/>
            <w:vAlign w:val="bottom"/>
            <w:gridSpan w:val="2"/>
          </w:tcPr>
          <w:p>
            <w:pPr>
              <w:ind w:left="360"/>
              <w:spacing w:after="0"/>
              <w:rPr>
                <w:sz w:val="20"/>
                <w:szCs w:val="20"/>
                <w:color w:val="auto"/>
              </w:rPr>
            </w:pPr>
            <w:r>
              <w:rPr>
                <w:rFonts w:ascii="Arial" w:cs="Arial" w:eastAsia="Arial" w:hAnsi="Arial"/>
                <w:sz w:val="18"/>
                <w:szCs w:val="18"/>
                <w:color w:val="auto"/>
              </w:rPr>
              <w:t>Asset-backed securities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1,078</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Total financial assets</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148,544</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55,072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93,472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3"/>
        </w:trPr>
        <w:tc>
          <w:tcPr>
            <w:tcW w:w="20" w:type="dxa"/>
            <w:vAlign w:val="bottom"/>
            <w:tcBorders>
              <w:top w:val="single" w:sz="8" w:color="CFF0FC"/>
            </w:tcBorders>
          </w:tcPr>
          <w:p>
            <w:pPr>
              <w:spacing w:after="0"/>
              <w:rPr>
                <w:sz w:val="24"/>
                <w:szCs w:val="24"/>
                <w:color w:val="auto"/>
              </w:rPr>
            </w:pPr>
          </w:p>
        </w:tc>
        <w:tc>
          <w:tcPr>
            <w:tcW w:w="1000" w:type="dxa"/>
            <w:vAlign w:val="bottom"/>
            <w:tcBorders>
              <w:top w:val="single" w:sz="8" w:color="CFF0FC"/>
            </w:tcBorders>
          </w:tcPr>
          <w:p>
            <w:pPr>
              <w:spacing w:after="0"/>
              <w:rPr>
                <w:sz w:val="24"/>
                <w:szCs w:val="24"/>
                <w:color w:val="auto"/>
              </w:rPr>
            </w:pPr>
          </w:p>
        </w:tc>
        <w:tc>
          <w:tcPr>
            <w:tcW w:w="48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gridSpan w:val="2"/>
          </w:tcPr>
          <w:p>
            <w:pPr>
              <w:jc w:val="center"/>
              <w:ind w:right="110"/>
              <w:spacing w:after="0"/>
              <w:rPr>
                <w:sz w:val="20"/>
                <w:szCs w:val="20"/>
                <w:color w:val="auto"/>
              </w:rPr>
            </w:pPr>
            <w:r>
              <w:rPr>
                <w:rFonts w:ascii="Arial" w:cs="Arial" w:eastAsia="Arial" w:hAnsi="Arial"/>
                <w:sz w:val="18"/>
                <w:szCs w:val="18"/>
                <w:b w:val="1"/>
                <w:bCs w:val="1"/>
                <w:color w:val="auto"/>
                <w:w w:val="98"/>
              </w:rPr>
              <w:t>Quoted</w:t>
            </w: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70"/>
              <w:spacing w:after="0" w:line="202" w:lineRule="exact"/>
              <w:rPr>
                <w:sz w:val="20"/>
                <w:szCs w:val="20"/>
                <w:color w:val="auto"/>
              </w:rPr>
            </w:pPr>
            <w:r>
              <w:rPr>
                <w:rFonts w:ascii="Arial" w:cs="Arial" w:eastAsia="Arial" w:hAnsi="Arial"/>
                <w:sz w:val="18"/>
                <w:szCs w:val="18"/>
                <w:b w:val="1"/>
                <w:bCs w:val="1"/>
                <w:color w:val="auto"/>
              </w:rPr>
              <w:t>prices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7"/>
              </w:rPr>
              <w:t>active</w:t>
            </w:r>
          </w:p>
        </w:tc>
        <w:tc>
          <w:tcPr>
            <w:tcW w:w="220" w:type="dxa"/>
            <w:vAlign w:val="bottom"/>
          </w:tcPr>
          <w:p>
            <w:pPr>
              <w:spacing w:after="0"/>
              <w:rPr>
                <w:sz w:val="19"/>
                <w:szCs w:val="19"/>
                <w:color w:val="auto"/>
              </w:rPr>
            </w:pPr>
          </w:p>
        </w:tc>
        <w:tc>
          <w:tcPr>
            <w:tcW w:w="11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Significant</w:t>
            </w:r>
          </w:p>
        </w:tc>
        <w:tc>
          <w:tcPr>
            <w:tcW w:w="240" w:type="dxa"/>
            <w:vAlign w:val="bottom"/>
          </w:tcPr>
          <w:p>
            <w:pPr>
              <w:spacing w:after="0"/>
              <w:rPr>
                <w:sz w:val="19"/>
                <w:szCs w:val="19"/>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Significant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70"/>
              <w:spacing w:after="0" w:line="202" w:lineRule="exact"/>
              <w:rPr>
                <w:sz w:val="20"/>
                <w:szCs w:val="20"/>
                <w:color w:val="auto"/>
              </w:rPr>
            </w:pPr>
            <w:r>
              <w:rPr>
                <w:rFonts w:ascii="Arial" w:cs="Arial" w:eastAsia="Arial" w:hAnsi="Arial"/>
                <w:sz w:val="18"/>
                <w:szCs w:val="18"/>
                <w:b w:val="1"/>
                <w:bCs w:val="1"/>
                <w:color w:val="auto"/>
              </w:rPr>
              <w:t>markets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7"/>
              </w:rPr>
              <w:t>other</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3"/>
          </w:tcPr>
          <w:p>
            <w:pPr>
              <w:jc w:val="center"/>
              <w:spacing w:after="0" w:line="202" w:lineRule="exact"/>
              <w:rPr>
                <w:sz w:val="20"/>
                <w:szCs w:val="20"/>
                <w:color w:val="auto"/>
              </w:rPr>
            </w:pPr>
            <w:r>
              <w:rPr>
                <w:rFonts w:ascii="Arial" w:cs="Arial" w:eastAsia="Arial" w:hAnsi="Arial"/>
                <w:sz w:val="18"/>
                <w:szCs w:val="18"/>
                <w:b w:val="1"/>
                <w:bCs w:val="1"/>
                <w:color w:val="auto"/>
                <w:w w:val="99"/>
              </w:rPr>
              <w:t>for identical</w:t>
            </w:r>
          </w:p>
        </w:tc>
        <w:tc>
          <w:tcPr>
            <w:tcW w:w="220" w:type="dxa"/>
            <w:vAlign w:val="bottom"/>
          </w:tcPr>
          <w:p>
            <w:pPr>
              <w:spacing w:after="0"/>
              <w:rPr>
                <w:sz w:val="17"/>
                <w:szCs w:val="17"/>
                <w:color w:val="auto"/>
              </w:rPr>
            </w:pPr>
          </w:p>
        </w:tc>
        <w:tc>
          <w:tcPr>
            <w:tcW w:w="1120" w:type="dxa"/>
            <w:vAlign w:val="bottom"/>
            <w:gridSpan w:val="5"/>
          </w:tcPr>
          <w:p>
            <w:pPr>
              <w:jc w:val="center"/>
              <w:spacing w:after="0" w:line="202" w:lineRule="exact"/>
              <w:rPr>
                <w:sz w:val="20"/>
                <w:szCs w:val="20"/>
                <w:color w:val="auto"/>
              </w:rPr>
            </w:pPr>
            <w:r>
              <w:rPr>
                <w:rFonts w:ascii="Arial" w:cs="Arial" w:eastAsia="Arial" w:hAnsi="Arial"/>
                <w:sz w:val="18"/>
                <w:szCs w:val="18"/>
                <w:b w:val="1"/>
                <w:bCs w:val="1"/>
                <w:color w:val="auto"/>
              </w:rPr>
              <w:t>observable</w:t>
            </w:r>
          </w:p>
        </w:tc>
        <w:tc>
          <w:tcPr>
            <w:tcW w:w="240" w:type="dxa"/>
            <w:vAlign w:val="bottom"/>
          </w:tcPr>
          <w:p>
            <w:pPr>
              <w:spacing w:after="0"/>
              <w:rPr>
                <w:sz w:val="17"/>
                <w:szCs w:val="17"/>
                <w:color w:val="auto"/>
              </w:rPr>
            </w:pPr>
          </w:p>
        </w:tc>
        <w:tc>
          <w:tcPr>
            <w:tcW w:w="1220" w:type="dxa"/>
            <w:vAlign w:val="bottom"/>
            <w:gridSpan w:val="3"/>
          </w:tcPr>
          <w:p>
            <w:pPr>
              <w:jc w:val="center"/>
              <w:ind w:right="120"/>
              <w:spacing w:after="0" w:line="202" w:lineRule="exact"/>
              <w:rPr>
                <w:sz w:val="20"/>
                <w:szCs w:val="20"/>
                <w:color w:val="auto"/>
              </w:rPr>
            </w:pPr>
            <w:r>
              <w:rPr>
                <w:rFonts w:ascii="Arial" w:cs="Arial" w:eastAsia="Arial" w:hAnsi="Arial"/>
                <w:sz w:val="18"/>
                <w:szCs w:val="18"/>
                <w:b w:val="1"/>
                <w:bCs w:val="1"/>
                <w:color w:val="auto"/>
                <w:w w:val="98"/>
              </w:rPr>
              <w:t>observable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20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w w:val="99"/>
              </w:rPr>
              <w:t>December 31,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assets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inputs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inputs</w:t>
            </w:r>
          </w:p>
        </w:tc>
        <w:tc>
          <w:tcPr>
            <w:tcW w:w="0" w:type="dxa"/>
            <w:vAlign w:val="bottom"/>
          </w:tcPr>
          <w:p>
            <w:pPr>
              <w:spacing w:after="0"/>
              <w:rPr>
                <w:sz w:val="1"/>
                <w:szCs w:val="1"/>
                <w:color w:val="auto"/>
              </w:rPr>
            </w:pPr>
          </w:p>
        </w:tc>
      </w:tr>
      <w:tr>
        <w:trPr>
          <w:trHeight w:val="212"/>
        </w:trPr>
        <w:tc>
          <w:tcPr>
            <w:tcW w:w="5860" w:type="dxa"/>
            <w:vAlign w:val="bottom"/>
            <w:gridSpan w:val="3"/>
          </w:tcPr>
          <w:p>
            <w:pPr>
              <w:ind w:left="20"/>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2022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(Level 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gridSpan w:val="3"/>
            <w:shd w:val="clear" w:color="auto" w:fill="CFF0FC"/>
          </w:tcPr>
          <w:p>
            <w:pPr>
              <w:ind w:left="20"/>
              <w:spacing w:after="0"/>
              <w:rPr>
                <w:sz w:val="20"/>
                <w:szCs w:val="20"/>
                <w:color w:val="auto"/>
              </w:rPr>
            </w:pPr>
            <w:r>
              <w:rPr>
                <w:rFonts w:ascii="Arial" w:cs="Arial" w:eastAsia="Arial" w:hAnsi="Arial"/>
                <w:sz w:val="18"/>
                <w:szCs w:val="18"/>
                <w:i w:val="1"/>
                <w:iCs w:val="1"/>
                <w:color w:val="auto"/>
              </w:rPr>
              <w:t>Financial assets</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gridSpan w:val="3"/>
          </w:tcPr>
          <w:p>
            <w:pPr>
              <w:ind w:left="20"/>
              <w:spacing w:after="0"/>
              <w:rPr>
                <w:sz w:val="20"/>
                <w:szCs w:val="20"/>
                <w:color w:val="auto"/>
              </w:rPr>
            </w:pPr>
            <w:r>
              <w:rPr>
                <w:rFonts w:ascii="Arial" w:cs="Arial" w:eastAsia="Arial" w:hAnsi="Arial"/>
                <w:sz w:val="18"/>
                <w:szCs w:val="18"/>
                <w:color w:val="auto"/>
              </w:rPr>
              <w:t>Cash equivalents:</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5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118,582</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118,582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gridSpan w:val="3"/>
          </w:tcPr>
          <w:p>
            <w:pPr>
              <w:ind w:left="2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584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27,476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27,476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gridSpan w:val="2"/>
          </w:tcPr>
          <w:p>
            <w:pPr>
              <w:ind w:left="360"/>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18,099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18,099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Borders>
              <w:bottom w:val="single" w:sz="8" w:color="CFF0FC"/>
            </w:tcBorders>
            <w:shd w:val="clear" w:color="auto" w:fill="CFF0FC"/>
          </w:tcPr>
          <w:p>
            <w:pPr>
              <w:spacing w:after="0"/>
              <w:rPr>
                <w:sz w:val="19"/>
                <w:szCs w:val="19"/>
                <w:color w:val="auto"/>
              </w:rPr>
            </w:pPr>
          </w:p>
        </w:tc>
        <w:tc>
          <w:tcPr>
            <w:tcW w:w="5840" w:type="dxa"/>
            <w:vAlign w:val="bottom"/>
            <w:tcBorders>
              <w:bottom w:val="single" w:sz="8" w:color="CFF0FC"/>
            </w:tcBorders>
            <w:gridSpan w:val="2"/>
            <w:shd w:val="clear" w:color="auto" w:fill="CFF0FC"/>
          </w:tcPr>
          <w:p>
            <w:pPr>
              <w:ind w:left="360"/>
              <w:spacing w:after="0"/>
              <w:rPr>
                <w:sz w:val="20"/>
                <w:szCs w:val="20"/>
                <w:color w:val="auto"/>
              </w:rPr>
            </w:pPr>
            <w:r>
              <w:rPr>
                <w:rFonts w:ascii="Arial" w:cs="Arial" w:eastAsia="Arial" w:hAnsi="Arial"/>
                <w:sz w:val="18"/>
                <w:szCs w:val="18"/>
                <w:color w:val="auto"/>
              </w:rPr>
              <w:t>U.S. Government agencies</w:t>
            </w:r>
          </w:p>
        </w:tc>
        <w:tc>
          <w:tcPr>
            <w:tcW w:w="1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21,654</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21,654</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gridSpan w:val="3"/>
          </w:tcPr>
          <w:p>
            <w:pPr>
              <w:ind w:left="20"/>
              <w:spacing w:after="0"/>
              <w:rPr>
                <w:sz w:val="20"/>
                <w:szCs w:val="20"/>
                <w:color w:val="auto"/>
              </w:rPr>
            </w:pPr>
            <w:r>
              <w:rPr>
                <w:rFonts w:ascii="Arial" w:cs="Arial" w:eastAsia="Arial" w:hAnsi="Arial"/>
                <w:sz w:val="18"/>
                <w:szCs w:val="18"/>
                <w:color w:val="auto"/>
              </w:rPr>
              <w:t>Total financial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185,811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118,582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67,229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4"/>
        </w:trPr>
        <w:tc>
          <w:tcPr>
            <w:tcW w:w="58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7040" w:type="dxa"/>
            <w:vAlign w:val="bottom"/>
            <w:gridSpan w:val="4"/>
          </w:tcPr>
          <w:p>
            <w:pPr>
              <w:jc w:val="right"/>
              <w:ind w:right="83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0" w:type="dxa"/>
            <w:vAlign w:val="bottom"/>
            <w:gridSpan w:val="5"/>
            <w:vMerge w:val="restart"/>
          </w:tcPr>
          <w:p>
            <w:pPr>
              <w:jc w:val="right"/>
              <w:ind w:right="40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gridSpan w:val="4"/>
            <w:vMerge w:val="restart"/>
          </w:tcPr>
          <w:p>
            <w:pPr>
              <w:jc w:val="right"/>
              <w:ind w:right="28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Assets under construction</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center"/>
              <w:ind w:right="11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1,447</w:t>
            </w:r>
          </w:p>
        </w:tc>
        <w:tc>
          <w:tcPr>
            <w:tcW w:w="2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3"/>
          </w:tcPr>
          <w:p>
            <w:pPr>
              <w:ind w:left="20"/>
              <w:spacing w:after="0"/>
              <w:rPr>
                <w:sz w:val="20"/>
                <w:szCs w:val="20"/>
                <w:color w:val="auto"/>
              </w:rPr>
            </w:pPr>
            <w:r>
              <w:rPr>
                <w:rFonts w:ascii="Arial" w:cs="Arial" w:eastAsia="Arial" w:hAnsi="Arial"/>
                <w:sz w:val="18"/>
                <w:szCs w:val="18"/>
                <w:color w:val="auto"/>
              </w:rPr>
              <w:t>IT equipment</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Lab equipment</w:t>
            </w:r>
          </w:p>
        </w:tc>
        <w:tc>
          <w:tcPr>
            <w:tcW w:w="1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8,027</w:t>
            </w:r>
          </w:p>
        </w:tc>
        <w:tc>
          <w:tcPr>
            <w:tcW w:w="2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Less—accumulated depreciation</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6"/>
              </w:rPr>
              <w:t>(4,799 )</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(3,864 )</w:t>
            </w: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tcBorders>
            <w:gridSpan w:val="3"/>
          </w:tcPr>
          <w:p>
            <w:pPr>
              <w:ind w:left="20"/>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top w:val="single" w:sz="8" w:color="CFF0FC"/>
            </w:tcBorders>
          </w:tcPr>
          <w:p>
            <w:pPr>
              <w:spacing w:after="0"/>
              <w:rPr>
                <w:sz w:val="19"/>
                <w:szCs w:val="19"/>
                <w:color w:val="auto"/>
              </w:rPr>
            </w:pPr>
          </w:p>
        </w:tc>
        <w:tc>
          <w:tcPr>
            <w:tcW w:w="1100" w:type="dxa"/>
            <w:vAlign w:val="bottom"/>
            <w:tcBorders>
              <w:top w:val="single" w:sz="8" w:color="CFF0FC"/>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320" w:type="dxa"/>
            <w:vAlign w:val="bottom"/>
            <w:tcBorders>
              <w:top w:val="single" w:sz="8" w:color="CFF0FC"/>
            </w:tcBorders>
          </w:tcPr>
          <w:p>
            <w:pPr>
              <w:spacing w:after="0"/>
              <w:rPr>
                <w:sz w:val="19"/>
                <w:szCs w:val="19"/>
                <w:color w:val="auto"/>
              </w:rPr>
            </w:pPr>
          </w:p>
        </w:tc>
        <w:tc>
          <w:tcPr>
            <w:tcW w:w="660" w:type="dxa"/>
            <w:vAlign w:val="bottom"/>
            <w:tcBorders>
              <w:top w:val="single" w:sz="8" w:color="auto"/>
              <w:bottom w:val="single" w:sz="8" w:color="auto"/>
            </w:tcBorders>
          </w:tcPr>
          <w:p>
            <w:pPr>
              <w:jc w:val="center"/>
              <w:ind w:right="43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4,856</w:t>
            </w:r>
          </w:p>
        </w:tc>
        <w:tc>
          <w:tcPr>
            <w:tcW w:w="240" w:type="dxa"/>
            <w:vAlign w:val="bottom"/>
            <w:tcBorders>
              <w:top w:val="single" w:sz="8" w:color="CFF0FC"/>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5,371</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-4139565</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-4122420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-4139565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-4122420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-4139565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-4122420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-4139565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-4122420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-2005330</wp:posOffset>
            </wp:positionV>
            <wp:extent cx="77470" cy="179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-2005330</wp:posOffset>
            </wp:positionV>
            <wp:extent cx="68580" cy="1797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-2005330</wp:posOffset>
            </wp:positionV>
            <wp:extent cx="68580" cy="179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1797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-488315</wp:posOffset>
            </wp:positionV>
            <wp:extent cx="68580"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-179705</wp:posOffset>
            </wp:positionV>
            <wp:extent cx="68580" cy="1803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1803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170"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Depreciation expense was $0.4 million and $0.3 million for the three months ended September 30, 2023 and 2022, respectively. In addition, depreciation expense was $1.0 million and $0.9 million for the nine months ended September 30, 2023 and 2022, respectively.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51"/>
        </w:trPr>
        <w:tc>
          <w:tcPr>
            <w:tcW w:w="5860" w:type="dxa"/>
            <w:vAlign w:val="bottom"/>
          </w:tcPr>
          <w:p>
            <w:pPr>
              <w:spacing w:after="0"/>
              <w:rPr>
                <w:sz w:val="20"/>
                <w:szCs w:val="20"/>
                <w:color w:val="auto"/>
              </w:rPr>
            </w:pPr>
            <w:r>
              <w:rPr>
                <w:rFonts w:ascii="Arial" w:cs="Arial" w:eastAsia="Arial" w:hAnsi="Arial"/>
                <w:sz w:val="18"/>
                <w:szCs w:val="18"/>
                <w:b w:val="1"/>
                <w:bCs w:val="1"/>
                <w:color w:val="auto"/>
              </w:rPr>
              <w:t>5. Prepaid Expenses and Other Current Assets</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7320" w:type="dxa"/>
            <w:vAlign w:val="bottom"/>
            <w:gridSpan w:val="5"/>
          </w:tcPr>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gridSpan w:val="4"/>
            <w:vMerge w:val="restart"/>
          </w:tcPr>
          <w:p>
            <w:pPr>
              <w:jc w:val="right"/>
              <w:ind w:right="7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gridSpan w:val="4"/>
            <w:vMerge w:val="restart"/>
          </w:tcPr>
          <w:p>
            <w:pPr>
              <w:jc w:val="right"/>
              <w:ind w:right="90"/>
              <w:spacing w:after="0"/>
              <w:rPr>
                <w:sz w:val="20"/>
                <w:szCs w:val="20"/>
                <w:color w:val="auto"/>
              </w:rPr>
            </w:pPr>
            <w:r>
              <w:rPr>
                <w:rFonts w:ascii="Arial" w:cs="Arial" w:eastAsia="Arial" w:hAnsi="Arial"/>
                <w:sz w:val="18"/>
                <w:szCs w:val="18"/>
                <w:b w:val="1"/>
                <w:bCs w:val="1"/>
                <w:color w:val="auto"/>
                <w:w w:val="99"/>
              </w:rPr>
              <w:t>December 31,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5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insurance</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center"/>
              <w:ind w:right="170"/>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Prepaid research and development expenses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3,923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center"/>
              <w:ind w:right="170"/>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4,812</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b w:val="1"/>
                <w:bCs w:val="1"/>
                <w:color w:val="auto"/>
              </w:rPr>
              <w:t>6. Marketable Securities</w:t>
            </w: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5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5860" w:type="dxa"/>
            <w:vAlign w:val="bottom"/>
          </w:tcPr>
          <w:p>
            <w:pPr>
              <w:ind w:left="520"/>
              <w:spacing w:after="0"/>
              <w:rPr>
                <w:sz w:val="20"/>
                <w:szCs w:val="20"/>
                <w:color w:val="auto"/>
              </w:rPr>
            </w:pPr>
            <w:r>
              <w:rPr>
                <w:rFonts w:ascii="Arial" w:cs="Arial" w:eastAsia="Arial" w:hAnsi="Arial"/>
                <w:sz w:val="18"/>
                <w:szCs w:val="18"/>
                <w:color w:val="auto"/>
              </w:rPr>
              <w:t>Marketable securities consist of the following (in thousands):</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2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rPr>
              <w:t>September 30, 2023</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5"/>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420"/>
              <w:spacing w:after="0" w:line="187" w:lineRule="exact"/>
              <w:rPr>
                <w:sz w:val="20"/>
                <w:szCs w:val="20"/>
                <w:color w:val="auto"/>
              </w:rPr>
            </w:pPr>
            <w:r>
              <w:rPr>
                <w:rFonts w:ascii="Arial" w:cs="Arial" w:eastAsia="Arial" w:hAnsi="Arial"/>
                <w:sz w:val="18"/>
                <w:szCs w:val="18"/>
                <w:b w:val="1"/>
                <w:bCs w:val="1"/>
                <w:color w:val="auto"/>
                <w:w w:val="99"/>
              </w:rPr>
              <w:t>Amortized</w:t>
            </w:r>
          </w:p>
        </w:tc>
        <w:tc>
          <w:tcPr>
            <w:tcW w:w="1120" w:type="dxa"/>
            <w:vAlign w:val="bottom"/>
            <w:gridSpan w:val="3"/>
          </w:tcPr>
          <w:p>
            <w:pPr>
              <w:jc w:val="center"/>
              <w:spacing w:after="0" w:line="187" w:lineRule="exact"/>
              <w:rPr>
                <w:sz w:val="20"/>
                <w:szCs w:val="20"/>
                <w:color w:val="auto"/>
              </w:rPr>
            </w:pPr>
            <w:r>
              <w:rPr>
                <w:rFonts w:ascii="Arial" w:cs="Arial" w:eastAsia="Arial" w:hAnsi="Arial"/>
                <w:sz w:val="18"/>
                <w:szCs w:val="18"/>
                <w:b w:val="1"/>
                <w:bCs w:val="1"/>
                <w:color w:val="auto"/>
                <w:w w:val="98"/>
              </w:rPr>
              <w:t>Unrealized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5"/>
          </w:tcPr>
          <w:p>
            <w:pPr>
              <w:jc w:val="center"/>
              <w:ind w:right="280"/>
              <w:spacing w:after="0" w:line="187" w:lineRule="exact"/>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6"/>
                <w:szCs w:val="16"/>
                <w:color w:val="auto"/>
              </w:rPr>
            </w:pPr>
          </w:p>
        </w:tc>
        <w:tc>
          <w:tcPr>
            <w:tcW w:w="1000" w:type="dxa"/>
            <w:vAlign w:val="bottom"/>
          </w:tcPr>
          <w:p>
            <w:pPr>
              <w:spacing w:after="0" w:line="187" w:lineRule="exact"/>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Cost</w:t>
            </w:r>
          </w:p>
        </w:tc>
        <w:tc>
          <w:tcPr>
            <w:tcW w:w="260" w:type="dxa"/>
            <w:vAlign w:val="bottom"/>
            <w:gridSpan w:val="2"/>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center"/>
              <w:ind w:right="130"/>
              <w:spacing w:after="0"/>
              <w:rPr>
                <w:sz w:val="20"/>
                <w:szCs w:val="20"/>
                <w:color w:val="auto"/>
              </w:rPr>
            </w:pPr>
            <w:r>
              <w:rPr>
                <w:rFonts w:ascii="Arial" w:cs="Arial" w:eastAsia="Arial" w:hAnsi="Arial"/>
                <w:sz w:val="18"/>
                <w:szCs w:val="18"/>
                <w:b w:val="1"/>
                <w:bCs w:val="1"/>
                <w:color w:val="auto"/>
                <w:w w:val="99"/>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Losses</w:t>
            </w:r>
          </w:p>
        </w:tc>
        <w:tc>
          <w:tcPr>
            <w:tcW w:w="24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33,622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7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(31 )</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(33 )</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42,312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(58 )</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Yankee bonds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(9 )</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(4 )</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93,606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(135 )</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58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December 31, 2022</w:t>
            </w: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420"/>
              <w:spacing w:after="0" w:line="187" w:lineRule="exact"/>
              <w:rPr>
                <w:sz w:val="20"/>
                <w:szCs w:val="20"/>
                <w:color w:val="auto"/>
              </w:rPr>
            </w:pPr>
            <w:r>
              <w:rPr>
                <w:rFonts w:ascii="Arial" w:cs="Arial" w:eastAsia="Arial" w:hAnsi="Arial"/>
                <w:sz w:val="18"/>
                <w:szCs w:val="18"/>
                <w:b w:val="1"/>
                <w:bCs w:val="1"/>
                <w:color w:val="auto"/>
                <w:w w:val="99"/>
              </w:rPr>
              <w:t>Amortized</w:t>
            </w:r>
          </w:p>
        </w:tc>
        <w:tc>
          <w:tcPr>
            <w:tcW w:w="1120" w:type="dxa"/>
            <w:vAlign w:val="bottom"/>
            <w:gridSpan w:val="3"/>
          </w:tcPr>
          <w:p>
            <w:pPr>
              <w:jc w:val="center"/>
              <w:spacing w:after="0" w:line="187" w:lineRule="exact"/>
              <w:rPr>
                <w:sz w:val="20"/>
                <w:szCs w:val="20"/>
                <w:color w:val="auto"/>
              </w:rPr>
            </w:pPr>
            <w:r>
              <w:rPr>
                <w:rFonts w:ascii="Arial" w:cs="Arial" w:eastAsia="Arial" w:hAnsi="Arial"/>
                <w:sz w:val="18"/>
                <w:szCs w:val="18"/>
                <w:b w:val="1"/>
                <w:bCs w:val="1"/>
                <w:color w:val="auto"/>
                <w:w w:val="98"/>
              </w:rPr>
              <w:t>Unrealized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5"/>
          </w:tcPr>
          <w:p>
            <w:pPr>
              <w:jc w:val="center"/>
              <w:ind w:right="280"/>
              <w:spacing w:after="0" w:line="187" w:lineRule="exact"/>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6"/>
                <w:szCs w:val="16"/>
                <w:color w:val="auto"/>
              </w:rPr>
            </w:pPr>
          </w:p>
        </w:tc>
        <w:tc>
          <w:tcPr>
            <w:tcW w:w="1000" w:type="dxa"/>
            <w:vAlign w:val="bottom"/>
          </w:tcPr>
          <w:p>
            <w:pPr>
              <w:spacing w:after="0" w:line="187" w:lineRule="exact"/>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Cost</w:t>
            </w:r>
          </w:p>
        </w:tc>
        <w:tc>
          <w:tcPr>
            <w:tcW w:w="260" w:type="dxa"/>
            <w:vAlign w:val="bottom"/>
            <w:gridSpan w:val="2"/>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center"/>
              <w:ind w:right="130"/>
              <w:spacing w:after="0"/>
              <w:rPr>
                <w:sz w:val="20"/>
                <w:szCs w:val="20"/>
                <w:color w:val="auto"/>
              </w:rPr>
            </w:pPr>
            <w:r>
              <w:rPr>
                <w:rFonts w:ascii="Arial" w:cs="Arial" w:eastAsia="Arial" w:hAnsi="Arial"/>
                <w:sz w:val="18"/>
                <w:szCs w:val="18"/>
                <w:b w:val="1"/>
                <w:bCs w:val="1"/>
                <w:color w:val="auto"/>
                <w:w w:val="99"/>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Losses</w:t>
            </w:r>
          </w:p>
        </w:tc>
        <w:tc>
          <w:tcPr>
            <w:tcW w:w="24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27,476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18,191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(92 )</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(1 )</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21,654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67,302</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(93 )</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67,229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-3599815</wp:posOffset>
            </wp:positionV>
            <wp:extent cx="68580" cy="180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-3599815</wp:posOffset>
            </wp:positionV>
            <wp:extent cx="68580" cy="1803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-1388110</wp:posOffset>
            </wp:positionV>
            <wp:extent cx="2648585" cy="916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48585" cy="91694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77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78"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As of September 30, 2023, the unrealized losses on the Company’s investments in commercial paper, corporate bonds, U.S. government agencies securities, Yankee bonds, and asset-backed securities were caused by interest rate increases. The current credit ratings are all within the guidelines of the investment policy of the Company and the Company does not expect the issuers to settle any security at a price less than the amortized cost basis of the investment. The Company does not intend to sell the investments and it is not probable that the Company will be required to sell the investments before recovery of their amortized cost basis.</w:t>
      </w:r>
    </w:p>
    <w:p>
      <w:pPr>
        <w:spacing w:after="0" w:line="243"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As of September 30, 2023, 34 marketable securities with contractual maturities of one year or less were in an unrealized loss position totaling $0.1 million.</w:t>
      </w:r>
    </w:p>
    <w:p>
      <w:pPr>
        <w:spacing w:after="0" w:line="2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2023, all marketable securities held by the Company had remaining contractual maturities of one year or less.</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impairments of the Company’s assets measured and carried at fair value during the nine months ended September 30,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51"/>
        </w:trPr>
        <w:tc>
          <w:tcPr>
            <w:tcW w:w="7780" w:type="dxa"/>
            <w:vAlign w:val="bottom"/>
          </w:tcPr>
          <w:p>
            <w:pPr>
              <w:spacing w:after="0"/>
              <w:rPr>
                <w:sz w:val="20"/>
                <w:szCs w:val="20"/>
                <w:color w:val="auto"/>
              </w:rPr>
            </w:pPr>
            <w:r>
              <w:rPr>
                <w:rFonts w:ascii="Arial" w:cs="Arial" w:eastAsia="Arial" w:hAnsi="Arial"/>
                <w:sz w:val="18"/>
                <w:szCs w:val="18"/>
                <w:b w:val="1"/>
                <w:bCs w:val="1"/>
                <w:color w:val="auto"/>
              </w:rPr>
              <w:t>7. Accrued Expenses and Other Current Liabilities</w:t>
            </w: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7780" w:type="dxa"/>
            <w:vAlign w:val="bottom"/>
          </w:tcPr>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tc>
        <w:tc>
          <w:tcPr>
            <w:tcW w:w="140" w:type="dxa"/>
            <w:vAlign w:val="bottom"/>
          </w:tcPr>
          <w:p>
            <w:pPr>
              <w:spacing w:after="0"/>
              <w:rPr>
                <w:sz w:val="23"/>
                <w:szCs w:val="23"/>
                <w:color w:val="auto"/>
              </w:rPr>
            </w:pPr>
          </w:p>
        </w:tc>
        <w:tc>
          <w:tcPr>
            <w:tcW w:w="14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7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7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research and development expenses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2,426</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2,923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6,369</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-179705</wp:posOffset>
            </wp:positionV>
            <wp:extent cx="68580" cy="1803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1803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w:t>
      </w:r>
    </w:p>
    <w:p>
      <w:pPr>
        <w:spacing w:after="0" w:line="7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had 150,000,000 authorized shares of common stock, par value $0.00001 per share, of which 38,216,717 and 37,771,918 shares were issued and outstanding at September 30, 2023 and December 31, 2022, respectively. In addition, the Company had 10,000,000 authorized shares of preferred stock, par value $0.00001 per share, all of which shares of preferred stock will be undesignated. No authorized shares of preferred stock were issued and outstanding at September 30, 2023 and December 31, 2022.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w:t>
      </w:r>
    </w:p>
    <w:p>
      <w:pPr>
        <w:spacing w:after="0" w:line="73"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On December 5, 2022, the Company issued and sold 7,705,000 shares of common stock, including the full exercise of the underwriters’ option to purchase additional shares at a price to the public of $12.00 per share for aggregate gross proceeds of $92.5 million in the 2022 Follow-On Offering. The Company received approximately $86.7 million in net proceeds from the 2022 Follow-On Offering after deducting underwriting discounts, commissions and offering expenses.</w:t>
      </w:r>
    </w:p>
    <w:p>
      <w:pPr>
        <w:spacing w:after="0" w:line="53"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On November 1, 2022, the Company filed the 2022 Shelf with the SEC in relation to the registration of up to an aggregate offering price of $250.0 million of common stock, preferred stock, debt securities, warrants and units or any combination thereof. The Company also simultaneously entered into the Sales Agreement with the Sales Agent to provide for the offering, issuance and sale by the Company of up to an aggregate of $75.0 million of common stock from time to time in the ATM under the 2022 Shelf and subject to the limitations thereof. The Company issued 261,807 shares of common stock at an average price of $12.49 for aggregate gross proceeds of $3.3 million during the nine months ended September 30, 2023 under the ATM. In addition, the Company issued 732,189 shares of common stock at an average price of $12.51 for aggregate gross proceeds of $9.2 million as of December 31, 2022 under the ATM.</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Stock Option and Incentive Plan</w:t>
      </w:r>
    </w:p>
    <w:p>
      <w:pPr>
        <w:spacing w:after="0" w:line="208" w:lineRule="exact"/>
        <w:rPr>
          <w:sz w:val="20"/>
          <w:szCs w:val="20"/>
          <w:color w:val="auto"/>
        </w:rPr>
      </w:pPr>
    </w:p>
    <w:p>
      <w:pPr>
        <w:jc w:val="both"/>
        <w:ind w:firstLine="384"/>
        <w:spacing w:after="0" w:line="243" w:lineRule="auto"/>
        <w:rPr>
          <w:sz w:val="20"/>
          <w:szCs w:val="20"/>
          <w:color w:val="auto"/>
        </w:rPr>
      </w:pPr>
      <w:r>
        <w:rPr>
          <w:rFonts w:ascii="Arial" w:cs="Arial" w:eastAsia="Arial" w:hAnsi="Arial"/>
          <w:sz w:val="18"/>
          <w:szCs w:val="18"/>
          <w:color w:val="auto"/>
        </w:rPr>
        <w:t>On December 12, 2018, the Company adopted the Aura Biosciences, Inc. 2018 Equity Incentive Plan, or the 2018 Plan. The 2018 Plan will expire in 2028. Under the 2018 Plan, Aura may grant incentive stock options, non-qualified stock options, restricted and unrestricted stock awards and stock rights. The Board of Directors, or the Board, has determined not to make any further awards under the 2018 Plan as of November 2, 2021. However, the 2018 Plan will continue to govern outstanding equity awards granted thereunder.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Stock Option and Incentive Plan</w:t>
      </w:r>
    </w:p>
    <w:p>
      <w:pPr>
        <w:spacing w:after="0" w:line="208" w:lineRule="exact"/>
        <w:rPr>
          <w:sz w:val="20"/>
          <w:szCs w:val="20"/>
          <w:color w:val="auto"/>
        </w:rPr>
      </w:pPr>
    </w:p>
    <w:p>
      <w:pPr>
        <w:jc w:val="both"/>
        <w:ind w:firstLine="303"/>
        <w:spacing w:after="0" w:line="238" w:lineRule="auto"/>
        <w:rPr>
          <w:sz w:val="20"/>
          <w:szCs w:val="20"/>
          <w:color w:val="auto"/>
        </w:rPr>
      </w:pPr>
      <w:r>
        <w:rPr>
          <w:rFonts w:ascii="Arial" w:cs="Arial" w:eastAsia="Arial" w:hAnsi="Arial"/>
          <w:sz w:val="18"/>
          <w:szCs w:val="18"/>
          <w:color w:val="auto"/>
        </w:rPr>
        <w:t>The 2021 Stock Option and Incentive Plan, or the 2021 Plan, was adopted by the Board on October 7, 2021, approved by the Company’s stockholders on October 22, 2021 and became effective on November 1, 2021. The 2021 Plan permits the granting of both options to purchase common stock intended to qualify as incentive stock options under Section 422 of the Code and options that do not so qualify. The number of shares initially reserved for issuance under the 2021 Plan was 3,352,166, which increased on January 1, 2022 and will continue to increase each January 1 thereafter, by 5% of the outstanding number of shares of common stock on the immediately preceding December 31 or such lesser number of shares as determined by the Company’s compensation committee. The maximum number of shares of common stock that may be issued in the form of incentive stock options shall not exceed the initial limit, cumulatively increased on January 1, 2022 and on each January 1 thereafter by the lesser of the annual increase for such year or 3,352,166 shares of common stock. On January 1, 2023, the shares reserved for issuance was increased to 6,850,986 shares.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2021 Employee Stock Purchase Plan</w:t>
      </w:r>
    </w:p>
    <w:p>
      <w:pPr>
        <w:spacing w:after="0" w:line="208" w:lineRule="exact"/>
        <w:rPr>
          <w:sz w:val="20"/>
          <w:szCs w:val="20"/>
          <w:color w:val="auto"/>
        </w:rPr>
      </w:pPr>
    </w:p>
    <w:p>
      <w:pPr>
        <w:jc w:val="both"/>
        <w:ind w:firstLine="486"/>
        <w:spacing w:after="0" w:line="237" w:lineRule="auto"/>
        <w:rPr>
          <w:sz w:val="20"/>
          <w:szCs w:val="20"/>
          <w:color w:val="auto"/>
        </w:rPr>
      </w:pPr>
      <w:r>
        <w:rPr>
          <w:rFonts w:ascii="Arial" w:cs="Arial" w:eastAsia="Arial" w:hAnsi="Arial"/>
          <w:sz w:val="18"/>
          <w:szCs w:val="18"/>
          <w:color w:val="auto"/>
        </w:rPr>
        <w:t>The 2021 Employee Stock Purchase Plan, or the ESPP, was adopted by the Board on October 7, 2021, approved by the Company’s stockholders on October 22, 2021 and became effective on November 1, 2021. A total of 335,217 shares of common stock were initially reserved for issuance under this plan, which increased on January 1, 2022 and will continue to increase each January 1 thereafter through January 1, 2031, by the least of (i) 335,217 shares of common stock, (ii) 1% of the outstanding number of shares of common stock on the immediately preceding December 31 or (iii) such lesser number of shares of common stock as determined by the administrator of the ESPP. On January 1, 2023, the shares reserved for issuance was increased to 962,550 shares. The purchase price of the shares under the ESPP are at 85% of the lower of the fair market value of the Company’s common stock on the first trading day of the offering period or on the purchase date. As of September 30, 2023, 947,639 shares were available to be issued under the ESPP. The Company recognized $0.10 million share-based compensation expense related to the ESPP for the nine months ended September 30, 2023. The Company recognized $0.02 million share-based compensation expense related to the ESPP for the three months ended September 30, 2023.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08" w:lineRule="exact"/>
        <w:rPr>
          <w:sz w:val="20"/>
          <w:szCs w:val="20"/>
          <w:color w:val="auto"/>
        </w:rPr>
      </w:pPr>
    </w:p>
    <w:p>
      <w:pPr>
        <w:jc w:val="both"/>
        <w:ind w:firstLine="413"/>
        <w:spacing w:after="0" w:line="260" w:lineRule="auto"/>
        <w:rPr>
          <w:sz w:val="20"/>
          <w:szCs w:val="20"/>
          <w:color w:val="auto"/>
        </w:rPr>
      </w:pPr>
      <w:r>
        <w:rPr>
          <w:rFonts w:ascii="Arial" w:cs="Arial" w:eastAsia="Arial" w:hAnsi="Arial"/>
          <w:sz w:val="18"/>
          <w:szCs w:val="18"/>
          <w:color w:val="auto"/>
        </w:rPr>
        <w:t>With the transfer of the available options from the 2018 Plan to the 2021 Plan, there were 3,981,056 options and restricted stock units available for grant under the 2021 Plan at September 30, 2023.</w:t>
      </w:r>
    </w:p>
    <w:p>
      <w:pPr>
        <w:spacing w:after="0" w:line="17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Board is authorized to administer the 2021 Plan. In accordance with the provisions of the 2021 Plan, the Board determines the terms of Aura options and other awards issued pursuant thereto, including the following:</w:t>
      </w:r>
    </w:p>
    <w:p>
      <w:pPr>
        <w:spacing w:after="0" w:line="2" w:lineRule="exact"/>
        <w:rPr>
          <w:sz w:val="20"/>
          <w:szCs w:val="20"/>
          <w:color w:val="auto"/>
        </w:rPr>
      </w:pPr>
    </w:p>
    <w:p>
      <w:pPr>
        <w:ind w:left="1020" w:hanging="368"/>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which employees, directors and consultants shall be granted awards;</w:t>
      </w:r>
    </w:p>
    <w:p>
      <w:pPr>
        <w:spacing w:after="0" w:line="36" w:lineRule="exact"/>
        <w:rPr>
          <w:rFonts w:ascii="Arial" w:cs="Arial" w:eastAsia="Arial" w:hAnsi="Arial"/>
          <w:sz w:val="18"/>
          <w:szCs w:val="18"/>
          <w:color w:val="auto"/>
        </w:rPr>
      </w:pPr>
    </w:p>
    <w:p>
      <w:pPr>
        <w:ind w:left="1020" w:hanging="368"/>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shares of common stock subject to options and other awards;</w:t>
      </w:r>
    </w:p>
    <w:p>
      <w:pPr>
        <w:spacing w:after="0" w:line="49" w:lineRule="exact"/>
        <w:rPr>
          <w:rFonts w:ascii="Arial" w:cs="Arial" w:eastAsia="Arial" w:hAnsi="Arial"/>
          <w:sz w:val="18"/>
          <w:szCs w:val="18"/>
          <w:color w:val="auto"/>
        </w:rPr>
      </w:pPr>
    </w:p>
    <w:p>
      <w:pPr>
        <w:ind w:left="1020" w:hanging="368"/>
        <w:spacing w:after="0" w:line="25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exercise price of each option, which generally shall not be less than fair market value of the common stock on the date of grant;</w:t>
      </w:r>
    </w:p>
    <w:p>
      <w:pPr>
        <w:spacing w:after="0" w:line="2" w:lineRule="exact"/>
        <w:rPr>
          <w:rFonts w:ascii="Arial" w:cs="Arial" w:eastAsia="Arial" w:hAnsi="Arial"/>
          <w:sz w:val="18"/>
          <w:szCs w:val="18"/>
          <w:color w:val="auto"/>
        </w:rPr>
      </w:pPr>
    </w:p>
    <w:p>
      <w:pPr>
        <w:ind w:left="1020" w:hanging="368"/>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termination or cancellation provisions applicable to options;</w:t>
      </w:r>
    </w:p>
    <w:p>
      <w:pPr>
        <w:spacing w:after="0" w:line="36" w:lineRule="exact"/>
        <w:rPr>
          <w:rFonts w:ascii="Arial" w:cs="Arial" w:eastAsia="Arial" w:hAnsi="Arial"/>
          <w:sz w:val="18"/>
          <w:szCs w:val="18"/>
          <w:color w:val="auto"/>
        </w:rPr>
      </w:pPr>
    </w:p>
    <w:p>
      <w:pPr>
        <w:ind w:left="1020" w:hanging="368"/>
        <w:spacing w:after="0" w:line="25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terms and conditions of other awards, including conditions for repurchase, termination or cancellation, issue price and repurchase price; and</w:t>
      </w:r>
    </w:p>
    <w:p>
      <w:pPr>
        <w:spacing w:after="0" w:line="2" w:lineRule="exact"/>
        <w:rPr>
          <w:rFonts w:ascii="Arial" w:cs="Arial" w:eastAsia="Arial" w:hAnsi="Arial"/>
          <w:sz w:val="18"/>
          <w:szCs w:val="18"/>
          <w:color w:val="auto"/>
        </w:rPr>
      </w:pPr>
    </w:p>
    <w:p>
      <w:pPr>
        <w:ind w:left="1020" w:hanging="368"/>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other terms and conditions upon which each award may be granted in accordance with the 2018 Plan.</w:t>
      </w:r>
    </w:p>
    <w:p>
      <w:pPr>
        <w:spacing w:after="0" w:line="22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addition, the Board may award restricted shares of common stock and restricted stock units to participants subject to such conditions and restrictions as it may determine. The Board or any committee to which the Board delegates authority may, with the consent of the affected plan participants, re-price or otherwise amend outstanding awards consistent with the terms of the 2021 Plan.</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activity under the 2018 Plan and 2021 Plan for the nine months ended September 30,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2023:</w:t>
      </w: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8"/>
              </w:rPr>
              <w:t>Weighted-</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5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Average</w:t>
            </w:r>
          </w:p>
        </w:tc>
        <w:tc>
          <w:tcPr>
            <w:tcW w:w="240" w:type="dxa"/>
            <w:vAlign w:val="bottom"/>
          </w:tcPr>
          <w:p>
            <w:pPr>
              <w:spacing w:after="0"/>
              <w:rPr>
                <w:sz w:val="17"/>
                <w:szCs w:val="17"/>
                <w:color w:val="auto"/>
              </w:rPr>
            </w:pPr>
          </w:p>
        </w:tc>
        <w:tc>
          <w:tcPr>
            <w:tcW w:w="11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Aggregate</w:t>
            </w:r>
          </w:p>
        </w:tc>
        <w:tc>
          <w:tcPr>
            <w:tcW w:w="100" w:type="dxa"/>
            <w:vAlign w:val="bottom"/>
          </w:tcPr>
          <w:p>
            <w:pPr>
              <w:spacing w:after="0"/>
              <w:rPr>
                <w:sz w:val="17"/>
                <w:szCs w:val="17"/>
                <w:color w:val="auto"/>
              </w:rPr>
            </w:pPr>
          </w:p>
        </w:tc>
      </w:tr>
      <w:tr>
        <w:trPr>
          <w:trHeight w:val="203"/>
        </w:trPr>
        <w:tc>
          <w:tcPr>
            <w:tcW w:w="5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Weighted-</w:t>
            </w:r>
          </w:p>
        </w:tc>
        <w:tc>
          <w:tcPr>
            <w:tcW w:w="22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Intrinsic</w:t>
            </w:r>
          </w:p>
        </w:tc>
        <w:tc>
          <w:tcPr>
            <w:tcW w:w="100" w:type="dxa"/>
            <w:vAlign w:val="bottom"/>
          </w:tcPr>
          <w:p>
            <w:pPr>
              <w:spacing w:after="0"/>
              <w:rPr>
                <w:sz w:val="17"/>
                <w:szCs w:val="17"/>
                <w:color w:val="auto"/>
              </w:rPr>
            </w:pPr>
          </w:p>
        </w:tc>
      </w:tr>
      <w:tr>
        <w:trPr>
          <w:trHeight w:val="202"/>
        </w:trPr>
        <w:tc>
          <w:tcPr>
            <w:tcW w:w="5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8"/>
              </w:rPr>
              <w:t>Average</w:t>
            </w:r>
          </w:p>
        </w:tc>
        <w:tc>
          <w:tcPr>
            <w:tcW w:w="22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Contractual</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5"/>
              </w:rPr>
              <w:t>Value</w:t>
            </w:r>
          </w:p>
        </w:tc>
        <w:tc>
          <w:tcPr>
            <w:tcW w:w="100" w:type="dxa"/>
            <w:vAlign w:val="bottom"/>
          </w:tcPr>
          <w:p>
            <w:pPr>
              <w:spacing w:after="0"/>
              <w:rPr>
                <w:sz w:val="17"/>
                <w:szCs w:val="17"/>
                <w:color w:val="auto"/>
              </w:rPr>
            </w:pPr>
          </w:p>
        </w:tc>
      </w:tr>
      <w:tr>
        <w:trPr>
          <w:trHeight w:val="203"/>
        </w:trPr>
        <w:tc>
          <w:tcPr>
            <w:tcW w:w="5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Exercise</w:t>
            </w:r>
          </w:p>
        </w:tc>
        <w:tc>
          <w:tcPr>
            <w:tcW w:w="22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Term</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9"/>
              </w:rPr>
              <w:t>(in</w:t>
            </w:r>
          </w:p>
        </w:tc>
        <w:tc>
          <w:tcPr>
            <w:tcW w:w="100" w:type="dxa"/>
            <w:vAlign w:val="bottom"/>
          </w:tcPr>
          <w:p>
            <w:pPr>
              <w:spacing w:after="0"/>
              <w:rPr>
                <w:sz w:val="17"/>
                <w:szCs w:val="17"/>
                <w:color w:val="auto"/>
              </w:rPr>
            </w:pPr>
          </w:p>
        </w:tc>
      </w:tr>
      <w:tr>
        <w:trPr>
          <w:trHeight w:val="239"/>
        </w:trPr>
        <w:tc>
          <w:tcPr>
            <w:tcW w:w="5820" w:type="dxa"/>
            <w:vAlign w:val="bottom"/>
          </w:tcPr>
          <w:p>
            <w:pPr>
              <w:spacing w:after="0"/>
              <w:rPr>
                <w:sz w:val="20"/>
                <w:szCs w:val="20"/>
                <w:color w:val="auto"/>
              </w:rPr>
            </w:pP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Options</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Price</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(years)</w:t>
            </w:r>
          </w:p>
        </w:tc>
        <w:tc>
          <w:tcPr>
            <w:tcW w:w="24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thousands)</w:t>
            </w:r>
          </w:p>
        </w:tc>
        <w:tc>
          <w:tcPr>
            <w:tcW w:w="100" w:type="dxa"/>
            <w:vAlign w:val="bottom"/>
          </w:tcPr>
          <w:p>
            <w:pPr>
              <w:spacing w:after="0"/>
              <w:rPr>
                <w:sz w:val="20"/>
                <w:szCs w:val="20"/>
                <w:color w:val="auto"/>
              </w:rPr>
            </w:pP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2022</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4,303,336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16,204</w:t>
            </w:r>
          </w:p>
        </w:tc>
        <w:tc>
          <w:tcPr>
            <w:tcW w:w="100" w:type="dxa"/>
            <w:vAlign w:val="bottom"/>
            <w:shd w:val="clear" w:color="auto" w:fill="CFF0FC"/>
          </w:tcPr>
          <w:p>
            <w:pPr>
              <w:spacing w:after="0"/>
              <w:rPr>
                <w:sz w:val="19"/>
                <w:szCs w:val="19"/>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1,191,475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10.60</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(168,081 )</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Cancelled/Forfeited</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(594,140 )</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11.21</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3"/>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September 30, 2023</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4,732,590</w:t>
            </w:r>
          </w:p>
        </w:tc>
        <w:tc>
          <w:tcPr>
            <w:tcW w:w="2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w:t>
            </w:r>
          </w:p>
        </w:tc>
        <w:tc>
          <w:tcPr>
            <w:tcW w:w="22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8"/>
                <w:szCs w:val="18"/>
                <w:color w:val="auto"/>
              </w:rPr>
              <w:t>Exercisable at September 30, 2023</w:t>
            </w:r>
          </w:p>
        </w:tc>
        <w:tc>
          <w:tcPr>
            <w:tcW w:w="1220" w:type="dxa"/>
            <w:vAlign w:val="bottom"/>
          </w:tcPr>
          <w:p>
            <w:pPr>
              <w:jc w:val="right"/>
              <w:spacing w:after="0"/>
              <w:rPr>
                <w:sz w:val="20"/>
                <w:szCs w:val="20"/>
                <w:color w:val="auto"/>
              </w:rPr>
            </w:pPr>
            <w:r>
              <w:rPr>
                <w:rFonts w:ascii="Arial" w:cs="Arial" w:eastAsia="Arial" w:hAnsi="Arial"/>
                <w:sz w:val="18"/>
                <w:szCs w:val="18"/>
                <w:color w:val="auto"/>
              </w:rPr>
              <w:t>2,539,392</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6.66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8,777</w:t>
            </w:r>
          </w:p>
        </w:tc>
        <w:tc>
          <w:tcPr>
            <w:tcW w:w="10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-196215</wp:posOffset>
            </wp:positionV>
            <wp:extent cx="2665730" cy="1968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65730" cy="19685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weighted-average grant date fair value of stock options granted during the nine months ended September 30, 2023 and 2022 was $7.81 and $11.09 per share, respectively. The fair value of options vested during the nine months ended September 30, 2023 and 2022 was $4.8 million and $2.1 million, respectively. The total intrinsic value of options exercised was $1.0 million and $0.8 million for the nine months ended September 30, 2023 and 2022,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4" w:name="page15"/>
    <w:bookmarkEnd w:id="14"/>
    <w:p>
      <w:pPr>
        <w:jc w:val="both"/>
        <w:ind w:right="60" w:firstLine="509"/>
        <w:spacing w:after="0" w:line="249" w:lineRule="auto"/>
        <w:rPr>
          <w:sz w:val="20"/>
          <w:szCs w:val="20"/>
          <w:color w:val="auto"/>
        </w:rPr>
      </w:pPr>
      <w:r>
        <w:rPr>
          <w:rFonts w:ascii="Arial" w:cs="Arial" w:eastAsia="Arial" w:hAnsi="Arial"/>
          <w:sz w:val="18"/>
          <w:szCs w:val="18"/>
          <w:color w:val="auto"/>
        </w:rPr>
        <w:t>The fair value of the stock options issued for the three and nine months ended September 30, 2023 and 2022 was measured with the following weighted-average assumptions:</w:t>
      </w:r>
    </w:p>
    <w:tbl>
      <w:tblPr>
        <w:tblLayout w:type="fixed"/>
        <w:tblInd w:w="0" w:type="dxa"/>
        <w:tblCellMar>
          <w:top w:w="0" w:type="dxa"/>
          <w:left w:w="0" w:type="dxa"/>
          <w:bottom w:w="0" w:type="dxa"/>
          <w:right w:w="0" w:type="dxa"/>
        </w:tblCellMar>
      </w:tblPr>
      <w:tr>
        <w:trPr>
          <w:trHeight w:val="182"/>
        </w:trPr>
        <w:tc>
          <w:tcPr>
            <w:tcW w:w="6060" w:type="dxa"/>
            <w:vAlign w:val="bottom"/>
          </w:tcPr>
          <w:p>
            <w:pPr>
              <w:spacing w:after="0"/>
              <w:rPr>
                <w:sz w:val="15"/>
                <w:szCs w:val="15"/>
                <w:color w:val="auto"/>
              </w:rPr>
            </w:pPr>
          </w:p>
        </w:tc>
        <w:tc>
          <w:tcPr>
            <w:tcW w:w="2920" w:type="dxa"/>
            <w:vAlign w:val="bottom"/>
            <w:gridSpan w:val="4"/>
          </w:tcPr>
          <w:p>
            <w:pPr>
              <w:jc w:val="right"/>
              <w:ind w:right="700"/>
              <w:spacing w:after="0" w:line="182" w:lineRule="exact"/>
              <w:rPr>
                <w:sz w:val="20"/>
                <w:szCs w:val="20"/>
                <w:color w:val="auto"/>
              </w:rPr>
            </w:pPr>
            <w:r>
              <w:rPr>
                <w:rFonts w:ascii="Arial" w:cs="Arial" w:eastAsia="Arial" w:hAnsi="Arial"/>
                <w:sz w:val="18"/>
                <w:szCs w:val="18"/>
                <w:b w:val="1"/>
                <w:bCs w:val="1"/>
                <w:color w:val="auto"/>
              </w:rPr>
              <w:t>Three Months Ended</w:t>
            </w:r>
          </w:p>
        </w:tc>
        <w:tc>
          <w:tcPr>
            <w:tcW w:w="2320" w:type="dxa"/>
            <w:vAlign w:val="bottom"/>
            <w:gridSpan w:val="4"/>
          </w:tcPr>
          <w:p>
            <w:pPr>
              <w:jc w:val="right"/>
              <w:ind w:right="400"/>
              <w:spacing w:after="0" w:line="182" w:lineRule="exact"/>
              <w:rPr>
                <w:sz w:val="20"/>
                <w:szCs w:val="20"/>
                <w:color w:val="auto"/>
              </w:rPr>
            </w:pPr>
            <w:r>
              <w:rPr>
                <w:rFonts w:ascii="Arial" w:cs="Arial" w:eastAsia="Arial" w:hAnsi="Arial"/>
                <w:sz w:val="18"/>
                <w:szCs w:val="18"/>
                <w:b w:val="1"/>
                <w:bCs w:val="1"/>
                <w:color w:val="auto"/>
              </w:rPr>
              <w:t>Nine Months Ended</w:t>
            </w:r>
          </w:p>
        </w:tc>
      </w:tr>
      <w:tr>
        <w:trPr>
          <w:trHeight w:val="239"/>
        </w:trPr>
        <w:tc>
          <w:tcPr>
            <w:tcW w:w="6060" w:type="dxa"/>
            <w:vAlign w:val="bottom"/>
          </w:tcPr>
          <w:p>
            <w:pPr>
              <w:spacing w:after="0"/>
              <w:rPr>
                <w:sz w:val="20"/>
                <w:szCs w:val="20"/>
                <w:color w:val="auto"/>
              </w:rPr>
            </w:pPr>
          </w:p>
        </w:tc>
        <w:tc>
          <w:tcPr>
            <w:tcW w:w="292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232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0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top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9"/>
                <w:szCs w:val="19"/>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4.22 %</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3.08 %</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3.68 %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2.73 %</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160" w:type="dxa"/>
            <w:vAlign w:val="bottom"/>
          </w:tcPr>
          <w:p>
            <w:pPr>
              <w:jc w:val="right"/>
              <w:spacing w:after="0"/>
              <w:rPr>
                <w:sz w:val="20"/>
                <w:szCs w:val="20"/>
                <w:color w:val="auto"/>
              </w:rPr>
            </w:pPr>
            <w:r>
              <w:rPr>
                <w:rFonts w:ascii="Arial" w:cs="Arial" w:eastAsia="Arial" w:hAnsi="Arial"/>
                <w:sz w:val="18"/>
                <w:szCs w:val="18"/>
                <w:color w:val="auto"/>
              </w:rPr>
              <w:t>6.08</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5.96</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6.03</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5.92</w:t>
            </w:r>
          </w:p>
        </w:tc>
        <w:tc>
          <w:tcPr>
            <w:tcW w:w="160" w:type="dxa"/>
            <w:vAlign w:val="bottom"/>
          </w:tcPr>
          <w:p>
            <w:pPr>
              <w:spacing w:after="0"/>
              <w:rPr>
                <w:sz w:val="19"/>
                <w:szCs w:val="19"/>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Expected volatility of the underlying stock</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87.35 %</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79.01 %</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85.38 %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76.76 %</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Expected dividend rate</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08" w:lineRule="exact"/>
        <w:rPr>
          <w:sz w:val="20"/>
          <w:szCs w:val="20"/>
          <w:color w:val="auto"/>
        </w:rPr>
      </w:pPr>
    </w:p>
    <w:p>
      <w:pPr>
        <w:jc w:val="both"/>
        <w:ind w:right="60" w:firstLine="509"/>
        <w:spacing w:after="0" w:line="260" w:lineRule="auto"/>
        <w:rPr>
          <w:sz w:val="20"/>
          <w:szCs w:val="20"/>
          <w:color w:val="auto"/>
        </w:rPr>
      </w:pPr>
      <w:r>
        <w:rPr>
          <w:rFonts w:ascii="Arial" w:cs="Arial" w:eastAsia="Arial" w:hAnsi="Arial"/>
          <w:sz w:val="18"/>
          <w:szCs w:val="18"/>
          <w:color w:val="auto"/>
        </w:rPr>
        <w:t>The Company has granted restricted stock units with service-based vesting conditions. Unvested shares of restricted common stock may not be sold or transferred by the holder.</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restricted stock units activity during the nine months ended September 30, 2023 is as follows:</w:t>
      </w:r>
    </w:p>
    <w:tbl>
      <w:tblPr>
        <w:tblLayout w:type="fixed"/>
        <w:tblInd w:w="0" w:type="dxa"/>
        <w:tblCellMar>
          <w:top w:w="0" w:type="dxa"/>
          <w:left w:w="0" w:type="dxa"/>
          <w:bottom w:w="0" w:type="dxa"/>
          <w:right w:w="0" w:type="dxa"/>
        </w:tblCellMar>
      </w:tblPr>
      <w:tr>
        <w:trPr>
          <w:trHeight w:val="202"/>
        </w:trPr>
        <w:tc>
          <w:tcPr>
            <w:tcW w:w="77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center"/>
              <w:ind w:right="130"/>
              <w:spacing w:after="0" w:line="201" w:lineRule="exact"/>
              <w:rPr>
                <w:sz w:val="20"/>
                <w:szCs w:val="20"/>
                <w:color w:val="auto"/>
              </w:rPr>
            </w:pPr>
            <w:r>
              <w:rPr>
                <w:rFonts w:ascii="Arial" w:cs="Arial" w:eastAsia="Arial" w:hAnsi="Arial"/>
                <w:sz w:val="18"/>
                <w:szCs w:val="18"/>
                <w:b w:val="1"/>
                <w:bCs w:val="1"/>
                <w:color w:val="auto"/>
                <w:w w:val="98"/>
              </w:rPr>
              <w:t>Weighted-</w:t>
            </w:r>
          </w:p>
        </w:tc>
        <w:tc>
          <w:tcPr>
            <w:tcW w:w="100" w:type="dxa"/>
            <w:vAlign w:val="bottom"/>
          </w:tcPr>
          <w:p>
            <w:pPr>
              <w:spacing w:after="0"/>
              <w:rPr>
                <w:sz w:val="17"/>
                <w:szCs w:val="17"/>
                <w:color w:val="auto"/>
              </w:rPr>
            </w:pPr>
          </w:p>
        </w:tc>
      </w:tr>
      <w:tr>
        <w:trPr>
          <w:trHeight w:val="203"/>
        </w:trPr>
        <w:tc>
          <w:tcPr>
            <w:tcW w:w="77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8"/>
              </w:rPr>
              <w:t>Average</w:t>
            </w:r>
          </w:p>
        </w:tc>
        <w:tc>
          <w:tcPr>
            <w:tcW w:w="100" w:type="dxa"/>
            <w:vAlign w:val="bottom"/>
          </w:tcPr>
          <w:p>
            <w:pPr>
              <w:spacing w:after="0"/>
              <w:rPr>
                <w:sz w:val="17"/>
                <w:szCs w:val="17"/>
                <w:color w:val="auto"/>
              </w:rPr>
            </w:pPr>
          </w:p>
        </w:tc>
      </w:tr>
      <w:tr>
        <w:trPr>
          <w:trHeight w:val="203"/>
        </w:trPr>
        <w:tc>
          <w:tcPr>
            <w:tcW w:w="7720" w:type="dxa"/>
            <w:vAlign w:val="bottom"/>
          </w:tcPr>
          <w:p>
            <w:pPr>
              <w:spacing w:after="0"/>
              <w:rPr>
                <w:sz w:val="17"/>
                <w:szCs w:val="17"/>
                <w:color w:val="auto"/>
              </w:rPr>
            </w:pPr>
          </w:p>
        </w:tc>
        <w:tc>
          <w:tcPr>
            <w:tcW w:w="188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Restricted Stock</w:t>
            </w:r>
          </w:p>
        </w:tc>
        <w:tc>
          <w:tcPr>
            <w:tcW w:w="15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Grant Date Fair</w:t>
            </w:r>
          </w:p>
        </w:tc>
        <w:tc>
          <w:tcPr>
            <w:tcW w:w="100" w:type="dxa"/>
            <w:vAlign w:val="bottom"/>
          </w:tcPr>
          <w:p>
            <w:pPr>
              <w:spacing w:after="0"/>
              <w:rPr>
                <w:sz w:val="17"/>
                <w:szCs w:val="17"/>
                <w:color w:val="auto"/>
              </w:rPr>
            </w:pPr>
          </w:p>
        </w:tc>
      </w:tr>
      <w:tr>
        <w:trPr>
          <w:trHeight w:val="239"/>
        </w:trPr>
        <w:tc>
          <w:tcPr>
            <w:tcW w:w="7720" w:type="dxa"/>
            <w:vAlign w:val="bottom"/>
          </w:tcPr>
          <w:p>
            <w:pPr>
              <w:spacing w:after="0"/>
              <w:rPr>
                <w:sz w:val="20"/>
                <w:szCs w:val="20"/>
                <w:color w:val="auto"/>
              </w:rPr>
            </w:pPr>
          </w:p>
        </w:tc>
        <w:tc>
          <w:tcPr>
            <w:tcW w:w="188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Units</w:t>
            </w:r>
          </w:p>
        </w:tc>
        <w:tc>
          <w:tcPr>
            <w:tcW w:w="220" w:type="dxa"/>
            <w:vAlign w:val="bottom"/>
          </w:tcPr>
          <w:p>
            <w:pPr>
              <w:spacing w:after="0"/>
              <w:rPr>
                <w:sz w:val="20"/>
                <w:szCs w:val="20"/>
                <w:color w:val="auto"/>
              </w:rPr>
            </w:pPr>
          </w:p>
        </w:tc>
        <w:tc>
          <w:tcPr>
            <w:tcW w:w="132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Value</w:t>
            </w:r>
          </w:p>
        </w:tc>
        <w:tc>
          <w:tcPr>
            <w:tcW w:w="100" w:type="dxa"/>
            <w:vAlign w:val="bottom"/>
          </w:tcPr>
          <w:p>
            <w:pPr>
              <w:spacing w:after="0"/>
              <w:rPr>
                <w:sz w:val="20"/>
                <w:szCs w:val="20"/>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at December 31, 2022</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153,950</w:t>
            </w:r>
          </w:p>
        </w:tc>
        <w:tc>
          <w:tcPr>
            <w:tcW w:w="26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spacing w:after="0"/>
              <w:rPr>
                <w:sz w:val="20"/>
                <w:szCs w:val="20"/>
                <w:color w:val="auto"/>
              </w:rPr>
            </w:pPr>
            <w:r>
              <w:rPr>
                <w:rFonts w:ascii="Arial" w:cs="Arial" w:eastAsia="Arial" w:hAnsi="Arial"/>
                <w:sz w:val="18"/>
                <w:szCs w:val="18"/>
                <w:color w:val="auto"/>
              </w:rPr>
              <w:t>812,570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Vested/Released</w:t>
            </w:r>
          </w:p>
        </w:tc>
        <w:tc>
          <w:tcPr>
            <w:tcW w:w="1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(114,471 )</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19"/>
                <w:szCs w:val="19"/>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at September 30, 2023</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852,049</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0" w:lineRule="exact"/>
        <w:rPr>
          <w:sz w:val="20"/>
          <w:szCs w:val="20"/>
          <w:color w:val="auto"/>
        </w:rPr>
      </w:pPr>
    </w:p>
    <w:p>
      <w:pPr>
        <w:ind w:right="400" w:firstLine="509"/>
        <w:spacing w:after="0" w:line="260" w:lineRule="auto"/>
        <w:rPr>
          <w:sz w:val="20"/>
          <w:szCs w:val="20"/>
          <w:color w:val="auto"/>
        </w:rPr>
      </w:pPr>
      <w:r>
        <w:rPr>
          <w:rFonts w:ascii="Arial" w:cs="Arial" w:eastAsia="Arial" w:hAnsi="Arial"/>
          <w:sz w:val="18"/>
          <w:szCs w:val="18"/>
          <w:color w:val="auto"/>
        </w:rPr>
        <w:t>As a result of the 2021 Equity Incentive Plan, the Company granted restricted stock units which vest in increments of 25% annually over a period of four years. No restricted stock units vested during the nine months ended September 30, 2023.</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recorded stock-based compensation expense as follows (in thousands):</w:t>
      </w:r>
    </w:p>
    <w:tbl>
      <w:tblPr>
        <w:tblLayout w:type="fixed"/>
        <w:tblInd w:w="0" w:type="dxa"/>
        <w:tblCellMar>
          <w:top w:w="0" w:type="dxa"/>
          <w:left w:w="0" w:type="dxa"/>
          <w:bottom w:w="0" w:type="dxa"/>
          <w:right w:w="0" w:type="dxa"/>
        </w:tblCellMar>
      </w:tblPr>
      <w:tr>
        <w:trPr>
          <w:trHeight w:val="202"/>
        </w:trPr>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4"/>
          </w:tcPr>
          <w:p>
            <w:pPr>
              <w:ind w:left="180"/>
              <w:spacing w:after="0" w:line="201" w:lineRule="exact"/>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gridSpan w:val="4"/>
          </w:tcPr>
          <w:p>
            <w:pPr>
              <w:ind w:left="60"/>
              <w:spacing w:after="0" w:line="201" w:lineRule="exact"/>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7"/>
                <w:szCs w:val="17"/>
                <w:color w:val="auto"/>
              </w:rPr>
            </w:pPr>
          </w:p>
        </w:tc>
      </w:tr>
      <w:tr>
        <w:trPr>
          <w:trHeight w:val="230"/>
        </w:trPr>
        <w:tc>
          <w:tcPr>
            <w:tcW w:w="6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4"/>
          </w:tcPr>
          <w:p>
            <w:pPr>
              <w:ind w:left="46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4"/>
          </w:tcPr>
          <w:p>
            <w:pPr>
              <w:ind w:left="28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9"/>
                <w:szCs w:val="19"/>
                <w:color w:val="auto"/>
              </w:rPr>
            </w:pPr>
          </w:p>
        </w:tc>
      </w:tr>
      <w:tr>
        <w:trPr>
          <w:trHeight w:val="239"/>
        </w:trPr>
        <w:tc>
          <w:tcPr>
            <w:tcW w:w="6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23"/>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7"/>
              </w:rPr>
              <w:t>1,090</w:t>
            </w:r>
          </w:p>
        </w:tc>
        <w:tc>
          <w:tcPr>
            <w:tcW w:w="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CFF0FC"/>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2,565</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w:t>
            </w:r>
          </w:p>
        </w:tc>
        <w:tc>
          <w:tcPr>
            <w:tcW w:w="100" w:type="dxa"/>
            <w:vAlign w:val="bottom"/>
            <w:shd w:val="clear" w:color="auto" w:fill="CFF0FC"/>
          </w:tcPr>
          <w:p>
            <w:pPr>
              <w:spacing w:after="0"/>
              <w:rPr>
                <w:sz w:val="19"/>
                <w:szCs w:val="19"/>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97"/>
              </w:rPr>
              <w:t>1,235</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3,604</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w:t>
            </w:r>
          </w:p>
        </w:tc>
        <w:tc>
          <w:tcPr>
            <w:tcW w:w="100" w:type="dxa"/>
            <w:vAlign w:val="bottom"/>
          </w:tcPr>
          <w:p>
            <w:pPr>
              <w:spacing w:after="0"/>
              <w:rPr>
                <w:sz w:val="19"/>
                <w:szCs w:val="19"/>
                <w:color w:val="auto"/>
              </w:rPr>
            </w:pPr>
          </w:p>
        </w:tc>
      </w:tr>
      <w:tr>
        <w:trPr>
          <w:trHeight w:val="263"/>
        </w:trPr>
        <w:tc>
          <w:tcPr>
            <w:tcW w:w="6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w w:val="97"/>
              </w:rPr>
              <w:t>2,325</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1,712</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CECFF"/>
            </w:tcBorders>
            <w:shd w:val="clear" w:color="auto" w:fill="CCECFF"/>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ind w:left="280"/>
              <w:spacing w:after="0"/>
              <w:rPr>
                <w:sz w:val="20"/>
                <w:szCs w:val="20"/>
                <w:color w:val="auto"/>
              </w:rPr>
            </w:pPr>
            <w:r>
              <w:rPr>
                <w:rFonts w:ascii="Arial" w:cs="Arial" w:eastAsia="Arial" w:hAnsi="Arial"/>
                <w:sz w:val="18"/>
                <w:szCs w:val="18"/>
                <w:color w:val="auto"/>
              </w:rPr>
              <w:t>6,169</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-24765</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0" w:lineRule="exact"/>
        <w:rPr>
          <w:sz w:val="20"/>
          <w:szCs w:val="20"/>
          <w:color w:val="auto"/>
        </w:rPr>
      </w:pPr>
    </w:p>
    <w:p>
      <w:pPr>
        <w:jc w:val="both"/>
        <w:ind w:right="60"/>
        <w:spacing w:after="0" w:line="260" w:lineRule="auto"/>
        <w:rPr>
          <w:sz w:val="20"/>
          <w:szCs w:val="20"/>
          <w:color w:val="auto"/>
        </w:rPr>
      </w:pPr>
      <w:r>
        <w:rPr>
          <w:rFonts w:ascii="Arial" w:cs="Arial" w:eastAsia="Arial" w:hAnsi="Arial"/>
          <w:sz w:val="18"/>
          <w:szCs w:val="18"/>
          <w:color w:val="auto"/>
        </w:rPr>
        <w:t>As of September 30, 2023, there was $14.3 million of unrecognized compensation expense related to stock options, which is expected to be recognized over a weighted-average period of 2.44 years.</w:t>
      </w:r>
    </w:p>
    <w:p>
      <w:pPr>
        <w:spacing w:after="0" w:line="159" w:lineRule="exact"/>
        <w:rPr>
          <w:sz w:val="20"/>
          <w:szCs w:val="20"/>
          <w:color w:val="auto"/>
        </w:rPr>
      </w:pPr>
    </w:p>
    <w:p>
      <w:pPr>
        <w:jc w:val="both"/>
        <w:ind w:right="60"/>
        <w:spacing w:after="0" w:line="260" w:lineRule="auto"/>
        <w:rPr>
          <w:sz w:val="20"/>
          <w:szCs w:val="20"/>
          <w:color w:val="auto"/>
        </w:rPr>
      </w:pPr>
      <w:r>
        <w:rPr>
          <w:rFonts w:ascii="Arial" w:cs="Arial" w:eastAsia="Arial" w:hAnsi="Arial"/>
          <w:sz w:val="18"/>
          <w:szCs w:val="18"/>
          <w:color w:val="auto"/>
        </w:rPr>
        <w:t>As of September 30, 2023, there was $7.8 million of unrecognized compensation expense related to restricted stock units, which is expected to be recognized over a weighted-average period of 3.04 years.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 Warrants</w:t>
      </w:r>
    </w:p>
    <w:p>
      <w:pPr>
        <w:spacing w:after="0" w:line="73" w:lineRule="exact"/>
        <w:rPr>
          <w:sz w:val="20"/>
          <w:szCs w:val="20"/>
          <w:color w:val="auto"/>
        </w:rPr>
      </w:pPr>
    </w:p>
    <w:p>
      <w:pPr>
        <w:jc w:val="both"/>
        <w:ind w:right="60" w:firstLine="509"/>
        <w:spacing w:after="0" w:line="239" w:lineRule="auto"/>
        <w:rPr>
          <w:sz w:val="20"/>
          <w:szCs w:val="20"/>
          <w:color w:val="auto"/>
        </w:rPr>
      </w:pPr>
      <w:r>
        <w:rPr>
          <w:rFonts w:ascii="Arial" w:cs="Arial" w:eastAsia="Arial" w:hAnsi="Arial"/>
          <w:sz w:val="18"/>
          <w:szCs w:val="18"/>
          <w:color w:val="auto"/>
        </w:rPr>
        <w:t>In February 2015 and May 2015, the Company issued warrants to purchase 1,650,098 and 887,536 shares of Series B convertible preferred stock, respectively, at an exercise price of $1.24235 per share (the “Series B Warrants”). Each Series B Warrant was immediately exercisable and expires ten years from the original date of issuance. Pursuant to FASB ASC Topic 480, Distinguishing Liabilities from Equity, the Series B Warrants were classified as a liability and were re-measured to fair value at each balance sheet date. A total of 173,827 of the Series B Warrants were outstanding and were converted into warrants to purchase 12,686 shares of common stock with an exercise price of $17.03 upon the completion of the IPO in November 2021. As a result, the 12,686 common stock warrants were converted into equity instruments and remain outstanding as of September 30, 2023.</w:t>
      </w:r>
    </w:p>
    <w:p>
      <w:pPr>
        <w:spacing w:after="0" w:line="1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59"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11. Compensation</w:t>
      </w:r>
    </w:p>
    <w:p>
      <w:pPr>
        <w:spacing w:after="0" w:line="73" w:lineRule="exact"/>
        <w:rPr>
          <w:sz w:val="20"/>
          <w:szCs w:val="20"/>
          <w:color w:val="auto"/>
        </w:rPr>
      </w:pPr>
    </w:p>
    <w:p>
      <w:pPr>
        <w:jc w:val="both"/>
        <w:ind w:right="60" w:firstLine="509"/>
        <w:spacing w:after="0" w:line="239" w:lineRule="auto"/>
        <w:rPr>
          <w:sz w:val="20"/>
          <w:szCs w:val="20"/>
          <w:color w:val="auto"/>
        </w:rPr>
      </w:pPr>
      <w:r>
        <w:rPr>
          <w:rFonts w:ascii="Arial" w:cs="Arial" w:eastAsia="Arial" w:hAnsi="Arial"/>
          <w:sz w:val="18"/>
          <w:szCs w:val="18"/>
          <w:color w:val="auto"/>
        </w:rPr>
        <w:t>In January 2012, the Company adopted the Aura Biosciences 401(k) Profit Sharing Plan and Trust (the “401(k) Plan”) for its employees, which is designed to be qualified under Section 401(k) of the Internal Revenue Code. Eligible employees are permitted to contribute to the 401(k) Plan within statutory and 401(k) Plan limits. The Company makes matching contributions of 100% of the first 6% of employee contributions. The Company made matching contributions in the amount of $0.2 million and $0.1 million for the three months ended September 30, 2023 and 2022, respectively. The Company made matching contributions in the amount of $0.6 million and $0.4 million for the nine months ended September 30, 2023 and 2022,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73" w:lineRule="exact"/>
        <w:rPr>
          <w:sz w:val="20"/>
          <w:szCs w:val="20"/>
          <w:color w:val="auto"/>
        </w:rPr>
      </w:pPr>
    </w:p>
    <w:p>
      <w:pPr>
        <w:jc w:val="both"/>
        <w:ind w:right="80" w:firstLine="509"/>
        <w:spacing w:after="0" w:line="247" w:lineRule="auto"/>
        <w:rPr>
          <w:sz w:val="20"/>
          <w:szCs w:val="20"/>
          <w:color w:val="auto"/>
        </w:rPr>
      </w:pPr>
      <w:r>
        <w:rPr>
          <w:rFonts w:ascii="Arial" w:cs="Arial" w:eastAsia="Arial" w:hAnsi="Arial"/>
          <w:sz w:val="18"/>
          <w:szCs w:val="18"/>
          <w:color w:val="auto"/>
        </w:rPr>
        <w:t>The Company has historically entered into lease arrangements for its facilities. The Company has one operating lease for its office and laboratory facility with required future minimum payments as of September 30, 2023 and one operating lease that was terminated in August 2022.</w:t>
      </w:r>
    </w:p>
    <w:p>
      <w:pPr>
        <w:spacing w:after="0" w:line="184" w:lineRule="exact"/>
        <w:rPr>
          <w:sz w:val="20"/>
          <w:szCs w:val="20"/>
          <w:color w:val="auto"/>
        </w:rPr>
      </w:pPr>
    </w:p>
    <w:p>
      <w:pPr>
        <w:jc w:val="both"/>
        <w:ind w:right="60" w:firstLine="509"/>
        <w:spacing w:after="0" w:line="239" w:lineRule="auto"/>
        <w:rPr>
          <w:sz w:val="20"/>
          <w:szCs w:val="20"/>
          <w:color w:val="auto"/>
        </w:rPr>
      </w:pPr>
      <w:r>
        <w:rPr>
          <w:rFonts w:ascii="Arial" w:cs="Arial" w:eastAsia="Arial" w:hAnsi="Arial"/>
          <w:sz w:val="18"/>
          <w:szCs w:val="18"/>
          <w:color w:val="auto"/>
        </w:rPr>
        <w:t>On May 16, 2022, the Company entered into an office and laboratory lease in Boston, MA with an initial 10-year term and one renewal option to extend the lease for an additional seven years. The lease commenced on August 1, 2022, and estimated payments due under the initial term total $35.2 million. The lease requires a letter of credit totaling $0.8 million which is classified as long-term restricted cash and deposits on the consolidated balance sheet. The landlord will reimburse the Company up to $0.5 million for certain costs related to expansion of the laboratory space. As of September 30, 2023, the Company has incurred $0.1 million of expenses related to the expansion, and has been reimbursed for $0.1 million of these expenses.</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contains a summary of the lease costs recognized under ASC 842 and other information pertaining to the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Company’s leases for the three and nine months ended September 30, 2023 and 2022 (in thousands):</w:t>
      </w:r>
    </w:p>
    <w:tbl>
      <w:tblPr>
        <w:tblLayout w:type="fixed"/>
        <w:tblInd w:w="0" w:type="dxa"/>
        <w:tblCellMar>
          <w:top w:w="0" w:type="dxa"/>
          <w:left w:w="0" w:type="dxa"/>
          <w:bottom w:w="0" w:type="dxa"/>
          <w:right w:w="0" w:type="dxa"/>
        </w:tblCellMar>
      </w:tblPr>
      <w:tr>
        <w:trPr>
          <w:trHeight w:val="190"/>
        </w:trPr>
        <w:tc>
          <w:tcPr>
            <w:tcW w:w="5260" w:type="dxa"/>
            <w:vAlign w:val="bottom"/>
          </w:tcPr>
          <w:p>
            <w:pPr>
              <w:spacing w:after="0"/>
              <w:rPr>
                <w:sz w:val="16"/>
                <w:szCs w:val="16"/>
                <w:color w:val="auto"/>
              </w:rPr>
            </w:pPr>
          </w:p>
        </w:tc>
        <w:tc>
          <w:tcPr>
            <w:tcW w:w="2680" w:type="dxa"/>
            <w:vAlign w:val="bottom"/>
            <w:gridSpan w:val="4"/>
          </w:tcPr>
          <w:p>
            <w:pPr>
              <w:jc w:val="center"/>
              <w:ind w:left="410"/>
              <w:spacing w:after="0" w:line="189" w:lineRule="exact"/>
              <w:rPr>
                <w:sz w:val="20"/>
                <w:szCs w:val="20"/>
                <w:color w:val="auto"/>
              </w:rPr>
            </w:pPr>
            <w:r>
              <w:rPr>
                <w:rFonts w:ascii="Arial" w:cs="Arial" w:eastAsia="Arial" w:hAnsi="Arial"/>
                <w:sz w:val="18"/>
                <w:szCs w:val="18"/>
                <w:b w:val="1"/>
                <w:bCs w:val="1"/>
                <w:color w:val="auto"/>
                <w:w w:val="99"/>
              </w:rPr>
              <w:t>Three Months Ended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6"/>
          </w:tcPr>
          <w:p>
            <w:pPr>
              <w:jc w:val="right"/>
              <w:ind w:right="520"/>
              <w:spacing w:after="0" w:line="189" w:lineRule="exact"/>
              <w:rPr>
                <w:sz w:val="20"/>
                <w:szCs w:val="20"/>
                <w:color w:val="auto"/>
              </w:rPr>
            </w:pPr>
            <w:r>
              <w:rPr>
                <w:rFonts w:ascii="Arial" w:cs="Arial" w:eastAsia="Arial" w:hAnsi="Arial"/>
                <w:sz w:val="18"/>
                <w:szCs w:val="18"/>
                <w:b w:val="1"/>
                <w:bCs w:val="1"/>
                <w:color w:val="auto"/>
              </w:rPr>
              <w:t>Nine Months Ended</w:t>
            </w:r>
          </w:p>
        </w:tc>
      </w:tr>
      <w:tr>
        <w:trPr>
          <w:trHeight w:val="230"/>
        </w:trPr>
        <w:tc>
          <w:tcPr>
            <w:tcW w:w="5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74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9"/>
              </w:rPr>
              <w:t>September 30,</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September 30,</w:t>
            </w:r>
          </w:p>
        </w:tc>
      </w:tr>
      <w:tr>
        <w:trPr>
          <w:trHeight w:val="239"/>
        </w:trPr>
        <w:tc>
          <w:tcPr>
            <w:tcW w:w="5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Lease Cost</w:t>
            </w:r>
          </w:p>
        </w:tc>
        <w:tc>
          <w:tcPr>
            <w:tcW w:w="94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Operating lease costs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880</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Variable lease costs</w:t>
            </w:r>
          </w:p>
        </w:tc>
        <w:tc>
          <w:tcPr>
            <w:tcW w:w="9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Short-term lease costs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3"/>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costs</w:t>
            </w:r>
          </w:p>
        </w:tc>
        <w:tc>
          <w:tcPr>
            <w:tcW w:w="94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w:t>
            </w:r>
          </w:p>
        </w:tc>
        <w:tc>
          <w:tcPr>
            <w:tcW w:w="1240" w:type="dxa"/>
            <w:vAlign w:val="bottom"/>
            <w:gridSpan w:val="2"/>
            <w:shd w:val="clear" w:color="auto" w:fill="CFF0FC"/>
          </w:tcPr>
          <w:p>
            <w:pPr>
              <w:jc w:val="right"/>
              <w:ind w:right="8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w:t>
            </w:r>
          </w:p>
        </w:tc>
        <w:tc>
          <w:tcPr>
            <w:tcW w:w="120" w:type="dxa"/>
            <w:vAlign w:val="bottom"/>
            <w:shd w:val="clear" w:color="auto" w:fill="CFF0FC"/>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3,311</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1,910</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385"/>
        </w:trPr>
        <w:tc>
          <w:tcPr>
            <w:tcW w:w="5260" w:type="dxa"/>
            <w:vAlign w:val="bottom"/>
            <w:tcBorders>
              <w:top w:val="single" w:sz="8" w:color="CFF0F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526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Cash paid for amounts included in the measurement of</w:t>
            </w:r>
          </w:p>
        </w:tc>
        <w:tc>
          <w:tcPr>
            <w:tcW w:w="9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29"/>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 liabilities—operating leases</w:t>
            </w:r>
          </w:p>
        </w:tc>
        <w:tc>
          <w:tcPr>
            <w:tcW w:w="9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2,209</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5260" w:type="dxa"/>
            <w:vAlign w:val="bottom"/>
          </w:tcPr>
          <w:p>
            <w:pPr>
              <w:ind w:left="20"/>
              <w:spacing w:after="0" w:line="203" w:lineRule="exact"/>
              <w:rPr>
                <w:sz w:val="20"/>
                <w:szCs w:val="20"/>
                <w:color w:val="auto"/>
              </w:rPr>
            </w:pPr>
            <w:r>
              <w:rPr>
                <w:rFonts w:ascii="Arial" w:cs="Arial" w:eastAsia="Arial" w:hAnsi="Arial"/>
                <w:sz w:val="18"/>
                <w:szCs w:val="18"/>
                <w:color w:val="auto"/>
              </w:rPr>
              <w:t>Weighted-average remaining lease term—operating leases</w:t>
            </w: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(years)</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8.84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Weighted-average discount rate—operating leases</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10.71 %</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10.71 %</w:t>
            </w:r>
          </w:p>
        </w:tc>
      </w:tr>
      <w:tr>
        <w:trPr>
          <w:trHeight w:val="648"/>
        </w:trPr>
        <w:tc>
          <w:tcPr>
            <w:tcW w:w="5260" w:type="dxa"/>
            <w:vAlign w:val="bottom"/>
          </w:tcPr>
          <w:p>
            <w:pPr>
              <w:spacing w:after="0"/>
              <w:rPr>
                <w:sz w:val="24"/>
                <w:szCs w:val="24"/>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2"/>
        </w:trPr>
        <w:tc>
          <w:tcPr>
            <w:tcW w:w="52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-1464945</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-1448435</wp:posOffset>
            </wp:positionV>
            <wp:extent cx="774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-1464945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-1448435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-1464945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-1448435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-1448435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549" w:right="279" w:bottom="1440" w:gutter="0" w:footer="0" w:header="0"/>
        </w:sectPr>
      </w:pPr>
    </w:p>
    <w:bookmarkStart w:id="16" w:name="page17"/>
    <w:bookmarkEnd w:id="16"/>
    <w:p>
      <w:pPr>
        <w:jc w:val="both"/>
        <w:ind w:right="20" w:firstLine="509"/>
        <w:spacing w:after="0" w:line="249" w:lineRule="auto"/>
        <w:rPr>
          <w:sz w:val="20"/>
          <w:szCs w:val="20"/>
          <w:color w:val="auto"/>
        </w:rPr>
      </w:pPr>
      <w:r>
        <w:rPr>
          <w:rFonts w:ascii="Arial" w:cs="Arial" w:eastAsia="Arial" w:hAnsi="Arial"/>
          <w:sz w:val="18"/>
          <w:szCs w:val="18"/>
          <w:color w:val="auto"/>
        </w:rPr>
        <w:t>The following table reconciles the future minimum commitments to the Company’s operating lease liabilities at September 30, 2023 (in thousands):</w:t>
      </w:r>
    </w:p>
    <w:tbl>
      <w:tblPr>
        <w:tblLayout w:type="fixed"/>
        <w:tblInd w:w="0" w:type="dxa"/>
        <w:tblCellMar>
          <w:top w:w="0" w:type="dxa"/>
          <w:left w:w="0" w:type="dxa"/>
          <w:bottom w:w="0" w:type="dxa"/>
          <w:right w:w="0" w:type="dxa"/>
        </w:tblCellMar>
      </w:tblPr>
      <w:tr>
        <w:trPr>
          <w:trHeight w:val="182"/>
        </w:trPr>
        <w:tc>
          <w:tcPr>
            <w:tcW w:w="9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2"/>
          </w:tcPr>
          <w:p>
            <w:pPr>
              <w:jc w:val="center"/>
              <w:ind w:right="260"/>
              <w:spacing w:after="0" w:line="182" w:lineRule="exact"/>
              <w:rPr>
                <w:sz w:val="20"/>
                <w:szCs w:val="20"/>
                <w:color w:val="auto"/>
              </w:rPr>
            </w:pPr>
            <w:r>
              <w:rPr>
                <w:rFonts w:ascii="Arial" w:cs="Arial" w:eastAsia="Arial" w:hAnsi="Arial"/>
                <w:sz w:val="18"/>
                <w:szCs w:val="18"/>
                <w:b w:val="1"/>
                <w:bCs w:val="1"/>
                <w:color w:val="auto"/>
              </w:rPr>
              <w:t>Operating lease</w:t>
            </w:r>
          </w:p>
        </w:tc>
      </w:tr>
      <w:tr>
        <w:trPr>
          <w:trHeight w:val="203"/>
        </w:trPr>
        <w:tc>
          <w:tcPr>
            <w:tcW w:w="9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rPr>
              <w:t>payments as of</w:t>
            </w:r>
          </w:p>
        </w:tc>
      </w:tr>
      <w:tr>
        <w:trPr>
          <w:trHeight w:val="239"/>
        </w:trPr>
        <w:tc>
          <w:tcPr>
            <w:tcW w:w="9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September 30, 2023</w:t>
            </w:r>
          </w:p>
        </w:tc>
      </w:tr>
      <w:tr>
        <w:trPr>
          <w:trHeight w:val="223"/>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FF0FC"/>
          </w:tcPr>
          <w:p>
            <w:pPr>
              <w:spacing w:after="0"/>
              <w:rPr>
                <w:sz w:val="19"/>
                <w:szCs w:val="19"/>
                <w:color w:val="auto"/>
              </w:rPr>
            </w:pPr>
          </w:p>
        </w:tc>
      </w:tr>
      <w:tr>
        <w:trPr>
          <w:trHeight w:val="230"/>
        </w:trPr>
        <w:tc>
          <w:tcPr>
            <w:tcW w:w="922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3,210</w:t>
            </w:r>
          </w:p>
        </w:tc>
        <w:tc>
          <w:tcPr>
            <w:tcW w:w="100" w:type="dxa"/>
            <w:vAlign w:val="bottom"/>
          </w:tcPr>
          <w:p>
            <w:pPr>
              <w:spacing w:after="0"/>
              <w:rPr>
                <w:sz w:val="19"/>
                <w:szCs w:val="19"/>
                <w:color w:val="auto"/>
              </w:rPr>
            </w:pPr>
          </w:p>
        </w:tc>
      </w:tr>
      <w:tr>
        <w:trPr>
          <w:trHeight w:val="22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3,306</w:t>
            </w:r>
          </w:p>
        </w:tc>
        <w:tc>
          <w:tcPr>
            <w:tcW w:w="100" w:type="dxa"/>
            <w:vAlign w:val="bottom"/>
            <w:shd w:val="clear" w:color="auto" w:fill="CFF0FC"/>
          </w:tcPr>
          <w:p>
            <w:pPr>
              <w:spacing w:after="0"/>
              <w:rPr>
                <w:sz w:val="19"/>
                <w:szCs w:val="19"/>
                <w:color w:val="auto"/>
              </w:rPr>
            </w:pPr>
          </w:p>
        </w:tc>
      </w:tr>
      <w:tr>
        <w:trPr>
          <w:trHeight w:val="229"/>
        </w:trPr>
        <w:tc>
          <w:tcPr>
            <w:tcW w:w="9220" w:type="dxa"/>
            <w:vAlign w:val="bottom"/>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3,405</w:t>
            </w:r>
          </w:p>
        </w:tc>
        <w:tc>
          <w:tcPr>
            <w:tcW w:w="100" w:type="dxa"/>
            <w:vAlign w:val="bottom"/>
          </w:tcPr>
          <w:p>
            <w:pPr>
              <w:spacing w:after="0"/>
              <w:rPr>
                <w:sz w:val="19"/>
                <w:szCs w:val="19"/>
                <w:color w:val="auto"/>
              </w:rPr>
            </w:pPr>
          </w:p>
        </w:tc>
      </w:tr>
      <w:tr>
        <w:trPr>
          <w:trHeight w:val="230"/>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3,507</w:t>
            </w:r>
          </w:p>
        </w:tc>
        <w:tc>
          <w:tcPr>
            <w:tcW w:w="100" w:type="dxa"/>
            <w:vAlign w:val="bottom"/>
            <w:shd w:val="clear" w:color="auto" w:fill="CFF0FC"/>
          </w:tcPr>
          <w:p>
            <w:pPr>
              <w:spacing w:after="0"/>
              <w:rPr>
                <w:sz w:val="19"/>
                <w:szCs w:val="19"/>
                <w:color w:val="auto"/>
              </w:rPr>
            </w:pPr>
          </w:p>
        </w:tc>
      </w:tr>
      <w:tr>
        <w:trPr>
          <w:trHeight w:val="229"/>
        </w:trPr>
        <w:tc>
          <w:tcPr>
            <w:tcW w:w="92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17,434</w:t>
            </w:r>
          </w:p>
        </w:tc>
        <w:tc>
          <w:tcPr>
            <w:tcW w:w="100" w:type="dxa"/>
            <w:vAlign w:val="bottom"/>
          </w:tcPr>
          <w:p>
            <w:pPr>
              <w:spacing w:after="0"/>
              <w:rPr>
                <w:sz w:val="19"/>
                <w:szCs w:val="19"/>
                <w:color w:val="auto"/>
              </w:rPr>
            </w:pPr>
          </w:p>
        </w:tc>
      </w:tr>
      <w:tr>
        <w:trPr>
          <w:trHeight w:val="223"/>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12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31,655</w:t>
            </w:r>
          </w:p>
        </w:tc>
        <w:tc>
          <w:tcPr>
            <w:tcW w:w="100" w:type="dxa"/>
            <w:vAlign w:val="bottom"/>
            <w:shd w:val="clear" w:color="auto" w:fill="CFF0FC"/>
          </w:tcPr>
          <w:p>
            <w:pPr>
              <w:spacing w:after="0"/>
              <w:rPr>
                <w:sz w:val="19"/>
                <w:szCs w:val="19"/>
                <w:color w:val="auto"/>
              </w:rPr>
            </w:pPr>
          </w:p>
        </w:tc>
      </w:tr>
      <w:tr>
        <w:trPr>
          <w:trHeight w:val="229"/>
        </w:trPr>
        <w:tc>
          <w:tcPr>
            <w:tcW w:w="922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120" w:type="dxa"/>
            <w:vAlign w:val="bottom"/>
          </w:tcPr>
          <w:p>
            <w:pPr>
              <w:spacing w:after="0"/>
              <w:rPr>
                <w:sz w:val="19"/>
                <w:szCs w:val="19"/>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(11,466 )</w:t>
            </w:r>
          </w:p>
        </w:tc>
      </w:tr>
      <w:tr>
        <w:trPr>
          <w:trHeight w:val="223"/>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liabilities at September 30, 2023</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20,189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9220" w:type="dxa"/>
            <w:vAlign w:val="bottom"/>
          </w:tcPr>
          <w:p>
            <w:pPr>
              <w:ind w:left="20"/>
              <w:spacing w:after="0"/>
              <w:rPr>
                <w:sz w:val="20"/>
                <w:szCs w:val="20"/>
                <w:color w:val="auto"/>
              </w:rPr>
            </w:pPr>
            <w:r>
              <w:rPr>
                <w:rFonts w:ascii="Arial" w:cs="Arial" w:eastAsia="Arial" w:hAnsi="Arial"/>
                <w:sz w:val="18"/>
                <w:szCs w:val="18"/>
                <w:color w:val="auto"/>
              </w:rPr>
              <w:t>Less: current portion of lease liabilities</w:t>
            </w:r>
          </w:p>
        </w:tc>
        <w:tc>
          <w:tcPr>
            <w:tcW w:w="1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w:t>
            </w:r>
          </w:p>
        </w:tc>
        <w:tc>
          <w:tcPr>
            <w:tcW w:w="100" w:type="dxa"/>
            <w:vAlign w:val="bottom"/>
          </w:tcPr>
          <w:p>
            <w:pPr>
              <w:spacing w:after="0"/>
              <w:rPr>
                <w:sz w:val="19"/>
                <w:szCs w:val="19"/>
                <w:color w:val="auto"/>
              </w:rPr>
            </w:pPr>
          </w:p>
        </w:tc>
      </w:tr>
      <w:tr>
        <w:trPr>
          <w:trHeight w:val="263"/>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Lease liabilities, net of current portion</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17,154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162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entered into the following key agreements that relate to the core technology under development:</w:t>
      </w:r>
    </w:p>
    <w:p>
      <w:pPr>
        <w:spacing w:after="0" w:line="20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LI-COR Exclusive License and Supply Agreement</w:t>
      </w:r>
    </w:p>
    <w:p>
      <w:pPr>
        <w:spacing w:after="0" w:line="8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January 2014, the Company entered into an Exclusive License and Supply Agreement, or the LI-COR Exclusive License agreement with LI-COR, Inc. (LI-COR) for the license of IRDye 700DC and related licensed patents for the treatment and diagnosis of ocular cancers in humans as amended in January 2016, July 2017, April 2018 and April 2019. The LI-COR Exclusive License Agreement required a one-time upfront license issue fee of $0.1 million and aggregate milestone payments of up to $0.2 million upon certain regulatory and development milestones. The Company is also required to pay LI-COR low-single digit royalties on net sales. The term of the LI-COR Exclusive Agreement expires on a country-by-country basis, until the longer of (i) ten years from the first commercial sale of a licensed product in such country and (ii) the last to expire valid claim in such country.</w:t>
      </w:r>
    </w:p>
    <w:p>
      <w:pPr>
        <w:spacing w:after="0" w:line="42"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The Company recognized no expenses related to this agreement and related amendments for the nine months ended September 30, 2023 and 2022, respectively.</w:t>
      </w:r>
    </w:p>
    <w:p>
      <w:pPr>
        <w:spacing w:after="0" w:line="167"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LI-COR Non-Exclusive License and Supply Agreement</w:t>
      </w:r>
    </w:p>
    <w:p>
      <w:pPr>
        <w:spacing w:after="0" w:line="6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December 2014, the Company entered into a Non-Exclusive License Agreement with LI-COR for the supply of IRDye 700DX to the Company for the treatment and diagnosis of non-ocular solid tumor cancers in humans. Under the 2014 Non-Exclusive, the Company paid a license issue fee of $0.03 million on the effective date. The Company must also pay LI-COR a non-refundable, non-creditable fee of $0.03 million per each licensed product upon pre-IND designation, as defined of such licensed product, aggregate milestone payments of up to $0.3 million upon certain regulatory and development milestones; and during the term, the Company must pay LI-COR a low-single digit percentage royalty on net sales. LI-COR receives 10% of all sublicensee income within 30 days of the Company’s receipt from the sublicensee. The 2014 Non-Exclusive Agreement also required the Company to make certain payments upon the achievement of specified development and commercial milestones of up to $0.4 million in aggregate. During the nine months ended September 30, 2023 and 2022, the Company recognized no milestones related to this agreement.</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Life Technologies Corporation</w:t>
      </w:r>
    </w:p>
    <w:p>
      <w:pPr>
        <w:spacing w:after="0" w:line="8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December 2014, the Company entered into a non-exclusive, perpetual license agreement with Life Technologies Corporation, or the Life Technologies, which allows for five licensed products. Under this agreement the Company is required to pay an initial license fee of $0.1 million for each product. An annual development fee of $0.1 million is due within a year from payment of the initial license fee and due annually or earlier of (i) payment of a commercialization fee or (ii) all development work is terminated. The commercialization fee is a one-time, non-refundable, non-creditable fee of $0.3 million due upon receipt of approval of a licensed product. In the event of a change of control, there will be a change of control fee of $0.2 million.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6" w:right="339" w:bottom="1440" w:gutter="0" w:footer="0" w:header="0"/>
        </w:sectPr>
      </w:pPr>
    </w:p>
    <w:bookmarkStart w:id="17" w:name="page18"/>
    <w:bookmarkEnd w:id="17"/>
    <w:p>
      <w:pPr>
        <w:jc w:val="both"/>
        <w:ind w:firstLine="509"/>
        <w:spacing w:after="0" w:line="243" w:lineRule="auto"/>
        <w:rPr>
          <w:sz w:val="20"/>
          <w:szCs w:val="20"/>
          <w:color w:val="auto"/>
        </w:rPr>
      </w:pPr>
      <w:r>
        <w:rPr>
          <w:rFonts w:ascii="Arial" w:cs="Arial" w:eastAsia="Arial" w:hAnsi="Arial"/>
          <w:sz w:val="18"/>
          <w:szCs w:val="18"/>
          <w:color w:val="auto"/>
        </w:rPr>
        <w:t>In January 2022, the Company entered into the First Amendment to the non-exclusive, perpetual license agreement with Life Technologies for use of the license in an additional indication. The cost of this amendment was a one-time fee of $0.05 million. During the nine months ended September 30, 2023 and 2022, the Company recognized $0.1 million and $0.1 million of expenses related to this agreement, respectively.</w:t>
      </w:r>
    </w:p>
    <w:p>
      <w:pPr>
        <w:spacing w:after="0" w:line="18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Effective in September 2022, the Company entered into a new non-exclusive, perpetual license agreement with Life Technologies for licensed products. Under this agreement, the Company is required to pay an initial license fee of $0.4 million for the first licensed product and $0.5 million for each additional licensed product. In addition, the agreement allows the Company the right to sublicense which would lead to a $0.2 million payment for each sublicense per licensed product and a $0.03 million payment for use of the cell line document package. In the event of a change of control, there will be a change of control fee of $0.5 million. During the nine months ended September 30, 2023, and 2022, the Company recognized $0 million and $0.4 million of expenses related to this agreement.</w:t>
      </w:r>
    </w:p>
    <w:p>
      <w:pPr>
        <w:spacing w:after="0" w:line="188"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National Institute of Health (NIH)-Collaboration Research and Development Agreement</w:t>
      </w:r>
    </w:p>
    <w:p>
      <w:pPr>
        <w:spacing w:after="0" w:line="6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July 2011, the Company entered into a Collaboration Research and Development Agreement (CRADA), with Dr. John Schiller at the NIH, for a period of two years with the rights to an exclusive license to all technology generated within the collaboration. Under this agreement, the Company is required to make annual payments of $0.03 million to fund the research activities, the first payment of which was paid within 30 days of the effective date. Subsequent payments are due within 30 days of the anniversary of the effective date. This agreement was first amended in 2012, 2013, 2014, 2015, 2016, 2018 and most recently in September of 2020. During the nine months ended September 30, 2023 and 2022, the Company paid no research collaboration fees related to this agreement.</w:t>
      </w:r>
    </w:p>
    <w:p>
      <w:pPr>
        <w:spacing w:after="0" w:line="19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 seventh amendment was made in October 2020, requiring payment of $0.04 million within 30 days of October 1, 2020, and another $0.03 million within 30 days of the 10th anniversary of the CRADA, which was paid in July 2021. This seventh amendment extended the term of the CRADA to September 30, 2022. The Company recognized no milestones related to this agreement and related amendments for the nine months ended September 30, 2023 and 2022.</w:t>
      </w:r>
    </w:p>
    <w:p>
      <w:pPr>
        <w:spacing w:after="0" w:line="18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An eighth amendment was effective in September 2022, requiring payment of $0.04 million within 30 days of November 1, 2022, and payment of another $0.03 million within 30 days of the 12th anniversary of the CRADA, which will be in August 2023. This eighth amendment extended the term of the CRADA to September 30, 2024. During the nine months ended September 30, 2023 and 2022, the Company recognized $0.1 million and $0.04 million of expenses related to this agreement.</w:t>
      </w:r>
    </w:p>
    <w:p>
      <w:pPr>
        <w:spacing w:after="0" w:line="182"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National Institute of Health (NIH)-Exclusive Patent License Agreement</w:t>
      </w:r>
    </w:p>
    <w:p>
      <w:pPr>
        <w:spacing w:after="0" w:line="8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September 2013, the Company entered into an exclusive patent license agreement, or the NIH Exclusive License Agreement, with the NIH, that required the Company to pay a license issue royalty of $0.1 million and reimburse the NIH for any patent expenses incurred. Under the agreement, the Company is required to make low single-digit percentage royalty payments based on specified levels of annual net sales of licensed products subject to certain specified reductions. The Company is required to make development and regulatory milestone payments of up to $0.7 million in aggregate and sales milestone payments up to $0.6 million in the aggregate. The Company is also required to pay NIH a mid-single to low teen-digit percentage of any sublicensing revenue the Company receives. Additionally, the Company’s payment obligations to the NIH are subject to an annual minimum royalty payment of low five figures. The Company recognized no patent licensing fees for the nine months ended September 30, 2023 and 2022, respectively.</w:t>
      </w:r>
    </w:p>
    <w:p>
      <w:pPr>
        <w:spacing w:after="0" w:line="19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2015, 2018 and 2019, the Company amended its exclusive patent license to include updates on the status of the commercial development and update/expand the list of licensed patents and patent applications. Each of those amendments required a $0.03 million payment that the Company paid.</w:t>
      </w:r>
    </w:p>
    <w:p>
      <w:pPr>
        <w:spacing w:after="0" w:line="178"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Inserm-Transfert License Agreement</w:t>
      </w:r>
    </w:p>
    <w:p>
      <w:pPr>
        <w:spacing w:after="0" w:line="6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November 2009, the Company entered into an exclusive, royalty-bearing patent license agreement with Inserm-Transfert of France. The agreement expires on a country by country basis based on the last to expire any patent encompassed within the scope of the patent rights or 10 years from the date of the first commercial sales by the Company, whichever is later. The IND filing milestone of €0.01 million was accrued in 2016 and paid in 2017 by the Company. The milestones for the successful Phase I, II and III clinical trials are based on receiving a final report and achieving the primary endpoints defined in that trial, and those milestones have not been achieved as of September 30, 2023. Upon the sublicense by the Company of a product for which royalties are payable under the agreement, low- to mid-single-digit royalty payments would be due by the Company. The non-milestone payments in this agreement are subject to an anti-stacking clause. The Company did not incur any expense in the nine months ended September 30, 2023 and 2022.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18" w:name="page19"/>
    <w:bookmarkEnd w:id="18"/>
    <w:p>
      <w:pPr>
        <w:ind w:left="1020"/>
        <w:spacing w:after="0"/>
        <w:rPr>
          <w:sz w:val="20"/>
          <w:szCs w:val="20"/>
          <w:color w:val="auto"/>
        </w:rPr>
      </w:pPr>
      <w:r>
        <w:rPr>
          <w:rFonts w:ascii="Arial" w:cs="Arial" w:eastAsia="Arial" w:hAnsi="Arial"/>
          <w:sz w:val="18"/>
          <w:szCs w:val="18"/>
          <w:i w:val="1"/>
          <w:iCs w:val="1"/>
          <w:color w:val="auto"/>
        </w:rPr>
        <w:t>Clearside</w:t>
      </w:r>
    </w:p>
    <w:p>
      <w:pPr>
        <w:spacing w:after="0" w:line="6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July 2019, the Company entered into an exclusive license agreement with Clearside Biomedical, Inc., or Clearside, for the license of Clearside’s Suprachoroidal Microneedle Technology for use in the treatment of indeterminate lesions and choroidal tumors. Upon execution of the License Agreement, the Company paid Clearside an upfront payment of $0.1 million which was expensed as incurred. Under the Clearside License Agreement, the Company is required to pay milestones up to $21.0 million in the aggregate upon the achievement of specified regulatory and development milestones, and upon the achievement of certain commercial sales milestones. The Company is also required to pay low to mid-single digit royalties on net sales. If the Company sublicenses a product for which royalties are payable, then the Company is required to pay the greater of 20% received or low single digit royalties on net sales.</w:t>
      </w:r>
    </w:p>
    <w:p>
      <w:pPr>
        <w:spacing w:after="0" w:line="191"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The Clearside License agreement expires on a country-by-country basis upon the later of the last to expire patent or ten years from the date of the first commercial sale of a product.</w:t>
      </w:r>
    </w:p>
    <w:p>
      <w:pPr>
        <w:spacing w:after="0" w:line="173" w:lineRule="exact"/>
        <w:rPr>
          <w:sz w:val="20"/>
          <w:szCs w:val="20"/>
          <w:color w:val="auto"/>
        </w:rPr>
      </w:pPr>
    </w:p>
    <w:p>
      <w:pPr>
        <w:jc w:val="both"/>
        <w:ind w:right="20" w:firstLine="509"/>
        <w:spacing w:after="0" w:line="260" w:lineRule="auto"/>
        <w:rPr>
          <w:sz w:val="20"/>
          <w:szCs w:val="20"/>
          <w:color w:val="auto"/>
        </w:rPr>
      </w:pPr>
      <w:r>
        <w:rPr>
          <w:rFonts w:ascii="Arial" w:cs="Arial" w:eastAsia="Arial" w:hAnsi="Arial"/>
          <w:sz w:val="18"/>
          <w:szCs w:val="18"/>
          <w:color w:val="auto"/>
        </w:rPr>
        <w:t>The Company recognized $0.4 million and $0 million in expense related to this agreement and related amendments for the nine months ended September 30, 2023 and 2022.</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87"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Basic net loss per share is calculated by dividing the net loss per common share by the weighted average number of shares of common stock outstanding during the period, without consideration for potentially dilutive securities. Diluted net loss per share is the same as basic net loss per share for the periods presented since the effects of potentially dilutive securities are antidilutive given the net loss of the Company.</w:t>
      </w:r>
    </w:p>
    <w:p>
      <w:pPr>
        <w:spacing w:after="0" w:line="188" w:lineRule="exact"/>
        <w:rPr>
          <w:sz w:val="20"/>
          <w:szCs w:val="20"/>
          <w:color w:val="auto"/>
        </w:rPr>
      </w:pPr>
    </w:p>
    <w:p>
      <w:pPr>
        <w:jc w:val="both"/>
        <w:ind w:right="20" w:firstLine="509"/>
        <w:spacing w:after="0" w:line="249" w:lineRule="auto"/>
        <w:rPr>
          <w:sz w:val="20"/>
          <w:szCs w:val="20"/>
          <w:color w:val="auto"/>
        </w:rPr>
      </w:pPr>
      <w:r>
        <w:rPr>
          <w:rFonts w:ascii="Arial" w:cs="Arial" w:eastAsia="Arial" w:hAnsi="Arial"/>
          <w:sz w:val="18"/>
          <w:szCs w:val="18"/>
          <w:color w:val="auto"/>
        </w:rPr>
        <w:t>The Company has calculated basic and diluted net loss per share for the three and nine months ended September 30, 2023 and 2022 as follows (in thousands, except share and per share data):</w:t>
      </w:r>
    </w:p>
    <w:tbl>
      <w:tblPr>
        <w:tblLayout w:type="fixed"/>
        <w:tblInd w:w="0" w:type="dxa"/>
        <w:tblCellMar>
          <w:top w:w="0" w:type="dxa"/>
          <w:left w:w="0" w:type="dxa"/>
          <w:bottom w:w="0" w:type="dxa"/>
          <w:right w:w="0" w:type="dxa"/>
        </w:tblCellMar>
      </w:tblPr>
      <w:tr>
        <w:trPr>
          <w:trHeight w:val="182"/>
        </w:trPr>
        <w:tc>
          <w:tcPr>
            <w:tcW w:w="5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80" w:type="dxa"/>
            <w:vAlign w:val="bottom"/>
            <w:gridSpan w:val="6"/>
          </w:tcPr>
          <w:p>
            <w:pPr>
              <w:jc w:val="center"/>
              <w:ind w:right="460"/>
              <w:spacing w:after="0" w:line="182" w:lineRule="exact"/>
              <w:rPr>
                <w:sz w:val="20"/>
                <w:szCs w:val="20"/>
                <w:color w:val="auto"/>
              </w:rPr>
            </w:pPr>
            <w:r>
              <w:rPr>
                <w:rFonts w:ascii="Arial" w:cs="Arial" w:eastAsia="Arial" w:hAnsi="Arial"/>
                <w:sz w:val="18"/>
                <w:szCs w:val="18"/>
                <w:b w:val="1"/>
                <w:bCs w:val="1"/>
                <w:color w:val="auto"/>
                <w:w w:val="99"/>
              </w:rPr>
              <w:t>Three Months Ended</w:t>
            </w:r>
          </w:p>
        </w:tc>
        <w:tc>
          <w:tcPr>
            <w:tcW w:w="180" w:type="dxa"/>
            <w:vAlign w:val="bottom"/>
          </w:tcPr>
          <w:p>
            <w:pPr>
              <w:spacing w:after="0"/>
              <w:rPr>
                <w:sz w:val="15"/>
                <w:szCs w:val="15"/>
                <w:color w:val="auto"/>
              </w:rPr>
            </w:pPr>
          </w:p>
        </w:tc>
        <w:tc>
          <w:tcPr>
            <w:tcW w:w="2260" w:type="dxa"/>
            <w:vAlign w:val="bottom"/>
            <w:gridSpan w:val="5"/>
          </w:tcPr>
          <w:p>
            <w:pPr>
              <w:jc w:val="right"/>
              <w:ind w:right="420"/>
              <w:spacing w:after="0" w:line="182" w:lineRule="exact"/>
              <w:rPr>
                <w:sz w:val="20"/>
                <w:szCs w:val="20"/>
                <w:color w:val="auto"/>
              </w:rPr>
            </w:pPr>
            <w:r>
              <w:rPr>
                <w:rFonts w:ascii="Arial" w:cs="Arial" w:eastAsia="Arial" w:hAnsi="Arial"/>
                <w:sz w:val="18"/>
                <w:szCs w:val="18"/>
                <w:b w:val="1"/>
                <w:bCs w:val="1"/>
                <w:color w:val="auto"/>
              </w:rPr>
              <w:t>Nine Months Ended</w:t>
            </w:r>
          </w:p>
        </w:tc>
      </w:tr>
      <w:tr>
        <w:trPr>
          <w:trHeight w:val="239"/>
        </w:trPr>
        <w:tc>
          <w:tcPr>
            <w:tcW w:w="5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80" w:type="dxa"/>
            <w:vAlign w:val="bottom"/>
            <w:gridSpan w:val="6"/>
          </w:tcPr>
          <w:p>
            <w:pPr>
              <w:jc w:val="center"/>
              <w:ind w:right="48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226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37"/>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(18,512 )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(15,901 )</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(54,277 )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(42,204 )</w:t>
            </w:r>
          </w:p>
        </w:tc>
      </w:tr>
      <w:tr>
        <w:trPr>
          <w:trHeight w:val="20"/>
        </w:trPr>
        <w:tc>
          <w:tcPr>
            <w:tcW w:w="5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5680" w:type="dxa"/>
            <w:vAlign w:val="bottom"/>
          </w:tcPr>
          <w:p>
            <w:pPr>
              <w:ind w:left="20"/>
              <w:spacing w:after="0" w:line="203" w:lineRule="exact"/>
              <w:rPr>
                <w:sz w:val="20"/>
                <w:szCs w:val="20"/>
                <w:color w:val="auto"/>
              </w:rPr>
            </w:pPr>
            <w:r>
              <w:rPr>
                <w:rFonts w:ascii="Arial" w:cs="Arial" w:eastAsia="Arial" w:hAnsi="Arial"/>
                <w:sz w:val="18"/>
                <w:szCs w:val="18"/>
                <w:color w:val="auto"/>
              </w:rPr>
              <w:t>Weighted-average common stock outstanding—basic and diluted</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w w:val="97"/>
              </w:rPr>
              <w:t>29,246,44</w:t>
            </w:r>
          </w:p>
        </w:tc>
        <w:tc>
          <w:tcPr>
            <w:tcW w:w="100" w:type="dxa"/>
            <w:vAlign w:val="bottom"/>
          </w:tcPr>
          <w:p>
            <w:pPr>
              <w:spacing w:after="0"/>
              <w:rPr>
                <w:sz w:val="17"/>
                <w:szCs w:val="17"/>
                <w:color w:val="auto"/>
              </w:rPr>
            </w:pPr>
          </w:p>
        </w:tc>
      </w:tr>
      <w:tr>
        <w:trPr>
          <w:trHeight w:val="229"/>
        </w:trPr>
        <w:tc>
          <w:tcPr>
            <w:tcW w:w="5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38,185,197</w:t>
            </w: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29,273,577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37,943,139</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common share—basic and diluted</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(0.48 )</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(0.54 )</w:t>
            </w:r>
          </w:p>
        </w:tc>
        <w:tc>
          <w:tcPr>
            <w:tcW w:w="120" w:type="dxa"/>
            <w:vAlign w:val="bottom"/>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(1.43 )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(1.44 )</w:t>
            </w:r>
          </w:p>
        </w:tc>
      </w:tr>
      <w:tr>
        <w:trPr>
          <w:trHeight w:val="20"/>
        </w:trPr>
        <w:tc>
          <w:tcPr>
            <w:tcW w:w="56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-24765</wp:posOffset>
            </wp:positionV>
            <wp:extent cx="774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2"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The following potentially dilutive securities were excluded from the computation of the diluted net loss per share for the periods presented because their effect would have been antidilutive:</w:t>
      </w:r>
    </w:p>
    <w:p>
      <w:pPr>
        <w:jc w:val="center"/>
        <w:ind w:left="7000"/>
        <w:spacing w:after="0" w:line="235" w:lineRule="auto"/>
        <w:rPr>
          <w:sz w:val="20"/>
          <w:szCs w:val="20"/>
          <w:color w:val="auto"/>
        </w:rPr>
      </w:pPr>
      <w:r>
        <w:rPr>
          <w:rFonts w:ascii="Arial" w:cs="Arial" w:eastAsia="Arial" w:hAnsi="Arial"/>
          <w:sz w:val="18"/>
          <w:szCs w:val="18"/>
          <w:b w:val="1"/>
          <w:bCs w:val="1"/>
          <w:color w:val="auto"/>
        </w:rPr>
        <w:t>Nine Months Ended</w:t>
      </w:r>
    </w:p>
    <w:p>
      <w:pPr>
        <w:spacing w:after="0" w:line="1" w:lineRule="exact"/>
        <w:rPr>
          <w:sz w:val="20"/>
          <w:szCs w:val="20"/>
          <w:color w:val="auto"/>
        </w:rPr>
      </w:pPr>
    </w:p>
    <w:p>
      <w:pPr>
        <w:jc w:val="center"/>
        <w:ind w:left="7000"/>
        <w:spacing w:after="0"/>
        <w:rPr>
          <w:sz w:val="20"/>
          <w:szCs w:val="20"/>
          <w:color w:val="auto"/>
        </w:rPr>
      </w:pPr>
      <w:r>
        <w:rPr>
          <w:rFonts w:ascii="Arial" w:cs="Arial" w:eastAsia="Arial" w:hAnsi="Arial"/>
          <w:sz w:val="18"/>
          <w:szCs w:val="18"/>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40" w:type="dxa"/>
            <w:vAlign w:val="bottom"/>
          </w:tcPr>
          <w:p>
            <w:pPr>
              <w:spacing w:after="0"/>
              <w:rPr>
                <w:sz w:val="19"/>
                <w:szCs w:val="19"/>
                <w:color w:val="auto"/>
              </w:rPr>
            </w:pPr>
          </w:p>
        </w:tc>
        <w:tc>
          <w:tcPr>
            <w:tcW w:w="188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23"/>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 to purchase common stock</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4,732,590</w:t>
            </w:r>
          </w:p>
        </w:tc>
        <w:tc>
          <w:tcPr>
            <w:tcW w:w="2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4,255,893</w:t>
            </w:r>
          </w:p>
        </w:tc>
        <w:tc>
          <w:tcPr>
            <w:tcW w:w="100" w:type="dxa"/>
            <w:vAlign w:val="bottom"/>
            <w:shd w:val="clear" w:color="auto" w:fill="CFF0FC"/>
          </w:tcPr>
          <w:p>
            <w:pPr>
              <w:spacing w:after="0"/>
              <w:rPr>
                <w:sz w:val="19"/>
                <w:szCs w:val="19"/>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Restricted stock units that vest into common stock</w:t>
            </w:r>
          </w:p>
        </w:tc>
        <w:tc>
          <w:tcPr>
            <w:tcW w:w="1880" w:type="dxa"/>
            <w:vAlign w:val="bottom"/>
          </w:tcPr>
          <w:p>
            <w:pPr>
              <w:jc w:val="right"/>
              <w:spacing w:after="0"/>
              <w:rPr>
                <w:sz w:val="20"/>
                <w:szCs w:val="20"/>
                <w:color w:val="auto"/>
              </w:rPr>
            </w:pPr>
            <w:r>
              <w:rPr>
                <w:rFonts w:ascii="Arial" w:cs="Arial" w:eastAsia="Arial" w:hAnsi="Arial"/>
                <w:sz w:val="18"/>
                <w:szCs w:val="18"/>
                <w:color w:val="auto"/>
              </w:rPr>
              <w:t>852,049</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205,728</w:t>
            </w:r>
          </w:p>
        </w:tc>
        <w:tc>
          <w:tcPr>
            <w:tcW w:w="100" w:type="dxa"/>
            <w:vAlign w:val="bottom"/>
          </w:tcPr>
          <w:p>
            <w:pPr>
              <w:spacing w:after="0"/>
              <w:rPr>
                <w:sz w:val="19"/>
                <w:szCs w:val="19"/>
                <w:color w:val="auto"/>
              </w:rPr>
            </w:pPr>
          </w:p>
        </w:tc>
      </w:tr>
      <w:tr>
        <w:trPr>
          <w:trHeight w:val="230"/>
        </w:trPr>
        <w:tc>
          <w:tcPr>
            <w:tcW w:w="7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Warrants to purchase common stock</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12,686</w:t>
            </w:r>
          </w:p>
        </w:tc>
        <w:tc>
          <w:tcPr>
            <w:tcW w:w="240" w:type="dxa"/>
            <w:vAlign w:val="bottom"/>
            <w:tcBorders>
              <w:bottom w:val="single" w:sz="8" w:color="CFF0FC"/>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12,686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Total potential dilutive shares</w:t>
            </w:r>
          </w:p>
        </w:tc>
        <w:tc>
          <w:tcPr>
            <w:tcW w:w="1880" w:type="dxa"/>
            <w:vAlign w:val="bottom"/>
          </w:tcPr>
          <w:p>
            <w:pPr>
              <w:jc w:val="right"/>
              <w:spacing w:after="0"/>
              <w:rPr>
                <w:sz w:val="20"/>
                <w:szCs w:val="20"/>
                <w:color w:val="auto"/>
              </w:rPr>
            </w:pPr>
            <w:r>
              <w:rPr>
                <w:rFonts w:ascii="Arial" w:cs="Arial" w:eastAsia="Arial" w:hAnsi="Arial"/>
                <w:sz w:val="18"/>
                <w:szCs w:val="18"/>
                <w:color w:val="auto"/>
              </w:rPr>
              <w:t>5,597,325</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4,474,307</w:t>
            </w:r>
          </w:p>
        </w:tc>
        <w:tc>
          <w:tcPr>
            <w:tcW w:w="10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-179070</wp:posOffset>
            </wp:positionV>
            <wp:extent cx="68580" cy="1797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73"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Company estimates an annual effective tax rate of 0% for the year ending December 31, 2023 as the Company incurred losses for the nine months ended September 30, 2023, and is forecasting additional losses through the remainder of fiscal year ending December 31, 2023, resulting in an estimated net loss for both financial statement and tax purposes for the year ending December 31, 2023. Therefore, no federal or state income taxes are expected and none have been recorded at this time. Income taxes have been accounted for using the liability method.</w:t>
      </w:r>
    </w:p>
    <w:p>
      <w:pPr>
        <w:spacing w:after="0" w:line="18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Due to the Company’s history of losses since inception, there is not enough evidence at this time to support that the Company will generate future income of a sufficient amount and nature to utilize the benefits of its net deferred tax assets. Accordingly, the deferred tax assets have been reduced by a full valuation allowance, since the Company does not currently believe that realization of its deferred tax assets is more likely than not.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jc w:val="both"/>
        <w:ind w:firstLine="509"/>
        <w:spacing w:after="0" w:line="260" w:lineRule="auto"/>
        <w:rPr>
          <w:sz w:val="20"/>
          <w:szCs w:val="20"/>
          <w:color w:val="auto"/>
        </w:rPr>
      </w:pPr>
      <w:r>
        <w:rPr>
          <w:rFonts w:ascii="Arial" w:cs="Arial" w:eastAsia="Arial" w:hAnsi="Arial"/>
          <w:sz w:val="18"/>
          <w:szCs w:val="18"/>
          <w:color w:val="auto"/>
        </w:rPr>
        <w:t>As of September 30, 2023, the Company had no unrecognized income tax benefits that would reduce the Company’s effective tax rate if recognized.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73"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Subsequent events have been evaluated through the date of filing of the unaudited condensed consolidated financial statements. The Company has identified the following subsequent events that require disclosure:</w:t>
      </w:r>
    </w:p>
    <w:p>
      <w:pPr>
        <w:spacing w:after="0" w:line="2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2023 Following-On Offering</w:t>
      </w:r>
    </w:p>
    <w:p>
      <w:pPr>
        <w:spacing w:after="0" w:line="73"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On November 9, 2023, the Company issued and sold 11,000,000 shares of common stock at a price to the public of $9.00 per share for aggregate gross proceeds of $99.0 million in the 2023 Follow-On Offering. The Company received approximately $92.6 million in net proceeds from the 2023 Follow-On Offering after deducting underwriting discounts and commissions and estimated offering expenses. In addition, the Company has granted the underwriters a 30-day option to purchase up to 1,650,000 additional shares of common stock at a price of $8.46 per share.</w:t>
      </w:r>
    </w:p>
    <w:p>
      <w:pPr>
        <w:spacing w:after="0" w:line="3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Suspension and Termination of ATM Prospectus Supplement</w:t>
      </w:r>
    </w:p>
    <w:p>
      <w:pPr>
        <w:spacing w:after="0" w:line="87"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In connection with the 2023 Follow-On Offering, on November 6, 2023, the Company delivered written notice to Jefferies that the Company was suspending and terminating the prospectus related to the shares issuable in the ATM pursuant to the terms of the Sales Agreement. As a result, the Company will not make any sales of its securities pursuant to the Sales Agreement, unless and until a new prospectus, prospectus supplement, or a new registration statement relating to the shares eligible to be sold in the ATM is filed. Other than the termination of the prospectus, the Sales Agreement remains in full force and effect.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8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condensed consolidated financial statements and related notes included elsewhere in this Quarterly Report. This discussion and analysis and other parts of this Quarterly Report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II, Item 1A,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the section entitled “Special Note Regarding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are a clinical-stage biotechnology company envisioning a new way to treat cancer. Leveraging our novel targeted oncology platform, we have the goal to develop a new standard of care across multiple cancer indications. Our initial focus is on ocular and urologic oncology where the disease is diagnosed early and there is a high unmet medical need for targeted local therapies. Our proprietary platform enables the targeting of a broad range of solid tumors using Virus-like Particles, or VLPs, that can be conjugated with drugs or loaded with nucleic acids to create Virus-like Drug Conjugates, or VDCs. Our VDCs are largely agnostic to tumor type and can recognize a subset of modified tumor associated glycosaminoglycans, or GAGs, that are part of the heparan sulphate chain of HSPGs expressed on the cell surface of many tumor cells and in the tumor microenvironment.</w:t>
      </w:r>
    </w:p>
    <w:p>
      <w:pPr>
        <w:spacing w:after="0" w:line="19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Bel-sar, our first VDC candidate, is being developed for the first-line treatment of early-stage choroidal melanoma, a rare disease with no drugs approved where the standard of care leaves many patients with blindness. We have received orphan drug designation for the treatment of uveal melanoma from the U.S Food and Drug Administration, or the FDA, and the European Medicines Agency, or EMA, and fast track designation from the FDA for the treatment of choroidal melanoma. We have completed a Phase 1b/2 trial using intravitreal administration that has demonstrated clinical proof of concept, assessed using endpoints in alignment with the feedback from the FDA. We are currently evaluating suprachoroidal, or SC, administration of bel-sar in a Phase 2 trial. Enrollment is complete in the Phase 2 trial, and data was presented on November 6, 2023, at the American Academy of Ophthalmology. The results, with 90% of patients at twelve months of follow-up who received three cycles of therapy in Cohorts 5 and 6, and who match the criteria for the global Phase 3 trial, showed a tumor control rate of 80% (8/10) and the visual acuity preservation rate was 90% (9/10) with the majority of patients being at high -risk for vision loss with tumors close to the fovea or optic disk. For the 80% of patients that responded, data showed a statistically significant reduction in tumor growth rate (-0.382 mm/yr, p = &lt;0.0001) compared to each patient’s documented growth rate at study entry. The overall tolerability profile of bel-sar was favorable, with no dose-limiting toxicities, treatment-related serious adverse events or significant adverse events reported as of August 3, 2023.</w:t>
      </w:r>
    </w:p>
    <w:p>
      <w:pPr>
        <w:spacing w:after="0" w:line="191"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We received written agreement from the FDA under a Special Protocol Assessment for the design and planned analysis of the Global Phase 3 CoMpass trial indicating concurrence by the FDA with the adequacy of the study, if successful, to address the objectives necessary to support our planned biologics license application submission. The Phase 3 trial is designed as a superiority trial comparing bel-sar versus sham. The trial is a global, multi-center, masked study, and it is intended to enroll approximately 100 patients randomized 2:1:2 to receive high dose regimen of bel-sar with SC administration, low dose regimen of bel-sar with SC administration, or a sham control. The primary endpoint is time to tumor progression, and the first key secondary endpoint is a composite time to event analysis that will compare the tumor control and visual acuity of the bel-sar high dose regimen to sham when the last patient completes their 15 months of follow up. The trial is powered at greater than 90%.</w:t>
      </w:r>
    </w:p>
    <w:p>
      <w:pPr>
        <w:spacing w:after="0" w:line="194"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are currently conducting start up activities for the global Phase 3 trial with the goal to dose our first patient in Q4 2023. We are also developing bel-sar for additional ocular oncology indications and have an open IND in the United States for choroidal metastasis, supporting the potential of bel-sar to provide a novel treatment option that preserves vision for these patients. Choroidal metastasis is a high unmet medical need and the most common intraocular malignancy that is caused by multiple primary cancers in the body that metastasize to the eye (e.g., breast and lung cancer). These patients are treated by the same ocular oncologists that treat choroidal melanoma and there are no drugs approved that can treat the lesion in the eye and preserve vision. We received fast track designation from the FDA’s Division of Oncology, and we are on track to initiate the Phase 2 trial in 2024, with initial data by year-end 2024.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ind w:right="20" w:firstLine="509"/>
        <w:spacing w:after="0" w:line="238" w:lineRule="auto"/>
        <w:rPr>
          <w:sz w:val="20"/>
          <w:szCs w:val="20"/>
          <w:color w:val="auto"/>
        </w:rPr>
      </w:pPr>
      <w:r>
        <w:rPr>
          <w:rFonts w:ascii="Arial" w:cs="Arial" w:eastAsia="Arial" w:hAnsi="Arial"/>
          <w:sz w:val="18"/>
          <w:szCs w:val="18"/>
          <w:color w:val="auto"/>
        </w:rPr>
        <w:t>In addition to our ocular oncology franchise, we are leveraging our targeted oncology platform to develop bel-sar in the field of urologic oncology with an initial indication for the treatment of non-muscle invasive bladder cancer, or NMIBC, and muscle invasive bladder cancer, or MIBC. We received Fast Track Designation from the FDA for bel-sar for the treatment of NMIBC in June 2022. The ongoing Phase 1 multi-center, open-label clinical trial is expected to enroll approximately 19 adult patients. The trial is designed to assess the safety and tolerability of bel-sar as a single agent. The trial will provide histopathological evaluation after the local treatment to assess bel-sar’s biological activity. The trial has completed enrollment of the cohort that received bel-sar injection without light activation. Protocol mandated safety review found no safety issues and the study has proceeded to the bel-sar injection plus light activation cohorts. Preliminary data from the first patient in the light activated cohort of the trial, utilizing a single dose of bel-sar with light activation, demonstrated a clinical complete response demonstrated by absence of cancer cells on histopathology with evidence of extensive necrosis and immune activation.</w:t>
      </w:r>
    </w:p>
    <w:p>
      <w:pPr>
        <w:spacing w:after="0" w:line="191"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8"/>
          <w:szCs w:val="18"/>
          <w:color w:val="auto"/>
        </w:rPr>
        <w:t>We were incorporated as a Delaware corporation in 2009 and, as of August 1, 2022, our headquarters are located in Boston, Massachusetts. Since our inception, we have focused our efforts on identifying and developing potential product candidates, conducting preclinical studies and clinical trials, organizing and staffing our company, business planning, establishing our intellectual property portfolio, raising capital, conducting discovery, research and development activities and providing general and administrative support for these operations. We do not have any product candidates approved for sale and have not generated any revenue to date. We have funded our operations primarily through the sale of convertible preferred stock, common stock, and warrants. From inception through September 30, 2023, we have raised an aggregate of approximately $324.9 million of gross proceeds primarily from private placements of our equity and convertible preferred stock as well as through the issuance of our common stock. On November 9, 2023, we issued and sold 11,000,000 shares of common stock at a price to the public of $9.00 per share for aggregate gross proceeds of $99.0 million, or the 2023 Follow-On Offering. We received approximately $92.6 million in net proceeds from the 2023 Follow-On Offering after deducting underwriting discounts and commissions and estimated offering expenses. In addition, we have granted the underwriters a 30-day option to purchase up to 1,650,000 additional shares of common stock at a price of $8.46 per share. On December 5, 2022, we issued and sold 7,705,000 shares of common stock, including the full exercise of the underwriters’ option to purchase additional shares at a price to the public of $12.00 per share, for aggregate gross proceeds of $92.5 million, or the 2022 Follow-On Offering. We received approximately $86.7 million in net proceeds from the 2022 Follow-On Offering after deducting underwriting discounts, commissions and offering expenses. On November 1, 2022, we filed a shelf registration statement on Form S-3, or the 2022 Shelf, with the SEC in relation to the registration of up to an aggregate offering price of $250.0 million of common stock, preferred stock, debt securities, warrants and units or any combination thereof. We also simultaneously entered into an Open Market Sale Agreement</w:t>
      </w:r>
      <w:r>
        <w:rPr>
          <w:rFonts w:ascii="Arial" w:cs="Arial" w:eastAsia="Arial" w:hAnsi="Arial"/>
          <w:sz w:val="24"/>
          <w:szCs w:val="24"/>
          <w:color w:val="auto"/>
          <w:vertAlign w:val="superscript"/>
        </w:rPr>
        <w:t>SM</w:t>
      </w:r>
      <w:r>
        <w:rPr>
          <w:rFonts w:ascii="Arial" w:cs="Arial" w:eastAsia="Arial" w:hAnsi="Arial"/>
          <w:sz w:val="18"/>
          <w:szCs w:val="18"/>
          <w:color w:val="auto"/>
        </w:rPr>
        <w:t>, or the Sales Agreement, with Jefferies LLC, or the Sales Agent, to provide for the offering, issuance and sale by us of up to an aggregate of $75.0 million of its common stock from time to time in “at-the-market” offerings, or the ATM, under the 2022 Shelf and subject to the limitations thereof. We issued 261,807 shares of common stock at an average price of $12.49 for aggregate gross proceeds of $3.3 million during the nine months ended September 30, 2023 under the ATM. In addition, we issued 732,189 shares of common stock at an average price of $12.51 for aggregate gross proceeds of $9.2 million as of December 31, 2022 under the ATM. In connection with the 2023 Follow-On Offering, on November 6, 2023, we delivered written notice to Jefferies that we were suspending and terminating the prospectus related to the shares issuable in the ATM pursuant to the terms of the Sales Agreement. As a result, we will not make any sales of our securities pursuant to the Sales Agreement, unless and until a new prospectus, prospectus supplement, or a new registration statement relating to the shares eligible to be sold in the ATM is filed. Other than the termination of the prospectus, the Sales Agreement remains in full force and effect.</w:t>
      </w:r>
    </w:p>
    <w:p>
      <w:pPr>
        <w:spacing w:after="0" w:line="20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have incurred significant operating losses in every year since our inception in 2009 and have not generated any revenue. We expect to continue to incur significant expenses and operating losses for the foreseeable future. Our ability to generate product revenue sufficient to achieve profitability will depend on the successful development and commercialization of one or more of our product candidates. Our net losses were $54.3 million and $42.2 million for the nine months ended September 30, 2023 and 2022, respectively. As of September 30, 2023, we had an accumulated deficit of $265.2 million. In addition, our losses from operations may fluctuate significantly from quarter-to-quarter and year-to-year, depending on the timing of our clinical trials and our expenditures on other research and development activities.</w:t>
      </w:r>
    </w:p>
    <w:p>
      <w:pPr>
        <w:spacing w:after="0" w:line="19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anticipate that our expenses and capital requirements will increase substantially in connection with our ongoing activities, particularly as we advance the preclinical studies and clinical trials of our product candidates. In addition, we incur additional costs associated with operating as a public company. We expect that our expenses and capital requirements will increase substantially if and as we:</w:t>
      </w:r>
    </w:p>
    <w:p>
      <w:pPr>
        <w:spacing w:after="0" w:line="12" w:lineRule="exact"/>
        <w:rPr>
          <w:sz w:val="20"/>
          <w:szCs w:val="20"/>
          <w:color w:val="auto"/>
        </w:rPr>
      </w:pPr>
    </w:p>
    <w:p>
      <w:pPr>
        <w:ind w:left="1160" w:hanging="508"/>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 our current and future clinical trials of bel-sar;</w:t>
      </w:r>
    </w:p>
    <w:p>
      <w:pPr>
        <w:spacing w:after="0" w:line="36" w:lineRule="exact"/>
        <w:rPr>
          <w:rFonts w:ascii="Arial" w:cs="Arial" w:eastAsia="Arial" w:hAnsi="Arial"/>
          <w:sz w:val="18"/>
          <w:szCs w:val="18"/>
          <w:color w:val="auto"/>
        </w:rPr>
      </w:pPr>
    </w:p>
    <w:p>
      <w:pPr>
        <w:ind w:left="1160" w:hanging="508"/>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progress the preclinical and clinical development of new indications;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22" w:name="page23"/>
    <w:bookmarkEnd w:id="22"/>
    <w:p>
      <w:pPr>
        <w:ind w:left="1160" w:hanging="508"/>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 our manufacturing capability, including developing our contract development and manufacturing relationships;</w:t>
      </w:r>
    </w:p>
    <w:p>
      <w:pPr>
        <w:spacing w:after="0" w:line="36" w:lineRule="exact"/>
        <w:rPr>
          <w:rFonts w:ascii="Arial" w:cs="Arial" w:eastAsia="Arial" w:hAnsi="Arial"/>
          <w:sz w:val="18"/>
          <w:szCs w:val="18"/>
          <w:color w:val="auto"/>
        </w:rPr>
      </w:pPr>
    </w:p>
    <w:p>
      <w:pPr>
        <w:ind w:left="1160" w:hanging="508"/>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to identify and develop additional product candidates;</w:t>
      </w:r>
    </w:p>
    <w:p>
      <w:pPr>
        <w:spacing w:after="0" w:line="49" w:lineRule="exact"/>
        <w:rPr>
          <w:rFonts w:ascii="Arial" w:cs="Arial" w:eastAsia="Arial" w:hAnsi="Arial"/>
          <w:sz w:val="18"/>
          <w:szCs w:val="18"/>
          <w:color w:val="auto"/>
        </w:rPr>
      </w:pPr>
    </w:p>
    <w:p>
      <w:pPr>
        <w:ind w:left="1160" w:hanging="508"/>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regulatory approval of our current and future product candidates;</w:t>
      </w:r>
    </w:p>
    <w:p>
      <w:pPr>
        <w:spacing w:after="0" w:line="49" w:lineRule="exact"/>
        <w:rPr>
          <w:rFonts w:ascii="Arial" w:cs="Arial" w:eastAsia="Arial" w:hAnsi="Arial"/>
          <w:sz w:val="18"/>
          <w:szCs w:val="18"/>
          <w:color w:val="auto"/>
        </w:rPr>
      </w:pPr>
    </w:p>
    <w:p>
      <w:pPr>
        <w:ind w:left="1160" w:right="20" w:hanging="508"/>
        <w:spacing w:after="0" w:line="250"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preclinical and clinical development, manufacturing and commercialization efforts;</w:t>
      </w:r>
    </w:p>
    <w:p>
      <w:pPr>
        <w:ind w:left="1160" w:hanging="508"/>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49" w:lineRule="exact"/>
        <w:rPr>
          <w:rFonts w:ascii="Arial" w:cs="Arial" w:eastAsia="Arial" w:hAnsi="Arial"/>
          <w:sz w:val="18"/>
          <w:szCs w:val="18"/>
          <w:color w:val="auto"/>
        </w:rPr>
      </w:pPr>
    </w:p>
    <w:p>
      <w:pPr>
        <w:ind w:left="1160" w:right="20" w:hanging="508"/>
        <w:spacing w:after="0" w:line="260"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additional legal, accounting, or other expenses in operating our business, including the additional costs associated with operating as a public company.</w:t>
      </w:r>
    </w:p>
    <w:p>
      <w:pPr>
        <w:spacing w:after="0" w:line="17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we can generate significant revenue from product sales, if ever, we expect to finance our operations through a combination of equity offerings, debt financings, collaborations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w:t>
      </w:r>
    </w:p>
    <w:p>
      <w:pPr>
        <w:spacing w:after="0" w:line="19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will not generate revenue from product sales unless and until we successfully complete clinical development and obtain marketing approval for our product candidates. The lengthy process of securing marketing approvals for new drugs requires the expenditure of substantial resources. Any delay or failure to obtain regulatory approvals would materially adversely affect the development efforts of our product candidates and our business overall. Because of the numerous risks and uncertainties associated with product development,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9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As of September 30, 2023, we had cash and cash equivalents and marketable securities of $ 149.1 million. We believe that our existing cash and cash equivalents and marketable securities and $92.6 million in net proceeds from the 2023 Follow-On Offering after deducting underwriting discounts and commissions and estimated offering expenses, will enable us to fund our operating expenses and capital expenditure requirements into the second half of 2026. We have based this estimate on assumptions that may prove to be wrong, and we could exhaust our available capital resources sooner than we expect. See “—Liquidity and Capital Resources” below.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87"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Since inception, we have not generated any revenue and do not expect to generate any revenue from the sale of products in the foreseeable future. If our development efforts for one or more of our product candidates are successful and result in regulatory approval, or if we enter into collaboration or license agreements with third parties, we may generate revenue in the future from a combination of product sales or payments from collaboration or license agreements. We cannot predict if, and when, or to what extent, we will generate revenue from the commercialization and sale of our product candidates. We may never succeed in obtaining regulatory approval for any of our product candidates.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67"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69" w:lineRule="exact"/>
        <w:rPr>
          <w:sz w:val="20"/>
          <w:szCs w:val="20"/>
          <w:color w:val="auto"/>
        </w:rPr>
      </w:pPr>
    </w:p>
    <w:p>
      <w:pPr>
        <w:jc w:val="both"/>
        <w:ind w:right="20" w:firstLine="509"/>
        <w:spacing w:after="0" w:line="25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discovery efforts and the development of our bel-sar program, and include:</w:t>
      </w:r>
    </w:p>
    <w:p>
      <w:pPr>
        <w:spacing w:after="0" w:line="2" w:lineRule="exact"/>
        <w:rPr>
          <w:sz w:val="20"/>
          <w:szCs w:val="20"/>
          <w:color w:val="auto"/>
        </w:rPr>
      </w:pPr>
    </w:p>
    <w:p>
      <w:pPr>
        <w:ind w:left="1160" w:hanging="508"/>
        <w:spacing w:after="0" w:line="25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related-benefits and stock-based compensation expense for employees engaged in research and development functions;</w:t>
      </w:r>
    </w:p>
    <w:p>
      <w:pPr>
        <w:spacing w:after="0" w:line="2" w:lineRule="exact"/>
        <w:rPr>
          <w:rFonts w:ascii="Arial" w:cs="Arial" w:eastAsia="Arial" w:hAnsi="Arial"/>
          <w:sz w:val="18"/>
          <w:szCs w:val="18"/>
          <w:color w:val="auto"/>
        </w:rPr>
      </w:pPr>
    </w:p>
    <w:p>
      <w:pPr>
        <w:ind w:left="1160" w:hanging="508"/>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fees paid to consultants for services directly related to our product development and regulatory efforts;</w:t>
      </w:r>
    </w:p>
    <w:p>
      <w:pPr>
        <w:spacing w:after="0" w:line="36" w:lineRule="exact"/>
        <w:rPr>
          <w:rFonts w:ascii="Arial" w:cs="Arial" w:eastAsia="Arial" w:hAnsi="Arial"/>
          <w:sz w:val="18"/>
          <w:szCs w:val="18"/>
          <w:color w:val="auto"/>
        </w:rPr>
      </w:pPr>
    </w:p>
    <w:p>
      <w:pPr>
        <w:ind w:left="1160" w:hanging="508"/>
        <w:spacing w:after="0" w:line="25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associated with conducting preclinical studies and clinical trials performed by ourselves, outside vendors or academic collaborators;</w:t>
      </w:r>
    </w:p>
    <w:p>
      <w:pPr>
        <w:spacing w:after="0" w:line="2" w:lineRule="exact"/>
        <w:rPr>
          <w:rFonts w:ascii="Arial" w:cs="Arial" w:eastAsia="Arial" w:hAnsi="Arial"/>
          <w:sz w:val="18"/>
          <w:szCs w:val="18"/>
          <w:color w:val="auto"/>
        </w:rPr>
      </w:pPr>
    </w:p>
    <w:p>
      <w:pPr>
        <w:ind w:left="1160" w:hanging="508"/>
        <w:spacing w:after="0" w:line="260"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or CROs, as well as consultants that conduct and provide supplies for our preclinical studies and clinical trials;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23" w:name="page24"/>
    <w:bookmarkEnd w:id="23"/>
    <w:p>
      <w:pPr>
        <w:jc w:val="both"/>
        <w:ind w:left="1160" w:hanging="508"/>
        <w:spacing w:after="0" w:line="244"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manufacturing bel-sar, including the potential cost of CMOs that manufacture product for use in our preclinical studies and clinical trials and perform analytical testing, scale-up and other services in connection with our development activities;</w:t>
      </w:r>
    </w:p>
    <w:p>
      <w:pPr>
        <w:spacing w:after="0" w:line="3" w:lineRule="exact"/>
        <w:rPr>
          <w:rFonts w:ascii="Arial" w:cs="Arial" w:eastAsia="Arial" w:hAnsi="Arial"/>
          <w:sz w:val="18"/>
          <w:szCs w:val="18"/>
          <w:color w:val="auto"/>
        </w:rPr>
      </w:pPr>
    </w:p>
    <w:p>
      <w:pPr>
        <w:ind w:left="1160" w:hanging="508"/>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associated with preclinical activities and clinical development activities;</w:t>
      </w:r>
    </w:p>
    <w:p>
      <w:pPr>
        <w:spacing w:after="0" w:line="49" w:lineRule="exact"/>
        <w:rPr>
          <w:rFonts w:ascii="Arial" w:cs="Arial" w:eastAsia="Arial" w:hAnsi="Arial"/>
          <w:sz w:val="18"/>
          <w:szCs w:val="18"/>
          <w:color w:val="auto"/>
        </w:rPr>
      </w:pPr>
    </w:p>
    <w:p>
      <w:pPr>
        <w:ind w:left="1160" w:hanging="508"/>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associated with our intellectual property portfolio;</w:t>
      </w:r>
    </w:p>
    <w:p>
      <w:pPr>
        <w:spacing w:after="0" w:line="49" w:lineRule="exact"/>
        <w:rPr>
          <w:rFonts w:ascii="Arial" w:cs="Arial" w:eastAsia="Arial" w:hAnsi="Arial"/>
          <w:sz w:val="18"/>
          <w:szCs w:val="18"/>
          <w:color w:val="auto"/>
        </w:rPr>
      </w:pPr>
    </w:p>
    <w:p>
      <w:pPr>
        <w:ind w:left="1160" w:hanging="508"/>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36" w:lineRule="exact"/>
        <w:rPr>
          <w:rFonts w:ascii="Arial" w:cs="Arial" w:eastAsia="Arial" w:hAnsi="Arial"/>
          <w:sz w:val="18"/>
          <w:szCs w:val="18"/>
          <w:color w:val="auto"/>
        </w:rPr>
      </w:pPr>
    </w:p>
    <w:p>
      <w:pPr>
        <w:ind w:left="1160" w:hanging="508"/>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allocated expenses for utilities and other facility-related costs.</w:t>
      </w:r>
    </w:p>
    <w:p>
      <w:pPr>
        <w:spacing w:after="0" w:line="22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expense research and development costs as incurred. Costs for external research and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We allocate our direct external research and development costs across the entire bel-sar program. Preclinical expenses consist of external research and development costs associated with activities to support our current and future clinical programs, but are not allocated by specific indications due to the overlap of the potential benefit of those efforts across the entire bel-sar program.</w:t>
      </w:r>
    </w:p>
    <w:p>
      <w:pPr>
        <w:spacing w:after="0" w:line="19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Research and development activities are central to our business. We expect that our research and development expenses will increase for the foreseeable future as we continue clinical development for bel-sar and continue to discover and develop additional product candidates. If any of our product candidates enter into later stages of clinical development, they will generally have higher development costs than those in earlier stages of clinical development, primarily due to the increased size and duration of later-stage clinical trials.</w:t>
      </w:r>
    </w:p>
    <w:p>
      <w:pPr>
        <w:spacing w:after="0" w:line="182"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8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for personnel in our executive and finance functions. General and administrative expenses also include professional fees for legal, accounting, auditing, tax and consulting services; travel expenses; and facility-related expenses, which include allocated expenses for rent and maintenance of facilities and other operating costs not included in research and development.</w:t>
      </w:r>
    </w:p>
    <w:p>
      <w:pPr>
        <w:spacing w:after="0" w:line="18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expect that our general and administrative expenses will increase in the near-term as we continue to build a team to support our administrative, accounting and finance, communications, legal and business development efforts. We expect to incur increased expenses associated with growth of the Company, including costs of accounting, audit, legal, regulatory and tax compliance services; director and officer insurance costs; and investor and public relations costs.</w:t>
      </w:r>
    </w:p>
    <w:p>
      <w:pPr>
        <w:spacing w:after="0" w:line="182"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Other Income (Expense)</w:t>
      </w:r>
    </w:p>
    <w:p>
      <w:pPr>
        <w:spacing w:after="0" w:line="69"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Our other income (expense) consists of accretion, interest income and realized losses on marketable securities, and interest income on our invested cash balances.</w:t>
      </w:r>
    </w:p>
    <w:p>
      <w:pPr>
        <w:spacing w:after="0" w:line="167"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Income Taxes</w:t>
      </w:r>
    </w:p>
    <w:p>
      <w:pPr>
        <w:spacing w:after="0" w:line="69"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Since our inception, we have not recorded any U.S. federal or state income tax benefits for the net losses we have incurred in any year or for our earned research and development tax credits, due to the uncertainty of realizing a benefit from those items. As of December 31, 2022, we had federal gross operating loss carryforwards of approximately $155.1 million which may be available to offset future taxable income, of which $44.2 million begin to expire in 2029 and go through 2037 and $110.9 million do not expire. The state gross operating loss carryforwards of $127.5 million, which may be available to offset future taxable income and which would begin to expire in 2030, except for $0.7 million of state net operating losses, or NOLs, that do not expire. As of December 31, 2022, we had federal and state research and experimentation credit carryforwards of $ 6.4 million and $1.9 million, respectively, which may be available to offset future income tax liabilities and which would begin to expire in 2029 and 2028, respectively. Due to the degree of uncertainty related to the ultimate use of the deferred tax assets, we have fully reserved these tax benefits, as the determination of the realization of the deferred tax benefits was not determined to be more likely than not.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months ended September 30, 2023 and 2022</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September 30, 2023 and 2022: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6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11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146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w w:val="76"/>
              </w:rPr>
              <w:t>thousands)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15,428</w:t>
            </w:r>
          </w:p>
        </w:tc>
        <w:tc>
          <w:tcPr>
            <w:tcW w:w="2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11,293</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5,060</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4,762</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20,488</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16,055</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(20,488 )</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(16,055 )</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(4,433 )</w:t>
            </w:r>
          </w:p>
        </w:tc>
        <w:tc>
          <w:tcPr>
            <w:tcW w:w="0" w:type="dxa"/>
            <w:vAlign w:val="bottom"/>
          </w:tcPr>
          <w:p>
            <w:pPr>
              <w:spacing w:after="0"/>
              <w:rPr>
                <w:sz w:val="1"/>
                <w:szCs w:val="1"/>
                <w:color w:val="auto"/>
              </w:rPr>
            </w:pPr>
          </w:p>
        </w:tc>
      </w:tr>
      <w:tr>
        <w:trPr>
          <w:trHeight w:val="223"/>
        </w:trPr>
        <w:tc>
          <w:tcPr>
            <w:tcW w:w="69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income, including amortization of discount</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28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9"/>
                <w:szCs w:val="19"/>
                <w:color w:val="auto"/>
              </w:rPr>
            </w:pP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(5 )</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(329 )</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 (expense)</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1,976</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(18,512 )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(15,901 )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(2,611 )</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-1087755</wp:posOffset>
            </wp:positionV>
            <wp:extent cx="68580" cy="1631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-1087755</wp:posOffset>
            </wp:positionV>
            <wp:extent cx="68580" cy="1631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1631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-779145</wp:posOffset>
            </wp:positionV>
            <wp:extent cx="6858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-779145</wp:posOffset>
            </wp:positionV>
            <wp:extent cx="68580"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-179070</wp:posOffset>
            </wp:positionV>
            <wp:extent cx="68580" cy="1797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-179070</wp:posOffset>
            </wp:positionV>
            <wp:extent cx="68580" cy="1797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91"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three months ended September 30, 2023 and 2022: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(in</w:t>
            </w:r>
          </w:p>
        </w:tc>
        <w:tc>
          <w:tcPr>
            <w:tcW w:w="158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w w:val="74"/>
              </w:rPr>
              <w:t>thousands)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Preclinical</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5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(562 )</w:t>
            </w:r>
          </w:p>
        </w:tc>
        <w:tc>
          <w:tcPr>
            <w:tcW w:w="0" w:type="dxa"/>
            <w:vAlign w:val="bottom"/>
          </w:tcPr>
          <w:p>
            <w:pPr>
              <w:spacing w:after="0"/>
              <w:rPr>
                <w:sz w:val="1"/>
                <w:szCs w:val="1"/>
                <w:color w:val="auto"/>
              </w:rPr>
            </w:pPr>
          </w:p>
        </w:tc>
      </w:tr>
      <w:tr>
        <w:trPr>
          <w:trHeight w:val="230"/>
        </w:trPr>
        <w:tc>
          <w:tcPr>
            <w:tcW w:w="6700" w:type="dxa"/>
            <w:vAlign w:val="bottom"/>
          </w:tcPr>
          <w:p>
            <w:pPr>
              <w:ind w:left="280"/>
              <w:spacing w:after="0"/>
              <w:rPr>
                <w:sz w:val="20"/>
                <w:szCs w:val="20"/>
                <w:color w:val="auto"/>
              </w:rPr>
            </w:pPr>
            <w:r>
              <w:rPr>
                <w:rFonts w:ascii="Arial" w:cs="Arial" w:eastAsia="Arial" w:hAnsi="Arial"/>
                <w:sz w:val="18"/>
                <w:szCs w:val="18"/>
                <w:color w:val="auto"/>
              </w:rPr>
              <w:t>Clinical trials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5,553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Manufacturing development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80"/>
              <w:spacing w:after="0"/>
              <w:rPr>
                <w:sz w:val="20"/>
                <w:szCs w:val="20"/>
                <w:color w:val="auto"/>
              </w:rPr>
            </w:pPr>
            <w:r>
              <w:rPr>
                <w:rFonts w:ascii="Arial" w:cs="Arial" w:eastAsia="Arial" w:hAnsi="Arial"/>
                <w:sz w:val="18"/>
                <w:szCs w:val="18"/>
                <w:color w:val="auto"/>
              </w:rPr>
              <w:t>Personnel/overhead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6,636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7,422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(786 )</w:t>
            </w:r>
          </w:p>
        </w:tc>
        <w:tc>
          <w:tcPr>
            <w:tcW w:w="0" w:type="dxa"/>
            <w:vAlign w:val="bottom"/>
          </w:tcPr>
          <w:p>
            <w:pPr>
              <w:spacing w:after="0"/>
              <w:rPr>
                <w:sz w:val="1"/>
                <w:szCs w:val="1"/>
                <w:color w:val="auto"/>
              </w:rPr>
            </w:pPr>
          </w:p>
        </w:tc>
      </w:tr>
      <w:tr>
        <w:trPr>
          <w:trHeight w:val="263"/>
        </w:trPr>
        <w:tc>
          <w:tcPr>
            <w:tcW w:w="67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research and development expenses</w:t>
            </w: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15,428</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11,293</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4,135</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-24765</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-8255</wp:posOffset>
            </wp:positionV>
            <wp:extent cx="774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Research and development expenses increased to $15.4 million for the three months ended September 30, 2023 from $11.3 million for the three months ended September 30, 2022, primarily due to ongoing clinical costs associated with the progression of our Phase 2 study and CRO costs associated with the start of our Phase 3 global trial, and manufacturing and development costs for bel-sar.</w:t>
      </w:r>
    </w:p>
    <w:p>
      <w:pPr>
        <w:spacing w:after="0" w:line="178"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6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General and administrative expenses increased to $5.1 million for the three months ended September 30, 2023 from $4.8 million for the three months ended September 30, 2022, primarily driven by personnel expenses, as well as increases in general corporate expenses related to growth of the Company.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5" w:name="page26"/>
    <w:bookmarkEnd w:id="25"/>
    <w:p>
      <w:pPr>
        <w:ind w:left="520"/>
        <w:spacing w:after="0"/>
        <w:rPr>
          <w:sz w:val="20"/>
          <w:szCs w:val="20"/>
          <w:color w:val="auto"/>
        </w:rPr>
      </w:pPr>
      <w:r>
        <w:rPr>
          <w:rFonts w:ascii="Arial" w:cs="Arial" w:eastAsia="Arial" w:hAnsi="Arial"/>
          <w:sz w:val="18"/>
          <w:szCs w:val="18"/>
          <w:b w:val="1"/>
          <w:bCs w:val="1"/>
          <w:i w:val="1"/>
          <w:iCs w:val="1"/>
          <w:color w:val="auto"/>
        </w:rPr>
        <w:t>Comparison of the nine months ended September 30, 2023 and 2022</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nine months ended September 30, 2023 and 2022: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6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Nine Months Ended</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6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11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6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44,952</w:t>
            </w:r>
          </w:p>
        </w:tc>
        <w:tc>
          <w:tcPr>
            <w:tcW w:w="2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29,079</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15,873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15,256</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13,603</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60,208</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42,682</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(60,208 )</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(42,682 )</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(17,526 )</w:t>
            </w:r>
          </w:p>
        </w:tc>
        <w:tc>
          <w:tcPr>
            <w:tcW w:w="0" w:type="dxa"/>
            <w:vAlign w:val="bottom"/>
          </w:tcPr>
          <w:p>
            <w:pPr>
              <w:spacing w:after="0"/>
              <w:rPr>
                <w:sz w:val="1"/>
                <w:szCs w:val="1"/>
                <w:color w:val="auto"/>
              </w:rPr>
            </w:pPr>
          </w:p>
        </w:tc>
      </w:tr>
      <w:tr>
        <w:trPr>
          <w:trHeight w:val="223"/>
        </w:trPr>
        <w:tc>
          <w:tcPr>
            <w:tcW w:w="69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income, including amortization of discount</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8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(50 )</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(324 )</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 (expense)</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5,931</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(54,277 )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(42,204 )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(12,073 )</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-1087755</wp:posOffset>
            </wp:positionV>
            <wp:extent cx="68580" cy="1631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-1087755</wp:posOffset>
            </wp:positionV>
            <wp:extent cx="68580" cy="1631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1631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-779145</wp:posOffset>
            </wp:positionV>
            <wp:extent cx="68580" cy="1543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-779145</wp:posOffset>
            </wp:positionV>
            <wp:extent cx="68580"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-179070</wp:posOffset>
            </wp:positionV>
            <wp:extent cx="68580" cy="1797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-179070</wp:posOffset>
            </wp:positionV>
            <wp:extent cx="68580" cy="1797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393"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nine months ended September 30, 2023 and 2022: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Nine Months Ended</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(in</w:t>
            </w:r>
          </w:p>
        </w:tc>
        <w:tc>
          <w:tcPr>
            <w:tcW w:w="158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w w:val="74"/>
              </w:rPr>
              <w:t>thousands)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Preclinical</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w:t>
            </w:r>
          </w:p>
        </w:tc>
        <w:tc>
          <w:tcPr>
            <w:tcW w:w="5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1,610</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(843 )</w:t>
            </w:r>
          </w:p>
        </w:tc>
        <w:tc>
          <w:tcPr>
            <w:tcW w:w="0" w:type="dxa"/>
            <w:vAlign w:val="bottom"/>
          </w:tcPr>
          <w:p>
            <w:pPr>
              <w:spacing w:after="0"/>
              <w:rPr>
                <w:sz w:val="1"/>
                <w:szCs w:val="1"/>
                <w:color w:val="auto"/>
              </w:rPr>
            </w:pPr>
          </w:p>
        </w:tc>
      </w:tr>
      <w:tr>
        <w:trPr>
          <w:trHeight w:val="230"/>
        </w:trPr>
        <w:tc>
          <w:tcPr>
            <w:tcW w:w="6700" w:type="dxa"/>
            <w:vAlign w:val="bottom"/>
          </w:tcPr>
          <w:p>
            <w:pPr>
              <w:ind w:left="280"/>
              <w:spacing w:after="0"/>
              <w:rPr>
                <w:sz w:val="20"/>
                <w:szCs w:val="20"/>
                <w:color w:val="auto"/>
              </w:rPr>
            </w:pPr>
            <w:r>
              <w:rPr>
                <w:rFonts w:ascii="Arial" w:cs="Arial" w:eastAsia="Arial" w:hAnsi="Arial"/>
                <w:sz w:val="18"/>
                <w:szCs w:val="18"/>
                <w:color w:val="auto"/>
              </w:rPr>
              <w:t>Clinical trials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15,298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Manufacturing development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10,842</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80"/>
              <w:spacing w:after="0"/>
              <w:rPr>
                <w:sz w:val="20"/>
                <w:szCs w:val="20"/>
                <w:color w:val="auto"/>
              </w:rPr>
            </w:pPr>
            <w:r>
              <w:rPr>
                <w:rFonts w:ascii="Arial" w:cs="Arial" w:eastAsia="Arial" w:hAnsi="Arial"/>
                <w:sz w:val="18"/>
                <w:szCs w:val="18"/>
                <w:color w:val="auto"/>
              </w:rPr>
              <w:t>Personnel/overhead expenses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18,045</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17,916</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7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research and development expenses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44,952</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29,079</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15,873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-24765</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77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Research and development expenses increased to $45.0 million for the nine months ended September 30, 2023 from $29.1 million for the nine months ended September 30, 2022, primarily due to ongoing clinical costs associated with the progression of our Phase 2 study and CRO costs associated with the start of our Phase 3 global trial, and manufacturing and development costs for bel-sar.</w:t>
      </w:r>
    </w:p>
    <w:p>
      <w:pPr>
        <w:spacing w:after="0" w:line="178"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6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General and administrative expenses increased to $15.3 million for the nine months ended September 30, 2023 from $13.6 million for the nine months ended September 30, 2022, primarily driven by personnel expenses, as well as increases in general corporate expenses related to growth of the Company.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7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To date we have funded our operations primarily through the sale of convertible preferred stock, and common stock. Through September 30, 2023, we have raised an aggregate of approximately $324.9 million of gross proceeds primarily from private placements of our equity and convertible preferred stock and warrants, as well as through the issuance of our common stock. On November 9, 2023, we issued and sold 11,000,000 shares of common stock at a price to the public of $9.00 per share for aggregate gross proceeds of $99.0 million in the 2023 Follow-On Offering. We received approximately $92.6 million in net proceeds from the 2023 Follow-On Offering after deducting underwriting discounts and commissions and estimated offering expenses. In addition, we have granted the underwriters a 30-day option to purchase up to 1,650,000 additional shares of common stock at a price of $8.46 per share. On December 5, 2022, we issued and sold 7,705,000 shares of common stock, including the full exercise of the underwriters’ option to purchase additional shares at a price to the public of $12.00 per share for aggregate gross proceeds of $92.5 million in the 2022 Follow-On Offering. We received approximately $86.7 million in net proceeds from the 2022 Follow-On Offering after deducting underwriting discounts, commissions and offering expenses. On November 1, 2022, we filed the 2022 Shelf with the SEC in relation to the registration of up to an aggregate offering price of $250.0 million of common stock, preferred stock, debt securities, warrants and units or any combination thereof. We also simultaneously entered into the Sales Agreement with the Sales Agent to provide for the offering, issuance and sale by us of up to an aggregate of $75.0 million of our common stock from time to time in the ATM under the 2022 Shelf and subject to the limitations thereof. We issued 261,807 shares of common stock at an average price of $12.49 for aggregate gross proceeds of $3.3 million during the nine months ended September 30, 2023 under the ATM. In addition, we issued 732,189 shares of common stock at an average price of $12.51 for aggregate gross proceeds of $9.2 million as of December 31, 2022 under the ATM. In connection with the 2023 Follow-On Offering, on November 6, 2023, we delivered written notice to Jefferies that we were suspending and terminating the prospectus related to the shares issuable in the ATM pursuant to the terms of the Sales Agreement. As a result, we will not make any sales of our securities pursuant to the Sales Agreement, unless and until a new prospectus, prospectus supplement, or a new registration statement relating to the shares eligible to be sold in the ATM is filed. Other than the termination of the prospectus, the Sales Agreement remains in full force and effect.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presented:</w:t>
      </w:r>
    </w:p>
    <w:p>
      <w:pPr>
        <w:spacing w:after="0" w:line="202" w:lineRule="exact"/>
        <w:rPr>
          <w:sz w:val="20"/>
          <w:szCs w:val="20"/>
          <w:color w:val="auto"/>
        </w:rPr>
      </w:pPr>
    </w:p>
    <w:p>
      <w:pPr>
        <w:jc w:val="center"/>
        <w:ind w:left="7660"/>
        <w:spacing w:after="0"/>
        <w:rPr>
          <w:sz w:val="20"/>
          <w:szCs w:val="20"/>
          <w:color w:val="auto"/>
        </w:rPr>
      </w:pPr>
      <w:r>
        <w:rPr>
          <w:rFonts w:ascii="Arial" w:cs="Arial" w:eastAsia="Arial" w:hAnsi="Arial"/>
          <w:sz w:val="18"/>
          <w:szCs w:val="18"/>
          <w:b w:val="1"/>
          <w:bCs w:val="1"/>
          <w:color w:val="auto"/>
        </w:rPr>
        <w:t>Nine Months Ended</w:t>
      </w:r>
    </w:p>
    <w:p>
      <w:pPr>
        <w:spacing w:after="0" w:line="18" w:lineRule="exact"/>
        <w:rPr>
          <w:sz w:val="20"/>
          <w:szCs w:val="20"/>
          <w:color w:val="auto"/>
        </w:rPr>
      </w:pPr>
    </w:p>
    <w:p>
      <w:pPr>
        <w:jc w:val="center"/>
        <w:ind w:left="7660"/>
        <w:spacing w:after="0"/>
        <w:rPr>
          <w:sz w:val="20"/>
          <w:szCs w:val="20"/>
          <w:color w:val="auto"/>
        </w:rPr>
      </w:pPr>
      <w:r>
        <w:rPr>
          <w:rFonts w:ascii="Arial" w:cs="Arial" w:eastAsia="Arial" w:hAnsi="Arial"/>
          <w:sz w:val="18"/>
          <w:szCs w:val="18"/>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23"/>
        </w:trPr>
        <w:tc>
          <w:tcPr>
            <w:tcW w:w="7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(in</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74"/>
              </w:rPr>
              <w:t>thousands)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(46,460 )</w:t>
            </w:r>
          </w:p>
        </w:tc>
        <w:tc>
          <w:tcPr>
            <w:tcW w:w="5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(36,588 )</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9"/>
                <w:szCs w:val="19"/>
                <w:color w:val="auto"/>
              </w:rPr>
            </w:pP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(23,843 )</w:t>
            </w:r>
          </w:p>
        </w:tc>
        <w:tc>
          <w:tcPr>
            <w:tcW w:w="5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(50,993 )</w:t>
            </w:r>
          </w:p>
        </w:tc>
      </w:tr>
      <w:tr>
        <w:trPr>
          <w:trHeight w:val="230"/>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4,305</w:t>
            </w:r>
          </w:p>
        </w:tc>
        <w:tc>
          <w:tcPr>
            <w:tcW w:w="2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(65,998 )</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(87,151 )</w:t>
            </w:r>
          </w:p>
        </w:tc>
      </w:tr>
      <w:tr>
        <w:trPr>
          <w:trHeight w:val="20"/>
        </w:trPr>
        <w:tc>
          <w:tcPr>
            <w:tcW w:w="7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-179070</wp:posOffset>
            </wp:positionV>
            <wp:extent cx="68580" cy="1797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64"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Operating Activities</w:t>
      </w:r>
    </w:p>
    <w:p>
      <w:pPr>
        <w:spacing w:after="0" w:line="6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During the nine months ended September 30, 2023, net cash used in operating activities was $46.5 million primarily due to our net loss of $54.3 million and a decrease in accounts payable related to timing of vendor invoicing and payments, partially offset by an increase in stock compensation expense and a decrease in prepaid expenses related to CRO costs incurred for the year associated with the start of our Phase 3 global trial.</w:t>
      </w:r>
    </w:p>
    <w:p>
      <w:pPr>
        <w:spacing w:after="0" w:line="188"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During the nine months ended September 30, 2022, net cash used in operating activities was $36.6 million, primarily due to our net loss of $42.2 million and decrease in accounts payable related to the timing of vendor invoicing and payments, partially offset by increases in stock compensation expense and accrued expenses and other liabilities related to personnel expenses and clinical trials.</w:t>
      </w:r>
    </w:p>
    <w:p>
      <w:pPr>
        <w:spacing w:after="0" w:line="178"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Investing Activities</w:t>
      </w:r>
    </w:p>
    <w:p>
      <w:pPr>
        <w:spacing w:after="0" w:line="69"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Net cash used in investing activities during the nine months ended September 30, 2023 was $23.8 million primarily due to purchases of marketable securities and property and equipment, partially offset by maturities of marketable securities.</w:t>
      </w:r>
    </w:p>
    <w:p>
      <w:pPr>
        <w:spacing w:after="0" w:line="173"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Net cash used in investing activities during the nine months ended September 30, 2022 was $51.0 million primarily due to purchases of marketable securities and property and equipment, partially offset by maturities of marketable securities.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7" w:name="page28"/>
    <w:bookmarkEnd w:id="27"/>
    <w:p>
      <w:pPr>
        <w:ind w:left="1020"/>
        <w:spacing w:after="0"/>
        <w:rPr>
          <w:sz w:val="20"/>
          <w:szCs w:val="20"/>
          <w:color w:val="auto"/>
        </w:rPr>
      </w:pPr>
      <w:r>
        <w:rPr>
          <w:rFonts w:ascii="Arial" w:cs="Arial" w:eastAsia="Arial" w:hAnsi="Arial"/>
          <w:sz w:val="18"/>
          <w:szCs w:val="18"/>
          <w:i w:val="1"/>
          <w:iCs w:val="1"/>
          <w:color w:val="auto"/>
        </w:rPr>
        <w:t>Financing Activities</w:t>
      </w:r>
    </w:p>
    <w:p>
      <w:pPr>
        <w:spacing w:after="0" w:line="69"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During the nine months ended September 30, 2023, net cash provided by financing activities was $4.3 million from proceeds from stock options exercises, and issuance of common stock under the ATM and the ESPP plan.</w:t>
      </w:r>
    </w:p>
    <w:p>
      <w:pPr>
        <w:spacing w:after="0" w:line="173"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During the nine months ended September 30, 2022, net cash provided by financing activities was $0.4 million from proceeds from stock options exercises.</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8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plan of operation is to continue implementing our business strategy, continue research and development of bel-sar and any other product candidates we may acquire or develop and continue to expand our research pipeline and our internal research and development capabilities. We expect our expenses to increase substantially in connection with our ongoing activities, particularly as we advance the preclinical activities and clinical trials of our current and future product candidates. In addition,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terminate our research and development programs or future commercialization efforts. Our future capital requirements will depend on many factors, including:</w:t>
      </w:r>
    </w:p>
    <w:p>
      <w:pPr>
        <w:spacing w:after="0" w:line="5" w:lineRule="exact"/>
        <w:rPr>
          <w:sz w:val="20"/>
          <w:szCs w:val="20"/>
          <w:color w:val="auto"/>
        </w:rPr>
      </w:pPr>
    </w:p>
    <w:p>
      <w:pPr>
        <w:ind w:left="1160" w:hanging="508"/>
        <w:spacing w:after="0" w:line="25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timing, progress, costs, and results of discovery, preclinical development, and clinical trials for our current and future product candidates;</w:t>
      </w:r>
    </w:p>
    <w:p>
      <w:pPr>
        <w:spacing w:after="0" w:line="2" w:lineRule="exact"/>
        <w:rPr>
          <w:rFonts w:ascii="Arial" w:cs="Arial" w:eastAsia="Arial" w:hAnsi="Arial"/>
          <w:sz w:val="18"/>
          <w:szCs w:val="18"/>
          <w:color w:val="auto"/>
        </w:rPr>
      </w:pPr>
    </w:p>
    <w:p>
      <w:pPr>
        <w:ind w:left="1160" w:hanging="508"/>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clinical trials required for regulatory approval of our current and future product candidates;</w:t>
      </w:r>
    </w:p>
    <w:p>
      <w:pPr>
        <w:spacing w:after="0" w:line="49" w:lineRule="exact"/>
        <w:rPr>
          <w:rFonts w:ascii="Arial" w:cs="Arial" w:eastAsia="Arial" w:hAnsi="Arial"/>
          <w:sz w:val="18"/>
          <w:szCs w:val="18"/>
          <w:color w:val="auto"/>
        </w:rPr>
      </w:pPr>
    </w:p>
    <w:p>
      <w:pPr>
        <w:ind w:left="1160" w:hanging="508"/>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any of our current and future product candidates;</w:t>
      </w:r>
    </w:p>
    <w:p>
      <w:pPr>
        <w:spacing w:after="0" w:line="36" w:lineRule="exact"/>
        <w:rPr>
          <w:rFonts w:ascii="Arial" w:cs="Arial" w:eastAsia="Arial" w:hAnsi="Arial"/>
          <w:sz w:val="18"/>
          <w:szCs w:val="18"/>
          <w:color w:val="auto"/>
        </w:rPr>
      </w:pPr>
    </w:p>
    <w:p>
      <w:pPr>
        <w:ind w:left="1160" w:hanging="508"/>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manufacturing clinical and commercial supplies of our current and future product candidates;</w:t>
      </w:r>
    </w:p>
    <w:p>
      <w:pPr>
        <w:spacing w:after="0" w:line="49" w:lineRule="exact"/>
        <w:rPr>
          <w:rFonts w:ascii="Arial" w:cs="Arial" w:eastAsia="Arial" w:hAnsi="Arial"/>
          <w:sz w:val="18"/>
          <w:szCs w:val="18"/>
          <w:color w:val="auto"/>
        </w:rPr>
      </w:pPr>
    </w:p>
    <w:p>
      <w:pPr>
        <w:ind w:left="1160" w:hanging="508"/>
        <w:spacing w:after="0" w:line="25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2" w:lineRule="exact"/>
        <w:rPr>
          <w:rFonts w:ascii="Arial" w:cs="Arial" w:eastAsia="Arial" w:hAnsi="Arial"/>
          <w:sz w:val="18"/>
          <w:szCs w:val="18"/>
          <w:color w:val="auto"/>
        </w:rPr>
      </w:pPr>
    </w:p>
    <w:p>
      <w:pPr>
        <w:jc w:val="both"/>
        <w:ind w:left="1160" w:hanging="508"/>
        <w:spacing w:after="0" w:line="244"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3" w:lineRule="exact"/>
        <w:rPr>
          <w:rFonts w:ascii="Arial" w:cs="Arial" w:eastAsia="Arial" w:hAnsi="Arial"/>
          <w:sz w:val="18"/>
          <w:szCs w:val="18"/>
          <w:color w:val="auto"/>
        </w:rPr>
      </w:pPr>
    </w:p>
    <w:p>
      <w:pPr>
        <w:jc w:val="both"/>
        <w:ind w:left="1160" w:hanging="508"/>
        <w:spacing w:after="0" w:line="24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8" w:lineRule="exact"/>
        <w:rPr>
          <w:rFonts w:ascii="Arial" w:cs="Arial" w:eastAsia="Arial" w:hAnsi="Arial"/>
          <w:sz w:val="18"/>
          <w:szCs w:val="18"/>
          <w:color w:val="auto"/>
        </w:rPr>
      </w:pPr>
    </w:p>
    <w:p>
      <w:pPr>
        <w:ind w:left="1160" w:hanging="508"/>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49" w:lineRule="exact"/>
        <w:rPr>
          <w:rFonts w:ascii="Arial" w:cs="Arial" w:eastAsia="Arial" w:hAnsi="Arial"/>
          <w:sz w:val="18"/>
          <w:szCs w:val="18"/>
          <w:color w:val="auto"/>
        </w:rPr>
      </w:pPr>
    </w:p>
    <w:p>
      <w:pPr>
        <w:ind w:left="1160" w:hanging="508"/>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expenses to attract, hire and retain, skilled personnel;</w:t>
      </w:r>
    </w:p>
    <w:p>
      <w:pPr>
        <w:spacing w:after="0" w:line="36" w:lineRule="exact"/>
        <w:rPr>
          <w:rFonts w:ascii="Arial" w:cs="Arial" w:eastAsia="Arial" w:hAnsi="Arial"/>
          <w:sz w:val="18"/>
          <w:szCs w:val="18"/>
          <w:color w:val="auto"/>
        </w:rPr>
      </w:pPr>
    </w:p>
    <w:p>
      <w:pPr>
        <w:ind w:left="1160" w:hanging="508"/>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49" w:lineRule="exact"/>
        <w:rPr>
          <w:rFonts w:ascii="Arial" w:cs="Arial" w:eastAsia="Arial" w:hAnsi="Arial"/>
          <w:sz w:val="18"/>
          <w:szCs w:val="18"/>
          <w:color w:val="auto"/>
        </w:rPr>
      </w:pPr>
    </w:p>
    <w:p>
      <w:pPr>
        <w:ind w:left="1160" w:hanging="508"/>
        <w:spacing w:after="0" w:line="25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establish a commercially viable pricing structure and obtain approval for coverage and adequate reimbursement from third-party and government payers;</w:t>
      </w:r>
    </w:p>
    <w:p>
      <w:pPr>
        <w:spacing w:after="0" w:line="2" w:lineRule="exact"/>
        <w:rPr>
          <w:rFonts w:ascii="Arial" w:cs="Arial" w:eastAsia="Arial" w:hAnsi="Arial"/>
          <w:sz w:val="18"/>
          <w:szCs w:val="18"/>
          <w:color w:val="auto"/>
        </w:rPr>
      </w:pPr>
    </w:p>
    <w:p>
      <w:pPr>
        <w:ind w:left="1160" w:hanging="508"/>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36" w:lineRule="exact"/>
        <w:rPr>
          <w:rFonts w:ascii="Arial" w:cs="Arial" w:eastAsia="Arial" w:hAnsi="Arial"/>
          <w:sz w:val="18"/>
          <w:szCs w:val="18"/>
          <w:color w:val="auto"/>
        </w:rPr>
      </w:pPr>
    </w:p>
    <w:p>
      <w:pPr>
        <w:ind w:left="1160" w:hanging="508"/>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and</w:t>
      </w:r>
    </w:p>
    <w:p>
      <w:pPr>
        <w:spacing w:after="0" w:line="49" w:lineRule="exact"/>
        <w:rPr>
          <w:rFonts w:ascii="Arial" w:cs="Arial" w:eastAsia="Arial" w:hAnsi="Arial"/>
          <w:sz w:val="18"/>
          <w:szCs w:val="18"/>
          <w:color w:val="auto"/>
        </w:rPr>
      </w:pPr>
    </w:p>
    <w:p>
      <w:pPr>
        <w:ind w:left="1160" w:hanging="508"/>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unfavorable global economic conditions, which may exacerbate the magnitude of the factors discussed above.</w:t>
      </w:r>
    </w:p>
    <w:p>
      <w:pPr>
        <w:spacing w:after="0" w:line="22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mean a significant change in the costs and timing associated with the development of that product candidate. As of September 30, 2023, we had cash and cash equivalents and marketable securities of $149.1 million. Based on our research and development plans, we believe that our existing cash and cash equivalents and marketable securities and $92.6 million in net proceeds from the 2023 Follow-On Offering after deducting underwriting discounts and commissions and estimated offering expenses, will be sufficient to fund our operations into the second half of 2026. We have based this estimate on assumptions that may prove to be wrong, and we could exhaust our available capital resources sooner than we expect.</w:t>
      </w:r>
    </w:p>
    <w:p>
      <w:pPr>
        <w:spacing w:after="0" w:line="19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Until such time as we can generate significant revenue from product sales, if ever, we expect to finance our operations from the sale of additional equity or debt financings, or other capital which comes in the form of strategic collaborations, licensing, or other arrangements. In the event that additional financing is required, we may not be able to raise it on terms acceptable to us, or at all. If we raise additional funds through the issuance of equity or convertible preferred stock, it may result in dilution to our existing stockholders. Debt financing or preferred equity financing, if available, may result in increased fixed payment obligations, and the existence of securities with rights that may be senior to those of our common stock. If we incur indebtedness, we could become subject to covenants that would restrict our operations.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8" w:name="page29"/>
    <w:bookmarkEnd w:id="28"/>
    <w:p>
      <w:pPr>
        <w:jc w:val="both"/>
        <w:ind w:firstLine="509"/>
        <w:spacing w:after="0" w:line="239" w:lineRule="auto"/>
        <w:rPr>
          <w:sz w:val="20"/>
          <w:szCs w:val="20"/>
          <w:color w:val="auto"/>
        </w:rPr>
      </w:pPr>
      <w:r>
        <w:rPr>
          <w:rFonts w:ascii="Arial" w:cs="Arial" w:eastAsia="Arial" w:hAnsi="Arial"/>
          <w:sz w:val="18"/>
          <w:szCs w:val="18"/>
          <w:color w:val="auto"/>
        </w:rPr>
        <w:t>If we raise funds through strategic collaboration, licensing or other arrangements, we may relinquish significant rights or grant licenses on terms that are not favorable to us. Our ability to raise additional funds may be adversely impacted by potential worsening global economic conditions and the recent disruptions to, and volatility in, the credit and financial markets in the United States and worldwide.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contractual obligations and commitments as of September 30, 2023.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rPr>
              <w:t>Payments Due by Period</w:t>
            </w:r>
          </w:p>
        </w:tc>
        <w:tc>
          <w:tcPr>
            <w:tcW w:w="3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ind w:right="10"/>
              <w:spacing w:after="0" w:line="187" w:lineRule="exact"/>
              <w:rPr>
                <w:sz w:val="20"/>
                <w:szCs w:val="20"/>
                <w:color w:val="auto"/>
              </w:rPr>
            </w:pPr>
            <w:r>
              <w:rPr>
                <w:rFonts w:ascii="Arial" w:cs="Arial" w:eastAsia="Arial" w:hAnsi="Arial"/>
                <w:sz w:val="18"/>
                <w:szCs w:val="18"/>
                <w:b w:val="1"/>
                <w:bCs w:val="1"/>
                <w:color w:val="auto"/>
              </w:rPr>
              <w:t>Less than</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320"/>
              <w:spacing w:after="0" w:line="187" w:lineRule="exact"/>
              <w:rPr>
                <w:sz w:val="20"/>
                <w:szCs w:val="20"/>
                <w:color w:val="auto"/>
              </w:rPr>
            </w:pPr>
            <w:r>
              <w:rPr>
                <w:rFonts w:ascii="Arial" w:cs="Arial" w:eastAsia="Arial" w:hAnsi="Arial"/>
                <w:sz w:val="18"/>
                <w:szCs w:val="18"/>
                <w:b w:val="1"/>
                <w:bCs w:val="1"/>
                <w:color w:val="auto"/>
              </w:rPr>
              <w:t>1 to 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250"/>
              <w:spacing w:after="0" w:line="187" w:lineRule="exact"/>
              <w:rPr>
                <w:sz w:val="20"/>
                <w:szCs w:val="20"/>
                <w:color w:val="auto"/>
              </w:rPr>
            </w:pPr>
            <w:r>
              <w:rPr>
                <w:rFonts w:ascii="Arial" w:cs="Arial" w:eastAsia="Arial" w:hAnsi="Arial"/>
                <w:sz w:val="18"/>
                <w:szCs w:val="18"/>
                <w:b w:val="1"/>
                <w:bCs w:val="1"/>
                <w:color w:val="auto"/>
              </w:rPr>
              <w:t>3 to 5</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jc w:val="right"/>
              <w:ind w:right="70"/>
              <w:spacing w:after="0" w:line="187" w:lineRule="exact"/>
              <w:rPr>
                <w:sz w:val="20"/>
                <w:szCs w:val="20"/>
                <w:color w:val="auto"/>
              </w:rPr>
            </w:pPr>
            <w:r>
              <w:rPr>
                <w:rFonts w:ascii="Arial" w:cs="Arial" w:eastAsia="Arial" w:hAnsi="Arial"/>
                <w:sz w:val="18"/>
                <w:szCs w:val="18"/>
                <w:b w:val="1"/>
                <w:bCs w:val="1"/>
                <w:color w:val="auto"/>
              </w:rPr>
              <w:t>More than</w:t>
            </w:r>
          </w:p>
        </w:tc>
        <w:tc>
          <w:tcPr>
            <w:tcW w:w="100" w:type="dxa"/>
            <w:vAlign w:val="bottom"/>
          </w:tcPr>
          <w:p>
            <w:pPr>
              <w:spacing w:after="0"/>
              <w:rPr>
                <w:sz w:val="16"/>
                <w:szCs w:val="16"/>
                <w:color w:val="auto"/>
              </w:rPr>
            </w:pPr>
          </w:p>
        </w:tc>
      </w:tr>
      <w:tr>
        <w:trPr>
          <w:trHeight w:val="239"/>
        </w:trPr>
        <w:tc>
          <w:tcPr>
            <w:tcW w:w="3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1 Year</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Years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Years</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5 Years</w:t>
            </w:r>
          </w:p>
        </w:tc>
        <w:tc>
          <w:tcPr>
            <w:tcW w:w="100" w:type="dxa"/>
            <w:vAlign w:val="bottom"/>
          </w:tcPr>
          <w:p>
            <w:pPr>
              <w:spacing w:after="0"/>
              <w:rPr>
                <w:sz w:val="20"/>
                <w:szCs w:val="20"/>
                <w:color w:val="auto"/>
              </w:rPr>
            </w:pPr>
          </w:p>
        </w:tc>
      </w:tr>
      <w:tr>
        <w:trPr>
          <w:trHeight w:val="223"/>
        </w:trPr>
        <w:tc>
          <w:tcPr>
            <w:tcW w:w="3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commitments (1)</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31,655</w:t>
            </w: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3,185</w:t>
            </w:r>
          </w:p>
        </w:tc>
        <w:tc>
          <w:tcPr>
            <w:tcW w:w="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6,662</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7,068</w:t>
            </w:r>
          </w:p>
        </w:tc>
        <w:tc>
          <w:tcPr>
            <w:tcW w:w="3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14,740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3420" w:type="dxa"/>
            <w:vAlign w:val="bottom"/>
          </w:tcPr>
          <w:p>
            <w:pPr>
              <w:ind w:left="20"/>
              <w:spacing w:after="0"/>
              <w:rPr>
                <w:sz w:val="20"/>
                <w:szCs w:val="20"/>
                <w:color w:val="auto"/>
              </w:rPr>
            </w:pPr>
            <w:r>
              <w:rPr>
                <w:rFonts w:ascii="Arial" w:cs="Arial" w:eastAsia="Arial" w:hAnsi="Arial"/>
                <w:sz w:val="18"/>
                <w:szCs w:val="18"/>
                <w:color w:val="auto"/>
              </w:rPr>
              <w:t>Total</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31,655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3,185</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6,662</w:t>
            </w:r>
          </w:p>
        </w:tc>
        <w:tc>
          <w:tcPr>
            <w:tcW w:w="180" w:type="dxa"/>
            <w:vAlign w:val="bottom"/>
          </w:tcPr>
          <w:p>
            <w:pPr>
              <w:spacing w:after="0"/>
              <w:rPr>
                <w:sz w:val="19"/>
                <w:szCs w:val="19"/>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7,068</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14,740</w:t>
            </w:r>
          </w:p>
        </w:tc>
        <w:tc>
          <w:tcPr>
            <w:tcW w:w="100" w:type="dxa"/>
            <w:vAlign w:val="bottom"/>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-179070</wp:posOffset>
            </wp:positionV>
            <wp:extent cx="76835" cy="1797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-179070</wp:posOffset>
            </wp:positionV>
            <wp:extent cx="68580" cy="1797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-179070</wp:posOffset>
            </wp:positionV>
            <wp:extent cx="68580" cy="1797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-179070</wp:posOffset>
            </wp:positionV>
            <wp:extent cx="68580" cy="1797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85725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380" w:hanging="372"/>
        <w:spacing w:after="0" w:line="260"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in the table above reflect payments due for our lease of office and lab space in Boston, Massachusetts, that expires in August 2032.</w:t>
      </w:r>
    </w:p>
    <w:p>
      <w:pPr>
        <w:spacing w:after="0" w:line="227" w:lineRule="exact"/>
        <w:rPr>
          <w:sz w:val="20"/>
          <w:szCs w:val="20"/>
          <w:color w:val="auto"/>
        </w:rPr>
      </w:pPr>
    </w:p>
    <w:p>
      <w:pPr>
        <w:jc w:val="both"/>
        <w:ind w:firstLine="564"/>
        <w:spacing w:after="0" w:line="260" w:lineRule="auto"/>
        <w:rPr>
          <w:sz w:val="20"/>
          <w:szCs w:val="20"/>
          <w:color w:val="auto"/>
        </w:rPr>
      </w:pPr>
      <w:r>
        <w:rPr>
          <w:rFonts w:ascii="Arial" w:cs="Arial" w:eastAsia="Arial" w:hAnsi="Arial"/>
          <w:sz w:val="18"/>
          <w:szCs w:val="18"/>
          <w:color w:val="auto"/>
        </w:rPr>
        <w:t>On May 16, 2022, the Company entered into an office and laboratory lease in Boston, Massachusetts with an initial 10-year term and one renewal option to extend the lease for an additional seven years. The lease commenced on August 1, 2022.</w:t>
      </w:r>
    </w:p>
    <w:p>
      <w:pPr>
        <w:spacing w:after="0" w:line="2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Except as disclosed in the table above, we have no long-term debt or finance leases and no material non-cancelable purchase commitments with service providers, as we have generally contracted on a cancelable, purchase-order basis. We enter into contracts in the normal course of business with equipment and reagent vendors, CROs, CMOs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We have also acquired exclusive and non-exclusive rights to use, research, develop and offer for sale certain products and patents under license agreements. The license agreements obligate us to make payments to the licensors for license fees, milestones, license maintenance fees and royalties. These payments are not included in the preceding table as the amount and timing of such payments are not known.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87"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Our management’s discussion and analysis of financial condition and results of operations is based on our consolidated financial statements, which have been prepared in accordance with U.S. generally accepted accounting principles, or U.S. GAAP. The preparation of our condensed consolidated financial statements and related disclosures requires us to make estimates and assumptions that affect the reported amounts of assets and liabilities, costs and expenses and the disclosure of contingent assets and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During the nine months ended September 30, 2023, there were no material changes to our critical accounting policies from those described in the section titled “Management’s Discussion and Analysis of Financial Condition and Operations” included in our Annual Report on Form 10-K for the year ended December 31, 2022, as filed with the SEC.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73"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We assessed the recent accounting pronouncements for the nine months ended September 30, 2023 and determined no pronouncements have material impact to the condensed consolidated financial statements.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7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Jumpstart Our Business Startups Act of 2012, or the JOBS Act, permits that an “emerging growth company” may take advantage of the extended transition period to comply with new or revised accounting standards applicable to public companies until those standards would otherwise apply to private companies. We have elected to use the extended transition period under the JOBS Act. Accordingly, our consolidated financial statements may not be comparable to the financial statements of public companies that comply with such new or revised accounting standards. The JOBS Act also exempts us from having to provide an auditor attestation of internal control over financial reporting under Sarbanes-Oxley Act Section 404(b).</w:t>
      </w:r>
    </w:p>
    <w:p>
      <w:pPr>
        <w:spacing w:after="0" w:line="5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will remain an “emerging growth company” until the earliest of: the last day of the fiscal year in which we have more than $1.235 billion in annual revenue; the date we qualify as a “large accelerated filer,” with at least $700.0 million of equity securities held by non-affiliates; the issuance, in any three-year period, by us of more than $1.0 billion in non-convertible debt securities; or the last day of the fiscal year ending after the fifth anniversary of our IPO.</w:t>
      </w:r>
    </w:p>
    <w:p>
      <w:pPr>
        <w:spacing w:after="0" w:line="39"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If we are a smaller reporting company at the time we cease to be an Emerging Growth Company, or EGC, we may continue to rely on exemptions from certain disclosure requirements that are available to smaller reporting companies. Specifically, as a smaller reporting company we will not be required to obtain a separate attestation of internal control over financial reporting (ICFR) from an outside auditor.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7"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We are a smaller reporting company as defined by Rule 12b-2 of the Securities Exchange Act of 1934 and are not required to provide the information under this item.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Disclosure Controls and Procedures</w:t>
      </w:r>
    </w:p>
    <w:p>
      <w:pPr>
        <w:spacing w:after="0" w:line="6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Based on such evaluation, our Chief Executive Officer and Chief Financial Officer have concluded that as of September 30, 2023, our disclosure controls and procedures were effective to provide reasonable assurance that the information required to be disclosed by us in this Quarterly Report was (a) reported within the time periods specified by the SEC rules and regulations, and (b) communicated to our management, including our Chief Executive Officer and Chief Financial Officer, to allow timely decisions regarding any required disclosure.</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6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73"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From time to time, we may become subject to various legal proceedings and claims that arise in the ordinary course of our business activities. Although the results of litigation and claims cannot be predicted with certainty, as of September 30, 2023,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read and consider all of the risks described below, as well as the other information in this Quarterly Report on Form 10-Q, including our condensed consolidated financial statements and related notes thereto and the section titled “Management’s Discussion and Analysis of Financial Condition and Results of Operations”. The occurrence of any of the events or developments described below could harm our business, financial condition, results of operations and growth prospects. Unless otherwise indicated, references to our business being harmed in these risk factors will include harm to our business, reputation, financial condition, results of operations and future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Additional Capital Needs</w:t>
      </w:r>
    </w:p>
    <w:p>
      <w:pPr>
        <w:spacing w:after="0" w:line="63"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b w:val="1"/>
          <w:bCs w:val="1"/>
          <w:i w:val="1"/>
          <w:iCs w:val="1"/>
          <w:color w:val="auto"/>
        </w:rPr>
        <w:t>We have incurred significant net losses since our inception and anticipate that we will continue to incur losses for the foreseeable future.</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Investment in biotechnology product development is highly speculative because it entails substantial upfront capital expenditures and significant risk that a product candidate will fail to gain regulatory approval or fail to become commercially viable. Our net losses were $54.3 million and $ 42.2 million for the nine months ended September 30, 2023 and 2022, respectively. As of September 30, 2023, we had an accumulated deficit of $ 265.2 million. Substantially all of our net losses have resulted from costs incurred in connection with our research and development programs and from general and administrative costs associated with our operations. We expect our research and development expenses to increase significantly as we continue clinical development for bel-sar and continue to discover and develop additional product candidates. In addition, if we obtain regulatory approval for our product candidates, we will incur significant sales, marketing and manufacturing expenses. We will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We have no products approved for commercial sale and, therefore, have never generated any revenue from product sales, and we do not expect to in the foreseeable future. Even if we do become profitable, we may not be able to sustain or increase our profitability on a quarterly or annual basis.</w:t>
      </w:r>
    </w:p>
    <w:p>
      <w:pPr>
        <w:spacing w:after="0" w:line="19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from any product sales. We have no products approved for commercial sale, and do not anticipate generating any revenue from product sales until after we have received marketing approval for the commercial sale of a product candidate, if ever. Our ability to generate revenue and achieve profitability depends significantly on our success in achieving a number of goals, including:</w:t>
      </w:r>
    </w:p>
    <w:p>
      <w:pPr>
        <w:spacing w:after="0" w:line="12" w:lineRule="exact"/>
        <w:rPr>
          <w:sz w:val="20"/>
          <w:szCs w:val="20"/>
          <w:color w:val="auto"/>
        </w:rPr>
      </w:pPr>
    </w:p>
    <w:p>
      <w:pPr>
        <w:jc w:val="both"/>
        <w:ind w:left="1020" w:right="20" w:hanging="503"/>
        <w:spacing w:after="0" w:line="24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initiating and completing research regarding, and preclinical and clinical development of, bel-sar in primary choroidal melanoma and, additional oncology indications, including NMIBC, other research programs from our VDC technology platform and any future product candidates;</w:t>
      </w:r>
    </w:p>
    <w:p>
      <w:pPr>
        <w:spacing w:after="0" w:line="8"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marketing approval for bel-sar and any future product candidates for which we complete clinical trials;</w:t>
      </w:r>
    </w:p>
    <w:p>
      <w:pPr>
        <w:spacing w:after="0" w:line="36" w:lineRule="exact"/>
        <w:rPr>
          <w:rFonts w:ascii="Arial" w:cs="Arial" w:eastAsia="Arial" w:hAnsi="Arial"/>
          <w:sz w:val="18"/>
          <w:szCs w:val="18"/>
          <w:color w:val="auto"/>
        </w:rPr>
      </w:pPr>
    </w:p>
    <w:p>
      <w:pPr>
        <w:jc w:val="both"/>
        <w:ind w:left="1020" w:hanging="503"/>
        <w:spacing w:after="0" w:line="24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transferring our manufacturing process to a commercial contract development and manufacturing organization for bel-sar and any future product candidates, including establishing and maintaining commercially viable supply and manufacturing relationships with third parties;</w:t>
      </w:r>
    </w:p>
    <w:p>
      <w:pPr>
        <w:spacing w:after="0" w:line="8"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launching and commercializing bel-sar and any future product candidates for which we obtain marketing approvals, either directly or with a collaborator or distributor;</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market acceptance of bel-sar and any future product candidates as viable treatment options;</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identifying, assessing, acquiring and developing new product candidates from our VDC technology platform;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36"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maintaining, protecting, and expanding our portfolio of intellectual property rights, including patents, trade secrets, and know-how; and</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Even if bel-sar or any future product candidates that we develop are approved for commercial sale, we anticipate incurring significant costs associated with commercializing any such product candidate. Our expenses could increase beyond expectations if we are required by the FDA or comparable foreign regulatory authorities to change our manufacturing processes or assays, or to perform clinical, nonclinical, or other types of studies in addition to those that we currently anticipate.</w:t>
      </w:r>
    </w:p>
    <w:p>
      <w:pPr>
        <w:spacing w:after="0" w:line="18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If we are successful in obtaining regulatory approvals to market bel-sar or any future product candidates, our revenue will be dependent, in part, upon the size of the markets in the territories for which we gain marketing approval, the accepted price for the product, the ability to get reimbursement at any price, and whether we own the commercial rights for that territory. If the number of our addressable patients is not as significant as we estimate, the indication approved by regulatory authorities is narrower than we expect, the labels for bel-sar and any future product candidates contain significant safety warnings, regulatory authorities impose burdensome or restrictive distribution requirements, or the reasonably accepted patient population for treatment is narrowed by competition, physician choice or treatment guidelines, we may not generate significant revenue from sales of such products, even if approved. If we are not able to generate revenue from the sale of any approved products, we could be prevented from or significantly delayed in achieving profitability.</w:t>
      </w:r>
    </w:p>
    <w:p>
      <w:pPr>
        <w:spacing w:after="0" w:line="19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If we are unable to raise such capital when needed, or on acceptable terms, we may be forced to delay, reduce or terminate one or more of our research and development programs, future commercialization efforts, product development or other operations.</w:t>
      </w:r>
    </w:p>
    <w:p>
      <w:pPr>
        <w:spacing w:after="0" w:line="12"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Since our inception, we have used substantial amounts of cash to fund our operations, and our expenses will increase substantially in the foreseeable future in connection with our ongoing activities, particularly as we continue the research and development of, initiate and complete clinical trials of, and seek marketing approval for bel-sar. Identifying and developing pharmaceutical products, including conducting preclinical studies and clinical trials, is a very time-consuming, expensive and uncertain process that takes years to complete. Even if one or more of bel-sar or any future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regulatory agencies to perform clinical trials or nonclinical studies in addition to those that we are currently conducting or anticipate. Other unanticipated costs may also arise. Because the design and outcome of our current and planned clinical trials are highly uncertain, we cannot reasonably estimate the actual amount of resources and funding that will be necessary to successfully complete the development and commercialization of bel-sar or any future product candidates that we develop. We also expect to incur additional costs associated with operating as a public company. Accordingly, we will need to obtain substantial additional funding in order to continue our operations.</w:t>
      </w:r>
    </w:p>
    <w:p>
      <w:pPr>
        <w:spacing w:after="0" w:line="19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Based on our current operating plan, we believe that our existing cash and cash equivalents and marketable securities and $92.6 million in net proceeds from the 2023 Follow-On Offering after deducting underwriting discounts and commissions and estimated offering expenses, will be sufficient to fund our operating expenses and capital expenditures into the second half of 2026. Advancing the development of bel-sar and other research programs will require a significant amount of capital. Our existing cash and cash equivalents will not be sufficient to fund bel-sar through regulatory approval, and we anticipate needing to raise additional capital to complete the development of and commercialize bel-sar. Our estimate as to how long we expect our existing cash and cash equivalents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32" w:name="page33"/>
    <w:bookmarkEnd w:id="32"/>
    <w:p>
      <w:pPr>
        <w:jc w:val="both"/>
        <w:ind w:firstLine="509"/>
        <w:spacing w:after="0" w:line="236" w:lineRule="auto"/>
        <w:rPr>
          <w:sz w:val="20"/>
          <w:szCs w:val="20"/>
          <w:color w:val="auto"/>
        </w:rPr>
      </w:pPr>
      <w:r>
        <w:rPr>
          <w:rFonts w:ascii="Arial" w:cs="Arial" w:eastAsia="Arial" w:hAnsi="Arial"/>
          <w:sz w:val="18"/>
          <w:szCs w:val="18"/>
          <w:color w:val="auto"/>
        </w:rPr>
        <w:t>We will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Adequate additional financing may not be available to us on acceptable terms, or at all. Any additional fundraising efforts may divert our management from their day-to-day activities, which may adversely affect our ability to develop and commercialize product candidates. Disruptions in financial markets due to unfavorable global economic conditions and inflationary pressures may make equity and debt financings more difficult to obtain and may have a material adverse effect on our ability to meet our fundraising needs. To the extent that we raise additional capital through the sale of equity or convertible preferred stock,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commercialize bel-sar if and when approved and develop our product candidates.</w:t>
      </w:r>
    </w:p>
    <w:p>
      <w:pPr>
        <w:spacing w:after="0" w:line="2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clinical trials, research and development programs, future commercialization efforts or other operations.</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Recent volatility in capital markets may affect our ability to access new capital through sales of shares of our common stock or issuance of indebtedness.</w:t>
      </w:r>
    </w:p>
    <w:p>
      <w:pPr>
        <w:spacing w:after="0" w:line="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Our operations consume substantial amounts of cash, and we intend to continue to make significant investments to support our business growth, respond to business challenges or opportunities, develop new solutions, retain or expand our current levels of personnel, improve our existing solutions, enhance our operating infrastructure, and potentially acquire complementary businesses and technologies. Our future capital requirements may be significantly different from our current estimates and will depend on many factors, including the need to:</w:t>
      </w:r>
    </w:p>
    <w:p>
      <w:pPr>
        <w:spacing w:after="0" w:line="14"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finance unanticipated working capital requirements;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or enhance our technological infrastructure and our existing solutions;</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pursue acquisitions or other strategic relationships; and</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respond to competitive pressures.</w:t>
      </w:r>
    </w:p>
    <w:p>
      <w:pPr>
        <w:spacing w:after="0" w:line="22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businesses.</w:t>
      </w:r>
    </w:p>
    <w:p>
      <w:pPr>
        <w:spacing w:after="0" w:line="184"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proprietary rights to our technologies or product candidates.</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our stockholders’ rights. Further, to the extent that we raise additional capital through the sale of common stock or securities convertible or exchangeable into common stock, existing stockholder ownership interest will be diluted. In addition, any debt financing may subject us to fixed payment obligations and covenants limiting or restricting our ability to take specific actions, such as incurring additional debt, making capital expenditures or declaring dividends. Such restrictions could adversely impact our ability to conduct our operations and execute our business plan.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33" w:name="page34"/>
    <w:bookmarkEnd w:id="33"/>
    <w:p>
      <w:pPr>
        <w:jc w:val="both"/>
        <w:ind w:firstLine="509"/>
        <w:spacing w:after="0" w:line="241" w:lineRule="auto"/>
        <w:rPr>
          <w:sz w:val="20"/>
          <w:szCs w:val="20"/>
          <w:color w:val="auto"/>
        </w:rPr>
      </w:pPr>
      <w:r>
        <w:rPr>
          <w:rFonts w:ascii="Arial" w:cs="Arial" w:eastAsia="Arial" w:hAnsi="Arial"/>
          <w:sz w:val="18"/>
          <w:szCs w:val="18"/>
          <w:color w:val="auto"/>
        </w:rPr>
        <w:t>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We also could be required to seek commercial or development partners for our lead products or any future product candidate at an earlier stage than otherwise would be desirable or relinquish our rights to product candidates or technologies that we otherwise would seek to develop or commercialize ourselves.</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our objectives relating to the discovery, development and commercialization of our product candidates.</w:t>
      </w:r>
    </w:p>
    <w:p>
      <w:pPr>
        <w:spacing w:after="0" w:line="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rely on our team’s expertise in drug discovery, translational research and patient-driven precision medicine to develop our product candidates. Our business depends significantly on the success of this engine and the development and commercialization of the product candidates that we discover with this engine. We have no products approved for commercial sale and do not anticipate generating any revenue from product sales in the near term, if ever. Our ability to generate revenue and achieve profitability depends significantly on our ability to achieve several objectives, including:</w:t>
      </w:r>
    </w:p>
    <w:p>
      <w:pPr>
        <w:spacing w:after="0" w:line="14" w:lineRule="exact"/>
        <w:rPr>
          <w:sz w:val="20"/>
          <w:szCs w:val="20"/>
          <w:color w:val="auto"/>
        </w:rPr>
      </w:pPr>
    </w:p>
    <w:p>
      <w:pPr>
        <w:jc w:val="both"/>
        <w:ind w:left="1020" w:hanging="503"/>
        <w:spacing w:after="0" w:line="24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and timely completion of preclinical and clinical development of bel-sar in indeterminate lesions and primary choroidal melanoma and additional oncology indications, including but not limited to bladder cancer, other research programs from our VDC technology platform, and any other future programs;</w:t>
      </w:r>
    </w:p>
    <w:p>
      <w:pPr>
        <w:spacing w:after="0" w:line="8"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and maintaining relationships with CROs and clinical sites for the clinical development of bel-sar, other research programs from our VDC technology platform, and any other future programs;</w:t>
      </w:r>
    </w:p>
    <w:p>
      <w:pPr>
        <w:ind w:left="1020" w:hanging="503"/>
        <w:spacing w:after="0" w:line="25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2" w:lineRule="exact"/>
        <w:rPr>
          <w:rFonts w:ascii="Arial" w:cs="Arial" w:eastAsia="Arial" w:hAnsi="Arial"/>
          <w:sz w:val="18"/>
          <w:szCs w:val="18"/>
          <w:color w:val="auto"/>
        </w:rPr>
      </w:pPr>
    </w:p>
    <w:p>
      <w:pPr>
        <w:ind w:left="1020" w:right="20" w:hanging="503"/>
        <w:spacing w:after="0" w:line="25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transferring our manufacturing process to a commercial contract development and manufacturing organization, or CDMO, including obtaining finished products that are appropriately packaged for sale;</w:t>
      </w:r>
    </w:p>
    <w:p>
      <w:pPr>
        <w:spacing w:after="0" w:line="2" w:lineRule="exact"/>
        <w:rPr>
          <w:rFonts w:ascii="Arial" w:cs="Arial" w:eastAsia="Arial" w:hAnsi="Arial"/>
          <w:sz w:val="18"/>
          <w:szCs w:val="18"/>
          <w:color w:val="auto"/>
        </w:rPr>
      </w:pPr>
    </w:p>
    <w:p>
      <w:pPr>
        <w:jc w:val="both"/>
        <w:ind w:left="1020" w:hanging="503"/>
        <w:spacing w:after="0" w:line="244"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3"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 of our product candidates;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commercial acceptance of our product candidates by patients, the medical community and third-party payors;</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satisfying any required post-marketing approval commitments to applicable regulatory authorities;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identifying, assessing and developing new product candidates from our VDC technology platform;</w:t>
      </w:r>
    </w:p>
    <w:p>
      <w:pPr>
        <w:spacing w:after="0" w:line="49"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defending against third-party interference or infringement claims, if any;</w:t>
      </w:r>
    </w:p>
    <w:p>
      <w:pPr>
        <w:spacing w:after="0" w:line="49"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entering into, on favorable terms, any collaboration, licensing or other arrangements that may be necessary or desirable to develop, manufacture or commercialize our product candidates;</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coverage and adequate reimbursement by third-party payors for our product candidates;</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heavily dependent on the success of bel-sar, our only product candidate to date.</w:t>
      </w:r>
    </w:p>
    <w:p>
      <w:pPr>
        <w:spacing w:after="0" w:line="87"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currently have no products that are approved for commercial sale and may never be able to develop marketable products. We expect that a substantial portion of our efforts and expenditures over the next several years will be devoted to development of bel-sar in multiple oncology indications, which is currently our only product candidate. Accordingly, our business currently depends heavily on the successful development, regulatory approval, and commercialization of bel-sar. We can provide no assurance that bel-sar will receive regulatory approval or be successfully commercialized even if we receive regulatory approval. If we were required to discontinue development of bel-sar or if bel-sar does not receive regulatory approval or fails to achieve significant market acceptance, we would be delayed by many years in our ability to achieve profitability, if ever.</w:t>
      </w:r>
    </w:p>
    <w:p>
      <w:pPr>
        <w:spacing w:after="0" w:line="19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research, testing, manufacturing, safety, efficacy, recordkeeping, labeling, approval, licensure, sale, marketing, advertising, promotion and distribution of bel-sar is, and will remain, subject to comprehensive regulation by the FDA and foreign regulatory authorities. Failure to obtain regulatory approval for bel-sar in the United States, Europe and other major markets around the world will prevent us from commercializing and marketing bel-sar in such jurisdictions.</w:t>
      </w:r>
    </w:p>
    <w:p>
      <w:pPr>
        <w:spacing w:after="0" w:line="18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Even if we were to successfully obtain approval from the FDA and foreign regulatory authorities for bel-sar, any approval might contain significant limitations related to use, including limitations on the stage or type of cancer bel-sar is approved to treat, as well as restrictions for specified age groups, warnings, precautions or contraindications, or requirement for a risk evaluation and mitigation strategy, or REMS. Any such limitations or restrictions could similarly impact any supplemental marketing approvals we may obtain for bel-sar. Furthermore, even if we obtain regulatory approval for bel-sar, we will still need to develop a commercial infrastructure or develop relationships with collaborators to commercialize, establish a commercially viable pricing structure and obtain coverage and adequate reimbursement from third-party payors, including government healthcare programs. If we, or any future collaborators, are unable to successfully commercialize bel-sar, we may not be able to generate sufficient revenue to continue our business.</w:t>
      </w:r>
    </w:p>
    <w:p>
      <w:pPr>
        <w:spacing w:after="0" w:line="18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If we are not able to obtain, or if there are delays in obtaining, required regulatory approvals for bel-sar, we will not be able to commercialize, or will be delayed in commercializing, our product candidates, and our ability to generate revenue will be materially impaired.</w:t>
      </w:r>
    </w:p>
    <w:p>
      <w:pPr>
        <w:spacing w:after="0" w:line="12"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product candidates, we must obtain marketing approval. We have not received approval to market any of our product candidates from regulatory authorities in any jurisdiction and it is possible that none of our product candidates or any product candidates we may seek to develop in the future will ever obtain regulatory approval. We utilize third-party CROs and/or regulatory consultants to assist us in the regulatory approval process globally and expect to continue to do so in the future.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and clinical sites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9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process of obtaining regulatory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Investigational New Drug application, or IND, Premarket Approval, or PMA, biologics license application, or BLA,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Because the activity of bel-sar in ocular melanoma requires a drug delivery device and activation by a laser, the regulatory complexity of the product candidate is greater than for products that don’t utilize a device, which creates uncertainties in the requirements for regulatory approval. Our product candidates could be delayed in receiving, or fail to receive, regulatory approval for many reasons, including the following:</w:t>
      </w:r>
    </w:p>
    <w:p>
      <w:pPr>
        <w:spacing w:after="0" w:line="20" w:lineRule="exact"/>
        <w:rPr>
          <w:sz w:val="20"/>
          <w:szCs w:val="20"/>
          <w:color w:val="auto"/>
        </w:rPr>
      </w:pPr>
    </w:p>
    <w:p>
      <w:pPr>
        <w:jc w:val="center"/>
        <w:ind w:left="5520" w:right="580" w:hanging="5003"/>
        <w:spacing w:after="0" w:line="526" w:lineRule="auto"/>
        <w:tabs>
          <w:tab w:leader="none" w:pos="102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-108585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5" w:name="page36"/>
    <w:bookmarkEnd w:id="35"/>
    <w:p>
      <w:pPr>
        <w:ind w:left="1020" w:hanging="503"/>
        <w:spacing w:after="0" w:line="250"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ind w:left="1020" w:right="20" w:hanging="503"/>
        <w:spacing w:after="0" w:line="25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49"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ind w:left="1020" w:hanging="503"/>
        <w:spacing w:after="0" w:line="25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BLA or other submission or to obtain regulatory approval in the United States or elsewhere;</w:t>
      </w:r>
    </w:p>
    <w:p>
      <w:pPr>
        <w:spacing w:after="0" w:line="2" w:lineRule="exact"/>
        <w:rPr>
          <w:rFonts w:ascii="Arial" w:cs="Arial" w:eastAsia="Arial" w:hAnsi="Arial"/>
          <w:sz w:val="18"/>
          <w:szCs w:val="18"/>
          <w:color w:val="auto"/>
        </w:rPr>
      </w:pPr>
    </w:p>
    <w:p>
      <w:pPr>
        <w:ind w:left="1020" w:right="20" w:hanging="503"/>
        <w:spacing w:after="0" w:line="25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our manufacturing processes or facilities or those of third-party manufacturers with which we contract for clinical and commercial supplies; and</w:t>
      </w:r>
    </w:p>
    <w:p>
      <w:pPr>
        <w:spacing w:after="0" w:line="2" w:lineRule="exact"/>
        <w:rPr>
          <w:rFonts w:ascii="Arial" w:cs="Arial" w:eastAsia="Arial" w:hAnsi="Arial"/>
          <w:sz w:val="18"/>
          <w:szCs w:val="18"/>
          <w:color w:val="auto"/>
        </w:rPr>
      </w:pPr>
    </w:p>
    <w:p>
      <w:pPr>
        <w:ind w:left="1020" w:hanging="503"/>
        <w:spacing w:after="0" w:line="260"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88"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novel VDC product candidates are based on a technology that we are in the process of developing. We expect the novel nature of such product candidates to create further challenges in obtaining regulatory approval. As a result, our ability to develop product candidates and obtain regulatory approval may be significantly impacted.</w:t>
      </w:r>
    </w:p>
    <w:p>
      <w:pPr>
        <w:spacing w:after="0" w:line="18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 based on the completed clinical trials. Additionally, the conduct of Advisory Committee meetings may be disrupted or delayed and the impact that may have on the overall timing of regulatory approvals is uncertain.</w:t>
      </w:r>
    </w:p>
    <w:p>
      <w:pPr>
        <w:spacing w:after="0" w:line="188"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89"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36" w:name="page37"/>
    <w:bookmarkEnd w:id="36"/>
    <w:p>
      <w:pPr>
        <w:jc w:val="both"/>
        <w:spacing w:after="0" w:line="279" w:lineRule="auto"/>
        <w:rPr>
          <w:sz w:val="20"/>
          <w:szCs w:val="20"/>
          <w:color w:val="auto"/>
        </w:rPr>
      </w:pPr>
      <w:r>
        <w:rPr>
          <w:rFonts w:ascii="Arial" w:cs="Arial" w:eastAsia="Arial" w:hAnsi="Arial"/>
          <w:sz w:val="18"/>
          <w:szCs w:val="18"/>
          <w:b w:val="1"/>
          <w:bCs w:val="1"/>
          <w:i w:val="1"/>
          <w:iCs w:val="1"/>
          <w:color w:val="auto"/>
        </w:rPr>
        <w:t>We have not yet successfully completed any pivotal clinical trials nor commercialized any pharmaceutical products, which may make it difficult to evaluate our future prospects.</w:t>
      </w:r>
    </w:p>
    <w:p>
      <w:pPr>
        <w:spacing w:after="0" w:line="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will need to successfully complete pivotal clinical trials in order to obtain the approval of the FDA, the EMA, or other regulatory agencies to market bel-sar or any future product candidate. Carrying out later-stage clinical trials is a complicated process. Our operations to date have been limited to financing and staffing our company, developing our technology and conducting preclinical research and Phase 1 and Phase 2 clinical trials for our product candidates, primarily related to our bel-sar program in indeterminate lesions and primary choroidal melanoma. We have not yet demonstrated an ability to successfully complete pivotal clinical trials, obtain marketing approvals, manufacture a commercial-scale product or arrange for a third party to do so on our behalf, or conduct sales and marketing activities necessary for successful product commercialization. In order to complete later stage or pivotal trials, we are expanding our clinical operations, CMC and regulatory capabilities, and we may be unable to recruit and train qualified personnel or sign a contract with a global clinical research organization to conduct the trials on our behalf. Consequently, we may be unable to successfully and efficiently design, execute and complete necessary clinical trials in a way that leads to approval of bel-sar or future product candidates. We may require more time to enroll patients and incur greater costs than our competitors and may not succeed in obtaining global regulatory approvals of product candidates that we develop. Furthermore, we may conduct our first pivotal trial based on an adaptive design, which could increase the time spent on or costs associated with this trial. We are in the process of transferring our intended commercial manufacturing process to our intended external CDMO commercial manufacturing site. During this transfer process, some modifications may be needed to ensure manufacturability and ability to scale-up the process to commercial batch sizes. We intend to perform an analytical comparability assessment between the current clinical process and the intended commercial process, however, if this analytical process comparability assessment is unsuccessful, clinical comparability may be required, which may result in delayed regulatory approval. We do not anticipate a change in formulation. However, failure to commence or complete, or delays in, our planned clinical trials, could prevent us from or delay us in commercializing our product candidates. Accordingly, you should consider our prospects in light of the costs, uncertainties, delays and difficulties frequently encountered by clinical-stage biopharmaceutical companies such as ours. Any predictions made about our future success or viability may not be as accurate as they could be if we had a longer operating history or a history of successfully developing and commercializing pharmaceutical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additional product candidates, our commercial opportunity could be limited.</w:t>
      </w:r>
    </w:p>
    <w:p>
      <w:pPr>
        <w:spacing w:after="0" w:line="87"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expect to focus our resources on the development of bel-sar in the near term. Developing, obtaining marketing approval for, and commercializing any future product candidates will require substantial additional funding and will be subject to the risks of failure inherent in drug product development. We cannot assure you that we will be able to successfully advance any future product candidates through the development process.</w:t>
      </w:r>
    </w:p>
    <w:p>
      <w:pPr>
        <w:spacing w:after="0" w:line="188"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Even if we obtain approval from the FDA or comparable foreign regulatory authorities to market any future product candidates for any indication,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Bel-sar is a biologic that requires the use of multiple medical devices, which may result in additional regulatory risks.</w:t>
      </w:r>
    </w:p>
    <w:p>
      <w:pPr>
        <w:spacing w:after="0" w:line="7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Bel-sar is a novel biologic for which the intended use in ocular oncology requires delivery to the suprachoroidal space and activation by a laser. For ocular oncology indications, we use Clearside Biomedical’s SCS Microinjector®, or the SCS Microinjector, to deliver bel-sar into the suprachoroidal space. In the United States, we plan to submit a single BLA for the review and approval of this combination of bel-sar with the SCS Microinjector and the laser(s) in our initial target indication of indeterminate lesions and small choroidal melanoma, but subsequent indications and delivery systems may require different or additional applications for marketing authorization. The SCS Microinjector was approved by FDA in October 2021 as a constituent of the drug/device combination product XIPERE®. There may be additional regulatory risks for biologic-device combination products. We may experience delays in obtaining regulatory approval of bel-sar given the increased complexity of the review process when approval of the product and a medical device is sought under a single BLA. In the United States, each component of a combination product is subject to the requirements established by the FDA for that type of component, whether a drug, biologic or device. Devices are subject to the FDA design control device requirements which comprise among other things, design verification, design validation, and testing to assess performance, cleaning, and robustness. Delays in or failure of the studies conducted by us, or failure of our company, our collaborators, if any, or our third-party providers or suppliers to maintain compliance with regulatory requirements could result in increased development costs, delays in or failure to obtain regulatory approval, and associated delays in bel-sar reaching the market.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7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may be altered along the way in an effort to optimize processes and results. Such changes to a product candidate carry the risk that they will not achieve the intended objectives of optimizing the performance of the candidate. Any such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the FDA approval. This could delay or prevent completion of clinical trials, require conducting bridging clinical trials or the repetition of one or more clinical trials, increase clinical trial costs, delay or prevent approval of our product candidates and jeopardize our ability to commence sales and generate revenue.</w:t>
      </w:r>
    </w:p>
    <w:p>
      <w:pPr>
        <w:spacing w:after="0" w:line="184"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4" w:lineRule="exact"/>
        <w:rPr>
          <w:sz w:val="20"/>
          <w:szCs w:val="20"/>
          <w:color w:val="auto"/>
        </w:rPr>
      </w:pPr>
    </w:p>
    <w:p>
      <w:pPr>
        <w:jc w:val="both"/>
        <w:ind w:right="20" w:firstLine="509"/>
        <w:spacing w:after="0" w:line="247"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w:t>
      </w:r>
    </w:p>
    <w:p>
      <w:pPr>
        <w:spacing w:after="0" w:line="18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addition, our competitors may in the future commence clinical trials for product candidates that treat the same indications as our product candidates, and patients who would otherwise be eligible for our clinical trials may choose instead to enroll in clinical trials of our competitors. Additionally, the process of finding patients may prove costly. We also may not be able to identify, recruit or enroll a sufficient number of patients to complete our clinical studies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 Our lead indication of primary choroidal melanoma is a rare disease and as such clinical trial recruitment estimates may be inaccurate and such recruitment may take longer than expected.</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may be affected by other factors, including:</w:t>
      </w:r>
    </w:p>
    <w:p>
      <w:pPr>
        <w:spacing w:after="0" w:line="23"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49" w:lineRule="exact"/>
        <w:rPr>
          <w:rFonts w:ascii="Arial" w:cs="Arial" w:eastAsia="Arial" w:hAnsi="Arial"/>
          <w:sz w:val="18"/>
          <w:szCs w:val="18"/>
          <w:color w:val="auto"/>
        </w:rPr>
      </w:pPr>
    </w:p>
    <w:p>
      <w:pPr>
        <w:ind w:left="1020" w:right="20" w:hanging="503"/>
        <w:spacing w:after="0" w:line="25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clinicians’ and patients’ awareness of, and perceptions as to the potential advantages and risks of bel-sar in relation to other available therapies, including any new drugs that may be approved for the indications we are investigating;</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efforts to obtain and maintain patient consents and facilitate timely enrollment in clinical trials;</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clinical trials before clinical trial completion;</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competing studies or trials with similar eligibility criteria;</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reporting of the preliminary results of any of our clinical trials; and</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factors we may not be able to control that may limit patients, principal investigators or staff or clinical site availability.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8" w:name="page39"/>
    <w:bookmarkEnd w:id="38"/>
    <w:p>
      <w:pPr>
        <w:jc w:val="both"/>
        <w:ind w:right="20"/>
        <w:spacing w:after="0" w:line="260" w:lineRule="auto"/>
        <w:rPr>
          <w:sz w:val="20"/>
          <w:szCs w:val="20"/>
          <w:color w:val="auto"/>
        </w:rPr>
      </w:pPr>
      <w:r>
        <w:rPr>
          <w:rFonts w:ascii="Arial" w:cs="Arial" w:eastAsia="Arial" w:hAnsi="Arial"/>
          <w:sz w:val="18"/>
          <w:szCs w:val="18"/>
          <w:b w:val="1"/>
          <w:bCs w:val="1"/>
          <w:i w:val="1"/>
          <w:iCs w:val="1"/>
          <w:color w:val="auto"/>
        </w:rPr>
        <w:t>We are conducting a clinical trial outside the United States, and we may in the future conduct additional clinical trials for current or future product candidates outside the United States, and the FDA and comparable foreign regulatory authorities may not accept data from such trials.</w:t>
      </w:r>
    </w:p>
    <w:p>
      <w:pPr>
        <w:spacing w:after="0" w:line="12"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are currently conducting a clinical trial at sites in Ireland, the UK, Brazil, Canada, Australia, Austria, Italy, Greece, South Korea, Israel, Germany, France, Spain, Denmark, Sweden, Belgium, and the Czech Republic, and may in the future choose to conduct one or more additional clinical trials outside the United States, including in Europe. The acceptance of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the U.S. medical practice; (ii) the trials were performed by clinical investigators of recognized competence and pursuant to Good Clinical Practices, or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Even if we receive marketing approval for our current or future product candidates in the United States, we may never receive regulatory approval to market our current or future product candidates outside of the United States.</w:t>
      </w:r>
    </w:p>
    <w:p>
      <w:pPr>
        <w:spacing w:after="0" w:line="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plan to seek regulatory approval of our current or future product candidates outside of the United States. Obtaining and maintaining regulatory approval of our product candidates in one jurisdiction does not guarantee that we will be able to obtain or maintain regulatory approval in any other jurisdiction.</w:t>
      </w:r>
    </w:p>
    <w:p>
      <w:pPr>
        <w:spacing w:after="0" w:line="18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For example, even if the FDA grants marketing approval of a product candidate, we may not obtain approvals in other jurisdictions, and comparable regulatory authorities in foreign jurisdictions must also approve the manufacturing, marketing and promotion and reimbursement of the product candidate in those countries. However, a failure or delay in obtaining marketing approval in one jurisdiction may have a negative effect on the regulatory approval process in others. Approval procedures vary among countries and can involve additional product candidate testing and administrative review periods different from those in the United States. The time required to obtain approvals in other countries might differ substantially from that required to obtain the FDA approval. The marketing approval processes in other countries generally implicate all of the risks detailed above regarding the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w:t>
      </w:r>
    </w:p>
    <w:p>
      <w:pPr>
        <w:spacing w:after="0" w:line="19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regulatory requirements in international markets or fail to receive applicable marketing approvals, it would reduce the size of our potential market, which could have a material adverse impact on our business, results of operations and prospects.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The results of preclinical studies and early clinical trials may not be predictive of future results.</w:t>
      </w:r>
    </w:p>
    <w:p>
      <w:pPr>
        <w:spacing w:after="0" w:line="7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outcome of preclinical testing and early clinical trials may not be predictive of the success of later clinical trials. Bel-sar and any other product candidates we may develop may fail to show the desired safety and efficacy in clinical development despite positive results in preclinical studies or having successfully advanced through initial clinical trials. For example, bel-sar may not be effective at slowing or arresting tumor growth or may not preserve visual acuity in later stage trials. Even if bel-sar successfully slows or completely arrests tumor growth, this may not result in a reduction in the risk of metastasis. Additionally, any positive results generated in our ongoing clinical trials and preclinical studies would not ensure that we will achieve similar results in larger, pivotal clinical trials or in clinical trials of bel-sar in broader patient populations.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product candidate to demonstrate safety and efficacy in any clinical trial could negatively impact the perception of any other product candidates then under development and/or cause the FDA or other regulatory authorities to require additional testing before approving any other product candidates.</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differences between interim data and final data could materially affect our business, financial condition, results of operations and growth prospects.</w:t>
      </w:r>
    </w:p>
    <w:p>
      <w:pPr>
        <w:spacing w:after="0" w:line="19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Further, additional disclosure of interim data by us or by our potential competitors in the future could result in volatility in the price of our common stock.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our product candidates may be harmed, which could materially affect our business, financial condition, results of operations and growth prospects.</w:t>
      </w:r>
    </w:p>
    <w:p>
      <w:pPr>
        <w:spacing w:after="0" w:line="19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Additionally, we may continue to utilize “open-label” trial designs or open-label extensions to our clinical trials in the future.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or extension may not be predictive of future clinical trial results with bel-sar when studied in a controlled environment with a placebo or active control.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0" w:name="page41"/>
    <w:bookmarkEnd w:id="40"/>
    <w:p>
      <w:pPr>
        <w:jc w:val="both"/>
        <w:spacing w:after="0" w:line="251" w:lineRule="auto"/>
        <w:rPr>
          <w:sz w:val="20"/>
          <w:szCs w:val="20"/>
          <w:color w:val="auto"/>
        </w:rPr>
      </w:pPr>
      <w:r>
        <w:rPr>
          <w:rFonts w:ascii="Arial" w:cs="Arial" w:eastAsia="Arial" w:hAnsi="Arial"/>
          <w:sz w:val="18"/>
          <w:szCs w:val="18"/>
          <w:b w:val="1"/>
          <w:bCs w:val="1"/>
          <w:i w:val="1"/>
          <w:iCs w:val="1"/>
          <w:color w:val="auto"/>
        </w:rPr>
        <w:t>Bel-sar or any future product candidates may cause or reveal significant adverse events, toxicities or other undesirable side effects which may delay or prevent marketing approval. In addition, if we obtain approval for any of our product candidates, significant adverse events, toxicities or other undesirable side effects may be identified during post-marketing surveillance, which could result in regulatory action or negatively affect our ability to market the product.</w:t>
      </w:r>
    </w:p>
    <w:p>
      <w:pPr>
        <w:spacing w:after="0" w:line="2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Adverse events or other undesirable side effects caused by or associated with treatment by bel-sar or our future product candidates could cause us or regulatory authorities to interrupt, delay or halt clinical trials and could result in a more restrictive label or the delay or denial of regulatory approval by the FDA, the EMA or other comparable foreign regulatory authorities. Although bel-sar has been evaluated in clinical trials, unexpected side effects may still arise in our ongoing or any future clinical trials. These side effects have included pigmentary changes around the tumor margin and vision loss.</w:t>
      </w:r>
    </w:p>
    <w:p>
      <w:pPr>
        <w:spacing w:after="0" w:line="18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pivotal clinical trials or, in some cases, after they are made available to patients on a commercial scale after approval.</w:t>
      </w:r>
    </w:p>
    <w:p>
      <w:pPr>
        <w:spacing w:after="0" w:line="191" w:lineRule="exact"/>
        <w:rPr>
          <w:sz w:val="20"/>
          <w:szCs w:val="20"/>
          <w:color w:val="auto"/>
        </w:rPr>
      </w:pPr>
    </w:p>
    <w:p>
      <w:pPr>
        <w:jc w:val="both"/>
        <w:ind w:right="20" w:firstLine="509"/>
        <w:spacing w:after="0" w:line="24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9"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or require additional warnings on the label;</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additional clinical trials or post-approval studies;</w:t>
      </w:r>
    </w:p>
    <w:p>
      <w:pPr>
        <w:spacing w:after="0" w:line="36"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2" w:lineRule="exact"/>
        <w:rPr>
          <w:rFonts w:ascii="Arial" w:cs="Arial" w:eastAsia="Arial" w:hAnsi="Arial"/>
          <w:sz w:val="18"/>
          <w:szCs w:val="18"/>
          <w:color w:val="auto"/>
        </w:rPr>
      </w:pPr>
    </w:p>
    <w:p>
      <w:pPr>
        <w:jc w:val="both"/>
        <w:ind w:left="1020" w:hanging="503"/>
        <w:spacing w:after="0" w:line="24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or limitations in the labeling, such as a contraindication, limitation of use, or a boxed warning, or issue safety alerts, Dear Healthcare Provider letters, press releases or other communications containing warnings or other safety information about the product;</w:t>
      </w:r>
    </w:p>
    <w:p>
      <w:pPr>
        <w:spacing w:after="0" w:line="8"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 and</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Moreover, if bel-sar or any of our future product candidates is associated with undesirable or unexpected side effects in clinical trials,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even if it is approved.</w:t>
      </w:r>
    </w:p>
    <w:p>
      <w:pPr>
        <w:spacing w:after="0" w:line="188"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materially affect our business, financial condition, results of operations, and growth prospects.</w:t>
      </w:r>
    </w:p>
    <w:p>
      <w:pPr>
        <w:spacing w:after="0" w:line="163"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may experience delays in initiating or completing our preclinical studies or clinical trials, including as a result of delays in obtaining, or failure to obtain, the FDA’s clearance to initiate clinical trials under future INDs. Additionally, we cannot be certain that preclinical studies or clinical trials for our product candidates will not require redesign, will enroll an adequate number of patients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w:t>
      </w:r>
    </w:p>
    <w:p>
      <w:pPr>
        <w:spacing w:after="0" w:line="5" w:lineRule="exact"/>
        <w:rPr>
          <w:sz w:val="20"/>
          <w:szCs w:val="20"/>
          <w:color w:val="auto"/>
        </w:rPr>
      </w:pPr>
    </w:p>
    <w:p>
      <w:pPr>
        <w:ind w:left="1020" w:hanging="503"/>
        <w:spacing w:after="0" w:line="25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receive feedback from regulatory authorities that require us to modify the design or implementation of our preclinical studies or clinical trials or to delay or terminate a clinical trial;</w:t>
      </w:r>
    </w:p>
    <w:p>
      <w:pPr>
        <w:spacing w:after="0" w:line="2" w:lineRule="exact"/>
        <w:rPr>
          <w:rFonts w:ascii="Arial" w:cs="Arial" w:eastAsia="Arial" w:hAnsi="Arial"/>
          <w:sz w:val="18"/>
          <w:szCs w:val="18"/>
          <w:color w:val="auto"/>
        </w:rPr>
      </w:pPr>
    </w:p>
    <w:p>
      <w:pPr>
        <w:ind w:left="1020" w:right="20" w:hanging="503"/>
        <w:spacing w:after="0" w:line="260"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or ethics committees may delay or may not authorize us or our investigators to commence a clinical trial or conduct a clinical trial at a prospective trial site;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1" w:name="page42"/>
    <w:bookmarkEnd w:id="41"/>
    <w:p>
      <w:pPr>
        <w:jc w:val="both"/>
        <w:ind w:left="1020" w:hanging="503"/>
        <w:spacing w:after="0" w:line="244"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CROs, the terms of which can be subject to extensive negotiation and may vary significantly among different CROs and trial sites;</w:t>
      </w:r>
    </w:p>
    <w:p>
      <w:pPr>
        <w:spacing w:after="0" w:line="3" w:lineRule="exact"/>
        <w:rPr>
          <w:rFonts w:ascii="Arial" w:cs="Arial" w:eastAsia="Arial" w:hAnsi="Arial"/>
          <w:sz w:val="18"/>
          <w:szCs w:val="18"/>
          <w:color w:val="auto"/>
        </w:rPr>
      </w:pPr>
    </w:p>
    <w:p>
      <w:pPr>
        <w:jc w:val="both"/>
        <w:ind w:left="1020" w:hanging="503"/>
        <w:spacing w:after="0" w:line="24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pacing w:after="0" w:line="8" w:lineRule="exact"/>
        <w:rPr>
          <w:rFonts w:ascii="Arial" w:cs="Arial" w:eastAsia="Arial" w:hAnsi="Arial"/>
          <w:sz w:val="18"/>
          <w:szCs w:val="18"/>
          <w:color w:val="auto"/>
        </w:rPr>
      </w:pPr>
    </w:p>
    <w:p>
      <w:pPr>
        <w:ind w:left="1020" w:right="20" w:hanging="503"/>
        <w:spacing w:after="0" w:line="25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preclinical studies or clinical trials of our product candidates may not produce differentiated or clinically significant results across tumor types or indications;</w:t>
      </w:r>
    </w:p>
    <w:p>
      <w:pPr>
        <w:spacing w:after="0" w:line="2" w:lineRule="exact"/>
        <w:rPr>
          <w:rFonts w:ascii="Arial" w:cs="Arial" w:eastAsia="Arial" w:hAnsi="Arial"/>
          <w:sz w:val="18"/>
          <w:szCs w:val="18"/>
          <w:color w:val="auto"/>
        </w:rPr>
      </w:pPr>
    </w:p>
    <w:p>
      <w:pPr>
        <w:jc w:val="both"/>
        <w:ind w:left="1020" w:hanging="503"/>
        <w:spacing w:after="0" w:line="244"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3" w:lineRule="exact"/>
        <w:rPr>
          <w:rFonts w:ascii="Arial" w:cs="Arial" w:eastAsia="Arial" w:hAnsi="Arial"/>
          <w:sz w:val="18"/>
          <w:szCs w:val="18"/>
          <w:color w:val="auto"/>
        </w:rPr>
      </w:pPr>
    </w:p>
    <w:p>
      <w:pPr>
        <w:jc w:val="both"/>
        <w:ind w:left="1020" w:hanging="503"/>
        <w:spacing w:after="0" w:line="243"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w:t>
      </w:r>
    </w:p>
    <w:p>
      <w:pPr>
        <w:spacing w:after="0" w:line="12" w:lineRule="exact"/>
        <w:rPr>
          <w:rFonts w:ascii="Arial" w:cs="Arial" w:eastAsia="Arial" w:hAnsi="Arial"/>
          <w:sz w:val="18"/>
          <w:szCs w:val="18"/>
          <w:color w:val="auto"/>
        </w:rPr>
      </w:pPr>
    </w:p>
    <w:p>
      <w:pPr>
        <w:jc w:val="both"/>
        <w:ind w:left="1020" w:hanging="503"/>
        <w:spacing w:after="0" w:line="24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8"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36"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2" w:lineRule="exact"/>
        <w:rPr>
          <w:rFonts w:ascii="Arial" w:cs="Arial" w:eastAsia="Arial" w:hAnsi="Arial"/>
          <w:sz w:val="18"/>
          <w:szCs w:val="18"/>
          <w:color w:val="auto"/>
        </w:rPr>
      </w:pPr>
    </w:p>
    <w:p>
      <w:pPr>
        <w:jc w:val="both"/>
        <w:ind w:left="1020" w:hanging="503"/>
        <w:spacing w:after="0" w:line="24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 and</w:t>
      </w:r>
    </w:p>
    <w:p>
      <w:pPr>
        <w:spacing w:after="0" w:line="8" w:lineRule="exact"/>
        <w:rPr>
          <w:rFonts w:ascii="Arial" w:cs="Arial" w:eastAsia="Arial" w:hAnsi="Arial"/>
          <w:sz w:val="18"/>
          <w:szCs w:val="18"/>
          <w:color w:val="auto"/>
        </w:rPr>
      </w:pPr>
    </w:p>
    <w:p>
      <w:pPr>
        <w:ind w:left="1020" w:right="20" w:hanging="503"/>
        <w:spacing w:after="0" w:line="260"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w:t>
      </w:r>
    </w:p>
    <w:p>
      <w:pPr>
        <w:spacing w:after="0" w:line="17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could encounter delays if a clinical trial is suspended or terminated by us, by the IRBs of the institutions at which such trials are being conducted, by the Data Safety Monitoring Board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19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Moreover, principal investigators for our trials involving bel-sar or any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19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42" w:name="page43"/>
    <w:bookmarkEnd w:id="42"/>
    <w:p>
      <w:pPr>
        <w:jc w:val="both"/>
        <w:spacing w:after="0" w:line="247"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expenses. Additionally, our product candidates, if approved, could be subject to post-marketing commitments/requirements,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25"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compliance with applicable product tracking and tracing requirements, as well as continued compliance with current Good Manufacturing Practices, or cGMPs, and GCPs for any clinical trials that we conduct post-approval. 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25" w:lineRule="exact"/>
        <w:rPr>
          <w:sz w:val="20"/>
          <w:szCs w:val="20"/>
          <w:color w:val="auto"/>
        </w:rPr>
      </w:pPr>
    </w:p>
    <w:p>
      <w:pPr>
        <w:ind w:left="1020" w:hanging="503"/>
        <w:spacing w:after="0" w:line="25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2"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ind w:left="1020" w:hanging="503"/>
        <w:spacing w:after="0" w:line="25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imposition of a REMS which may include distribution or use restrictions;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trial holds;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fines, warning letters or other regulatory enforcement action;</w:t>
      </w:r>
    </w:p>
    <w:p>
      <w:pPr>
        <w:spacing w:after="0" w:line="49"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Additionally, the FDA and other regulatory agencies closely regulate the post-approval marketing and promotion of medicines to ensure that they are marketed only for the approved indications and in accordance with the provisions of the approved labeling. The FDA and other regulatory agencies impose stringent restrictions on manufacturers’ communications regarding off-label use. In particular, a product may not be promoted for uses that are not approved by the FDA or such other regulatory agencies as reflected in the product’s approved labeling. If we do not market our medicines for their approved indications, we may be subject to enforcement action for off-label marketing by the FDA and other federal and state enforcement agencies, including the Department of Justice. Violation of the Federal Food, Drug, and Cosmetic Act and other statutes, including the False Claims Act, relating to the promotion and advertising of prescription products may also lead to investigations or allegations of violations of federal and state healthcare fraud and abuse laws and state consumer protection laws. The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3" w:name="page44"/>
    <w:bookmarkEnd w:id="43"/>
    <w:p>
      <w:pPr>
        <w:jc w:val="both"/>
        <w:ind w:firstLine="509"/>
        <w:spacing w:after="0" w:line="243"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178"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b w:val="1"/>
          <w:bCs w:val="1"/>
          <w:i w:val="1"/>
          <w:iCs w:val="1"/>
          <w:color w:val="auto"/>
        </w:rPr>
        <w:t>We may be unable to obtain orphan drug designations or to maintain the benefits associated with orphan drug status, including market exclusivity, which may cause our revenue, if any, to be reduced.</w:t>
      </w:r>
    </w:p>
    <w:p>
      <w:pPr>
        <w:spacing w:after="0" w:line="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Orphan drug designation must be requested before submitting an NDA or BLA. In the United States,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w:t>
      </w:r>
    </w:p>
    <w:p>
      <w:pPr>
        <w:spacing w:after="0" w:line="19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to market the same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our current product candidates and any future product candidates receive orphan exclusivity, the FDA can still approve other drugs that have a different active ingredient for use in treating the same indication or disease. Furthermore, the FDA can waive orphan exclusivity if we are unable to manufacture sufficient supply of our product.</w:t>
      </w:r>
    </w:p>
    <w:p>
      <w:pPr>
        <w:spacing w:after="0" w:line="19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have obtained orphan designation for bel-sar for the treatment of uveal melanoma from the FDA and EMA, and we may seek additional orphan drug designations for some or all of our current or future product candidates in orphan indications in which there is a medically plausible basis for the use of these products. Even if we obtain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9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FDA may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84" w:lineRule="exact"/>
        <w:rPr>
          <w:sz w:val="20"/>
          <w:szCs w:val="20"/>
          <w:color w:val="auto"/>
        </w:rPr>
      </w:pPr>
    </w:p>
    <w:p>
      <w:pPr>
        <w:jc w:val="both"/>
        <w:ind w:right="20" w:firstLine="509"/>
        <w:spacing w:after="0" w:line="241" w:lineRule="auto"/>
        <w:rPr>
          <w:sz w:val="20"/>
          <w:szCs w:val="20"/>
          <w:color w:val="auto"/>
        </w:rPr>
      </w:pPr>
      <w:r>
        <w:rPr>
          <w:rFonts w:ascii="Arial" w:cs="Arial" w:eastAsia="Arial" w:hAnsi="Arial"/>
          <w:sz w:val="18"/>
          <w:szCs w:val="18"/>
          <w:color w:val="auto"/>
        </w:rPr>
        <w:t>Similarly, in the EU, the European Commission grants an orphan designation in respect of a product after receiving the opinion of the EMA’s Committee for Orphan Medicinal Products on a designation application. Orphan designation in the EU is granted to products where</w:t>
      </w:r>
    </w:p>
    <w:p>
      <w:pPr>
        <w:spacing w:after="0" w:line="1" w:lineRule="exact"/>
        <w:rPr>
          <w:sz w:val="20"/>
          <w:szCs w:val="20"/>
          <w:color w:val="auto"/>
        </w:rPr>
      </w:pPr>
    </w:p>
    <w:p>
      <w:pPr>
        <w:jc w:val="both"/>
        <w:ind w:firstLine="8"/>
        <w:spacing w:after="0" w:line="236" w:lineRule="auto"/>
        <w:tabs>
          <w:tab w:leader="none" w:pos="283"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product is intended for the diagnosis, prevention or treatment of a life-threatening or chronically debilitating condition; (2) either (i) such condition affects no more than 5 in 10,000 persons in the EU when the application is made; or (ii) without incentives, it is unlikely that the marketing of the product would generate sufficient return in the EU to justify the necessary investment in its development; and (3) there exists no satisfactory method of diagnosis, prevention or treatment of such condition that has been authorized in the EU, or if such a method exists, the product in question would be of significant benefit to those affected by that condition. In the EU, orphan designation entitles a party to a number of incentives, such as protocol assistance and scientific advice specifically for designated orphan medicines, and potential fee reductions depending on the status of the sponsor. Generally, if a product with an orphan designation subsequently receives the first marketing approval for the indication for which it has such designation, the product is entitled to a ten-year period of marketing exclusivity, which precludes the EMA from approving another MA application for the same product and indication for that time period, except in limited circumstances. The EU exclusivity period can be reduced to six years if a drug no longer meets the criteria for orphan designation or if the product is sufficiently profitable such that market exclusivity is no longer justified. The European Commission introduced a legislative proposal in April 2023 that, if implemented, could reduce the current ten-year marketing exclusivity period in the EU for certain orphan medicines to nine years (or five years for well-established use orphan medicines).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44" w:name="page45"/>
    <w:bookmarkEnd w:id="44"/>
    <w:p>
      <w:pPr>
        <w:jc w:val="both"/>
        <w:spacing w:after="0" w:line="260" w:lineRule="auto"/>
        <w:rPr>
          <w:sz w:val="20"/>
          <w:szCs w:val="20"/>
          <w:color w:val="auto"/>
        </w:rPr>
      </w:pPr>
      <w:r>
        <w:rPr>
          <w:rFonts w:ascii="Arial" w:cs="Arial" w:eastAsia="Arial" w:hAnsi="Arial"/>
          <w:sz w:val="18"/>
          <w:szCs w:val="18"/>
          <w:b w:val="1"/>
          <w:bCs w:val="1"/>
          <w:i w:val="1"/>
          <w:iCs w:val="1"/>
          <w:color w:val="auto"/>
        </w:rPr>
        <w:t>A breakthrough therapy designation or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12"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may seek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20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have obtained fast track designation for bel-sar for the treatment of choroidal melanoma, for the treatment of choroidal metastasis and for the treatment of non-muscle invasive bladder cancer, and we may seek additional fast track designation for other product candidates we may develop.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spacing w:after="0" w:line="2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 a drug or biologic receiving accelerated approval perform adequate and well-controlled post-marketing clinical trials, and the FDA is permitted to require, as appropriate, that such studies be underway prior to approval or within a specified period after the date of approval. Sponsors must also update FDA on the status of these studies, and under FDORA, the FDA has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 In addition, the FDA currently requires,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FDA approval.</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The FDA’s agreement to a Special Protocol Assessment with respect to the study design of our Phase 3 clinical trial of bel-sar for the treatment of early-stage choroidal melanoma does not guarantee any particular outcome from regulatory review, including ultimate approval, and may not lead to a successful review or approval process.</w:t>
      </w:r>
    </w:p>
    <w:p>
      <w:pPr>
        <w:spacing w:after="0" w:line="1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have obtained agreement from the FDA on the design and planned analysis of our Phase 3 clinical trial of bel-sar for the treatment of early-stage choroidal melanoma through a Special Protocol Assessment (SPA). A SPA agreement documents FDA’s agreement that the design and planned analysis of a study can adequately address objectives in support of a regulatory submission. However, final determinations for marketing application approval are made after complete review of a marketing application and are based on the entire data in the application.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5" w:name="page46"/>
    <w:bookmarkEnd w:id="45"/>
    <w:p>
      <w:pPr>
        <w:jc w:val="both"/>
        <w:ind w:firstLine="509"/>
        <w:spacing w:after="0" w:line="243" w:lineRule="auto"/>
        <w:rPr>
          <w:sz w:val="20"/>
          <w:szCs w:val="20"/>
          <w:color w:val="auto"/>
        </w:rPr>
      </w:pPr>
      <w:r>
        <w:rPr>
          <w:rFonts w:ascii="Arial" w:cs="Arial" w:eastAsia="Arial" w:hAnsi="Arial"/>
          <w:sz w:val="18"/>
          <w:szCs w:val="18"/>
          <w:color w:val="auto"/>
        </w:rPr>
        <w:t>The FDA’s SPA process is designed to facilitate the FDA’s review and approval of drugs and biologics by allowing the FDA to evaluate the proposed design and size of certain clinical or animal studies, including clinical trials that are intended to form the primary basis for determining a product candidate’s efficacy. The FDA ultimately assesses whether specific elements of the protocol design of the trial, such as entry criteria, dose selection, endpoints and/or planned analyses, are acceptable to support a regulatory submission.</w:t>
      </w:r>
    </w:p>
    <w:p>
      <w:pPr>
        <w:spacing w:after="0" w:line="18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Although the FDA may agree to an SPA, an SPA agreement does not guarantee approval of a product. Even if the FDA agrees to the design, execution, and analysis proposed in protocols reviewed under the SPA process, the FDA may revoke or alter its agreement in certain circumstances. In particular, an SPA agreement is not binding on the FDA if public health concerns emerge that were unrecognized at the time of the SPA agreement, other new scientific concerns regarding product safety or efficacy arise, the sponsor company fails to comply with the agreed upon trial protocols, or the relevant data, assumptions or information provided by the sponsor in a request for the SPA change or are found to be false or omit relevant facts.</w:t>
      </w:r>
    </w:p>
    <w:p>
      <w:pPr>
        <w:spacing w:after="0" w:line="19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 addition, even after an SPA agreement is finalized, the SPA agreement may be modified, and such modification will be deemed binding by the FDA review division, except under the circumstances described above, if the FDA and the sponsor agree in writing to modify the protocol. Generally, such modification is intended to improve the study. The FDA retains significant latitude and discretion in interpreting the terms of the SPA agreement and the data and results from any study that is the subject of the SPA agreement.</w:t>
      </w:r>
    </w:p>
    <w:p>
      <w:pPr>
        <w:spacing w:after="0" w:line="188"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Moreover, if the FDA revokes or alters its agreement under the SPA, or interprets the data collected from the clinical trial differently than we do, the FDA may not deem the data sufficient to support an application for regulatory approval of bel-sar for the treatment of indeterminate lesions and choroidal melanoma.</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6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We expect to rely on third parties to conduct some of our clinical trials and some aspects of our research and preclinical testing, and those third parties may not perform satisfactorily, including failing to meet deadlines for the completion of such trials, research or testing.</w:t>
      </w:r>
    </w:p>
    <w:p>
      <w:pPr>
        <w:spacing w:after="0" w:line="26"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currently rely and expect to continue to rely on third parties, such as CROs, clinical data management organizations, central reading centers, medical institutions and clinical investigators, to conduct some aspects of our research, preclinical testing and clinical trials. We plan to use a clinical CRO for the pivotal trial for bel-sar for the treatment of choroidal melanoma. Any of these third parties may terminate their engagements with us or be unable to fulfill their contractual obligations. If we need to enter into alternative arrangements, our product development activities would be delayed.</w:t>
      </w:r>
    </w:p>
    <w:p>
      <w:pPr>
        <w:spacing w:after="0" w:line="189"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as well as the applicable legal, regulatory and scientific standards. Moreover, the FDA requires us to comply with GCPs for conducting, recording and reporting the results of clinical trials to assure that data and reported results are credible, reproducible and accurate and that the rights, integrity and confidentiality of trial participants are protected.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are also required to register ongoing clinical trials and to post the results of completed clinical trials on a government-sponsored database within certain timeframes. Failure to do so can result in fines, adverse publicity and civil and criminal sanctions. Due to the rarity of ocular melanomas, we may engage clinical trial sites that have little experience in the conduct of clinical trials under GCPs. Even though we train the clinical trial sites, monitor the activities, and perform quality audits to assess and ensure compliance, we cannot ensure such compliance.</w:t>
      </w:r>
    </w:p>
    <w:p>
      <w:pPr>
        <w:spacing w:after="0" w:line="193"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for whom they may also be conducting clinical trials or other biological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46" w:name="page47"/>
    <w:bookmarkEnd w:id="46"/>
    <w:p>
      <w:pPr>
        <w:jc w:val="both"/>
        <w:ind w:firstLine="509"/>
        <w:spacing w:after="0" w:line="247"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i w:val="1"/>
          <w:iCs w:val="1"/>
          <w:color w:val="auto"/>
        </w:rPr>
        <w:t>We currently rely on third-party CDMOs for the production of clinical supply of bel-sar and may continue to rely on CDMOs for the production of commercial supply of bel-sar, if approved. This reliance on CDMOs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spacing w:after="0" w:line="2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currently do not have any manufacturing facilities and have no plans to build our own clinical or commercial scale manufacturing capabilities. Instead, we expect to rely on third parties for the manufacture of our product candidates and related raw materials for future preclinical and clinical development, as well as for commercial manufacture if any of our product candidates receive marketing approval. We are currently reliant on a single source for each of our regulatory starting materials, drug substance and drug product manufacturing for bel-sar.</w:t>
      </w:r>
    </w:p>
    <w:p>
      <w:pPr>
        <w:spacing w:after="0" w:line="18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or our third-party suppliers or manufacturers may encounter shortages in the raw materials or active pharmaceutical ingredient, or API, necessary to produce bel-sar and future product candidates we may develop in the quantities needed for our clinical trials or, if bel-sar or any future product candidates we may develop are approved, in sufficient quantities for commercialization or to meet an increase in demand, as a result of capacity constraints or delays or disruptions in the market for the raw materials or APIs, including shortages caused by the purchase of such raw materials or API, by our competitors or others. Even if raw materials or API are available, we may be unable to obtain sufficient quantities at an acceptable cost or quality. The failure by us or our third-party suppliers or manufacturers to obtain the raw materials or API necessary to manufacture sufficient quantities of bel-sar or any future product candidates we may develop could delay, prevent or impair our development efforts and may have a material adverse effect on our business. To date, we have only encountered minor delays in our manufacturing process due to a supply chain constraint with one of our vendors.</w:t>
      </w:r>
    </w:p>
    <w:p>
      <w:pPr>
        <w:spacing w:after="0" w:line="19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Reliance on third-party manufacturers may expose us to different risks than if we were to manufacture clinical or commercial supply of our product candidates ourselves. The facilities used by third-party manufacturers to manufacture bel-sar or any future product candidates must be authorized by the FDA pursuant to inspections that will be conducted after we submit a BLA to the FDA. We do not control the manufacturing process of, and are completely dependent on, third-party manufacturers for compliance with cGMP requirements for manufacture of drug products and other laws and regulations. If these third-party manufacturers cannot successfully manufacture material that conforms to our specifications and the strict regulatory requirements of the FDA or others, they will not be able to secure and maintain regulatory approval for their manufacturing facilities. Some of our contract manufacturers may not have produced a commercially-approved product and, therefore, may not have obtained the requisite FDA approvals to do so. In addition, we have no control over the ability of third-party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19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Finding new CDMOs or third-party suppliers involves additional cost and requires our management’s time and focus. In addition, there is typically a transition period when a new CDMO commences work. Although we generally have not, and do not intend to,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 Additionally, any changes implemented by a new CDMO could delay completion of clinical trials, require the conduct of bridging clinical trials or studies, require the repetition of one or more clinical trials, increase clinical trial costs, delay approval of bel-sar and future product candidates and jeopardize our ability to commence product sales and generate revenue.</w:t>
      </w:r>
    </w:p>
    <w:p>
      <w:pPr>
        <w:spacing w:after="0" w:line="19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As part of their manufacture of our product candidates, our CDMOs and third-party suppliers are expected to comply with and respect the intellectual property and proprietary rights of others. If a CDMO or third-party supplier fails to acquire the proper licenses or otherwise infringes, misappropriates or otherwise violates the intellectual property or proprietary rights of others in the course of providing services to us, we may have to find alternative CDMOs or third-party suppliers or defend against applicable claims, either of which would significantly impact our ability to develop, obtain regulatory approval for or commercialize our product candidates, if approved.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47" w:name="page48"/>
    <w:bookmarkEnd w:id="47"/>
    <w:p>
      <w:pPr>
        <w:jc w:val="both"/>
        <w:ind w:firstLine="509"/>
        <w:spacing w:after="0" w:line="241" w:lineRule="auto"/>
        <w:rPr>
          <w:sz w:val="20"/>
          <w:szCs w:val="20"/>
          <w:color w:val="auto"/>
        </w:rPr>
      </w:pPr>
      <w:r>
        <w:rPr>
          <w:rFonts w:ascii="Arial" w:cs="Arial" w:eastAsia="Arial" w:hAnsi="Arial"/>
          <w:sz w:val="18"/>
          <w:szCs w:val="18"/>
          <w:color w:val="auto"/>
        </w:rPr>
        <w:t>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 In addition, we may be unable to establish any agreements with third-party manufacturers or to do so on acceptable terms.</w:t>
      </w:r>
    </w:p>
    <w:p>
      <w:pPr>
        <w:spacing w:after="0" w:line="18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Even if we are able to establish agreements with third-party manufacturers, reliance on third-party manufacturers entails additional risks, including:</w:t>
      </w:r>
    </w:p>
    <w:p>
      <w:pPr>
        <w:spacing w:after="0" w:line="2"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third-party manufacturers to comply with regulatory requirements and maintain quality assurance;</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breach of the manufacturing agreement by the third-party manufacturers;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manufacture our product according to our specifications;</w:t>
      </w:r>
    </w:p>
    <w:p>
      <w:pPr>
        <w:spacing w:after="0" w:line="49"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qualified backup suppliers for those components or materials that are currently purchased from a sole or single source supplier;</w:t>
      </w: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manufacture our product according to our schedule or at all;</w:t>
      </w:r>
    </w:p>
    <w:p>
      <w:pPr>
        <w:spacing w:after="0" w:line="49" w:lineRule="exact"/>
        <w:rPr>
          <w:rFonts w:ascii="Arial" w:cs="Arial" w:eastAsia="Arial" w:hAnsi="Arial"/>
          <w:sz w:val="18"/>
          <w:szCs w:val="18"/>
          <w:color w:val="auto"/>
        </w:rPr>
      </w:pPr>
    </w:p>
    <w:p>
      <w:pPr>
        <w:ind w:left="1020" w:right="20" w:hanging="503"/>
        <w:spacing w:after="0" w:line="25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production difficulties caused by unforeseen events that may delay the availability of one or more of the necessary raw materials or delay the manufacture of bel-sar or any future product candidates for use in clinical trials or for commercial supply;</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supply or service disruptions or increased costs that are beyond our control;</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misappropriation of our proprietary information, including our trade secrets and know-how; and</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termination or nonrenewal of the agreement by the third party at a time that is costly or inconvenient for us.</w:t>
      </w:r>
    </w:p>
    <w:p>
      <w:pPr>
        <w:spacing w:after="0" w:line="22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Bel-sar and any other product candidates that we may develop may compete with other product candidates and products for access to manufacturing facilities. Any performance failure on the part of our existing or future manufacturers could delay clinical development or marketing approval, and any related remedial measures may be costly or time-consuming to implement. We do not currently have arrangements in place for redundant supply or a second source for all required raw materials used in the manufacture of our product candidates. If our current third-party manufacturers cannot perform as agreed, we may be required to replace such manufacturers and we may be unable to replace them on a timely basis or on terms acceptable to us. Our current and anticipated future dependence upon others for the manufacture of bel-sar or any other future product candidates or products may adversely affect our future profit margins and our ability to commercialize any products that receive marketing approval on a timely and competitive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6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If bel-sar or any future product candidates do not achieve broad market acceptance, the revenue that we generate from their sales may be limited, and we may never become profitable.</w:t>
      </w:r>
    </w:p>
    <w:p>
      <w:pPr>
        <w:spacing w:after="0" w:line="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have never commercialized a product candidate for any indication. Even if bel-sar and any future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bel-sar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VDCs is unsafe, whether related to our or our competitors’ products, our products may not be accepted by the general public or the medical community. In addition, training clinicians to properly use bel-sar or any future product candidate that requires a similar laser and microinjector may create reluctance by clinicians to adopt our products, potentially adversely affecting our future sales and marketing efforts. Furthermore, such training increases our costs to generate sales associated with any such product. Future adverse events in targeted oncology or the biopharmaceutical industry could also result in greater governmental regulation, stricter labeling requirements and potential regulatory delays in the testing or approvals of our product candidates.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48" w:name="page49"/>
    <w:bookmarkEnd w:id="48"/>
    <w:p>
      <w:pPr>
        <w:jc w:val="both"/>
        <w:ind w:firstLine="509"/>
        <w:spacing w:after="0" w:line="243" w:lineRule="auto"/>
        <w:rPr>
          <w:sz w:val="20"/>
          <w:szCs w:val="20"/>
          <w:color w:val="auto"/>
        </w:rPr>
      </w:pPr>
      <w:r>
        <w:rPr>
          <w:rFonts w:ascii="Arial" w:cs="Arial" w:eastAsia="Arial" w:hAnsi="Arial"/>
          <w:sz w:val="18"/>
          <w:szCs w:val="18"/>
          <w:color w:val="auto"/>
        </w:rPr>
        <w:t>Efforts to educate the medical community and third-party payors on the benefits of bel-sar and any future product candidates may require significant resources and may not be successful. If bel-sar or any future product candidates are approved but do not achieve an adequate level of market acceptance, we could be prevented from or significantly delayed in achieving profitability. The degree of market acceptance of any of bel-sar and any future product candidates will depend on a number of factors, including:</w:t>
      </w:r>
    </w:p>
    <w:p>
      <w:pPr>
        <w:spacing w:after="0" w:line="12"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efficacy of bel-sar and our VLP technology, and any future product candidates;</w:t>
      </w:r>
    </w:p>
    <w:p>
      <w:pPr>
        <w:spacing w:after="0" w:line="36"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bel-sar and any future product candidates or those products with which they may be co-administered;</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clinical indications for which bel-sar are approved and the approved claims that we may make for the products;</w:t>
      </w:r>
    </w:p>
    <w:p>
      <w:pPr>
        <w:spacing w:after="0" w:line="49" w:lineRule="exact"/>
        <w:rPr>
          <w:rFonts w:ascii="Arial" w:cs="Arial" w:eastAsia="Arial" w:hAnsi="Arial"/>
          <w:sz w:val="18"/>
          <w:szCs w:val="18"/>
          <w:color w:val="auto"/>
        </w:rPr>
      </w:pPr>
    </w:p>
    <w:p>
      <w:pPr>
        <w:jc w:val="both"/>
        <w:ind w:left="1020" w:hanging="503"/>
        <w:spacing w:after="0" w:line="244"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or warnings contained in the product’s FDA-approved labeling or those of comparable foreign regulatory authorities, including potential limitations or warnings for bel-sar and any future product candidates that may be more restrictive than other competitive products;</w:t>
      </w:r>
    </w:p>
    <w:p>
      <w:pPr>
        <w:spacing w:after="0" w:line="3" w:lineRule="exact"/>
        <w:rPr>
          <w:rFonts w:ascii="Arial" w:cs="Arial" w:eastAsia="Arial" w:hAnsi="Arial"/>
          <w:sz w:val="18"/>
          <w:szCs w:val="18"/>
          <w:color w:val="auto"/>
        </w:rPr>
      </w:pPr>
    </w:p>
    <w:p>
      <w:pPr>
        <w:jc w:val="both"/>
        <w:ind w:left="1020" w:hanging="503"/>
        <w:spacing w:after="0" w:line="24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bel-sar and any future product candidates, which could reduce the marketing impact of any claims that we could make following FDA approval or approval by comparable foreign regulatory authorities, if obtained;</w:t>
      </w:r>
    </w:p>
    <w:p>
      <w:pPr>
        <w:spacing w:after="0" w:line="8"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bel-sar and any future product candidates and any products with which they are co-administered;</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treatment compared with the economic and clinical benefit of alternative treatments or therapies;</w:t>
      </w:r>
    </w:p>
    <w:p>
      <w:pPr>
        <w:spacing w:after="0" w:line="36"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adequate coverage or reimbursement by third-party payors, including government healthcare programs such as Medicare and Medicaid and other healthcare payors;</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price concessions required by third-party payors to obtain coverage;</w:t>
      </w:r>
    </w:p>
    <w:p>
      <w:pPr>
        <w:spacing w:after="0" w:line="49"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perception of physicians, patients, third-party payors and others in the medical community of the relative safety, efficacy, convenience, effect on quality of life and cost effectiveness of bel-sar compared to those of other available treatments;</w:t>
      </w: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adequate coverage and reimbursement;</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bel-sar and any future product candidates;</w:t>
      </w:r>
    </w:p>
    <w:p>
      <w:pPr>
        <w:spacing w:after="0" w:line="49" w:lineRule="exact"/>
        <w:rPr>
          <w:rFonts w:ascii="Arial" w:cs="Arial" w:eastAsia="Arial" w:hAnsi="Arial"/>
          <w:sz w:val="18"/>
          <w:szCs w:val="18"/>
          <w:color w:val="auto"/>
        </w:rPr>
      </w:pPr>
    </w:p>
    <w:p>
      <w:pPr>
        <w:ind w:left="1020" w:right="20" w:hanging="503"/>
        <w:spacing w:after="0" w:line="250"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w:t>
      </w:r>
    </w:p>
    <w:p>
      <w:pPr>
        <w:ind w:left="1020" w:hanging="503"/>
        <w:spacing w:after="0" w:line="25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or comparable foreign regulatory authorities with respect to bel-sar and any future product candidates or to which we agree as part of a REMS or voluntary risk management plan;</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market introduction of bel-sar and any future product candidates, as well as competitive products;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offer bel-sar and any future product candidates for sale at competitive prices;</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and strength of our third-party manufacturer and supplier support;</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publicity concerning our bel-sar or competing products and treatments;</w:t>
      </w:r>
    </w:p>
    <w:p>
      <w:pPr>
        <w:spacing w:after="0" w:line="49"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actions of companies that market any products with which bel-sar and any future product candidates may be co-administered;</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approval of other new products;</w:t>
      </w:r>
    </w:p>
    <w:p>
      <w:pPr>
        <w:spacing w:after="0" w:line="36"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publicity about bel-sar and any future product candidates or any products with which they are co-administered, or favorable publicity about competitive products; and</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1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in marketing products. If we are unable to establish marketing and sales capabilities or enter into agreements with third parties to market and sell our product candidates, we may not be able to generate product revenue.</w:t>
      </w:r>
    </w:p>
    <w:p>
      <w:pPr>
        <w:spacing w:after="0" w:line="1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have never commercialized a product candidate and we currently have no sales, marketing or distribution capabilities and have no experience in marketing products. Our operations to date have been limited to organizing and staffing our company, business planning, raising capital, acquiring the rights to our product candidate and undertaking preclinical studies and clinical trials of our product candidate.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 We may not be successful in transitioning from a company with a development focus to a company capable of supporting commercial activities.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49" w:name="page50"/>
    <w:bookmarkEnd w:id="49"/>
    <w:p>
      <w:pPr>
        <w:jc w:val="both"/>
        <w:ind w:firstLine="509"/>
        <w:spacing w:after="0" w:line="238" w:lineRule="auto"/>
        <w:rPr>
          <w:sz w:val="20"/>
          <w:szCs w:val="20"/>
          <w:color w:val="auto"/>
        </w:rPr>
      </w:pPr>
      <w:r>
        <w:rPr>
          <w:rFonts w:ascii="Arial" w:cs="Arial" w:eastAsia="Arial" w:hAnsi="Arial"/>
          <w:sz w:val="18"/>
          <w:szCs w:val="18"/>
          <w:color w:val="auto"/>
        </w:rPr>
        <w:t>In addition to establishing internal sales, marketing and distribution capabilities, we will pursue collaborative arrangements regarding the sales and marketing of our products, however, there can be no assurance that we will be able to establish or maintain such collaborative arrangements, or if we are able to do so, that they will have effective sales forces. Any revenue we receive will depend upon the efforts of such third parties, which may not be successful. Further, if we enter into arrangements with third parties to perform sales and marketing services, our product revenues, if any, may be lower than if we were to market and sell any products that we develop ourselves.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9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Furthermore, developing a sales and marketing organization requires significant investment, is time-consuming and could delay the launch of our product candidate. We may not be able to build an effective sales and marketing organization in the United States, the EU or other key global markets. If we are unable to build our own distribution and marketing capabilities or to find suitable partners for the commercialization of our product candidate, we may have difficulties generating revenue from them.</w:t>
      </w:r>
    </w:p>
    <w:p>
      <w:pPr>
        <w:spacing w:after="0" w:line="188"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163"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b w:val="1"/>
          <w:bCs w:val="1"/>
          <w:i w:val="1"/>
          <w:iCs w:val="1"/>
          <w:color w:val="auto"/>
        </w:rPr>
        <w:t>We may face competition, which may result in others discovering, developing or commercializing drugs before or more successfully than we do.</w:t>
      </w:r>
    </w:p>
    <w:p>
      <w:pPr>
        <w:spacing w:after="0" w:line="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The biopharmaceutical industry is characterized by intense competition and rapid innovation. While we are not aware of anyone currently developing a treatment for choroidal melanoma, in the future our competitors may be able to develop other compounds or drugs that are able to achieve similar or better results than us. There are multiple companies that have drugs in clinical development for the treatment of NMIBC that are unresponsive to Bacillus Calmette-Guerin, such as Sesen Bio, Inc., FerGene, Inc., UroGen Pharma Ltd., CG Oncology, Inc. and ImmunityBio, Inc. Our potential competitors include major multinational pharmaceutical companies, established biotechnology companies, specialty pharmaceutical companies and universities and other research institutions. Many of our potential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collaboration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which may reduce or eliminate our commercial opportunity. We believe the key competitive factors that will affect the development and commercial success of our product candidates are efficacy, safety, tolerability, reliability, convenience of use, price and reimbursement.</w:t>
      </w:r>
    </w:p>
    <w:p>
      <w:pPr>
        <w:spacing w:after="0" w:line="196"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Even if we obtain regulatory approval of our product candidates, the availability and price of our potential future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 For additional information regarding our competition, see “Business—Competition.”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50" w:name="page51"/>
    <w:bookmarkEnd w:id="50"/>
    <w:p>
      <w:pPr>
        <w:jc w:val="both"/>
        <w:ind w:right="20"/>
        <w:spacing w:after="0" w:line="279"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 xml:space="preserve">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For more information, see </w:t>
      </w:r>
      <w:r>
        <w:rPr>
          <w:rFonts w:ascii="Arial" w:cs="Arial" w:eastAsia="Arial" w:hAnsi="Arial"/>
          <w:sz w:val="18"/>
          <w:szCs w:val="18"/>
          <w:i w:val="1"/>
          <w:iCs w:val="1"/>
          <w:color w:val="auto"/>
        </w:rPr>
        <w:t>“Business – Government Regulation – Coverage and Reimbursement.”</w:t>
      </w:r>
      <w:r>
        <w:rPr>
          <w:rFonts w:ascii="Arial" w:cs="Arial" w:eastAsia="Arial" w:hAnsi="Arial"/>
          <w:sz w:val="18"/>
          <w:szCs w:val="18"/>
          <w:color w:val="auto"/>
        </w:rPr>
        <w:t>.</w:t>
      </w:r>
    </w:p>
    <w:p>
      <w:pPr>
        <w:spacing w:after="0" w:line="19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p>
    <w:p>
      <w:pPr>
        <w:spacing w:after="0" w:line="184"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b w:val="1"/>
          <w:bCs w:val="1"/>
          <w:i w:val="1"/>
          <w:iCs w:val="1"/>
          <w:color w:val="auto"/>
        </w:rPr>
        <w:t>If the market opportunity for bel-sar is smaller than we estimate or if any regulatory approval that we obtain is based on a narrower definition of the patient population, our revenue and ability to achieve profitability will be adversely affected, possibly materially.</w:t>
      </w:r>
    </w:p>
    <w:p>
      <w:pPr>
        <w:spacing w:after="0" w:line="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incidence and prevalence for target patient populations of bel-sar and any future product candidates has not been established with precision. Bel-sar is a VDC product candidate being developed for the first line treatment of primary choroidal melanoma. Our projections of both the number of people who have choroidal melanoma, as well as additional ocular oncology and bladder cancer indications, are based on our estimates.</w:t>
      </w:r>
    </w:p>
    <w:p>
      <w:pPr>
        <w:spacing w:after="0" w:line="18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total addressable market opportunity will ultimately depend upon, among other things, the patient criteria included in the final label, the indications for which bel-sar is approved for sale, acceptance by the medical community and patient access, product pricing and reimbursement. The number of patients with choroidal melanoma, choroidal metastasis, and NMIBC for which bel-sar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Bel-sar is our only product candidate and therefore our business is dependent on the market opportunity for our product.</w:t>
      </w:r>
    </w:p>
    <w:p>
      <w:pPr>
        <w:spacing w:after="0" w:line="184"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1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These laws may constrain the business or financial arrangements and relationships through which we conduct our operations, including how we research, market, sell and distribute our product candidates, if approved. For more information, see “</w:t>
      </w:r>
      <w:r>
        <w:rPr>
          <w:rFonts w:ascii="Arial" w:cs="Arial" w:eastAsia="Arial" w:hAnsi="Arial"/>
          <w:sz w:val="18"/>
          <w:szCs w:val="18"/>
          <w:i w:val="1"/>
          <w:iCs w:val="1"/>
          <w:color w:val="auto"/>
        </w:rPr>
        <w:t>Business – Government Regulation –</w:t>
      </w:r>
      <w:r>
        <w:rPr>
          <w:rFonts w:ascii="Arial" w:cs="Arial" w:eastAsia="Arial" w:hAnsi="Arial"/>
          <w:sz w:val="18"/>
          <w:szCs w:val="18"/>
          <w:color w:val="auto"/>
        </w:rPr>
        <w:t xml:space="preserve"> </w:t>
      </w:r>
      <w:r>
        <w:rPr>
          <w:rFonts w:ascii="Arial" w:cs="Arial" w:eastAsia="Arial" w:hAnsi="Arial"/>
          <w:sz w:val="18"/>
          <w:szCs w:val="18"/>
          <w:i w:val="1"/>
          <w:iCs w:val="1"/>
          <w:color w:val="auto"/>
        </w:rPr>
        <w:t>Health Care Laws and Regulations.”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1" w:name="page52"/>
    <w:bookmarkEnd w:id="51"/>
    <w:p>
      <w:pPr>
        <w:jc w:val="both"/>
        <w:ind w:firstLine="509"/>
        <w:spacing w:after="0" w:line="236" w:lineRule="auto"/>
        <w:rPr>
          <w:sz w:val="20"/>
          <w:szCs w:val="20"/>
          <w:color w:val="auto"/>
        </w:rPr>
      </w:pPr>
      <w:r>
        <w:rPr>
          <w:rFonts w:ascii="Arial" w:cs="Arial" w:eastAsia="Arial" w:hAnsi="Arial"/>
          <w:sz w:val="18"/>
          <w:szCs w:val="18"/>
          <w:color w:val="auto"/>
        </w:rPr>
        <w:t>Additionally, we are subject to state and foreign equivalents of each of the healthcare laws and regulations described above, among others, some of which may be broader in scope and may apply regardless of the payor. Many states in the United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GDPR, which became effective May 2018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202"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increased their scrutiny of interactions between healthcare companies and healthcare providers, which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Current and future healthcare legislative reform measures may have a material adverse effect on our business and results of operations.</w:t>
      </w:r>
    </w:p>
    <w:p>
      <w:pPr>
        <w:spacing w:after="0" w:line="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 xml:space="preserve">The United States and many foreign jurisdictions have enacted and/or proposed legislative and regulatory changes affecting the healthcare system that could prevent or delay regulatory approval of our current or future product candidates or any future product candidates, restrict or regulate post-approval activities, and affect our ability to profitably sell a product for which we obtain regulatory approval. Changes in laws, regulations, statutes or the interpretation of existing laws and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For more information, see </w:t>
      </w:r>
      <w:r>
        <w:rPr>
          <w:rFonts w:ascii="Arial" w:cs="Arial" w:eastAsia="Arial" w:hAnsi="Arial"/>
          <w:sz w:val="18"/>
          <w:szCs w:val="18"/>
          <w:i w:val="1"/>
          <w:iCs w:val="1"/>
          <w:color w:val="auto"/>
        </w:rPr>
        <w:t>“Business – Government Regulation – Health Care Legislative Updates.”</w:t>
      </w:r>
    </w:p>
    <w:p>
      <w:pPr>
        <w:spacing w:after="0" w:line="19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the United States, there have been, and continue to be, a significant number of legislative initiatives to contain healthcare costs. The United States has also sought to implement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52" w:name="page53"/>
    <w:bookmarkEnd w:id="52"/>
    <w:p>
      <w:pPr>
        <w:jc w:val="both"/>
        <w:ind w:firstLine="509"/>
        <w:spacing w:after="0" w:line="243"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w:t>
      </w:r>
    </w:p>
    <w:p>
      <w:pPr>
        <w:spacing w:after="0" w:line="188"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The continuing efforts of the government, insurance companies, managed care organizations and other payors of healthcare services to contain or reduce costs of healthcare and/or impose price controls may adversely affect.:</w:t>
      </w:r>
    </w:p>
    <w:p>
      <w:pPr>
        <w:spacing w:after="0" w:line="14"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demand for our current or future product candidates, if we obtain regulatory approval;</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63"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 and our proprietary rights do not necessarily address all potential threats to our competitive advantage.</w:t>
      </w:r>
    </w:p>
    <w:p>
      <w:pPr>
        <w:spacing w:after="0" w:line="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commercial success depends upon obtaining and maintaining proprietary rights to our intellectual property estate, including rights relating to our technology platform using HPV-derived VLPs to target tumors and VDCs like bel-sar, as well as successfully defending these rights against third-party challenges and successfully enforcing these rights to prevent third-party infringement. We will only be able to protect bel-sar or a future product candidate derived from our platform from unauthorized use by third parties to the extent that valid and enforceable patents cover it. Our ability to maintain patent protection for bel-sar or a future product candidate is uncertain due to a number of factors, including that:</w:t>
      </w:r>
    </w:p>
    <w:p>
      <w:pPr>
        <w:spacing w:after="0" w:line="5" w:lineRule="exact"/>
        <w:rPr>
          <w:sz w:val="20"/>
          <w:szCs w:val="20"/>
          <w:color w:val="auto"/>
        </w:rPr>
      </w:pPr>
    </w:p>
    <w:p>
      <w:pPr>
        <w:ind w:left="1020" w:hanging="503"/>
        <w:spacing w:after="0" w:line="25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may design around our patent claims to produce competitive technologies, products or methods that fall outside of the scope of our patents;</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obtain patent protection in all jurisdictions that may eventually provide us a significant business opportunity; and</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patents issued to us may be successfully challenged by third parties.</w:t>
      </w:r>
    </w:p>
    <w:p>
      <w:pPr>
        <w:spacing w:after="0" w:line="22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Even with our patents covering bel-sar, we may still not be able to make use or sell bel-sar or a future product candidate because of the patent rights of others. Others may have filed patent applications covering compositions, products or methods that are similar or identical to ours, which could materially affect our ability to successfully commercialize bel-sar or a future product candidate.</w:t>
      </w:r>
    </w:p>
    <w:p>
      <w:pPr>
        <w:spacing w:after="0" w:line="18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Moreover, patents have a limited lifespan. In the United States, the natural expiration of a patent is generally 20 years after it is filed. Various extensions may be available; however, the life of a patent, and the protection it affords, is limited.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53" w:name="page54"/>
    <w:bookmarkEnd w:id="53"/>
    <w:p>
      <w:pPr>
        <w:jc w:val="both"/>
        <w:ind w:firstLine="509"/>
        <w:spacing w:after="0" w:line="237" w:lineRule="auto"/>
        <w:rPr>
          <w:sz w:val="20"/>
          <w:szCs w:val="20"/>
          <w:color w:val="auto"/>
        </w:rPr>
      </w:pPr>
      <w:r>
        <w:rPr>
          <w:rFonts w:ascii="Arial" w:cs="Arial" w:eastAsia="Arial" w:hAnsi="Arial"/>
          <w:sz w:val="18"/>
          <w:szCs w:val="18"/>
          <w:color w:val="auto"/>
        </w:rPr>
        <w:t>Obtaining and maintaining a patent portfolio entails significant expense, including periodic maintenance fees, renewal fees, annuity fees and various other governmental fees on patents and patent applications. These expenditures can be at numerous stages of prosecuting patent applications and over the lifetime of maintaining and enforcing issued patents. We may or may not choose to pursue or maintain protection for particular intellectual property in our portfolio. If we choose to forgo patent protection or to allow a patent application or patent to lapse purposefully or inadvertently, our competitive position could suffer. Furthermore, we employ reputable law firms and other professionals to help us comply with the various procedural, documentary, fee payment and other similar provisions we are subject to and, in many cases, an inadvertent lapse can be cured by payment of a late fee or by other means in accordance with the applicable rules. There are situations, however, in which failure to make certain payments or noncompliance with certain requirements in the patent process can result in abandonment or lapse of a patent or patent application, resulting in partial or complete loss of patent rights in the relevant jurisdiction. In such an event, our competitors might be able to enter the market, which would have a material adverse effect on our business.</w:t>
      </w:r>
    </w:p>
    <w:p>
      <w:pPr>
        <w:spacing w:after="0" w:line="19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Legal action that may be required to enforce our patent rights can be expensive and may involve the diversion of significant management time. There can be no assurance that we will have sufficient financial or other resources to file and pursue infringement claims, which typically last for years before they are concluded. In addition, these legal actions could be unsuccessful and result in the invalidation of our patents, a finding that they are unenforceable or a requirement that we enter into a licensing agreement with or pay monies to a third party for use of technology covered by our patents. We may or may not choose to pursue litigation or other actions against those that have infringed on our patents, or have used them without authorization, due to the associated expense and time commitment of monitoring these activities. If we fail to successfully protect or enforce our intellectual property rights, our competitive position could suffer, which could harm our results of operations.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A third party may hold intellectual property rights, including patent rights, that are important or necessary to the development of bel-sar or any future product candidates. It may be necessary for us to use the patented or proprietary technology of third parties to commercialize bel-sar or any future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18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growth of our business may depend in part on our ability to acquire, in-license or use third-party proprietary rights. We may be unable to acquire or in-license any such proprietary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18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i w:val="1"/>
          <w:iCs w:val="1"/>
          <w:color w:val="auto"/>
        </w:rPr>
        <w:t>We rely on intellectual property licensed from third parties. We face risks with respect to such reliance, including the risk that,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3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are a party to a number of intellectual property license agreements that are important to our business. Our existing license agreements impose on us various diligence, milestone payment, royalty and other obligations. If we fail to comply with any of our obligations under these agreements, or we are subject to a bankruptcy, our licensors may have the right to terminate the license, in which event we would not be able to market any products covered by the license.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Disputes may also arise between us and our licensors regarding intellectual property subject to a license agreement, including:</w:t>
      </w:r>
    </w:p>
    <w:p>
      <w:pPr>
        <w:spacing w:after="0" w:line="23"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scope of rights granted and related obligations under the license agreement and other interpretation-related issues;</w:t>
      </w:r>
    </w:p>
    <w:p>
      <w:pPr>
        <w:spacing w:after="0" w:line="49" w:lineRule="exact"/>
        <w:rPr>
          <w:rFonts w:ascii="Arial" w:cs="Arial" w:eastAsia="Arial" w:hAnsi="Arial"/>
          <w:sz w:val="18"/>
          <w:szCs w:val="18"/>
          <w:color w:val="auto"/>
        </w:rPr>
      </w:pPr>
    </w:p>
    <w:p>
      <w:pPr>
        <w:ind w:left="1020" w:hanging="503"/>
        <w:spacing w:after="0" w:line="260"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licensor’s right to license or sublicense patent and other rights to us, and whether and the extent to which the right is retained by a third party;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54" w:name="page55"/>
    <w:bookmarkEnd w:id="54"/>
    <w:p>
      <w:pPr>
        <w:ind w:left="1020" w:hanging="503"/>
        <w:spacing w:after="0" w:line="250"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and the extent to which our technology infringes on intellectual property of the licensor that is not subject to the licensing agreement;</w:t>
      </w: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49"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bel-sar or any future product candidates, and what activities satisfy those diligence obligations; and</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w:t>
      </w:r>
    </w:p>
    <w:p>
      <w:pPr>
        <w:spacing w:after="0" w:line="225" w:lineRule="exact"/>
        <w:rPr>
          <w:sz w:val="20"/>
          <w:szCs w:val="20"/>
          <w:color w:val="auto"/>
        </w:rPr>
      </w:pPr>
    </w:p>
    <w:p>
      <w:pPr>
        <w:jc w:val="both"/>
        <w:ind w:right="20" w:firstLine="509"/>
        <w:spacing w:after="0" w:line="260"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7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addition, disputes may arise regarding the payment of the royalties due to licensors in connection with our exploitation of the rights we license from them. Licensors may contest the basis of royalties we retained and claim that we are obligated to make payments under a broader basis. Such disputes may be costly to resolve and may divert management’s attention away from day-to-day activities. In addition to the costs of any litigation we may face, any legal action against us could increase our payment obligations under the respective agreement and require us to pay interest and potentially damages to such licensors. If disputes over intellectual property that we have licensed from third parties prevent or impair our ability to maintain our licensing arrangements on acceptable terms, we or our collaborators may be unable to successfully manufacture and commercialize bel-sar or a future product candidate.</w:t>
      </w:r>
    </w:p>
    <w:p>
      <w:pPr>
        <w:spacing w:after="0" w:line="19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If we fail to comply with our obligations under the license agreements, our licensors may have the right to terminate these agreements, in which event we might not be able to manufacture or market bel-sar or a future product candidate.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If we do not obtain patent term extension in the United States under the Hatch-Waxman Act and in foreign countries under similar legislation with respect to our bel-sar or a future product candidate, thereby potentially extending the term of marketing exclusivity for such product, our business may be harmed.</w:t>
      </w:r>
    </w:p>
    <w:p>
      <w:pPr>
        <w:spacing w:after="0" w:line="12"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the United States, a patent that covers an FDA-approved drug or biologic may be eligible for a term extension designed to restore the period of the patent term that is lost during the premarket regulatory review process conducted by the FDA. Depending upon the timing, duration and conditions of the FDA marketing approval of our product candidates, one or more of our owned, co-owned, or in-licensed U.S. patents may be eligible for limited patent term extension under the Drug Price Competition and Patent Term Restoration Act of 1984, or the Hatch-Waxman Act. The Hatch-Waxman Act permits a patent restoration term of up to five years as compensation for patent term lost during product development and the FDA regulatory review process. The Hatch-Waxman Act allows a maximum of one patent to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In the EU, bel-sar or a future product candidate may be eligible for term extensions based on similar legislation. In either jurisdiction, however, we may not receive an extension if we fail to apply within applicable deadlines, fail to apply prior to expiration of relevant patents or otherwise fail to satisfy applicable requirements. Even if we are granted such extension, the duration of such extension may be less than our request. If we are unable to obtain a patent term extension, or if the term of any such extension is less than our request, the period during which we can enforce our patent rights for that product will be in effect shortened and our competitors may obtain approval to market competing products sooner. The resulting reduction of years of revenue from applicable products could be substantial.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55" w:name="page56"/>
    <w:bookmarkEnd w:id="55"/>
    <w:p>
      <w:pPr>
        <w:jc w:val="both"/>
        <w:spacing w:after="0" w:line="279" w:lineRule="auto"/>
        <w:rPr>
          <w:sz w:val="20"/>
          <w:szCs w:val="20"/>
          <w:color w:val="auto"/>
        </w:rPr>
      </w:pPr>
      <w:r>
        <w:rPr>
          <w:rFonts w:ascii="Arial" w:cs="Arial" w:eastAsia="Arial" w:hAnsi="Arial"/>
          <w:sz w:val="18"/>
          <w:szCs w:val="18"/>
          <w:b w:val="1"/>
          <w:bCs w:val="1"/>
          <w:i w:val="1"/>
          <w:iCs w:val="1"/>
          <w:color w:val="auto"/>
        </w:rPr>
        <w:t>Patents and patent applications involve highly complex legal and factual questions, which, if determined adversely to us, could negatively impact our patent position.</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 xml:space="preserve">The patent positions of biopharmaceutical and biotechnology companies and other actors in our fields of business can be highly uncertain and typically involve complex scientific, legal and factual analyses. In particular, the interpretation and breadth of claims allowed in some patents covering biopharmaceutical compositions may be uncertain and difficult to determine and are often affected materially by the facts and circumstances that pertain to the patented compositions and the related patent claims. The standards of the U.S. Patent and Trademark Office, or the USPTO, and its foreign counterparts are sometimes uncertain and could change in the future. Consequently, the issuance and scope of patents cannot be predicted with certainty. Patents, if issued, may be challenged, invalidated or circumvented. The U.S. patents and patent applications may also be subject to interference or derivation proceedings, and the U.S. patents may be subject to reexamination proceedings, post-grant review and/or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in the USPTO. International patents may also be subject to opposition or comparable proceedings in the corresponding international patent office, which could result in either loss of the patent or denial of the patent application or loss or reduction in the scope of one or more of the claims of the patent or patent application. In addition, such interference, derivation,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opposition proceedings may be costly. Accordingly, rights under any issued patents may not provide us with sufficient protection against competitive products or processes.</w:t>
      </w:r>
    </w:p>
    <w:p>
      <w:pPr>
        <w:spacing w:after="0" w:line="19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Furthermore, even if not challenged, our patents and patent applications may not prevent others from designing their products to avoid being covered by our claims. If the breadth or strength of protection provided by the patent applications we hold with respect to bel-sar or a future product candidate is threatened, it could dissuade companies from collaborating with us to develop, and could threaten our or their ability to successfully commercialize, bel-sar or a future product candidate.</w:t>
      </w:r>
    </w:p>
    <w:p>
      <w:pPr>
        <w:spacing w:after="0" w:line="18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 addition, changes in, or different interpretations of, patent laws in the United States and other countries may permit others to use our discoveries or to develop and commercialize our technology without providing any compensation to us, may limit the scope of patent protection that we are able to obtain. The laws of some countries do not protect intellectual property rights to the same extent as the U.S. laws, and those countries may lack adequate rules and procedures for defending our intellectual property rights.</w:t>
      </w:r>
    </w:p>
    <w:p>
      <w:pPr>
        <w:spacing w:after="0" w:line="17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i w:val="1"/>
          <w:iCs w:val="1"/>
          <w:color w:val="auto"/>
        </w:rPr>
        <w:t>Third parties may assert claims against us alleging infringement of their patents and proprietary rights, or we may need to become involved in lawsuits to defend or enforce our patents, either of which could result in substantial costs or loss of productivity, delay or prevent the development and commercialization of product candidates, prohibit our use of proprietary technology or sale of potential products or put our patents and other proprietary rights at risk.</w:t>
      </w:r>
    </w:p>
    <w:p>
      <w:pPr>
        <w:spacing w:after="0" w:line="35"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 xml:space="preserve">Our commercial success depends upon our ability to develop, manufacture, market and sell bel-sar or a future product candidate without alleged or actual infringement, misappropriation or other violation of the patents and proprietary rights of third parties. Litigation relating to infringement or misappropriation of patent and other intellectual property rights in the biotechnology industry is common, including patent infringement lawsuits, interferences, oppositions, reexamination proceedings, post-grant review, and/or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before the USPTO and corresponding international patent offices. The various markets in which we plan to operate are subject to frequent and extensive litigation regarding patents and other intellectual property rights. In addition, many companies in intellectual property-dependent industries, including the biotechnology and pharmaceutical industries, have employed intellectual property litigation as a means to gain an advantage over their competitors. As a result of any patent infringement claims, or in order to avoid any potential infringement claims, we may choose to seek, or be required to seek, a license from the third-party, which may require payment of substantial royalties or fees, or require us to grant a cross-license under our intellectual property rights. These licenses may not be available on reasonable terms or at all. Even if a license can be obtained on reasonable terms, the rights may be nonexclusive, which would give our competitors access to the same intellectual property rights. If we are unable to enter into a license on acceptable terms, we could be prevented from commercializing bel-sar or a future product candidate, or forced to modify bel-sar or a future product candidate, or to cease some aspect of our business operations, which could harm our business significantly. We might also be forced to redesign or modify our technology or product candidates so that we no longer infringe the third-party intellectual property rights, which may result in significant cost or delay to us, or which redesign or modification could be impossible or technically infeasible. Even if we were ultimately to prevail, any of these events could require us to divert substantial financial and management resources that we would otherwise be able to devote to our business.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6" w:name="page57"/>
    <w:bookmarkEnd w:id="56"/>
    <w:p>
      <w:pPr>
        <w:jc w:val="both"/>
        <w:ind w:firstLine="509"/>
        <w:spacing w:after="0" w:line="238" w:lineRule="auto"/>
        <w:rPr>
          <w:sz w:val="20"/>
          <w:szCs w:val="20"/>
          <w:color w:val="auto"/>
        </w:rPr>
      </w:pPr>
      <w:r>
        <w:rPr>
          <w:rFonts w:ascii="Arial" w:cs="Arial" w:eastAsia="Arial" w:hAnsi="Arial"/>
          <w:sz w:val="18"/>
          <w:szCs w:val="18"/>
          <w:color w:val="auto"/>
        </w:rPr>
        <w:t>Further, if a patent infringement suit is brought against us or our third-party service providers, our development, manufacturing or sales activities relating to bel-sar or a future product candidate that is the subject of the suit may be delayed or terminated. In addition, defending such claims may cause us to incur substantial expenses and, if successful, could cause us to pay substantial damages if we are found to be infringing a third-party’s patent rights. These damages potentially could include increased damages and attorneys’ fees if we are found to have infringed such rights willfully.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In addition, if the breadth or strength of protection provided by the patents and patent applications we own or in-license is threatened, it could dissuade companies from collaborating with us to license, develop or commercialize current or future product candidates.</w:t>
      </w:r>
    </w:p>
    <w:p>
      <w:pPr>
        <w:spacing w:after="0" w:line="19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may in the future be subject to third-party claims and similar adversarial proceedings or litigation in other jurisdictions regarding our infringement of the patent rights of third parties. Even if such claims are without merit, a court of competent jurisdiction could hold that these third-party patents are valid, enforceable and infringed, and the holders of any such patents may be able to block our ability to further develop or commercialize bel-sar or a future product candidate unless we obtain a license under the applicable patents, or until such patents expire or are finally determined to be invalid or unenforceable.</w:t>
      </w:r>
    </w:p>
    <w:p>
      <w:pPr>
        <w:spacing w:after="0" w:line="18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If we or one of our licensors were to initiate legal proceedings against a third party to enforce a patent covering our technology or a product candidate, the defendant could counterclaim that our patent is invalid or unenforceable. In patent litigation in the United States and Europe, defendant counterclaims alleging invalidity or unenforceability are common. Grounds for a validity challenge could be an alleged failure to meet any of several statutory requirements, for example, lack of novelty, obviousness or non-enablement.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but that an adverse third party may identify and submit in support of such assertions of invalidity. If a defendant were to prevail on a legal assertion of invalidity or unenforceability, we would lose at least part of the patent protection on bel-sar or a future product candidate.</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Filing, prosecuting and defending patents on bel-sar or a future product candidate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U.S., or from selling or importing products made using our inventions in and into the U.S. or other jurisdictions.</w:t>
      </w:r>
    </w:p>
    <w:p>
      <w:pPr>
        <w:spacing w:after="0" w:line="18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have and have applied for patents in those countries where we intend to make, have made, use, offer for sale or sell products and where we assess the risk of infringement to justify the cost of seeking patent protection. Competitors may use our technologies in jurisdictions where we do not pursue and obtain patent protection to develop their own products and may export otherwise infringing products to territories where we have patent protection, but where our ability to enforce our patent rights is not as strong as in the United States. These products may compete with any products that we may develop, and our patents or other intellectual property rights may not be effective or sufficient to prevent such competition.</w:t>
      </w:r>
    </w:p>
    <w:p>
      <w:pPr>
        <w:spacing w:after="0" w:line="19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laws of some other countries do not protect intellectual property rights to the same extent as the laws of the United States. For example, European patent law restricts the patentability of methods of treatment of the human body more than U.S. law does. Patent protection must ultimately be sought on a country-by-country basis, which is an expensive and time-consuming process with uncertain outcomes. Accordingly, we chose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or biotechnologies. As a result, many companies have encountered significant difficulties in protecting and defending intellectual property rights in certain jurisdictions outside the United States. Such issues may make it difficult for us to stop the infringement of our patents, if obtained, or the misappropriation of our other intellectual property rights.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57" w:name="page58"/>
    <w:bookmarkEnd w:id="57"/>
    <w:p>
      <w:pPr>
        <w:jc w:val="both"/>
        <w:ind w:firstLine="509"/>
        <w:spacing w:after="0" w:line="239" w:lineRule="auto"/>
        <w:rPr>
          <w:sz w:val="20"/>
          <w:szCs w:val="20"/>
          <w:color w:val="auto"/>
        </w:rPr>
      </w:pPr>
      <w:r>
        <w:rPr>
          <w:rFonts w:ascii="Arial" w:cs="Arial" w:eastAsia="Arial" w:hAnsi="Arial"/>
          <w:sz w:val="18"/>
          <w:szCs w:val="18"/>
          <w:color w:val="auto"/>
        </w:rPr>
        <w:t>Furthermore, proceedings to enforce our patent rights in foreign jurisdictions could result in substantial costs and divert our efforts and attention from other aspects of our business, subject our patents to the risk of being invalidated or interpreted narrowly, subject our patent applications to the risk of not issuing or provoke third parties to assert claims against us. We may not prevail in any lawsuits that we initiate, and the damages or other remedies awarded to us, if any, may not be commercially meaningful, while the damages and other remedies we may be ordered to pay such third parties may be significant. Accordingly, our efforts to enforce our intellectual property rights around the world may be inadequate to obtain a significant commercial advantage from the intellectual property that we develop or license.</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If we or our licensors are unable to protect the confidentiality of the proprietary information related to our product or process, our business and competitive position would be harmed.</w:t>
      </w:r>
    </w:p>
    <w:p>
      <w:pPr>
        <w:spacing w:after="0" w:line="1"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8"/>
          <w:szCs w:val="18"/>
          <w:color w:val="auto"/>
        </w:rPr>
        <w:t>We and our licensors rely on confidentiality agreements to protect unpatented know-how, technology and other proprietary information related to our product and process, to maintain our competitive position. For example, our licensor LI-COR maintains its manufacture of IRDye 700DX</w:t>
      </w:r>
      <w:r>
        <w:rPr>
          <w:rFonts w:ascii="Arial" w:cs="Arial" w:eastAsia="Arial" w:hAnsi="Arial"/>
          <w:sz w:val="21"/>
          <w:szCs w:val="21"/>
          <w:color w:val="auto"/>
          <w:vertAlign w:val="superscript"/>
        </w:rPr>
        <w:t>®</w:t>
      </w:r>
      <w:r>
        <w:rPr>
          <w:rFonts w:ascii="Arial" w:cs="Arial" w:eastAsia="Arial" w:hAnsi="Arial"/>
          <w:sz w:val="18"/>
          <w:szCs w:val="18"/>
          <w:color w:val="auto"/>
        </w:rPr>
        <w:t xml:space="preserve"> dye molecules (used in bel-sar) as a trade secret. Trade secrets and know-how can be difficult to protect. In particular, the trade secrets and know-how in connection with our development programs and other proprietary technology we may develop may over time be disseminated within the industry through independent development, the publication of journal articles describing the methodology and the movement of personnel with scientific positions in academic and industry.</w:t>
      </w:r>
    </w:p>
    <w:p>
      <w:pPr>
        <w:spacing w:after="0" w:line="19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seek to protect our proprietary information,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proprietary information is difficult, expensive and time-consuming, and the outcome is unpredictable. In addition, some courts inside and outside the United States are less willing or are unwilling to protect trade secrets.</w:t>
      </w:r>
    </w:p>
    <w:p>
      <w:pPr>
        <w:spacing w:after="0" w:line="19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may be subject to claims that third parties have an ownership interest in our trade secrets. For example, we may have disputes arise from conflicting obligations of our employees, consultants or others who are involved in developing bel-sar.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therapeutic programs and other proprietary technologies we may develop. Such an outcome could have a materially adverse effect on our business. Even if we are successful in defending against such claims, litigation could result in substantial costs and be a distraction to our management and other employees.</w:t>
      </w:r>
    </w:p>
    <w:p>
      <w:pPr>
        <w:spacing w:after="0" w:line="19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Moreover, our competitors may independently develop knowledge, methods and know-how equivalent to our proprietary information. Competitors could purchase our products and replicate some or all of the competitive advantages we derive from our development efforts for technologies on which we do not have patent protection. If any of our proprietary information were to be lawfully obtained or independently developed by a competitor, we would have no right to prevent them, or those to whom they communicate it, from using that technology or information to compete with us. If any of our proprietary information were to be disclosed to or independently developed by a competitor, our competitive position would be harmed.</w:t>
      </w:r>
    </w:p>
    <w:p>
      <w:pPr>
        <w:spacing w:after="0" w:line="19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In addition, our confidential information may otherwise become known or be independently discovered by competitors, in which case we would have no right to prevent them, or those to whom they communicate it, from using that technology or information to compete with us, which could have a material adverse effect on our business, financial condition, results of operations and prospects.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63"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b w:val="1"/>
          <w:bCs w:val="1"/>
          <w:i w:val="1"/>
          <w:iCs w:val="1"/>
          <w:color w:val="auto"/>
        </w:rPr>
        <w:t>If we lose key management personnel, or if we fail to recruit additional highly skilled personnel, our ability to pursue our business strategy will be impaired, could result in loss of markets or market share and could make us less competitive.</w:t>
      </w:r>
    </w:p>
    <w:p>
      <w:pPr>
        <w:spacing w:after="0" w:line="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ability to compete in the highly competitive biopharmaceutical industries depends upon our ability to attract, manage, motivate and retain highly qualified managerial, scientific and medical personnel. We are highly dependent on our management, scientific and medical personnel. The loss of the services of any of our executive officers, other key employees, and other scientific and medical advisors, and our inability to find suitable replacements for these individuals could harm our business.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9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Competition for skilled personnel in our industry is intense and may limit our ability to hire and retain highly qualified personnel on acceptable terms, in a timely manner or at all. In particular, we have experienced a very competitive hiring environment in the Boston area,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To induce valuable employees to remain at our company, in addition to salary and cash incentives, we have provided equity incentive awards that vest over time. The value to employees of restricted stock awards and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are at-will employees and may terminate their employment with us on short notice. We do not maintain “key man” insurance policies on the lives of these individuals or the lives of any of our other employees. Given the stage of our programs and our plans to expand operations, our success also depends on our ability to continue to attract, retain and motivate highly skilled junior, mid-level and senior personnel across our organization.</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5"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9"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Disruptions at the FDA and other agencies may also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9" w:name="page60"/>
    <w:bookmarkEnd w:id="59"/>
    <w:p>
      <w:pPr>
        <w:jc w:val="both"/>
        <w:ind w:firstLine="509"/>
        <w:spacing w:after="0" w:line="243"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in their implementation or interpretation may adversely affect us or our investors.</w:t>
      </w:r>
    </w:p>
    <w:p>
      <w:pPr>
        <w:spacing w:after="0" w:line="7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rules dealing with the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changes have been made and changes are likely to continue to occur in the future. For example, under Section 174 of the Code, in taxable years beginning after December 31, 2021, expenses that are incurred for research and development in the U.S. will be capitalized and amortized, which may have an adverse effect on our cash flow.</w:t>
      </w:r>
    </w:p>
    <w:p>
      <w:pPr>
        <w:spacing w:after="0" w:line="19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third-party CROs, contractors, consultants or others who process sensitive information on our behalf, may fail or suffer security incidents, loss or leakage of data and other compromises, any of which could result in a material disruption of our product candidates’ development programs, compromise sensitive information related to our business or prevent us from accessing such information, expose us to liability or otherwise adversely affect our business.</w:t>
      </w:r>
    </w:p>
    <w:p>
      <w:pPr>
        <w:spacing w:after="0" w:line="38"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the ordinary course of our business, we may collect, store and transmit confidential information, including intellectual property, proprietary business information and personal information (including health information). It is critical that we do so in a secure manner to maintain the confidentiality, integrity and availability of such information. We also have outsourced certain of our operations to third parties, and as a result we manage a number of third parties who have access to our information. Despite the implementation of security measures, our internal computer systems, and those of our CROs and other third parties on which we rely, are vulnerable to damage from computer viruses, unauthorized access, cyberattacks by sophisticated nation-state and nation-state supported actors or by malicious third parties (including the deployment of harmful malware (such as malicious code, viruses and worms), natural disasters, global pandemics, fire, terrorism, war and telecommunication and electrical failures, fraudulent activity, as well as security incidents from inadvertent or intentional actions (such as error or theft) by our employees, contractors, consultants, business partners, and/or other third parties, phishing attacks, ransomware, denial-of-service attacks, social engineering schemes and other means that affect service reliability and threaten the confidentiality, integrity and availability of information), which may compromise our system infrastructure as well as lead to unauthorized access, disclosure or acquisition of information. Cyberattacks are increasing in their frequency, sophistication and intensity. The techniques used to sabotage or to obtain unauthorized access to our information technology systems or those upon whom we rely on to process our information change frequently, and we may be unable to anticipate such techniques or implement adequate preventative measures or to stop security incidents in all instances. The recovery systems, security protocols, network protection mechanisms and other security measures that we have integrated into our information technology systems, which are designed to protect against, detect and minimize security breaches, may not be adequate to prevent or detect service interruption, system failure or data loss.</w:t>
      </w:r>
    </w:p>
    <w:p>
      <w:pPr>
        <w:spacing w:after="0" w:line="198"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Significant disruptions of our information technology systems or security incidents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including health information), and could result in financial, legal, business and reputational harm to us. If such disruptions were to occur and cause interruptions in our operations, it could result in a material disruption of our product development programs. For example, the loss of clinical trial data from completed, ongoing or planned clinical trials could result in delays in our regulatory approval efforts and significantly increase our costs to recover or reproduce the data. Further, as a result of increased hybrid work, a significant number of our employees and partners are working remotely, which increases the risk of a data breach or issues with data and cybersecurity. To the extent that any disruption or security incident results in a loss of, or damage to, our data or applications, or inappropriate disclosure of confidential or proprietary information, we could incur liability and the further development of our future product candidates could be delayed.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60" w:name="page61"/>
    <w:bookmarkEnd w:id="60"/>
    <w:p>
      <w:pPr>
        <w:jc w:val="both"/>
        <w:ind w:firstLine="509"/>
        <w:spacing w:after="0" w:line="237" w:lineRule="auto"/>
        <w:rPr>
          <w:sz w:val="20"/>
          <w:szCs w:val="20"/>
          <w:color w:val="auto"/>
        </w:rPr>
      </w:pPr>
      <w:r>
        <w:rPr>
          <w:rFonts w:ascii="Arial" w:cs="Arial" w:eastAsia="Arial" w:hAnsi="Arial"/>
          <w:sz w:val="18"/>
          <w:szCs w:val="18"/>
          <w:color w:val="auto"/>
        </w:rPr>
        <w:t>We may also be required to comply with laws, regulations, rules, industry standards, and other legal obligations that require us to maintain the security of personal data. We may also have contractual and other legal obligations to notify collaborators, our clinical trial participants, or other relevant stakeholders of security incidents. Failure to prevent or mitigate cyberattacks could result in unauthorized access to data, including personal data. Most jurisdictions have enacted laws requiring companies to notify individuals, regulatory authorities, and others of security breaches involving certain types of data. Such disclosures are costly, could lead to negative publicity, may cause our collaborators or other relevant stakeholders to lose confidence in the effectiveness of our security measures and require us to expend significant capital and other resources to respond to and/or alleviate problems caused by the actual or perceived security breach. In addition, the costs to respond to a cybersecurity event or to mitigate any identified security vulnerabilities could be significant, including costs for remediating the effects of such an event, paying a ransom, restoring data from backups, and conducting data analysis to determine what data may have been affected by the breach. In addition, our efforts to contain or remediate a security incident or any vulnerability exploited to cause an incident may be unsuccessful, and efforts and any related failures to contain or remediate them could result in interruptions, delays, harm to our reputation, and increases to our insurance coverage.</w:t>
      </w:r>
    </w:p>
    <w:p>
      <w:pPr>
        <w:spacing w:after="0" w:line="19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addition, litigation resulting from security breaches may adversely affect our business. Unauthorized access to our information technology systems could result in litigation with our collaborators, our clinical trial participants, or other relevant stakeholders. These proceedings could force us to spend money in defense or settlement, divert management’s time and attention, increase our costs of doing business, or adversely affect our reputation. We could be required to fundamentally change our business activities and practices in response to such litigation, which could have an adverse effect on our business. If a security breach were to occur and the confidentiality, integrity or availability of our data or the data of our collaborators were disrupted, we could incur significant liability, which could negatively affect our business and damage our reputation.</w:t>
      </w:r>
    </w:p>
    <w:p>
      <w:pPr>
        <w:spacing w:after="0" w:line="19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Furthermore, we may not have adequate insurance coverage or otherwise protect us from, or adequately mitigate, liabilities or damages.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spacing w:after="0" w:line="17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We are, or may become, subject to stringent and changing privacy and information security laws, regulations, standards, policies and contractual obligations related to data privacy and security. Our actual or perceived failure to comply with such data privacy and security obligations could lead to government enforcement actions (which could include civil or criminal fines or penalties), a disruption of our clinical trials or commercialization of our products, private litigation, changes to our business practices, increased costs of operations, and adverse publicity that could otherwise negatively affect our operating results and business. Compliance or the failure to comply with such obligations could increase the costs of our products, could limit their use or adoption, and could otherwise negatively affect our operating results and business.</w:t>
      </w:r>
    </w:p>
    <w:p>
      <w:pPr>
        <w:spacing w:after="0" w:line="28"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Regulation of data (including personal and clinical trial data) is evolving, as federal, state, and foreign governments continue to adopt new, or modify existing, laws and regulations addressing data privacy and security, and the collection, processing, storage, transfer, and use of data. These new or proposed laws and regulations are subject to differing interpretations and may be inconsistent among jurisdictions, and guidance on implementation and compliance practices are often updated or otherwise revised, which adds to the complexity of processing personal data. Moreover, we are subject to the terms of our privacy and security policies, representations, certifications, standards, publications, contracts and other obligations to third parties related to data privacy, security and processing. These and other requirements could require us or our collaborators to incur additional costs to achieve compliance, limit our competitiveness, necessitate the acceptance of more onerous obligations in our contracts, restrict our ability to use, store, transfer, and process data, impact our or our collaborators’ ability to process or use data in order to support the provision of our products, affect our or our collaborators’ ability to offer our products in certain locations, cause regulators to reject, limit or disrupt our clinical trial activities, result in increased expenses, reduce overall demand for our products, and make it more difficult to meet expectations of relevant stakeholders.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61" w:name="page62"/>
    <w:bookmarkEnd w:id="61"/>
    <w:p>
      <w:pPr>
        <w:jc w:val="both"/>
        <w:ind w:firstLine="509"/>
        <w:spacing w:after="0" w:line="237" w:lineRule="auto"/>
        <w:rPr>
          <w:sz w:val="20"/>
          <w:szCs w:val="20"/>
          <w:color w:val="auto"/>
        </w:rPr>
      </w:pPr>
      <w:r>
        <w:rPr>
          <w:rFonts w:ascii="Arial" w:cs="Arial" w:eastAsia="Arial" w:hAnsi="Arial"/>
          <w:sz w:val="18"/>
          <w:szCs w:val="18"/>
          <w:color w:val="auto"/>
        </w:rPr>
        <w:t>We and any potential collaborators may be subject to federal, state and foreign data protection laws and regulations including, without limitation, laws that regulate personal data such as health data. For example, in the United States, numerous federal and state laws and regulations, including federal health information privacy laws, state personal information laws (e.g., the California Consumer Privacy Act of 2018, or CCPA), state data breach notification laws, state health information privacy laws and federal and state consumer protection laws and regulations (e.g., Section 5 of the Federal Trade Commission Act), govern the collection, use, disclosure and protection of health-related and other personal data. These laws and regulations could apply to our operations, the operations of our collaborators, or other relevant stakeholders upon whom we depend. In addition, we may obtain personal data (including health information) from third parties (including research institutions from which we obtain clinical trial data) that are subject to privacy and security requirements under the Health Insurance Portability and Accountability Act, or HIPAA, as amended by the Health Information Technology for Economic and Clinical Health Act, or HITECH. Depending on the facts and circumstances, we could be subject to significant penalties if we violate HIPAA. Additionally, we could be subject to criminal penalties if we knowingly obtain, use, or disclose individually identifiable health information maintained by a HIPAA-covered entity in a manner that is not authorized or permitted by HIPAA.</w:t>
      </w:r>
    </w:p>
    <w:p>
      <w:pPr>
        <w:spacing w:after="0" w:line="19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CCPA became effective on January 1, 2020, and gives California residents expanded rights to access and delete their personal data, opt out of certain personal data sharing and receive detailed information about how their personal data is used. The CCPA requires covered businesses to provide new disclosures to California residents. The CCPA provides for civil penalties for violations, as well as a private right of action for data breaches that is expected to increase data breach litigation. Although there are limited exemptions for clinical trial data and the CCPA’s implementation standards and enforcement practices are likely to remain uncertain for the foreseeable future, the CCPA may increase our compliance costs and potential liability. The CCPA was expanded on January 1, 2023, when the California Privacy Rights Act of 2020, or CPRA, became operative. The amendments introduced by the CPRA expanded the scope of the CCPA in a number of ways, including by providing California residents the ability to limit use of certain sensitive information, establishing restrictions on the retention of personal data, expanding the types of data breaches subject to the CCPA’s private right of action and establishing a new California Privacy Protection Agency to implement and enforce the new law.</w:t>
      </w:r>
    </w:p>
    <w:p>
      <w:pPr>
        <w:spacing w:after="0" w:line="197"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Comprehensive consumer privacy laws have been passed in twelve other states and a number of other states have proposed new privacy law.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 In addition, laws in all 50 U.S. states require businesses to provide notice to individuals if certain of their personal information has been disclosed as a result of a qualifying data breach. There are also states that are specifically regulating health information. In addition, other states have proposed and/or passed legislation that regulates the privacy and/or security of certain specific types of information. For example, a small number of states have passed laws that regulate biometric data specifically. These various privacy and security laws may impact our business activities, including our identification of research subjects, relationships with business partners and ultimately the marketing and distribution of our products. State laws are changing rapidly and there is discussion in the U.S. Congress of a new comprehensive federal data privacy law to which we may likely become subject, if enacted. These laws demonstrate our vulnerability to the evolving regulatory environment related to personal data. As we expand our operations, these and similar laws may increase our compliance costs and potential liability.</w:t>
      </w:r>
    </w:p>
    <w:p>
      <w:pPr>
        <w:spacing w:after="0" w:line="202"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Foreign data protection laws, such as, without limitation, the EU GDPR (General Data Protection Regulation), the EU member state implementing legislation, and the UK GDPR, may also apply to health-related and other personal data that we process, including, without limitation, personal data relating to clinical trial participants. The GDPR imposes strict obligations on the ability to process health-related and other personal data, including in relation to security (which requires the adoption of administrative, physical and technical safeguards designed to protect such information), collection, use and transfer or personal data. These obligations include, without limitation, several requirements relating to transparency related to communications with data subjects regarding the processing of their personal data, obtaining the consent of the individuals to whom the personal data relates in certain circumstances, limitations on the retention of personal data, increased requirements pertaining to health data, establishing a legal basis for processing, notification of data processing obligations or security incidents to the competent national data protection authorities and/or data subjects, the security and confidentiality of the personal data, various rights that data subjects may exercise with respect to their personal data, and strict rules and restrictions on the international transfer of personal data.</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62" w:name="page63"/>
    <w:bookmarkEnd w:id="62"/>
    <w:p>
      <w:pPr>
        <w:jc w:val="both"/>
        <w:ind w:firstLine="509"/>
        <w:spacing w:after="0" w:line="237" w:lineRule="auto"/>
        <w:rPr>
          <w:sz w:val="20"/>
          <w:szCs w:val="20"/>
          <w:color w:val="auto"/>
        </w:rPr>
      </w:pPr>
      <w:r>
        <w:rPr>
          <w:rFonts w:ascii="Arial" w:cs="Arial" w:eastAsia="Arial" w:hAnsi="Arial"/>
          <w:sz w:val="18"/>
          <w:szCs w:val="18"/>
          <w:color w:val="auto"/>
        </w:rPr>
        <w:t>The GDPR imposes strict rules on the transfer of personal data out of the EEA and UK to other regions outside the EEA/UK, or third countries, that have not been deemed to offer “adequate” privacy protections by the competent data protection authorities, including the United States in certain circumstances, unless a derogation exists or adequate international transfer safeguards (for example, the European Commission approved Standard Contractual Clauses, or the EU SCCs, and the UK International Data Transfer Agreement/Addendum, or the UK IDTA) are put in place. Where relying on the EU SCCs or UK IDTA for data transfers, we may also be required to carry out transfer impact assessments on the transfers made pursuant to the EU SCCs and UK IDTA, on a case-by-case basis, to ensure the law in the recipient country provides “essentially equivalent” protections to safeguard the transferred personal data as provided in the EEA and UK, and may be required to adopt supplementary measures if this standard is not met. The international transfer obligations under the EEA and UK data protection regimes will require significant effort and cost, and may result in us needing to make strategic considerations around where EEA and UK personal data is located and which service providers we can utilize for the processing of EEA and UK personal data. Any inability to process or transfer personal data from the EEA to the United States in compliance with data protection laws may impede our ability to conduct trials and may adversely affect our business and financial position.</w:t>
      </w:r>
    </w:p>
    <w:p>
      <w:pPr>
        <w:spacing w:after="0" w:line="193" w:lineRule="exact"/>
        <w:rPr>
          <w:sz w:val="20"/>
          <w:szCs w:val="20"/>
          <w:color w:val="auto"/>
        </w:rPr>
      </w:pPr>
    </w:p>
    <w:p>
      <w:pPr>
        <w:jc w:val="both"/>
        <w:ind w:firstLine="564"/>
        <w:spacing w:after="0" w:line="236" w:lineRule="auto"/>
        <w:rPr>
          <w:sz w:val="20"/>
          <w:szCs w:val="20"/>
          <w:color w:val="auto"/>
        </w:rPr>
      </w:pPr>
      <w:r>
        <w:rPr>
          <w:rFonts w:ascii="Arial" w:cs="Arial" w:eastAsia="Arial" w:hAnsi="Arial"/>
          <w:sz w:val="18"/>
          <w:szCs w:val="18"/>
          <w:color w:val="auto"/>
        </w:rPr>
        <w:t>Although the UK is regarded as one of the third countries under the EU GDPR, the European Commission has adopted an adequacy decision in favor of the UK, enabling data transfers from EEA member states to the UK without additional safeguards. The UK government has confirmed that personal data transfers from the UK to the EEA remain free flowing.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Further, the UK Government has introduced a Data Protection and Digital Information Bill, or the UK Bill, into the UK legislative process. The aim of the UK Bill is to reform the UK’s data protection regime following Brexit. If passed, the final version of the UK Bill may have the effect of further altering the similarities between the UK and EEA data protection regime and threaten the UK adequacy decision from the European Commission. In addition, EEA Member States have adopted national laws to implement the GDPR that may partially deviate from the GDPR. Further, the competent authorities in the EEA Member States may interpret GDPR obligations slightly differently from country to country and therefore we do not expect to operate in a uniform legal landscape in the EEA. The potential of the respective provisions and enforcement of the EU GDPR and UK GDPR further diverging in the future creates additional regulatory challenges and uncertainties for us.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UK and the EEA.</w:t>
      </w:r>
    </w:p>
    <w:p>
      <w:pPr>
        <w:spacing w:after="0" w:line="20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increase of foreign privacy and security legal frameworks with which we must comply, increases our compliance burdens and exposure to substantial fines and penalties for non-compliance. For example, under the GDPR, entities that violate the GDPR can face fines of up to the greater of 20 million euros (£17.5 million under UK GDPR) or 4% of their worldwide annual turnover, or revenue,. Additionally, regulators could prohibit our use of personal data subject to the GDPR. The GDPR also confers a private right of action on data subjects and consumer associations to lodge complaints with supervisory authorities, seek judicial remedies, and obtain compensation for damages resulting from infringement of the GDPR. The GDPR has increased our responsibility and potential liability in relation to personal data that we process, requiring us to put in place additional mechanisms to comply with the GDPR and other foreign data protection requirements.</w:t>
      </w:r>
    </w:p>
    <w:p>
      <w:pPr>
        <w:spacing w:after="0" w:line="19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may also publish privacy policies and other documentation regarding our collection, processing, use and disclosure of personal data and/or other confidential information. Although we endeavor to comply with our published policies and documentation, we may at times fail to do so or may be perceived to have failed to do so. Moreover, despite our efforts, we may not be successful in achieving compliance if our employees or contractors fail to comply with our published policies and documentation. Such failures can subject us to potential foreign, local, state and federal action if they are found to be deceptive, unfair, or misrepresentative of our actual practices.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63" w:name="page64"/>
    <w:bookmarkEnd w:id="63"/>
    <w:p>
      <w:pPr>
        <w:jc w:val="both"/>
        <w:ind w:firstLine="509"/>
        <w:spacing w:after="0" w:line="237" w:lineRule="auto"/>
        <w:rPr>
          <w:sz w:val="20"/>
          <w:szCs w:val="20"/>
          <w:color w:val="auto"/>
        </w:rPr>
      </w:pPr>
      <w:r>
        <w:rPr>
          <w:rFonts w:ascii="Arial" w:cs="Arial" w:eastAsia="Arial" w:hAnsi="Arial"/>
          <w:sz w:val="18"/>
          <w:szCs w:val="18"/>
          <w:color w:val="auto"/>
        </w:rPr>
        <w:t>Compliance with U.S. federal and state as well as foreign data protection laws and regulations could require us to take on more onerous obligations in our contracts, restrict our ability to collect, use and disclose data, or in some cases, impact our ability to operate in certain jurisdictions. Failure, or perceived failure, to comply with federal, state and foreign data protection laws and regulations could result in government enforcement actions (which could include civil or criminal penalties, fines or penalties), private litigation, a diversion of management attention, adverse publicity and negative effects on our operating results and business. There can be no assurance that the limitations of liability in our contracts would be enforceable or adequate or would otherwise protect us from liabilities or damages if we fail to comply with applicable data protection laws, privacy policies or data protection obligations related to information security or security breaches. Moreover, clinical trial participants or patients about whom we or our collaborators obtain information, as well as the providers who share this information with us, may limit our ability to use and disclose the information. Claims that we have violated individuals’ privacy rights, failed to comply with data protection laws, contracts or privacy notices or breached other obligations, even if we are not found liable, could be expensive and time consuming to defend and could result in adverse publicity that could harm our business. Compliance with data protection laws may be time consuming, require additional resources and could result in increased expenses, reduce overall demand for our products and make it more difficult to meet expectations of or commitments to our relevant stakeholders.</w:t>
      </w:r>
    </w:p>
    <w:p>
      <w:pPr>
        <w:spacing w:after="0" w:line="168"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integrate generative artificial intelligence tools into our systems for specific use cases reviewed by legal and information security. In addition,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87"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operations, and those of our contractors and consultants, could be subject to earthquakes, power shortages, telecommunications failures, water shortages, floods, hurricanes, typhoons, fires, extreme weather conditions, medical epidemics, pandemics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184"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b w:val="1"/>
          <w:bCs w:val="1"/>
          <w:i w:val="1"/>
          <w:iCs w:val="1"/>
          <w:color w:val="auto"/>
        </w:rPr>
        <w:t>Any future acquisitions, in-licensing or strategic partnerships may increase our capital requirements, dilute our stockholders, divert our management’s attention, cause us to incur debt or assume contingent liabilities and subject us to other risks.</w:t>
      </w:r>
    </w:p>
    <w:p>
      <w:pPr>
        <w:spacing w:after="0" w:line="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9"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assumption of indebtedness or contingent liabilities;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issuance of our equity securities which would result in dilution to our stockholders;</w:t>
      </w:r>
    </w:p>
    <w:p>
      <w:pPr>
        <w:spacing w:after="0" w:line="49"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ind w:left="1020" w:hanging="503"/>
        <w:spacing w:after="0" w:line="260"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candidates and initiatives in pursuing such an acquisition or strategic partnership;</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64" w:name="page65"/>
    <w:bookmarkEnd w:id="64"/>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spend substantial operational, financial and management resources in integrating new businesses, technologies and products;</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49"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2" w:lineRule="exact"/>
        <w:rPr>
          <w:rFonts w:ascii="Arial" w:cs="Arial" w:eastAsia="Arial" w:hAnsi="Arial"/>
          <w:sz w:val="18"/>
          <w:szCs w:val="18"/>
          <w:color w:val="auto"/>
        </w:rPr>
      </w:pPr>
    </w:p>
    <w:p>
      <w:pPr>
        <w:ind w:left="1020" w:hanging="503"/>
        <w:spacing w:after="0" w:line="260"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173"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In addition, if we undertake such a transaction, we may incur large one-time expenses and acquire intangible assets that could result in significant future amortization expense.</w:t>
      </w:r>
    </w:p>
    <w:p>
      <w:pPr>
        <w:spacing w:after="0" w:line="163"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b w:val="1"/>
          <w:bCs w:val="1"/>
          <w:i w:val="1"/>
          <w:iCs w:val="1"/>
          <w:color w:val="auto"/>
        </w:rPr>
        <w:t>We or the third parties upon whom we depend on may be adversely affected by natural disasters and our business continuity and disaster recovery plans may not adequately protect us from a serious disaster.</w:t>
      </w:r>
    </w:p>
    <w:p>
      <w:pPr>
        <w:spacing w:after="0" w:line="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on which we rely,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For example, following Hurricane Maria, shortages in production and delays in a number of medical supplies produced in Puerto Rico resulted, and any similar interruption due to a natural disaster affecting us or any of our third-party manufacturers could materially delay our operations.</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We expect to significantly expand our organization, including building sales and marketing capability and creating additional infrastructure to support our operations as a public company, and as a result, we may encounter difficulties in managing our growth, which could disrupt our operations.</w:t>
      </w:r>
    </w:p>
    <w:p>
      <w:pPr>
        <w:spacing w:after="0" w:line="1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sales and marketing and finance and accounting.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current or future product candidates that we may develop.</w:t>
      </w:r>
    </w:p>
    <w:p>
      <w:pPr>
        <w:spacing w:after="0" w:line="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will face an inherent risk of product liability exposure related to the testing of our current or future product candidates in human clinical trials and will face an even greater risk if we commercially sell any current or future product candidates that we may develop. Claims could also be asserted under the state consumer production acts. If we cannot successfully defend ourselves against claims that our current or future product candidates caused injuries, we could incur substantial liabilities. Regardless of merit or eventual outcome, liability claims may result in:</w:t>
      </w:r>
    </w:p>
    <w:p>
      <w:pPr>
        <w:spacing w:after="0" w:line="5"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demand for any current or future product candidates that we may develop;</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diversion of management’s time and resources;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decline in our stock price; and</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commercialize any current or future product candidates that we may develop.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65" w:name="page66"/>
    <w:bookmarkEnd w:id="65"/>
    <w:p>
      <w:pPr>
        <w:jc w:val="both"/>
        <w:ind w:firstLine="509"/>
        <w:spacing w:after="0" w:line="247" w:lineRule="auto"/>
        <w:rPr>
          <w:sz w:val="20"/>
          <w:szCs w:val="20"/>
          <w:color w:val="auto"/>
        </w:rPr>
      </w:pPr>
      <w:r>
        <w:rPr>
          <w:rFonts w:ascii="Arial" w:cs="Arial" w:eastAsia="Arial" w:hAnsi="Arial"/>
          <w:sz w:val="18"/>
          <w:szCs w:val="18"/>
          <w:color w:val="auto"/>
        </w:rPr>
        <w:t>We do not yet maintain product liability insurance, and we anticipate that we will need to increase our insurance coverage when we begin clinical trials and if we successfully commercialize any product candidate. Insurance coverage is increasingly expensive. We may not be able to maintain product liability insurance coverage at a reasonable cost or in an amount adequate to satisfy any liability that may arise.</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consultants, commercial collaborators, service providers and other vendors may engage in misconduct or other improper activities, including noncompliance with regulatory standards and requirements, which could have an adverse effect on our results of operations.</w:t>
      </w:r>
    </w:p>
    <w:p>
      <w:pPr>
        <w:spacing w:after="0" w:line="12"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consultants, any future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including those laws that require the reporting of true, complete and accurate information to such regulatory bodies; manufacturing standards; the U.S. federal and state fraud and abuse laws, data privacy and security laws and other similar non-United States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 possible exclusion from participation in Medicare, Medicaid and other United States federal healthcare programs or healthcare programs in other jurisdictions, integrity oversight and reporting obligations to resolve allegations of non -compliance,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77"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influence over matters subject to stockholder approval.</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Based on the beneficial ownership of our common stock as of September 30, 2023, our executive officers, directors, holders of 5% or more of our capital stock and their respective affiliates beneficially owned approximately 54.8% of our outstanding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7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Under Section 382 of the Internal Revenue Code of 1986, as amended, or the Code, if a corporation undergoes an “ownership change” (generally defined as a greater than 50 percentage point change (by value) in the ownership of its equity over a three 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subsequent shifts in our stock ownership, some of which are outside our control. Our gross operating losses and tax credits may also be impaired or restricted under state law. As of December 31, 2022, we had federal gross operating loss carryforwards of approximately $155.1 million, and state gross operating loss carryforwards of $127.5 million. Furthermore, our ability to utilize our NOLs or credits is conditioned upon our attaining profitability and generating the U.S. federal and state taxable income. As a result, the amount of the gross operating loss and tax credit carryforwards presented in our financial statements could be limited and may expire unutilized. Under current law, unused U.S. federal gross operating loss carryforwards generated in taxable years beginning after December 31, 2017 are not subject to expiration and may be carried forward indefinitely. For taxable years beginning after December 31, 2020, however, the deductibility of such U.S. federal net operating losses is limited to 80% of our taxable income in such taxable years.</w:t>
      </w:r>
    </w:p>
    <w:p>
      <w:pPr>
        <w:spacing w:after="0" w:line="183"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 For a further description of our dividend policy, please refer to the section entitled “Dividend Policy.”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7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8"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2"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variations in the level of expense related to the ongoing development of bel-sar or future development programs;</w:t>
      </w:r>
    </w:p>
    <w:p>
      <w:pPr>
        <w:spacing w:after="0" w:line="49"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results of clinical trials, or the addition or termination of clinical trials or funding support by us, or existing or future collaborators or licensing partners;</w:t>
      </w:r>
    </w:p>
    <w:p>
      <w:pPr>
        <w:ind w:left="1020" w:hanging="503"/>
        <w:spacing w:after="0" w:line="25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2"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intellectual property infringement lawsuit or opposition, interference or cancellation proceeding in which we may become involved;</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36"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2" w:lineRule="exact"/>
        <w:rPr>
          <w:rFonts w:ascii="Arial" w:cs="Arial" w:eastAsia="Arial" w:hAnsi="Arial"/>
          <w:sz w:val="18"/>
          <w:szCs w:val="18"/>
          <w:color w:val="auto"/>
        </w:rPr>
      </w:pPr>
    </w:p>
    <w:p>
      <w:pPr>
        <w:ind w:left="1020" w:right="20" w:hanging="503"/>
        <w:spacing w:after="0" w:line="25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general market and economic conditions, including inflationary pressures.</w:t>
      </w:r>
    </w:p>
    <w:p>
      <w:pPr>
        <w:spacing w:after="0" w:line="22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7" w:name="page68"/>
    <w:bookmarkEnd w:id="67"/>
    <w:p>
      <w:pPr>
        <w:jc w:val="both"/>
        <w:ind w:right="20"/>
        <w:spacing w:after="0" w:line="279" w:lineRule="auto"/>
        <w:rPr>
          <w:sz w:val="20"/>
          <w:szCs w:val="20"/>
          <w:color w:val="auto"/>
        </w:rPr>
      </w:pPr>
      <w:r>
        <w:rPr>
          <w:rFonts w:ascii="Arial" w:cs="Arial" w:eastAsia="Arial" w:hAnsi="Arial"/>
          <w:sz w:val="18"/>
          <w:szCs w:val="18"/>
          <w:b w:val="1"/>
          <w:bCs w:val="1"/>
          <w:i w:val="1"/>
          <w:iCs w:val="1"/>
          <w:color w:val="auto"/>
        </w:rPr>
        <w:t>Our amended and restated bylaws designate specific courts as the exclusive forum for certain litigation that may be initiated by our stockholders, which could limit our stockholders’ ability to obtain a favorable judicial forum for disputes with us.</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Pursuant to our amended and restated bylaws, unless we consent in writing to the selection of an alternative forum, the Court of Chancery of the State of Delaware is the sole and exclusive forum for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or our amended and restated certificate of incorporation or our amended and amended and restated bylaws (including the interpretation, validity or enforceability thereof) or (iv) any action asserting a claim that is governed by the internal affairs doctrine (the Delaware Forum Provision). The Delaware Forum Provision will not apply to any causes of action arising under the Securities Act or the Exchange Act. Our amended and restated bylaws will further provide that unless we consent in writing to the selection of an alternative forum, the federal district courts of the United States shall be the sole and exclusive forum for resolving any complaint asserting a cause of action arising under the Securities Act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9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Delaware Forum Provision and the Federal Forum Provision in our amended and restated bylaws may impose additional litigation costs on stockholders in pursuing any such claims. Additionally, these forum selection clauses in our amended and restated bylaws may limit our stockholders’ ability to bring a claim in a judicial forum that they find favorable for disputes with us or our directors, officers or employees, which may discourage the filing of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9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business.</w:t>
      </w:r>
    </w:p>
    <w:p>
      <w:pPr>
        <w:spacing w:after="0" w:line="174"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b w:val="1"/>
          <w:bCs w:val="1"/>
          <w:i w:val="1"/>
          <w:iCs w:val="1"/>
          <w:color w:val="auto"/>
        </w:rPr>
        <w:t>Anti-takeover provisions in our amended and restated Certificate of Incorporation and bylaws and under Delaware law could make an acquisition of us, which may be beneficial to our stockholders, more difficult and may prevent attempts by our stockholders to replace or remove our current management and, therefore, decrease the trading price of our common stock.</w:t>
      </w:r>
    </w:p>
    <w:p>
      <w:pPr>
        <w:spacing w:after="0" w:line="2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fourth amended and restated certificate of incorporation and amended and restated bylaws contain provisions that could delay or prevent a change of control of our company or changes in our Board that our stockholders might consider favorable. Some of these provisions include:</w:t>
      </w:r>
    </w:p>
    <w:p>
      <w:pPr>
        <w:spacing w:after="0" w:line="3" w:lineRule="exact"/>
        <w:rPr>
          <w:sz w:val="20"/>
          <w:szCs w:val="20"/>
          <w:color w:val="auto"/>
        </w:rPr>
      </w:pPr>
    </w:p>
    <w:p>
      <w:pPr>
        <w:ind w:left="1020" w:right="20" w:hanging="503"/>
        <w:spacing w:after="0" w:line="25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Board divided into three classes serving staggered three-year terms, such that not all members of the Board will be elected at one time;</w:t>
      </w:r>
    </w:p>
    <w:p>
      <w:pPr>
        <w:spacing w:after="0" w:line="2"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2" w:lineRule="exact"/>
        <w:rPr>
          <w:rFonts w:ascii="Arial" w:cs="Arial" w:eastAsia="Arial" w:hAnsi="Arial"/>
          <w:sz w:val="18"/>
          <w:szCs w:val="18"/>
          <w:color w:val="auto"/>
        </w:rPr>
      </w:pPr>
    </w:p>
    <w:p>
      <w:pPr>
        <w:jc w:val="both"/>
        <w:ind w:left="1020" w:hanging="503"/>
        <w:spacing w:after="0" w:line="244"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requirement that special meetings of the stockholders may be called only by the Board acting pursuant to a resolution approved by the affirmative vote of a majority of the directors then in office, and special meetings of stockholders may not be called by any other person or persons;</w:t>
      </w:r>
    </w:p>
    <w:p>
      <w:pPr>
        <w:spacing w:after="0" w:line="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w:t>
      </w:r>
    </w:p>
    <w:p>
      <w:pPr>
        <w:spacing w:after="0" w:line="49" w:lineRule="exact"/>
        <w:rPr>
          <w:rFonts w:ascii="Arial" w:cs="Arial" w:eastAsia="Arial" w:hAnsi="Arial"/>
          <w:sz w:val="18"/>
          <w:szCs w:val="18"/>
          <w:color w:val="auto"/>
        </w:rPr>
      </w:pPr>
    </w:p>
    <w:p>
      <w:pPr>
        <w:jc w:val="both"/>
        <w:ind w:left="1020" w:right="20" w:hanging="503"/>
        <w:spacing w:after="0" w:line="24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requirement that no member of our Board may be removed from office by our stockholders except for cause and, in addition to any other vote required by law, upon the approval of not less than two-thirds (2/3) of all outstanding shares of our voting stock then entitled to vote in the election of directors;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8" w:name="page69"/>
    <w:bookmarkEnd w:id="68"/>
    <w:p>
      <w:pPr>
        <w:jc w:val="both"/>
        <w:ind w:left="1020" w:hanging="503"/>
        <w:spacing w:after="0" w:line="244"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requirement of approval of not less than a majority of all outstanding shares of our voting stock to amend any bylaws by stockholder action and not less than two-thirds (2/3) of all outstanding shares of our voting stock to amend specific provisions of our certificate of incorporation; and</w:t>
      </w:r>
    </w:p>
    <w:p>
      <w:pPr>
        <w:spacing w:after="0" w:line="3" w:lineRule="exact"/>
        <w:rPr>
          <w:rFonts w:ascii="Arial" w:cs="Arial" w:eastAsia="Arial" w:hAnsi="Arial"/>
          <w:sz w:val="18"/>
          <w:szCs w:val="18"/>
          <w:color w:val="auto"/>
        </w:rPr>
      </w:pPr>
    </w:p>
    <w:p>
      <w:pPr>
        <w:ind w:left="1020" w:hanging="503"/>
        <w:spacing w:after="0" w:line="260"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authority of the Board to issue preferred stock on terms determined by the Board without stockholder approval, which preferred stock may include rights superior to the rights of the holders of common stock.</w:t>
      </w:r>
    </w:p>
    <w:p>
      <w:pPr>
        <w:spacing w:after="0" w:line="17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fourth amended and restated certificate of incorporation and amended and restated bylaws could make it more difficult for stockholders or potential acquirers to obtain control of our Board or initiate actions that are opposed by the then-current Board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could cause the market price of our common stock to decline.</w:t>
      </w:r>
    </w:p>
    <w:p>
      <w:pPr>
        <w:spacing w:after="0" w:line="184"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acquire shares of our common stock, could result in additional dilution to the ownership of our stockholders and cause the market price of our common stock to decline significantly.</w:t>
      </w:r>
    </w:p>
    <w:p>
      <w:pPr>
        <w:spacing w:after="0" w:line="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be granted rights superior to our existing stockholders. In November 2022, we filed a registration statement on Form S-3 relating to the registration of our common stock, preferred stock, debt securities, warrants and units or any combination thereof. Concurrently with the filing of such registration statement, we entered into an ATM, which provides for the offering, issuance and sale by us of shares of our common stock from time to time for aggregate gross proceeds of up to $75 million in sales deemed to be “at-the-market offerings” as defined by the Securities Act of 1933, as amended. Any sale or issuance of securities pursuant to this registration statement or otherwise may result in dilution to our stockholders and may cause the market price of our stock to decline. Furthermore, new investors purchasing securities that we may issue and sell in the future could obtain rights superior to the rights of our existing stockholders.</w:t>
      </w:r>
    </w:p>
    <w:p>
      <w:pPr>
        <w:spacing w:after="0" w:line="19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As of September 30, 2023, we have 38,216,717 shares of common stock outstanding. Significant portions of these shares are held by a small number of stockholders, including persons who were our stockholders prior to our IPO. Sales by our stockholders of a substantial number of shares, or the expectation that such sales may occur, could significantly reduce the market price of our common stock. Moreover, certain shares of our common stock have rights, subject to conditions, to require us to file registration statements covering their shares or to include their shares in registration statements that we may file for ourselves or other stockholders. We have also registered or intend to register all shares of common stock that we may issue under our equity compensation plans or that are issuable upon exercise of outstanding options. These shares can be freely sold in the public market upon issuance and once vested, subject to volume limitations applicable to affiliates. In addition, our directors, executive officers and certain affiliates may establish programmed selling plans under Rule 10b5-1 of the Exchange Act for the purpose of effecting sales of our common stock. If any of these events cause a large number of our shares to be sold, or if it is perceived that they will be sold, in the public market, the market price of our common stock could decline.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General Risk Factors</w:t>
      </w:r>
    </w:p>
    <w:p>
      <w:pPr>
        <w:spacing w:after="0" w:line="6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Among other matters, the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12" w:lineRule="exact"/>
        <w:rPr>
          <w:sz w:val="20"/>
          <w:szCs w:val="20"/>
          <w:color w:val="auto"/>
        </w:rPr>
      </w:pPr>
    </w:p>
    <w:p>
      <w:pPr>
        <w:jc w:val="both"/>
        <w:ind w:right="20" w:firstLine="509"/>
        <w:spacing w:after="0" w:line="247" w:lineRule="auto"/>
        <w:rPr>
          <w:sz w:val="20"/>
          <w:szCs w:val="20"/>
          <w:color w:val="auto"/>
        </w:rPr>
      </w:pPr>
      <w:r>
        <w:rPr>
          <w:rFonts w:ascii="Arial" w:cs="Arial" w:eastAsia="Arial" w:hAnsi="Arial"/>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w:t>
      </w:r>
    </w:p>
    <w:p>
      <w:pPr>
        <w:spacing w:after="0" w:line="3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19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the Company, the financial institutions with which the Company has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w:t>
      </w:r>
    </w:p>
    <w:p>
      <w:pPr>
        <w:spacing w:after="0" w:line="19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9"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delayed access to deposits or other financial assets or the uninsured loss of deposits or other financial assets;</w:t>
      </w:r>
    </w:p>
    <w:p>
      <w:pPr>
        <w:spacing w:after="0" w:line="49"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access to revolving existing credit facilities or other working capital sources and/or the inability to refund, roll over or extend the maturity of, or enter into new credit facilities or other working capital resources;</w:t>
      </w:r>
    </w:p>
    <w:p>
      <w:pPr>
        <w:ind w:left="1020" w:right="20" w:hanging="503"/>
        <w:spacing w:after="0" w:line="25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 or actual breach of contractual obligations that require the Company to maintain letters or credit or other credit support arrangements;</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 or actual breach of financial covenants in our credit agreements or credit arrangements;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 or actual cross-defaults in other credit agreements, credit arrangements or operating or financing agreements; or</w:t>
      </w:r>
    </w:p>
    <w:p>
      <w:pPr>
        <w:spacing w:after="0" w:line="36" w:lineRule="exact"/>
        <w:rPr>
          <w:rFonts w:ascii="Arial" w:cs="Arial" w:eastAsia="Arial" w:hAnsi="Arial"/>
          <w:sz w:val="18"/>
          <w:szCs w:val="18"/>
          <w:color w:val="auto"/>
        </w:rPr>
      </w:pPr>
    </w:p>
    <w:p>
      <w:pPr>
        <w:ind w:left="1020" w:hanging="503"/>
        <w:spacing w:after="0" w:line="260"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termination of cash management arrangements and/or delays in accessing or actual loss of funds subject to cash management arrangements.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0" w:name="page71"/>
    <w:bookmarkEnd w:id="70"/>
    <w:p>
      <w:pPr>
        <w:jc w:val="both"/>
        <w:ind w:firstLine="509"/>
        <w:spacing w:after="0" w:line="238" w:lineRule="auto"/>
        <w:rPr>
          <w:sz w:val="20"/>
          <w:szCs w:val="20"/>
          <w:color w:val="auto"/>
        </w:rPr>
      </w:pPr>
      <w:r>
        <w:rPr>
          <w:rFonts w:ascii="Arial" w:cs="Arial" w:eastAsia="Arial" w:hAnsi="Arial"/>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9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the Company, including but not limited to delayed access or loss of access to uninsured deposits or loss of the ability to draw on existing credit facilities involving a troubled or failed financial institution. Any customer or supplier bankruptcy or insolvency, or the failure of any customer to make payments when due, or any breach or default by a customer or supplier, or the loss of any significant supplier relationships, could result in material losses to the Company and may material adverse impacts on our business.</w:t>
      </w:r>
    </w:p>
    <w:p>
      <w:pPr>
        <w:spacing w:after="0" w:line="181"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b w:val="1"/>
          <w:bCs w:val="1"/>
          <w:i w:val="1"/>
          <w:iCs w:val="1"/>
          <w:color w:val="auto"/>
        </w:rPr>
        <w:t>Unfavorable global economic or political conditions could adversely affect our business, financial condition or results of operations.</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For example, in 2008, the global financial crisis caused extreme volatility and disruptions in the capital and credit markets and the COVID-19 pandemic caused significant volatility and uncertainty in the U.S. and international markets. In addition, the current military conflict between Russia and Ukraine and the armed conflict in Israel and the Gaza Strip could disrupt or otherwise adversely impact our operations and those of third parties upon which we rely. Related sanctions, export controls or other actions that may be initiated by nations including the United States, the EU or Russia (e.g., potential cyberattacks, disruption of energy flows, etc.), which could adversely affect our business and/or our supply chain, our CROs, CDMOs and other third parties with which we conduct business. A severe or prolonged economic downturn or political unrest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71" w:name="page72"/>
    <w:bookmarkEnd w:id="71"/>
    <w:p>
      <w:pPr>
        <w:jc w:val="both"/>
        <w:spacing w:after="0" w:line="279" w:lineRule="auto"/>
        <w:rPr>
          <w:sz w:val="20"/>
          <w:szCs w:val="20"/>
          <w:color w:val="auto"/>
        </w:rPr>
      </w:pPr>
      <w:r>
        <w:rPr>
          <w:rFonts w:ascii="Arial" w:cs="Arial" w:eastAsia="Arial" w:hAnsi="Arial"/>
          <w:sz w:val="18"/>
          <w:szCs w:val="18"/>
          <w:b w:val="1"/>
          <w:bCs w:val="1"/>
          <w:i w:val="1"/>
          <w:iCs w:val="1"/>
          <w:color w:val="auto"/>
        </w:rPr>
        <w:t>Our employees, independent contractors, consultants, academic collaborators, partners and vendors may engage in misconduct or other improper activities, including noncompliance with regulatory standards and requirements.</w:t>
      </w:r>
    </w:p>
    <w:p>
      <w:pPr>
        <w:spacing w:after="0" w:line="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are exposed to the risk of employee fraud or other illegal activity by our employees, independent contractors, consultants, academic collaborators, partners and vendors. Misconduct by these parties could include intentional, reckless and/or negligent conduct that fails to comply with the laws of the FDA, the EMA and comparable foreign regulatory authorities, provide true, complete and accurate information to the FDA, the EMA and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the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We have adopted a code of business conduct and ethics, but it is not always possible to identify and deter misconduct by our employees, independent contractors, consultants, academic collaborators, partners and vendors, and the precautions we take to detect and prevent such activities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independent auditor attestation requirements of Section 404 of the Sarbanes-Oxley Act of 2002 or Section 404, as amended, (2) reduced disclosure obligations regarding executive compensation in our periodic reports and proxy statements and (3)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our periodic reports.</w:t>
      </w:r>
    </w:p>
    <w:p>
      <w:pPr>
        <w:spacing w:after="0" w:line="19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will remain an “emerging growth company” until the earlier of (i) the last day of the fiscal year (a) following the fifth anniversary of the closing of our IPO, (b) in which we have total annual gross revenue of at least $1.235 billion or (c) in which we are deemed to be a “large accelerated filer,” which requires the market value of our common stock that is held by non-affiliates to exceed $700.0 million as of the prior June 30, and (ii) the date on which we have issued more than $1.0 billion in non-convertible debt during the prior three-year period.</w:t>
      </w:r>
    </w:p>
    <w:p>
      <w:pPr>
        <w:spacing w:after="0" w:line="18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take advantage of many of the same exemptions from disclosure requirements, including not being required to comply with the independent auditor attestation requirements of Section 404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19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2" w:name="page73"/>
    <w:bookmarkEnd w:id="72"/>
    <w:p>
      <w:pPr>
        <w:jc w:val="both"/>
        <w:ind w:firstLine="509"/>
        <w:spacing w:after="0" w:line="238"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until (i) the market value of our stock held by non-affiliates is less than $ 250.0 million or (ii) our annual revenue is less than $100.0 million during the most recently completed fiscal year and the market value of our stock held by non-affiliates is less than $700.0 million as of the prior June 30.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7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trading price of our common stock is highly volatile and subject to wide fluctuations in response to various factors, some of which we cannot control. As a result of this volatility, you may not be able to sell their common stock at or above the price you paid for your common stock. The market price for our common stock may be influenced by many factors, including the other risks described in the section of this Quarterly Report on Form 10-Q entitled “Risk Factors” and the following:</w:t>
      </w:r>
    </w:p>
    <w:p>
      <w:pPr>
        <w:spacing w:after="0" w:line="12" w:lineRule="exact"/>
        <w:rPr>
          <w:sz w:val="20"/>
          <w:szCs w:val="20"/>
          <w:color w:val="auto"/>
        </w:rPr>
      </w:pPr>
    </w:p>
    <w:p>
      <w:pPr>
        <w:ind w:left="1020" w:hanging="503"/>
        <w:spacing w:after="0" w:line="25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results of preclinical studies and results or enrollment of clinical trials of bel-sar or our future product candidates, or those of our potential future competitors or our existing or future collaborators;</w:t>
      </w:r>
    </w:p>
    <w:p>
      <w:pPr>
        <w:spacing w:after="0" w:line="2"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 especially changes in laws or regulations applicable to our product candidates;</w:t>
      </w: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 of future competitive products or technologies;</w:t>
      </w:r>
    </w:p>
    <w:p>
      <w:pPr>
        <w:spacing w:after="0" w:line="49"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future commercialization partners, or our competitors, and the timing of these introductions or announcements;</w:t>
      </w:r>
    </w:p>
    <w:p>
      <w:pPr>
        <w:spacing w:after="0" w:line="2" w:lineRule="exact"/>
        <w:rPr>
          <w:rFonts w:ascii="Arial" w:cs="Arial" w:eastAsia="Arial" w:hAnsi="Arial"/>
          <w:sz w:val="18"/>
          <w:szCs w:val="18"/>
          <w:color w:val="auto"/>
        </w:rPr>
      </w:pPr>
    </w:p>
    <w:p>
      <w:pPr>
        <w:ind w:left="1020" w:right="20" w:hanging="503"/>
        <w:spacing w:after="0" w:line="250"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actions taken by regulatory agencies with respect to our products, clinical trials, manufacturing process or sales and marketing terms;</w:t>
      </w: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49"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concerning any future collaborations, including but not limited to those with our sources of manufacturing supply and our commercialization partners;</w:t>
      </w: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49" w:lineRule="exact"/>
        <w:rPr>
          <w:rFonts w:ascii="Arial" w:cs="Arial" w:eastAsia="Arial" w:hAnsi="Arial"/>
          <w:sz w:val="18"/>
          <w:szCs w:val="18"/>
          <w:color w:val="auto"/>
        </w:rPr>
      </w:pPr>
    </w:p>
    <w:p>
      <w:pPr>
        <w:ind w:left="1020" w:right="20" w:hanging="503"/>
        <w:spacing w:after="0" w:line="25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or capital commitments;</w:t>
      </w:r>
    </w:p>
    <w:p>
      <w:pPr>
        <w:spacing w:after="0" w:line="2"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bel-sar or our future product candidates and products;</w:t>
      </w: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36"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2"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failure or the failure of our competitors to meet analysts’ projections or guidance that we or our competitors may give to the market;</w:t>
      </w: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 and expectation of additional financing efforts;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natural disasters, pandemics and other calamities;</w:t>
      </w:r>
    </w:p>
    <w:p>
      <w:pPr>
        <w:spacing w:after="0" w:line="49" w:lineRule="exact"/>
        <w:rPr>
          <w:rFonts w:ascii="Arial" w:cs="Arial" w:eastAsia="Arial" w:hAnsi="Arial"/>
          <w:sz w:val="18"/>
          <w:szCs w:val="18"/>
          <w:color w:val="auto"/>
        </w:rPr>
      </w:pPr>
    </w:p>
    <w:p>
      <w:pPr>
        <w:ind w:left="1020" w:right="20" w:hanging="503"/>
        <w:spacing w:after="0" w:line="250"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acts of war or periods of widespread civil unrest, including the increasingly volatile global economic conditions resulting from the Russia-Ukraine conflict and Israel-Hamas conflict; and</w:t>
      </w: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inflationary pressures.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73" w:name="page74"/>
    <w:bookmarkEnd w:id="73"/>
    <w:p>
      <w:pPr>
        <w:jc w:val="both"/>
        <w:ind w:firstLine="509"/>
        <w:spacing w:after="0" w:line="241" w:lineRule="auto"/>
        <w:rPr>
          <w:sz w:val="20"/>
          <w:szCs w:val="20"/>
          <w:color w:val="auto"/>
        </w:rPr>
      </w:pPr>
      <w:r>
        <w:rPr>
          <w:rFonts w:ascii="Arial" w:cs="Arial" w:eastAsia="Arial" w:hAnsi="Arial"/>
          <w:sz w:val="18"/>
          <w:szCs w:val="18"/>
          <w:color w:val="auto"/>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8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insubstantial costs and a diversion of management’s attention and our resources, which could harm our business.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operating as a public company, and our management devotes substantial time to compliance initiatives.</w:t>
      </w:r>
    </w:p>
    <w:p>
      <w:pPr>
        <w:spacing w:after="0" w:line="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In addition, the Sarbanes-Oxley Act of 2002, the Dodd-Frank Wall Street Reform and Consumer Protection Act and rules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02"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In addition, for as long as we are a “smaller reporting company” with less than $100 million in annual revenue, we would be exempt from the requirement to obtain an external audit on the effectiveness of internal control over financial reporting provided in Section 404(b) of the of the Sarbanes-Oxley Act of 2002.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additional, if we are not able to continue to meet these requirements, we may not be able to remain listed on Nasdaq.</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87"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are subject to the periodic reporting requirements of the Exchange Act. We have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74" w:name="page75"/>
    <w:bookmarkEnd w:id="74"/>
    <w:p>
      <w:pPr>
        <w:jc w:val="both"/>
        <w:ind w:firstLine="509"/>
        <w:spacing w:after="0" w:line="239" w:lineRule="auto"/>
        <w:rPr>
          <w:sz w:val="20"/>
          <w:szCs w:val="20"/>
          <w:color w:val="auto"/>
        </w:rPr>
      </w:pPr>
      <w:r>
        <w:rPr>
          <w:rFonts w:ascii="Arial" w:cs="Arial" w:eastAsia="Arial" w:hAnsi="Arial"/>
          <w:sz w:val="18"/>
          <w:szCs w:val="18"/>
          <w:color w:val="auto"/>
        </w:rPr>
        <w:t>However, any disclosure controls and procedures or internal controls and procedures, no matter how well-conceived and operated, can provide only reasonable, not absolute, assurance that the objectives of the control system will be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4"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b w:val="1"/>
          <w:bCs w:val="1"/>
          <w:i w:val="1"/>
          <w:iCs w:val="1"/>
          <w:color w:val="auto"/>
        </w:rPr>
        <w:t>Global economic uncertainty and unfavorable global economic conditions caused by political instability, changes in trade agreements and conflicts, such as the Russia-Ukraine and Israel-Hamas conflicts, could adversely affect our business, financial condition, results of operations or prospects.</w:t>
      </w:r>
    </w:p>
    <w:p>
      <w:pPr>
        <w:spacing w:after="0" w:line="1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business, financial condition, results of operations or prospects could be adversely affected by general conditions in the global economy and in the global financial markets. A severe or prolonged economic downturn, increased inflation, economic uncertainties in various global markets caused by political instability and conflict, such as the Russia-Ukraine and Israel-Hamas conflicts, or additional global financial crises, could result in a variety of risks to our business, including weakened demand for our product candidates, if approved, or our inability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77" w:lineRule="exact"/>
        <w:rPr>
          <w:sz w:val="20"/>
          <w:szCs w:val="20"/>
          <w:color w:val="auto"/>
        </w:rPr>
      </w:pPr>
    </w:p>
    <w:p>
      <w:pPr>
        <w:ind w:left="520" w:right="6960" w:hanging="512"/>
        <w:spacing w:after="0" w:line="350" w:lineRule="auto"/>
        <w:tabs>
          <w:tab w:leader="none" w:pos="281"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Sales of Unregistered Equity Securities </w:t>
      </w:r>
      <w:r>
        <w:rPr>
          <w:rFonts w:ascii="Arial" w:cs="Arial" w:eastAsia="Arial" w:hAnsi="Arial"/>
          <w:sz w:val="18"/>
          <w:szCs w:val="18"/>
          <w:color w:val="auto"/>
        </w:rPr>
        <w:t>None.</w:t>
      </w:r>
    </w:p>
    <w:p>
      <w:pPr>
        <w:spacing w:after="0" w:line="84" w:lineRule="exact"/>
        <w:rPr>
          <w:rFonts w:ascii="Arial" w:cs="Arial" w:eastAsia="Arial" w:hAnsi="Arial"/>
          <w:sz w:val="18"/>
          <w:szCs w:val="18"/>
          <w:b w:val="1"/>
          <w:bCs w:val="1"/>
          <w:color w:val="auto"/>
        </w:rPr>
      </w:pPr>
    </w:p>
    <w:p>
      <w:pPr>
        <w:ind w:left="520" w:right="5320" w:hanging="512"/>
        <w:spacing w:after="0" w:line="350" w:lineRule="auto"/>
        <w:tabs>
          <w:tab w:leader="none" w:pos="291"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Proceeds from the Initial Public Offering of Common Stock </w:t>
      </w:r>
      <w:r>
        <w:rPr>
          <w:rFonts w:ascii="Arial" w:cs="Arial" w:eastAsia="Arial" w:hAnsi="Arial"/>
          <w:sz w:val="18"/>
          <w:szCs w:val="18"/>
          <w:color w:val="auto"/>
        </w:rPr>
        <w:t>None.</w:t>
      </w:r>
    </w:p>
    <w:p>
      <w:pPr>
        <w:spacing w:after="0" w:line="84" w:lineRule="exact"/>
        <w:rPr>
          <w:rFonts w:ascii="Arial" w:cs="Arial" w:eastAsia="Arial" w:hAnsi="Arial"/>
          <w:sz w:val="18"/>
          <w:szCs w:val="18"/>
          <w:b w:val="1"/>
          <w:bCs w:val="1"/>
          <w:color w:val="auto"/>
        </w:rPr>
      </w:pPr>
    </w:p>
    <w:p>
      <w:pPr>
        <w:ind w:left="280" w:hanging="272"/>
        <w:spacing w:after="0"/>
        <w:tabs>
          <w:tab w:leader="none" w:pos="2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Issuer Purchases of Equity Securities</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87"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On October 2, 2023, we previously announced the resignation of our former Chief Medical Officer, Cadmus Rich, M.D., effective as of October 16, 2023, at which time he transitioned into the role of Senior Clinical Advisor until November 7, 2023, or the Departure Date. In connection with Dr. Rich’s resignation, on November 6, 2023, we and Dr. Rich entered into a Transition and Release Agreement, or the Transition Agreement, which became effective on November 7, 2023 and will supersede the Transition Agreement previously entered into on September 26, 2023. The Transition Agreement provides that Dr. Rich will receive continued salary through the Departure Date subject to Dr. Rich’s performance of certain Transition Services (as defined in the Transition Agreement). Subject to entering into a release of claims in favor of the Company, Dr. Rich will be entitled to receive (i) severance pay equal to continuation of his annual base salary for nine months and (ii) subject to Dr. Rich’s timely election to continue COBRA health coverage and copayment of premium amounts at the applicable active employees’ rate, a monthly cash payment equal to the amount that we would have paid to provide health insurance to Dr. Rich until the earlier of nine months, eligibility for medical care coverage through other employment or termination of eligibility under COBRA. Any continued vesting relating to Dr. Rich’s existing equity awards would be subject, upon the Departure Date, to his entry into a consulting agreement. The Transition Agreement also includes customary confidentiality and non-disparagement provisions.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2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20" w:type="dxa"/>
            <w:vAlign w:val="bottom"/>
            <w:tcBorders>
              <w:bottom w:val="single" w:sz="8" w:color="auto"/>
            </w:tcBorders>
            <w:gridSpan w:val="19"/>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1020" w:type="dxa"/>
            <w:vAlign w:val="bottom"/>
          </w:tcPr>
          <w:p>
            <w:pPr>
              <w:ind w:left="20"/>
              <w:spacing w:after="0" w:line="169"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tcBorders>
              <w:bottom w:val="single" w:sz="8" w:color="0000FF"/>
            </w:tcBorders>
            <w:gridSpan w:val="16"/>
          </w:tcPr>
          <w:p>
            <w:pPr>
              <w:spacing w:after="0" w:line="169" w:lineRule="exact"/>
              <w:rPr>
                <w:rFonts w:ascii="Arial" w:cs="Arial" w:eastAsia="Arial" w:hAnsi="Arial"/>
                <w:sz w:val="18"/>
                <w:szCs w:val="18"/>
                <w:color w:val="0000FF"/>
              </w:rPr>
            </w:pPr>
            <w:hyperlink r:id="rId258">
              <w:r>
                <w:rPr>
                  <w:rFonts w:ascii="Arial" w:cs="Arial" w:eastAsia="Arial" w:hAnsi="Arial"/>
                  <w:sz w:val="18"/>
                  <w:szCs w:val="18"/>
                  <w:color w:val="0000FF"/>
                </w:rPr>
                <w:t>Tenth Amended and Restated Certificate of Incorporation of Registrant, as currently in effect (incorporated by reference to</w:t>
              </w:r>
            </w:hyperlink>
          </w:p>
        </w:tc>
        <w:tc>
          <w:tcPr>
            <w:tcW w:w="2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19"/>
          </w:tcPr>
          <w:p>
            <w:pPr>
              <w:spacing w:after="0" w:line="182" w:lineRule="exact"/>
              <w:rPr>
                <w:rFonts w:ascii="Arial" w:cs="Arial" w:eastAsia="Arial" w:hAnsi="Arial"/>
                <w:sz w:val="18"/>
                <w:szCs w:val="18"/>
                <w:color w:val="0000FF"/>
              </w:rPr>
            </w:pPr>
            <w:hyperlink r:id="rId258">
              <w:r>
                <w:rPr>
                  <w:rFonts w:ascii="Arial" w:cs="Arial" w:eastAsia="Arial" w:hAnsi="Arial"/>
                  <w:sz w:val="18"/>
                  <w:szCs w:val="18"/>
                  <w:color w:val="0000FF"/>
                </w:rPr>
                <w:t>Exhibit 3.1 of the Registrants’ Annual Report on Form 10-K (File No. 001-40971)).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Arial" w:cs="Arial" w:eastAsia="Arial" w:hAnsi="Arial"/>
                <w:sz w:val="18"/>
                <w:szCs w:val="18"/>
                <w:color w:val="auto"/>
              </w:rPr>
              <w:t>3.2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00" w:type="dxa"/>
            <w:vAlign w:val="bottom"/>
            <w:tcBorders>
              <w:bottom w:val="single" w:sz="8" w:color="0000FF"/>
            </w:tcBorders>
            <w:gridSpan w:val="13"/>
          </w:tcPr>
          <w:p>
            <w:pPr>
              <w:spacing w:after="0" w:line="196" w:lineRule="exact"/>
              <w:rPr>
                <w:rFonts w:ascii="Arial" w:cs="Arial" w:eastAsia="Arial" w:hAnsi="Arial"/>
                <w:sz w:val="18"/>
                <w:szCs w:val="18"/>
                <w:color w:val="0000FF"/>
              </w:rPr>
            </w:pPr>
            <w:hyperlink r:id="rId259">
              <w:r>
                <w:rPr>
                  <w:rFonts w:ascii="Arial" w:cs="Arial" w:eastAsia="Arial" w:hAnsi="Arial"/>
                  <w:sz w:val="18"/>
                  <w:szCs w:val="18"/>
                  <w:color w:val="0000FF"/>
                </w:rPr>
                <w:t>Amended and Restated Bylaws of Registrant, as currently in effect (incorporated by reference to Exhibit 3.2 of the</w:t>
              </w:r>
            </w:hyperlink>
          </w:p>
        </w:tc>
        <w:tc>
          <w:tcPr>
            <w:tcW w:w="9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20" w:type="dxa"/>
            <w:vAlign w:val="bottom"/>
            <w:tcBorders>
              <w:bottom w:val="single" w:sz="8" w:color="0000FF"/>
            </w:tcBorders>
            <w:gridSpan w:val="3"/>
          </w:tcPr>
          <w:p>
            <w:pPr>
              <w:spacing w:after="0" w:line="182" w:lineRule="exact"/>
              <w:rPr>
                <w:rFonts w:ascii="Arial" w:cs="Arial" w:eastAsia="Arial" w:hAnsi="Arial"/>
                <w:sz w:val="18"/>
                <w:szCs w:val="18"/>
                <w:color w:val="0000FF"/>
                <w:w w:val="99"/>
              </w:rPr>
            </w:pPr>
            <w:hyperlink r:id="rId259">
              <w:r>
                <w:rPr>
                  <w:rFonts w:ascii="Arial" w:cs="Arial" w:eastAsia="Arial" w:hAnsi="Arial"/>
                  <w:sz w:val="18"/>
                  <w:szCs w:val="18"/>
                  <w:color w:val="0000FF"/>
                  <w:w w:val="99"/>
                </w:rPr>
                <w:t>Registrants’ Annual Report on Form 10-K (File No. 001-40971)).</w:t>
              </w:r>
            </w:hyperlink>
          </w:p>
        </w:tc>
        <w:tc>
          <w:tcPr>
            <w:tcW w:w="20" w:type="dxa"/>
            <w:vAlign w:val="bottom"/>
            <w:tcBorders>
              <w:bottom w:val="single" w:sz="8" w:color="0000EE"/>
            </w:tcBorders>
          </w:tcPr>
          <w:p>
            <w:pPr>
              <w:spacing w:after="0"/>
              <w:rPr>
                <w:sz w:val="15"/>
                <w:szCs w:val="15"/>
                <w:color w:val="auto"/>
              </w:rPr>
            </w:pPr>
          </w:p>
        </w:tc>
        <w:tc>
          <w:tcPr>
            <w:tcW w:w="488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Arial" w:cs="Arial" w:eastAsia="Arial" w:hAnsi="Arial"/>
                <w:sz w:val="18"/>
                <w:szCs w:val="18"/>
                <w:color w:val="auto"/>
              </w:rPr>
              <w:t>4.1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20" w:type="dxa"/>
            <w:vAlign w:val="bottom"/>
            <w:tcBorders>
              <w:bottom w:val="single" w:sz="8" w:color="0000FF"/>
            </w:tcBorders>
            <w:gridSpan w:val="14"/>
          </w:tcPr>
          <w:p>
            <w:pPr>
              <w:spacing w:after="0" w:line="196" w:lineRule="exact"/>
              <w:rPr>
                <w:rFonts w:ascii="Arial" w:cs="Arial" w:eastAsia="Arial" w:hAnsi="Arial"/>
                <w:sz w:val="18"/>
                <w:szCs w:val="18"/>
                <w:color w:val="0000FF"/>
              </w:rPr>
            </w:pPr>
            <w:hyperlink r:id="rId260">
              <w:r>
                <w:rPr>
                  <w:rFonts w:ascii="Arial" w:cs="Arial" w:eastAsia="Arial" w:hAnsi="Arial"/>
                  <w:sz w:val="18"/>
                  <w:szCs w:val="18"/>
                  <w:color w:val="0000FF"/>
                </w:rPr>
                <w:t>Fifth Amended and Restated Investors’ Rights Agreement (Incorporated by reference to Exhibit 4.2 to the Registrant’s</w:t>
              </w:r>
            </w:hyperlink>
          </w:p>
        </w:tc>
        <w:tc>
          <w:tcPr>
            <w:tcW w:w="6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19"/>
          </w:tcPr>
          <w:p>
            <w:pPr>
              <w:spacing w:after="0" w:line="182" w:lineRule="exact"/>
              <w:rPr>
                <w:rFonts w:ascii="Arial" w:cs="Arial" w:eastAsia="Arial" w:hAnsi="Arial"/>
                <w:sz w:val="18"/>
                <w:szCs w:val="18"/>
                <w:color w:val="0000FF"/>
              </w:rPr>
            </w:pPr>
            <w:hyperlink r:id="rId260">
              <w:r>
                <w:rPr>
                  <w:rFonts w:ascii="Arial" w:cs="Arial" w:eastAsia="Arial" w:hAnsi="Arial"/>
                  <w:sz w:val="18"/>
                  <w:szCs w:val="18"/>
                  <w:color w:val="0000FF"/>
                </w:rPr>
                <w:t>Registration Statement on Form S-1, as amended (File No. 333-260156)).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tcBorders>
              <w:right w:val="single" w:sz="8" w:color="0000EE"/>
            </w:tcBorders>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20" w:type="dxa"/>
            <w:vAlign w:val="bottom"/>
          </w:tcPr>
          <w:p>
            <w:pPr>
              <w:ind w:left="2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9"/>
          </w:tcPr>
          <w:p>
            <w:pPr>
              <w:spacing w:after="0"/>
              <w:rPr>
                <w:sz w:val="20"/>
                <w:szCs w:val="20"/>
                <w:color w:val="auto"/>
              </w:rPr>
            </w:pPr>
            <w:r>
              <w:rPr>
                <w:rFonts w:ascii="Arial" w:cs="Arial" w:eastAsia="Arial" w:hAnsi="Arial"/>
                <w:sz w:val="18"/>
                <w:szCs w:val="18"/>
                <w:color w:val="0000FF"/>
              </w:rPr>
              <w:t>Employment Offer Letter, dated August 9, 2023, by and between Jill Hopkins and the Registrant.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tcBorders>
              <w:right w:val="single" w:sz="8" w:color="0000EE"/>
            </w:tcBorders>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Arial" w:cs="Arial" w:eastAsia="Arial" w:hAnsi="Arial"/>
                <w:sz w:val="18"/>
                <w:szCs w:val="18"/>
                <w:color w:val="auto"/>
              </w:rPr>
              <w:t>10.2*†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80" w:type="dxa"/>
            <w:vAlign w:val="bottom"/>
            <w:tcBorders>
              <w:bottom w:val="single" w:sz="8" w:color="0000FF"/>
            </w:tcBorders>
            <w:gridSpan w:val="12"/>
          </w:tcPr>
          <w:p>
            <w:pPr>
              <w:spacing w:after="0" w:line="196" w:lineRule="exact"/>
              <w:rPr>
                <w:sz w:val="20"/>
                <w:szCs w:val="20"/>
                <w:color w:val="auto"/>
              </w:rPr>
            </w:pPr>
            <w:r>
              <w:rPr>
                <w:rFonts w:ascii="Arial" w:cs="Arial" w:eastAsia="Arial" w:hAnsi="Arial"/>
                <w:sz w:val="18"/>
                <w:szCs w:val="18"/>
                <w:color w:val="0000FF"/>
                <w:w w:val="99"/>
              </w:rPr>
              <w:t>Transition and Release Agreement, dated September 28, 2023, by and between Cadmus Rich and the Registrant.</w:t>
            </w:r>
          </w:p>
        </w:tc>
        <w:tc>
          <w:tcPr>
            <w:tcW w:w="9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Arial" w:cs="Arial" w:eastAsia="Arial" w:hAnsi="Arial"/>
                <w:sz w:val="18"/>
                <w:szCs w:val="18"/>
                <w:color w:val="auto"/>
              </w:rPr>
              <w:t>10.3*†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19"/>
          </w:tcPr>
          <w:p>
            <w:pPr>
              <w:spacing w:after="0" w:line="196" w:lineRule="exact"/>
              <w:rPr>
                <w:sz w:val="20"/>
                <w:szCs w:val="20"/>
                <w:color w:val="auto"/>
              </w:rPr>
            </w:pPr>
            <w:r>
              <w:rPr>
                <w:rFonts w:ascii="Arial" w:cs="Arial" w:eastAsia="Arial" w:hAnsi="Arial"/>
                <w:sz w:val="18"/>
                <w:szCs w:val="18"/>
                <w:color w:val="0000FF"/>
              </w:rPr>
              <w:t>Consulting Agreement, dated September 28, 2023, by and between Cadmus Rich and the Registrant.</w:t>
            </w:r>
          </w:p>
        </w:tc>
        <w:tc>
          <w:tcPr>
            <w:tcW w:w="0" w:type="dxa"/>
            <w:vAlign w:val="bottom"/>
          </w:tcPr>
          <w:p>
            <w:pPr>
              <w:spacing w:after="0"/>
              <w:rPr>
                <w:sz w:val="1"/>
                <w:szCs w:val="1"/>
                <w:color w:val="auto"/>
              </w:rPr>
            </w:pPr>
          </w:p>
        </w:tc>
      </w:tr>
      <w:tr>
        <w:trPr>
          <w:trHeight w:val="20"/>
        </w:trPr>
        <w:tc>
          <w:tcPr>
            <w:tcW w:w="1020" w:type="dxa"/>
            <w:vAlign w:val="bottom"/>
            <w:vMerge w:val="restart"/>
          </w:tcPr>
          <w:p>
            <w:pPr>
              <w:ind w:left="20"/>
              <w:spacing w:after="0" w:line="216" w:lineRule="exact"/>
              <w:rPr>
                <w:sz w:val="20"/>
                <w:szCs w:val="20"/>
                <w:color w:val="auto"/>
              </w:rPr>
            </w:pPr>
            <w:r>
              <w:rPr>
                <w:rFonts w:ascii="Arial" w:cs="Arial" w:eastAsia="Arial" w:hAnsi="Arial"/>
                <w:sz w:val="18"/>
                <w:szCs w:val="18"/>
                <w:color w:val="auto"/>
              </w:rPr>
              <w:t>10.4*†</w:t>
            </w:r>
            <w:r>
              <w:rPr>
                <w:rFonts w:ascii="Arial" w:cs="Arial" w:eastAsia="Arial" w:hAnsi="Arial"/>
                <w:sz w:val="24"/>
                <w:szCs w:val="24"/>
                <w:color w:val="auto"/>
                <w:vertAlign w:val="superscript"/>
              </w:rPr>
              <w:t>(1)</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tcBorders>
              <w:right w:val="single" w:sz="8" w:color="0000EE"/>
            </w:tcBorders>
            <w:gridSpan w:val="3"/>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19"/>
          </w:tcPr>
          <w:p>
            <w:pPr>
              <w:spacing w:after="0" w:line="196" w:lineRule="exact"/>
              <w:rPr>
                <w:sz w:val="20"/>
                <w:szCs w:val="20"/>
                <w:color w:val="auto"/>
              </w:rPr>
            </w:pPr>
            <w:r>
              <w:rPr>
                <w:rFonts w:ascii="Arial" w:cs="Arial" w:eastAsia="Arial" w:hAnsi="Arial"/>
                <w:sz w:val="18"/>
                <w:szCs w:val="18"/>
                <w:color w:val="0000FF"/>
              </w:rPr>
              <w:t>Transition and Release Agreement, dated November 6, 2023, by and between Cadmus Rich and the Registrant.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80" w:type="dxa"/>
            <w:vAlign w:val="bottom"/>
            <w:tcBorders>
              <w:right w:val="single" w:sz="8" w:color="0000EE"/>
            </w:tcBorders>
            <w:gridSpan w:val="4"/>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Arial" w:cs="Arial" w:eastAsia="Arial" w:hAnsi="Arial"/>
                <w:sz w:val="18"/>
                <w:szCs w:val="18"/>
                <w:color w:val="auto"/>
              </w:rPr>
              <w:t>31.1*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tcBorders>
              <w:bottom w:val="single" w:sz="8" w:color="0000FF"/>
            </w:tcBorders>
            <w:gridSpan w:val="18"/>
          </w:tcPr>
          <w:p>
            <w:pPr>
              <w:spacing w:after="0" w:line="196" w:lineRule="exact"/>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tcBorders>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bottom w:val="single" w:sz="8" w:color="0000EE"/>
            </w:tcBorders>
          </w:tcPr>
          <w:p>
            <w:pPr>
              <w:spacing w:after="0"/>
              <w:rPr>
                <w:sz w:val="15"/>
                <w:szCs w:val="15"/>
                <w:color w:val="auto"/>
              </w:rPr>
            </w:pPr>
          </w:p>
        </w:tc>
        <w:tc>
          <w:tcPr>
            <w:tcW w:w="376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Arial" w:cs="Arial" w:eastAsia="Arial" w:hAnsi="Arial"/>
                <w:sz w:val="18"/>
                <w:szCs w:val="18"/>
                <w:color w:val="auto"/>
              </w:rPr>
              <w:t>31.2*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0" w:type="dxa"/>
            <w:vAlign w:val="bottom"/>
            <w:tcBorders>
              <w:bottom w:val="single" w:sz="8" w:color="0000FF"/>
            </w:tcBorders>
            <w:gridSpan w:val="17"/>
          </w:tcPr>
          <w:p>
            <w:pPr>
              <w:spacing w:after="0" w:line="196" w:lineRule="exact"/>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tcBorders>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bottom w:val="single" w:sz="8" w:color="0000EE"/>
            </w:tcBorders>
          </w:tcPr>
          <w:p>
            <w:pPr>
              <w:spacing w:after="0"/>
              <w:rPr>
                <w:sz w:val="15"/>
                <w:szCs w:val="15"/>
                <w:color w:val="auto"/>
              </w:rPr>
            </w:pPr>
          </w:p>
        </w:tc>
        <w:tc>
          <w:tcPr>
            <w:tcW w:w="376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Arial" w:cs="Arial" w:eastAsia="Arial" w:hAnsi="Arial"/>
                <w:sz w:val="18"/>
                <w:szCs w:val="18"/>
                <w:color w:val="auto"/>
              </w:rPr>
              <w:t>32.1#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tcBorders>
              <w:bottom w:val="single" w:sz="8" w:color="0000FF"/>
            </w:tcBorders>
            <w:gridSpan w:val="15"/>
          </w:tcPr>
          <w:p>
            <w:pPr>
              <w:spacing w:after="0" w:line="196" w:lineRule="exact"/>
              <w:rPr>
                <w:sz w:val="20"/>
                <w:szCs w:val="20"/>
                <w:color w:val="auto"/>
              </w:rPr>
            </w:pPr>
            <w:r>
              <w:rPr>
                <w:rFonts w:ascii="Arial" w:cs="Arial" w:eastAsia="Arial" w:hAnsi="Arial"/>
                <w:sz w:val="18"/>
                <w:szCs w:val="18"/>
                <w:color w:val="0000FF"/>
              </w:rPr>
              <w:t>Certification of Principal Executive Officer and Principal Financial Officer Pursuant to 18 U.S.C. Section 1350, as Adopted</w:t>
            </w:r>
          </w:p>
        </w:tc>
        <w:tc>
          <w:tcPr>
            <w:tcW w:w="3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tcBorders>
              <w:bottom w:val="single" w:sz="8" w:color="0000FF"/>
            </w:tcBorders>
          </w:tcPr>
          <w:p>
            <w:pPr>
              <w:spacing w:after="0" w:line="182" w:lineRule="exact"/>
              <w:rPr>
                <w:sz w:val="20"/>
                <w:szCs w:val="20"/>
                <w:color w:val="auto"/>
              </w:rPr>
            </w:pPr>
            <w:r>
              <w:rPr>
                <w:rFonts w:ascii="Arial" w:cs="Arial" w:eastAsia="Arial" w:hAnsi="Arial"/>
                <w:sz w:val="18"/>
                <w:szCs w:val="18"/>
                <w:color w:val="0000FF"/>
                <w:w w:val="99"/>
              </w:rPr>
              <w:t>Pursuant to Section 906 of the Sarbanes-Oxley Act of 2002.</w:t>
            </w:r>
          </w:p>
        </w:tc>
        <w:tc>
          <w:tcPr>
            <w:tcW w:w="20" w:type="dxa"/>
            <w:vAlign w:val="bottom"/>
            <w:tcBorders>
              <w:bottom w:val="single" w:sz="8" w:color="0000EE"/>
            </w:tcBorders>
          </w:tcPr>
          <w:p>
            <w:pPr>
              <w:spacing w:after="0"/>
              <w:rPr>
                <w:sz w:val="15"/>
                <w:szCs w:val="15"/>
                <w:color w:val="auto"/>
              </w:rPr>
            </w:pPr>
          </w:p>
        </w:tc>
        <w:tc>
          <w:tcPr>
            <w:tcW w:w="522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101.INS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gridSpan w:val="19"/>
          </w:tcPr>
          <w:p>
            <w:pPr>
              <w:spacing w:after="0"/>
              <w:rPr>
                <w:sz w:val="20"/>
                <w:szCs w:val="20"/>
                <w:color w:val="auto"/>
              </w:rPr>
            </w:pPr>
            <w:r>
              <w:rPr>
                <w:rFonts w:ascii="Arial" w:cs="Arial" w:eastAsia="Arial" w:hAnsi="Arial"/>
                <w:sz w:val="18"/>
                <w:szCs w:val="18"/>
                <w:color w:val="auto"/>
                <w:w w:val="99"/>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gridSpan w:val="19"/>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sz w:val="20"/>
                <w:szCs w:val="20"/>
                <w:color w:val="auto"/>
              </w:rPr>
            </w:pPr>
            <w:r>
              <w:rPr>
                <w:rFonts w:ascii="Arial" w:cs="Arial" w:eastAsia="Arial" w:hAnsi="Arial"/>
                <w:sz w:val="18"/>
                <w:szCs w:val="18"/>
                <w:color w:val="auto"/>
              </w:rPr>
              <w:t>101.SCH</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gridSpan w:val="19"/>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sz w:val="20"/>
                <w:szCs w:val="20"/>
                <w:color w:val="auto"/>
              </w:rPr>
            </w:pPr>
            <w:r>
              <w:rPr>
                <w:rFonts w:ascii="Arial" w:cs="Arial" w:eastAsia="Arial" w:hAnsi="Arial"/>
                <w:sz w:val="18"/>
                <w:szCs w:val="18"/>
                <w:color w:val="auto"/>
              </w:rPr>
              <w:t>101.CAL</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gridSpan w:val="1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sz w:val="20"/>
                <w:szCs w:val="20"/>
                <w:color w:val="auto"/>
              </w:rPr>
            </w:pPr>
            <w:r>
              <w:rPr>
                <w:rFonts w:ascii="Arial" w:cs="Arial" w:eastAsia="Arial" w:hAnsi="Arial"/>
                <w:sz w:val="18"/>
                <w:szCs w:val="18"/>
                <w:color w:val="auto"/>
              </w:rPr>
              <w:t>101.DEF</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gridSpan w:val="1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sz w:val="20"/>
                <w:szCs w:val="20"/>
                <w:color w:val="auto"/>
              </w:rPr>
            </w:pPr>
            <w:r>
              <w:rPr>
                <w:rFonts w:ascii="Arial" w:cs="Arial" w:eastAsia="Arial" w:hAnsi="Arial"/>
                <w:sz w:val="18"/>
                <w:szCs w:val="18"/>
                <w:color w:val="auto"/>
              </w:rPr>
              <w:t>101.LAB</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gridSpan w:val="1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8"/>
        </w:trPr>
        <w:tc>
          <w:tcPr>
            <w:tcW w:w="1020" w:type="dxa"/>
            <w:vAlign w:val="bottom"/>
          </w:tcPr>
          <w:p>
            <w:pPr>
              <w:ind w:left="20"/>
              <w:spacing w:after="0"/>
              <w:rPr>
                <w:sz w:val="20"/>
                <w:szCs w:val="20"/>
                <w:color w:val="auto"/>
              </w:rPr>
            </w:pPr>
            <w:r>
              <w:rPr>
                <w:rFonts w:ascii="Arial" w:cs="Arial" w:eastAsia="Arial" w:hAnsi="Arial"/>
                <w:sz w:val="18"/>
                <w:szCs w:val="18"/>
                <w:color w:val="auto"/>
              </w:rPr>
              <w:t>101.PRE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20" w:type="dxa"/>
            <w:vAlign w:val="bottom"/>
            <w:gridSpan w:val="1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right="3740" w:firstLine="21"/>
        <w:spacing w:after="0" w:line="360" w:lineRule="auto"/>
        <w:tabs>
          <w:tab w:leader="none" w:pos="1215"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95123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Indicates a management contract or any compensatory plan, contract or arrangement.</w:t>
      </w:r>
    </w:p>
    <w:p>
      <w:pPr>
        <w:spacing w:after="0" w:line="38" w:lineRule="exact"/>
        <w:rPr>
          <w:sz w:val="20"/>
          <w:szCs w:val="20"/>
          <w:color w:val="auto"/>
        </w:rPr>
      </w:pPr>
    </w:p>
    <w:p>
      <w:pPr>
        <w:jc w:val="both"/>
        <w:ind w:firstLine="8"/>
        <w:spacing w:after="0" w:line="244" w:lineRule="auto"/>
        <w:tabs>
          <w:tab w:leader="none" w:pos="17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These certifications are furnished to the SEC pursuant to Section 906 of the Sarbanes-Oxley Act of 2002 and are deemed not filed for purposes of Section 18 of the Securities Exchange Act of 1934, as amended, nor shall they be deemed incorporated by reference in any filing under the Securities Act of 1933, except as shall be expressly set forth by specific reference in such filing.</w:t>
      </w:r>
    </w:p>
    <w:p>
      <w:pPr>
        <w:spacing w:after="0" w:line="1" w:lineRule="exact"/>
        <w:rPr>
          <w:rFonts w:ascii="Arial" w:cs="Arial" w:eastAsia="Arial" w:hAnsi="Arial"/>
          <w:sz w:val="18"/>
          <w:szCs w:val="18"/>
          <w:color w:val="auto"/>
        </w:rPr>
      </w:pPr>
    </w:p>
    <w:p>
      <w:pPr>
        <w:jc w:val="both"/>
        <w:spacing w:after="0" w:line="216" w:lineRule="auto"/>
        <w:rPr>
          <w:rFonts w:ascii="Arial" w:cs="Arial" w:eastAsia="Arial" w:hAnsi="Arial"/>
          <w:sz w:val="18"/>
          <w:szCs w:val="18"/>
          <w:color w:val="auto"/>
        </w:rPr>
      </w:pPr>
      <w:r>
        <w:rPr>
          <w:rFonts w:ascii="Arial" w:cs="Arial" w:eastAsia="Arial" w:hAnsi="Arial"/>
          <w:sz w:val="24"/>
          <w:szCs w:val="24"/>
          <w:color w:val="auto"/>
          <w:vertAlign w:val="superscript"/>
        </w:rPr>
        <w:t>(1)</w:t>
      </w:r>
      <w:r>
        <w:rPr>
          <w:rFonts w:ascii="Arial" w:cs="Arial" w:eastAsia="Arial" w:hAnsi="Arial"/>
          <w:sz w:val="18"/>
          <w:szCs w:val="18"/>
          <w:color w:val="auto"/>
        </w:rPr>
        <w:t xml:space="preserve"> Schedules and exhibits have been omitted from this filing pursuant to Item 601(b)(10) of Regulation S-K. The registrant agrees to furnish supplementally a copy of any omitted schedule or exhibit to the SEC upon its request; provided, however, that the registrant may request confidential treatment pursuant to Rule 24b-2 of the Securities Exchange Act of 1934, as amended, for any schedule or exhibit so furnished.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ind w:firstLine="509"/>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Aura Biosciences, Inc.</w:t>
      </w:r>
    </w:p>
    <w:p>
      <w:pPr>
        <w:spacing w:after="0" w:line="225" w:lineRule="exact"/>
        <w:rPr>
          <w:sz w:val="20"/>
          <w:szCs w:val="20"/>
          <w:color w:val="auto"/>
        </w:rPr>
      </w:pPr>
    </w:p>
    <w:p>
      <w:pPr>
        <w:ind w:left="20"/>
        <w:spacing w:after="0"/>
        <w:tabs>
          <w:tab w:leader="none" w:pos="5660" w:val="left"/>
          <w:tab w:leader="none" w:pos="7700" w:val="left"/>
        </w:tabs>
        <w:rPr>
          <w:sz w:val="20"/>
          <w:szCs w:val="20"/>
          <w:color w:val="auto"/>
        </w:rPr>
      </w:pPr>
      <w:r>
        <w:rPr>
          <w:rFonts w:ascii="Arial" w:cs="Arial" w:eastAsia="Arial" w:hAnsi="Arial"/>
          <w:sz w:val="18"/>
          <w:szCs w:val="18"/>
          <w:color w:val="auto"/>
        </w:rPr>
        <w:t>Date: November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Elisabet de los Pinos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13970</wp:posOffset>
            </wp:positionV>
            <wp:extent cx="326580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5"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Elisabet de los Pinos</w:t>
      </w:r>
    </w:p>
    <w:p>
      <w:pPr>
        <w:spacing w:after="0" w:line="9"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13" w:lineRule="exact"/>
        <w:rPr>
          <w:sz w:val="20"/>
          <w:szCs w:val="20"/>
          <w:color w:val="auto"/>
        </w:rPr>
      </w:pPr>
    </w:p>
    <w:p>
      <w:pPr>
        <w:ind w:left="20"/>
        <w:spacing w:after="0"/>
        <w:tabs>
          <w:tab w:leader="none" w:pos="5660" w:val="left"/>
          <w:tab w:leader="none" w:pos="8080" w:val="left"/>
        </w:tabs>
        <w:rPr>
          <w:sz w:val="20"/>
          <w:szCs w:val="20"/>
          <w:color w:val="auto"/>
        </w:rPr>
      </w:pPr>
      <w:r>
        <w:rPr>
          <w:rFonts w:ascii="Arial" w:cs="Arial" w:eastAsia="Arial" w:hAnsi="Arial"/>
          <w:sz w:val="18"/>
          <w:szCs w:val="18"/>
          <w:color w:val="auto"/>
        </w:rPr>
        <w:t>Date: November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Julie Feder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13970</wp:posOffset>
            </wp:positionV>
            <wp:extent cx="326580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5"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Julie Feder</w:t>
      </w:r>
    </w:p>
    <w:p>
      <w:pPr>
        <w:spacing w:after="0" w:line="9"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77" w:name="page78"/>
    <w:bookmarkEnd w:id="77"/>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105410</wp:posOffset>
            </wp:positionV>
            <wp:extent cx="1757045" cy="402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175704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August 8, 2023</w:t>
      </w:r>
    </w:p>
    <w:p>
      <w:pPr>
        <w:spacing w:after="0" w:line="355" w:lineRule="exact"/>
        <w:rPr>
          <w:sz w:val="20"/>
          <w:szCs w:val="20"/>
          <w:color w:val="auto"/>
        </w:rPr>
      </w:pPr>
    </w:p>
    <w:p>
      <w:pPr>
        <w:ind w:left="60"/>
        <w:spacing w:after="0"/>
        <w:rPr>
          <w:sz w:val="20"/>
          <w:szCs w:val="20"/>
          <w:color w:val="auto"/>
        </w:rPr>
      </w:pPr>
      <w:r>
        <w:rPr>
          <w:rFonts w:ascii="Arial" w:cs="Arial" w:eastAsia="Arial" w:hAnsi="Arial"/>
          <w:sz w:val="22"/>
          <w:szCs w:val="22"/>
          <w:color w:val="auto"/>
        </w:rPr>
        <w:t>Jill Hopkins</w:t>
      </w:r>
    </w:p>
    <w:p>
      <w:pPr>
        <w:ind w:left="60"/>
        <w:spacing w:after="0" w:line="238" w:lineRule="auto"/>
        <w:rPr>
          <w:sz w:val="20"/>
          <w:szCs w:val="20"/>
          <w:color w:val="auto"/>
        </w:rPr>
      </w:pPr>
      <w:r>
        <w:rPr>
          <w:rFonts w:ascii="Arial" w:cs="Arial" w:eastAsia="Arial" w:hAnsi="Arial"/>
          <w:sz w:val="22"/>
          <w:szCs w:val="22"/>
          <w:color w:val="auto"/>
        </w:rPr>
        <w:t>1408 Columbus Ave.</w:t>
      </w:r>
    </w:p>
    <w:p>
      <w:pPr>
        <w:ind w:left="60"/>
        <w:spacing w:after="0"/>
        <w:rPr>
          <w:sz w:val="20"/>
          <w:szCs w:val="20"/>
          <w:color w:val="auto"/>
        </w:rPr>
      </w:pPr>
      <w:r>
        <w:rPr>
          <w:rFonts w:ascii="Arial" w:cs="Arial" w:eastAsia="Arial" w:hAnsi="Arial"/>
          <w:sz w:val="22"/>
          <w:szCs w:val="22"/>
          <w:color w:val="auto"/>
        </w:rPr>
        <w:t>Burlingame, CA. 94010</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22"/>
          <w:szCs w:val="22"/>
          <w:color w:val="auto"/>
        </w:rPr>
        <w:t>Re: Offer of Employment Dear Jill,</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9"/>
          <w:szCs w:val="19"/>
          <w:color w:val="auto"/>
        </w:rPr>
        <w:t>Following up on our discussions, the following represents our offer regarding your employment by Aura Biosciences, Inc.</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22"/>
          <w:szCs w:val="22"/>
          <w:color w:val="auto"/>
        </w:rPr>
        <w:t>(the “Company”) as a full-time, “at will” employee.</w:t>
      </w:r>
    </w:p>
    <w:p>
      <w:pPr>
        <w:spacing w:after="0" w:line="215" w:lineRule="exact"/>
        <w:rPr>
          <w:sz w:val="20"/>
          <w:szCs w:val="20"/>
          <w:color w:val="auto"/>
        </w:rPr>
      </w:pPr>
    </w:p>
    <w:p>
      <w:pPr>
        <w:ind w:left="60" w:right="300"/>
        <w:spacing w:after="0" w:line="250" w:lineRule="auto"/>
        <w:rPr>
          <w:sz w:val="20"/>
          <w:szCs w:val="20"/>
          <w:color w:val="auto"/>
        </w:rPr>
      </w:pPr>
      <w:r>
        <w:rPr>
          <w:rFonts w:ascii="Arial" w:cs="Arial" w:eastAsia="Arial" w:hAnsi="Arial"/>
          <w:sz w:val="22"/>
          <w:szCs w:val="22"/>
          <w:color w:val="auto"/>
        </w:rPr>
        <w:t>Your title and position will be Chief Medical Officer and President of Research and Development, and you will report to the Chief Executive Officer.</w:t>
      </w:r>
    </w:p>
    <w:p>
      <w:pPr>
        <w:spacing w:after="0" w:line="169" w:lineRule="exact"/>
        <w:rPr>
          <w:sz w:val="20"/>
          <w:szCs w:val="20"/>
          <w:color w:val="auto"/>
        </w:rPr>
      </w:pPr>
    </w:p>
    <w:p>
      <w:pPr>
        <w:jc w:val="both"/>
        <w:ind w:left="1540" w:right="240" w:hanging="733"/>
        <w:spacing w:after="0" w:line="251" w:lineRule="auto"/>
        <w:tabs>
          <w:tab w:leader="none" w:pos="1540" w:val="left"/>
        </w:tabs>
        <w:numPr>
          <w:ilvl w:val="0"/>
          <w:numId w:val="41"/>
        </w:numPr>
        <w:rPr>
          <w:rFonts w:ascii="Arial" w:cs="Arial" w:eastAsia="Arial" w:hAnsi="Arial"/>
          <w:sz w:val="19"/>
          <w:szCs w:val="19"/>
          <w:color w:val="auto"/>
        </w:rPr>
      </w:pPr>
      <w:r>
        <w:rPr>
          <w:rFonts w:ascii="Arial" w:cs="Arial" w:eastAsia="Arial" w:hAnsi="Arial"/>
          <w:sz w:val="21"/>
          <w:szCs w:val="21"/>
          <w:b w:val="1"/>
          <w:bCs w:val="1"/>
          <w:color w:val="auto"/>
        </w:rPr>
        <w:t xml:space="preserve">Salary and Expenses: </w:t>
      </w:r>
      <w:r>
        <w:rPr>
          <w:rFonts w:ascii="Arial" w:cs="Arial" w:eastAsia="Arial" w:hAnsi="Arial"/>
          <w:sz w:val="21"/>
          <w:szCs w:val="21"/>
          <w:color w:val="auto"/>
        </w:rPr>
        <w:t>Your compensation starting salary will be Five-Hundred Twenty-Five Thousand</w:t>
      </w:r>
      <w:r>
        <w:rPr>
          <w:rFonts w:ascii="Arial" w:cs="Arial" w:eastAsia="Arial" w:hAnsi="Arial"/>
          <w:sz w:val="21"/>
          <w:szCs w:val="21"/>
          <w:b w:val="1"/>
          <w:bCs w:val="1"/>
          <w:color w:val="auto"/>
        </w:rPr>
        <w:t xml:space="preserve"> </w:t>
      </w:r>
      <w:r>
        <w:rPr>
          <w:rFonts w:ascii="Arial" w:cs="Arial" w:eastAsia="Arial" w:hAnsi="Arial"/>
          <w:sz w:val="21"/>
          <w:szCs w:val="21"/>
          <w:color w:val="auto"/>
        </w:rPr>
        <w:t>($525,000.00) Dollars per annum subject to any Company discretionary increase, (the “Base Salary”), which will be paid bi-monthly or in accordance with the Company’s normal payroll practices in effect from time to time. In accordance with Company policies and procedures, you will be reimbursed for all reasonable out-of-pocket expenses incurred by you on behalf of the Company.</w:t>
      </w:r>
    </w:p>
    <w:p>
      <w:pPr>
        <w:spacing w:after="0" w:line="181" w:lineRule="exact"/>
        <w:rPr>
          <w:rFonts w:ascii="Arial" w:cs="Arial" w:eastAsia="Arial" w:hAnsi="Arial"/>
          <w:sz w:val="19"/>
          <w:szCs w:val="19"/>
          <w:color w:val="auto"/>
        </w:rPr>
      </w:pPr>
    </w:p>
    <w:p>
      <w:pPr>
        <w:ind w:left="1620" w:hanging="814"/>
        <w:spacing w:after="0"/>
        <w:tabs>
          <w:tab w:leader="none" w:pos="1620" w:val="left"/>
        </w:tabs>
        <w:numPr>
          <w:ilvl w:val="0"/>
          <w:numId w:val="41"/>
        </w:numPr>
        <w:rPr>
          <w:rFonts w:ascii="Arial" w:cs="Arial" w:eastAsia="Arial" w:hAnsi="Arial"/>
          <w:sz w:val="20"/>
          <w:szCs w:val="20"/>
          <w:color w:val="auto"/>
        </w:rPr>
      </w:pPr>
      <w:r>
        <w:rPr>
          <w:rFonts w:ascii="Arial" w:cs="Arial" w:eastAsia="Arial" w:hAnsi="Arial"/>
          <w:sz w:val="22"/>
          <w:szCs w:val="22"/>
          <w:b w:val="1"/>
          <w:bCs w:val="1"/>
          <w:color w:val="auto"/>
        </w:rPr>
        <w:t>Bonuses:</w:t>
      </w:r>
    </w:p>
    <w:p>
      <w:pPr>
        <w:spacing w:after="0" w:line="198" w:lineRule="exact"/>
        <w:rPr>
          <w:rFonts w:ascii="Arial" w:cs="Arial" w:eastAsia="Arial" w:hAnsi="Arial"/>
          <w:sz w:val="20"/>
          <w:szCs w:val="20"/>
          <w:color w:val="auto"/>
        </w:rPr>
      </w:pPr>
    </w:p>
    <w:p>
      <w:pPr>
        <w:jc w:val="both"/>
        <w:ind w:left="1900" w:right="220" w:hanging="375"/>
        <w:spacing w:after="0" w:line="270" w:lineRule="auto"/>
        <w:tabs>
          <w:tab w:leader="none" w:pos="1900"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Annual Bonus:</w:t>
      </w:r>
      <w:r>
        <w:rPr>
          <w:rFonts w:ascii="Arial" w:cs="Arial" w:eastAsia="Arial" w:hAnsi="Arial"/>
          <w:sz w:val="19"/>
          <w:szCs w:val="19"/>
          <w:color w:val="auto"/>
        </w:rPr>
        <w:t xml:space="preserve"> You will be eligible to receive an annual bonus targeted at 50% of your Base Salary based on the performance of the Company (the “Bonus”). The amount of the Bonus,if any, will be at the sole discretion of the Company. You must be employed on the date that the Bonus is paid to be eligible to receive the Bonus. During 2023, your annual bonus will be pro-rated based on your start date. Your Bonus will be paid no later than March 15 of the following calendar year.</w:t>
      </w:r>
    </w:p>
    <w:p>
      <w:pPr>
        <w:spacing w:after="0" w:line="4" w:lineRule="exact"/>
        <w:rPr>
          <w:rFonts w:ascii="Arial" w:cs="Arial" w:eastAsia="Arial" w:hAnsi="Arial"/>
          <w:sz w:val="19"/>
          <w:szCs w:val="19"/>
          <w:color w:val="auto"/>
        </w:rPr>
      </w:pPr>
    </w:p>
    <w:p>
      <w:pPr>
        <w:jc w:val="both"/>
        <w:ind w:left="1900" w:right="220" w:hanging="375"/>
        <w:spacing w:after="0" w:line="238" w:lineRule="auto"/>
        <w:tabs>
          <w:tab w:leader="none" w:pos="1900" w:val="left"/>
        </w:tabs>
        <w:numPr>
          <w:ilvl w:val="1"/>
          <w:numId w:val="41"/>
        </w:numPr>
        <w:rPr>
          <w:rFonts w:ascii="Arial" w:cs="Arial" w:eastAsia="Arial" w:hAnsi="Arial"/>
          <w:sz w:val="21"/>
          <w:szCs w:val="21"/>
          <w:color w:val="auto"/>
        </w:rPr>
      </w:pPr>
      <w:r>
        <w:rPr>
          <w:rFonts w:ascii="Arial" w:cs="Arial" w:eastAsia="Arial" w:hAnsi="Arial"/>
          <w:sz w:val="21"/>
          <w:szCs w:val="21"/>
          <w:u w:val="single" w:color="auto"/>
          <w:color w:val="auto"/>
        </w:rPr>
        <w:t>Signing Bonus</w:t>
      </w:r>
      <w:r>
        <w:rPr>
          <w:rFonts w:ascii="Arial" w:cs="Arial" w:eastAsia="Arial" w:hAnsi="Arial"/>
          <w:sz w:val="21"/>
          <w:szCs w:val="21"/>
          <w:color w:val="auto"/>
        </w:rPr>
        <w:t xml:space="preserve"> – You will be entitled to a signing bonus (“the Signing Bonus”) in the aggregate amount of One Hundred Twenty-Five Thousand ($125,000) Dollars if the agreed upon start date is prior to June 30, 2023 or ii) up to Two Hundred Thousand (up to $200,000) dollars if the agreed upon start date is after June 30, 2023 but prior to December 31</w:t>
      </w:r>
      <w:r>
        <w:rPr>
          <w:rFonts w:ascii="Arial" w:cs="Arial" w:eastAsia="Arial" w:hAnsi="Arial"/>
          <w:sz w:val="27"/>
          <w:szCs w:val="27"/>
          <w:color w:val="auto"/>
          <w:vertAlign w:val="superscript"/>
        </w:rPr>
        <w:t>st</w:t>
      </w:r>
      <w:r>
        <w:rPr>
          <w:rFonts w:ascii="Arial" w:cs="Arial" w:eastAsia="Arial" w:hAnsi="Arial"/>
          <w:sz w:val="21"/>
          <w:szCs w:val="21"/>
          <w:color w:val="auto"/>
        </w:rPr>
        <w:t>, 2023, payable on the first payroll cycle after your start date (as defined below). You must be employed on the date that the signing bonus is paid to be eligible to receive the Signing Bonus. In the event your employment terminates for any reason prior to the one-year anniversary of the Start Date, you must repay the Company 100% of the Signing Bonus received. In the event your employment terminates for any reason subsequent to the one-year anniversary but prior to the two-year anniversary of the Start Date, you must repay the Company 50% if the Signing Bonus.</w:t>
      </w:r>
    </w:p>
    <w:p>
      <w:pPr>
        <w:spacing w:after="0" w:line="200" w:lineRule="exact"/>
        <w:rPr>
          <w:rFonts w:ascii="Arial" w:cs="Arial" w:eastAsia="Arial" w:hAnsi="Arial"/>
          <w:sz w:val="21"/>
          <w:szCs w:val="21"/>
          <w:color w:val="auto"/>
        </w:rPr>
      </w:pPr>
    </w:p>
    <w:p>
      <w:pPr>
        <w:spacing w:after="0" w:line="255" w:lineRule="exact"/>
        <w:rPr>
          <w:rFonts w:ascii="Arial" w:cs="Arial" w:eastAsia="Arial" w:hAnsi="Arial"/>
          <w:sz w:val="21"/>
          <w:szCs w:val="21"/>
          <w:color w:val="auto"/>
        </w:rPr>
      </w:pPr>
    </w:p>
    <w:p>
      <w:pPr>
        <w:ind w:left="1560" w:hanging="753"/>
        <w:spacing w:after="0"/>
        <w:tabs>
          <w:tab w:leader="none" w:pos="1560" w:val="left"/>
        </w:tabs>
        <w:numPr>
          <w:ilvl w:val="0"/>
          <w:numId w:val="41"/>
        </w:numPr>
        <w:rPr>
          <w:rFonts w:ascii="Arial" w:cs="Arial" w:eastAsia="Arial" w:hAnsi="Arial"/>
          <w:sz w:val="20"/>
          <w:szCs w:val="20"/>
          <w:color w:val="auto"/>
        </w:rPr>
      </w:pPr>
      <w:r>
        <w:rPr>
          <w:rFonts w:ascii="Arial" w:cs="Arial" w:eastAsia="Arial" w:hAnsi="Arial"/>
          <w:sz w:val="22"/>
          <w:szCs w:val="22"/>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66675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80" w:top="355" w:right="339" w:bottom="1440" w:gutter="0" w:footer="0" w:header="0"/>
        </w:sectPr>
      </w:pPr>
    </w:p>
    <w:bookmarkStart w:id="78" w:name="page79"/>
    <w:bookmarkEnd w:id="78"/>
    <w:p>
      <w:pPr>
        <w:jc w:val="both"/>
        <w:ind w:left="753"/>
        <w:spacing w:after="0" w:line="238" w:lineRule="auto"/>
        <w:rPr>
          <w:sz w:val="20"/>
          <w:szCs w:val="20"/>
          <w:color w:val="auto"/>
        </w:rPr>
      </w:pPr>
      <w:r>
        <w:rPr>
          <w:rFonts w:ascii="Arial" w:cs="Arial" w:eastAsia="Arial" w:hAnsi="Arial"/>
          <w:sz w:val="22"/>
          <w:szCs w:val="22"/>
          <w:color w:val="auto"/>
        </w:rPr>
        <w:t>Pursuant to the Aura Biosciences, Inc. 2021 Stock Option and Incentive Plan, as amended through the date hereof (the “Plan”), and subject to the approval of the Company’s Board of Directors which will be addressed at the next regularly scheduled Board meeting, in addition to any other changes to the Plan,you will be eligible to be granted the following:</w:t>
      </w:r>
    </w:p>
    <w:p>
      <w:pPr>
        <w:spacing w:after="0" w:line="225" w:lineRule="exact"/>
        <w:rPr>
          <w:sz w:val="20"/>
          <w:szCs w:val="20"/>
          <w:color w:val="auto"/>
        </w:rPr>
      </w:pPr>
    </w:p>
    <w:p>
      <w:pPr>
        <w:jc w:val="both"/>
        <w:ind w:left="753" w:hanging="4"/>
        <w:spacing w:after="0" w:line="238" w:lineRule="auto"/>
        <w:tabs>
          <w:tab w:leader="none" w:pos="1078" w:val="left"/>
        </w:tabs>
        <w:numPr>
          <w:ilvl w:val="0"/>
          <w:numId w:val="42"/>
        </w:numPr>
        <w:rPr>
          <w:rFonts w:ascii="Arial" w:cs="Arial" w:eastAsia="Arial" w:hAnsi="Arial"/>
          <w:sz w:val="22"/>
          <w:szCs w:val="22"/>
          <w:color w:val="auto"/>
        </w:rPr>
      </w:pPr>
      <w:r>
        <w:rPr>
          <w:rFonts w:ascii="Arial" w:cs="Arial" w:eastAsia="Arial" w:hAnsi="Arial"/>
          <w:sz w:val="22"/>
          <w:szCs w:val="22"/>
          <w:color w:val="auto"/>
        </w:rPr>
        <w:t>Two Hundred Thousand (200,000) Options to purchase at the then fair market value, as determined on the date of the grant, 50,000 of which shall vest and become exercisable on the anniversary of your start date, and 4,167 of which shall vest and become exercisable at the end of each of the 36 full months following the anniversary of your start date; and</w:t>
      </w:r>
    </w:p>
    <w:p>
      <w:pPr>
        <w:spacing w:after="0" w:line="211" w:lineRule="exact"/>
        <w:rPr>
          <w:rFonts w:ascii="Arial" w:cs="Arial" w:eastAsia="Arial" w:hAnsi="Arial"/>
          <w:sz w:val="22"/>
          <w:szCs w:val="22"/>
          <w:color w:val="auto"/>
        </w:rPr>
      </w:pPr>
    </w:p>
    <w:p>
      <w:pPr>
        <w:jc w:val="both"/>
        <w:ind w:left="753" w:hanging="4"/>
        <w:spacing w:after="0" w:line="258" w:lineRule="auto"/>
        <w:tabs>
          <w:tab w:leader="none" w:pos="1078" w:val="left"/>
        </w:tabs>
        <w:numPr>
          <w:ilvl w:val="0"/>
          <w:numId w:val="42"/>
        </w:numPr>
        <w:rPr>
          <w:rFonts w:ascii="Arial" w:cs="Arial" w:eastAsia="Arial" w:hAnsi="Arial"/>
          <w:sz w:val="21"/>
          <w:szCs w:val="21"/>
          <w:color w:val="auto"/>
        </w:rPr>
      </w:pPr>
      <w:r>
        <w:rPr>
          <w:rFonts w:ascii="Arial" w:cs="Arial" w:eastAsia="Arial" w:hAnsi="Arial"/>
          <w:sz w:val="21"/>
          <w:szCs w:val="21"/>
          <w:color w:val="auto"/>
        </w:rPr>
        <w:t>One Hundred and Thirty Five Thousand (135,000) restricted stock units, 33,750 of which shall vest on the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of the month following the anniversary of your start date (“First Vesting Date”), and on the anniversary, 2</w:t>
      </w:r>
      <w:r>
        <w:rPr>
          <w:rFonts w:ascii="Arial" w:cs="Arial" w:eastAsia="Arial" w:hAnsi="Arial"/>
          <w:sz w:val="27"/>
          <w:szCs w:val="27"/>
          <w:color w:val="auto"/>
          <w:vertAlign w:val="superscript"/>
        </w:rPr>
        <w:t>nd</w:t>
      </w:r>
      <w:r>
        <w:rPr>
          <w:rFonts w:ascii="Arial" w:cs="Arial" w:eastAsia="Arial" w:hAnsi="Arial"/>
          <w:sz w:val="21"/>
          <w:szCs w:val="21"/>
          <w:color w:val="auto"/>
        </w:rPr>
        <w:t xml:space="preserve"> year anniversary and 3</w:t>
      </w:r>
      <w:r>
        <w:rPr>
          <w:rFonts w:ascii="Arial" w:cs="Arial" w:eastAsia="Arial" w:hAnsi="Arial"/>
          <w:sz w:val="27"/>
          <w:szCs w:val="27"/>
          <w:color w:val="auto"/>
          <w:vertAlign w:val="superscript"/>
        </w:rPr>
        <w:t>rd</w:t>
      </w:r>
      <w:r>
        <w:rPr>
          <w:rFonts w:ascii="Arial" w:cs="Arial" w:eastAsia="Arial" w:hAnsi="Arial"/>
          <w:sz w:val="21"/>
          <w:szCs w:val="21"/>
          <w:color w:val="auto"/>
        </w:rPr>
        <w:t xml:space="preserve"> year anniversary of the First Vesting Date.</w:t>
      </w:r>
    </w:p>
    <w:p>
      <w:pPr>
        <w:spacing w:after="0" w:line="112" w:lineRule="exact"/>
        <w:rPr>
          <w:sz w:val="20"/>
          <w:szCs w:val="20"/>
          <w:color w:val="auto"/>
        </w:rPr>
      </w:pPr>
    </w:p>
    <w:p>
      <w:pPr>
        <w:jc w:val="both"/>
        <w:ind w:left="753"/>
        <w:spacing w:after="0" w:line="271" w:lineRule="auto"/>
        <w:rPr>
          <w:sz w:val="20"/>
          <w:szCs w:val="20"/>
          <w:color w:val="auto"/>
        </w:rPr>
      </w:pPr>
      <w:r>
        <w:rPr>
          <w:rFonts w:ascii="Arial" w:cs="Arial" w:eastAsia="Arial" w:hAnsi="Arial"/>
          <w:sz w:val="19"/>
          <w:szCs w:val="19"/>
          <w:color w:val="auto"/>
        </w:rPr>
        <w:t>Both grants will be subject to the Plan, and a Stock Option Agreement and Restricted Stock Award Agreement, respectively. Vesting is subject to your continued employment on each date of vesting. Your Options and restricted stock units of Common Stock will accelerate and vest in full upon the occurrence of a “Sale Event,” which means the consummation of (i) the dissolution or liquidation of the Company, (ii) the sale of all or substantially all of the assets of the Company on a consolidated basis to an unrelated person or entity (a “Person”), (iii) a merger, reorganization or consolidation involving the Company in which the shares of the Company’s voting equity outstanding immediately prior to such transaction represent or are converted into or exchanged for securities of the surviving or resulting entity immediately upon completion of such transaction which represent less than fifty percent (50%) of the outstanding voting power of such surviving or resulting entity, (iv) the acquisition of all or a majority of the outstanding voting equity of the Company in a single transaction ora series of related transactions by a Person or a group of Persons, or (v) any other acquisition of the business of the Company, as determined by the Board; provided,however, that the Company’s initial public offering, any subsequent public offering or another capital raising event, or a merger effected solely to change the Company’s domicile shall not constitute a Sale Event.</w:t>
      </w:r>
    </w:p>
    <w:p>
      <w:pPr>
        <w:spacing w:after="0" w:line="205" w:lineRule="exact"/>
        <w:rPr>
          <w:sz w:val="20"/>
          <w:szCs w:val="20"/>
          <w:color w:val="auto"/>
        </w:rPr>
      </w:pPr>
    </w:p>
    <w:p>
      <w:pPr>
        <w:jc w:val="both"/>
        <w:ind w:left="753"/>
        <w:spacing w:after="0" w:line="252" w:lineRule="auto"/>
        <w:rPr>
          <w:sz w:val="20"/>
          <w:szCs w:val="20"/>
          <w:color w:val="auto"/>
        </w:rPr>
      </w:pPr>
      <w:r>
        <w:rPr>
          <w:rFonts w:ascii="Arial" w:cs="Arial" w:eastAsia="Arial" w:hAnsi="Arial"/>
          <w:sz w:val="21"/>
          <w:szCs w:val="21"/>
          <w:color w:val="auto"/>
        </w:rPr>
        <w:t>In addition, you will be eligible for an annual grant of an option to purchase company shares, subject to the approval of the Company’s Board of Directors. In the past, the Board has authorized for your position a grant of an option to purchase 85,000- 130,000 shares. Any such grant will be subject to vesting and other terms in accordance with an option grant agreement and the Plan.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733" w:right="120" w:hanging="733"/>
        <w:spacing w:after="0" w:line="254" w:lineRule="auto"/>
        <w:tabs>
          <w:tab w:leader="none" w:pos="733" w:val="left"/>
        </w:tabs>
        <w:numPr>
          <w:ilvl w:val="0"/>
          <w:numId w:val="43"/>
        </w:numPr>
        <w:rPr>
          <w:rFonts w:ascii="Arial" w:cs="Arial" w:eastAsia="Arial" w:hAnsi="Arial"/>
          <w:sz w:val="19"/>
          <w:szCs w:val="19"/>
          <w:color w:val="auto"/>
        </w:rPr>
      </w:pPr>
      <w:r>
        <w:rPr>
          <w:rFonts w:ascii="Arial" w:cs="Arial" w:eastAsia="Arial" w:hAnsi="Arial"/>
          <w:sz w:val="21"/>
          <w:szCs w:val="21"/>
          <w:b w:val="1"/>
          <w:bCs w:val="1"/>
          <w:color w:val="auto"/>
        </w:rPr>
        <w:t>Benefits</w:t>
      </w:r>
      <w:r>
        <w:rPr>
          <w:rFonts w:ascii="Arial" w:cs="Arial" w:eastAsia="Arial" w:hAnsi="Arial"/>
          <w:sz w:val="21"/>
          <w:szCs w:val="21"/>
          <w:color w:val="auto"/>
        </w:rPr>
        <w:t>: As a full-time employee, you will be entitled to health and dental insurance benefits currently</w:t>
      </w:r>
      <w:r>
        <w:rPr>
          <w:rFonts w:ascii="Arial" w:cs="Arial" w:eastAsia="Arial" w:hAnsi="Arial"/>
          <w:sz w:val="21"/>
          <w:szCs w:val="21"/>
          <w:b w:val="1"/>
          <w:bCs w:val="1"/>
          <w:color w:val="auto"/>
        </w:rPr>
        <w:t xml:space="preserve"> </w:t>
      </w:r>
      <w:r>
        <w:rPr>
          <w:rFonts w:ascii="Arial" w:cs="Arial" w:eastAsia="Arial" w:hAnsi="Arial"/>
          <w:sz w:val="21"/>
          <w:szCs w:val="21"/>
          <w:color w:val="auto"/>
        </w:rPr>
        <w:t>available (healthcare, dental and vision) for which you are eligible, and you may elect to cover your family. During 2023, there is no employee contribution to premiums, but this is subject to change. We also offer a 401(k)retirement plan for which you will be eligible to participate, and the</w:t>
      </w:r>
    </w:p>
    <w:p>
      <w:pPr>
        <w:spacing w:after="0" w:line="185" w:lineRule="exact"/>
        <w:rPr>
          <w:rFonts w:ascii="Arial" w:cs="Arial" w:eastAsia="Arial" w:hAnsi="Arial"/>
          <w:sz w:val="19"/>
          <w:szCs w:val="19"/>
          <w:color w:val="auto"/>
        </w:rPr>
      </w:pPr>
    </w:p>
    <w:p>
      <w:pPr>
        <w:ind w:left="753" w:right="180"/>
        <w:spacing w:after="0" w:line="250" w:lineRule="auto"/>
        <w:rPr>
          <w:rFonts w:ascii="Arial" w:cs="Arial" w:eastAsia="Arial" w:hAnsi="Arial"/>
          <w:sz w:val="19"/>
          <w:szCs w:val="19"/>
          <w:color w:val="auto"/>
        </w:rPr>
      </w:pPr>
      <w:r>
        <w:rPr>
          <w:rFonts w:ascii="Arial" w:cs="Arial" w:eastAsia="Arial" w:hAnsi="Arial"/>
          <w:sz w:val="22"/>
          <w:szCs w:val="22"/>
          <w:color w:val="auto"/>
        </w:rPr>
        <w:t>Company currently matches up to 6%. Further, you will be entitled to four (4) weeks of paid vacation, pro-rated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-621030</wp:posOffset>
            </wp:positionH>
            <wp:positionV relativeFrom="paragraph">
              <wp:posOffset>189230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53"/>
          </w:cols>
          <w:pgMar w:left="1287" w:top="361" w:right="459" w:bottom="1440" w:gutter="0" w:footer="0" w:header="0"/>
        </w:sectPr>
      </w:pPr>
    </w:p>
    <w:bookmarkStart w:id="79" w:name="page80"/>
    <w:bookmarkEnd w:id="79"/>
    <w:p>
      <w:pPr>
        <w:jc w:val="both"/>
        <w:ind w:left="733" w:hanging="733"/>
        <w:spacing w:after="0" w:line="274" w:lineRule="auto"/>
        <w:tabs>
          <w:tab w:leader="none" w:pos="733" w:val="left"/>
        </w:tabs>
        <w:numPr>
          <w:ilvl w:val="0"/>
          <w:numId w:val="44"/>
        </w:numPr>
        <w:rPr>
          <w:rFonts w:ascii="Arial" w:cs="Arial" w:eastAsia="Arial" w:hAnsi="Arial"/>
          <w:sz w:val="18"/>
          <w:szCs w:val="18"/>
          <w:color w:val="auto"/>
        </w:rPr>
      </w:pPr>
      <w:r>
        <w:rPr>
          <w:rFonts w:ascii="Arial" w:cs="Arial" w:eastAsia="Arial" w:hAnsi="Arial"/>
          <w:sz w:val="19"/>
          <w:szCs w:val="19"/>
          <w:b w:val="1"/>
          <w:bCs w:val="1"/>
          <w:color w:val="auto"/>
        </w:rPr>
        <w:t>Termination</w:t>
      </w:r>
      <w:r>
        <w:rPr>
          <w:rFonts w:ascii="Arial" w:cs="Arial" w:eastAsia="Arial" w:hAnsi="Arial"/>
          <w:sz w:val="19"/>
          <w:szCs w:val="19"/>
          <w:color w:val="auto"/>
        </w:rPr>
        <w:t>: Employees of the Company are employed “at will.” This means that you may terminate your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employment with the Company at any time and for any reason or no reason, upon five (5) days’ prior written notice to the Company. Likewise, the Company reserves the right to terminate your employment at any time and for any reason or no reason, upon five (5) days’ prior written notice to your up to five (5) days’ pay in lieu of notice; provided, however, that in the event of a termination for Cause, no prior notice (written or otherwise) will be required. In the event of the termination of this Agreement by either you or the Company for any reason or no reason, your Salary under Section 1 (and the vesting of any stock options under Section 3) shall immediately cease and this Agreement and the stock option agreement shall terminate; however, the Confidential Information, Non- Solicitation, and Invention Assignment Agreement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shall survive and remain in full force and effect in accordance with its terms.</w:t>
      </w:r>
    </w:p>
    <w:p>
      <w:pPr>
        <w:spacing w:after="0" w:line="192" w:lineRule="exact"/>
        <w:rPr>
          <w:rFonts w:ascii="Arial" w:cs="Arial" w:eastAsia="Arial" w:hAnsi="Arial"/>
          <w:sz w:val="18"/>
          <w:szCs w:val="18"/>
          <w:color w:val="auto"/>
        </w:rPr>
      </w:pPr>
    </w:p>
    <w:p>
      <w:pPr>
        <w:jc w:val="both"/>
        <w:ind w:left="733" w:right="60" w:hanging="733"/>
        <w:spacing w:after="0" w:line="239" w:lineRule="auto"/>
        <w:tabs>
          <w:tab w:leader="none" w:pos="733" w:val="left"/>
        </w:tabs>
        <w:numPr>
          <w:ilvl w:val="0"/>
          <w:numId w:val="44"/>
        </w:numPr>
        <w:rPr>
          <w:rFonts w:ascii="Arial" w:cs="Arial" w:eastAsia="Arial" w:hAnsi="Arial"/>
          <w:sz w:val="20"/>
          <w:szCs w:val="20"/>
          <w:color w:val="auto"/>
        </w:rPr>
      </w:pPr>
      <w:r>
        <w:rPr>
          <w:rFonts w:ascii="Arial" w:cs="Arial" w:eastAsia="Arial" w:hAnsi="Arial"/>
          <w:sz w:val="22"/>
          <w:szCs w:val="22"/>
          <w:b w:val="1"/>
          <w:bCs w:val="1"/>
          <w:color w:val="auto"/>
        </w:rPr>
        <w:t>Status</w:t>
      </w:r>
      <w:r>
        <w:rPr>
          <w:rFonts w:ascii="Arial" w:cs="Arial" w:eastAsia="Arial" w:hAnsi="Arial"/>
          <w:sz w:val="22"/>
          <w:szCs w:val="22"/>
          <w:color w:val="auto"/>
        </w:rPr>
        <w:t>: The Immigration Reform and Control Act requires employers to verify the employment eligibility</w:t>
      </w:r>
      <w:r>
        <w:rPr>
          <w:rFonts w:ascii="Arial" w:cs="Arial" w:eastAsia="Arial" w:hAnsi="Arial"/>
          <w:sz w:val="22"/>
          <w:szCs w:val="22"/>
          <w:b w:val="1"/>
          <w:bCs w:val="1"/>
          <w:color w:val="auto"/>
        </w:rPr>
        <w:t xml:space="preserve"> </w:t>
      </w:r>
      <w:r>
        <w:rPr>
          <w:rFonts w:ascii="Arial" w:cs="Arial" w:eastAsia="Arial" w:hAnsi="Arial"/>
          <w:sz w:val="22"/>
          <w:szCs w:val="22"/>
          <w:color w:val="auto"/>
        </w:rPr>
        <w:t>and identity of new employees. You will need to complete the I-9 Form and bring it, together with the appropriate documents, with you when you report for work. We will not be able to employ you if you cannot comply with this requirement.</w:t>
      </w:r>
    </w:p>
    <w:p>
      <w:pPr>
        <w:spacing w:after="0" w:line="261" w:lineRule="exact"/>
        <w:rPr>
          <w:rFonts w:ascii="Arial" w:cs="Arial" w:eastAsia="Arial" w:hAnsi="Arial"/>
          <w:sz w:val="20"/>
          <w:szCs w:val="20"/>
          <w:color w:val="auto"/>
        </w:rPr>
      </w:pPr>
    </w:p>
    <w:p>
      <w:pPr>
        <w:ind w:left="733" w:hanging="733"/>
        <w:spacing w:after="0"/>
        <w:tabs>
          <w:tab w:leader="none" w:pos="733" w:val="left"/>
        </w:tabs>
        <w:numPr>
          <w:ilvl w:val="0"/>
          <w:numId w:val="44"/>
        </w:numPr>
        <w:rPr>
          <w:rFonts w:ascii="Arial" w:cs="Arial" w:eastAsia="Arial" w:hAnsi="Arial"/>
          <w:sz w:val="20"/>
          <w:szCs w:val="20"/>
          <w:color w:val="auto"/>
        </w:rPr>
      </w:pPr>
      <w:r>
        <w:rPr>
          <w:rFonts w:ascii="Arial" w:cs="Arial" w:eastAsia="Arial" w:hAnsi="Arial"/>
          <w:sz w:val="22"/>
          <w:szCs w:val="22"/>
          <w:b w:val="1"/>
          <w:bCs w:val="1"/>
          <w:color w:val="auto"/>
        </w:rPr>
        <w:t xml:space="preserve">Job location: </w:t>
      </w:r>
      <w:r>
        <w:rPr>
          <w:rFonts w:ascii="Arial" w:cs="Arial" w:eastAsia="Arial" w:hAnsi="Arial"/>
          <w:sz w:val="22"/>
          <w:szCs w:val="22"/>
          <w:color w:val="auto"/>
        </w:rPr>
        <w:t>Remote at your residence with travel to the Boston office when requested.</w:t>
      </w:r>
    </w:p>
    <w:p>
      <w:pPr>
        <w:spacing w:after="0" w:line="233" w:lineRule="exact"/>
        <w:rPr>
          <w:rFonts w:ascii="Arial" w:cs="Arial" w:eastAsia="Arial" w:hAnsi="Arial"/>
          <w:sz w:val="20"/>
          <w:szCs w:val="20"/>
          <w:color w:val="auto"/>
        </w:rPr>
      </w:pPr>
    </w:p>
    <w:p>
      <w:pPr>
        <w:ind w:left="733" w:right="80" w:hanging="733"/>
        <w:spacing w:after="0" w:line="256" w:lineRule="auto"/>
        <w:tabs>
          <w:tab w:leader="none" w:pos="733" w:val="left"/>
        </w:tabs>
        <w:numPr>
          <w:ilvl w:val="0"/>
          <w:numId w:val="44"/>
        </w:numPr>
        <w:rPr>
          <w:rFonts w:ascii="Arial" w:cs="Arial" w:eastAsia="Arial" w:hAnsi="Arial"/>
          <w:sz w:val="20"/>
          <w:szCs w:val="20"/>
          <w:color w:val="auto"/>
        </w:rPr>
      </w:pPr>
      <w:r>
        <w:rPr>
          <w:rFonts w:ascii="Arial" w:cs="Arial" w:eastAsia="Arial" w:hAnsi="Arial"/>
          <w:sz w:val="22"/>
          <w:szCs w:val="22"/>
          <w:b w:val="1"/>
          <w:bCs w:val="1"/>
          <w:color w:val="auto"/>
        </w:rPr>
        <w:t xml:space="preserve">References: </w:t>
      </w:r>
      <w:r>
        <w:rPr>
          <w:rFonts w:ascii="Arial" w:cs="Arial" w:eastAsia="Arial" w:hAnsi="Arial"/>
          <w:sz w:val="22"/>
          <w:szCs w:val="22"/>
          <w:color w:val="auto"/>
        </w:rPr>
        <w:t>The Company has the right to rescind this offer pending satisfactory results, in its sole</w:t>
      </w:r>
      <w:r>
        <w:rPr>
          <w:rFonts w:ascii="Arial" w:cs="Arial" w:eastAsia="Arial" w:hAnsi="Arial"/>
          <w:sz w:val="22"/>
          <w:szCs w:val="22"/>
          <w:b w:val="1"/>
          <w:bCs w:val="1"/>
          <w:color w:val="auto"/>
        </w:rPr>
        <w:t xml:space="preserve"> </w:t>
      </w:r>
      <w:r>
        <w:rPr>
          <w:rFonts w:ascii="Arial" w:cs="Arial" w:eastAsia="Arial" w:hAnsi="Arial"/>
          <w:sz w:val="22"/>
          <w:szCs w:val="22"/>
          <w:color w:val="auto"/>
        </w:rPr>
        <w:t>discretion, of background and reference checks.</w:t>
      </w:r>
    </w:p>
    <w:p>
      <w:pPr>
        <w:spacing w:after="0" w:line="202" w:lineRule="exact"/>
        <w:rPr>
          <w:rFonts w:ascii="Arial" w:cs="Arial" w:eastAsia="Arial" w:hAnsi="Arial"/>
          <w:sz w:val="20"/>
          <w:szCs w:val="20"/>
          <w:color w:val="auto"/>
        </w:rPr>
      </w:pPr>
    </w:p>
    <w:p>
      <w:pPr>
        <w:jc w:val="both"/>
        <w:ind w:left="733" w:right="40" w:hanging="733"/>
        <w:spacing w:after="0" w:line="275" w:lineRule="auto"/>
        <w:tabs>
          <w:tab w:leader="none" w:pos="733" w:val="left"/>
        </w:tabs>
        <w:numPr>
          <w:ilvl w:val="0"/>
          <w:numId w:val="44"/>
        </w:numPr>
        <w:rPr>
          <w:rFonts w:ascii="Arial" w:cs="Arial" w:eastAsia="Arial" w:hAnsi="Arial"/>
          <w:sz w:val="18"/>
          <w:szCs w:val="18"/>
          <w:color w:val="auto"/>
        </w:rPr>
      </w:pPr>
      <w:r>
        <w:rPr>
          <w:rFonts w:ascii="Arial" w:cs="Arial" w:eastAsia="Arial" w:hAnsi="Arial"/>
          <w:sz w:val="19"/>
          <w:szCs w:val="19"/>
          <w:b w:val="1"/>
          <w:bCs w:val="1"/>
          <w:color w:val="auto"/>
        </w:rPr>
        <w:t xml:space="preserve">Start date and Assurances: </w:t>
      </w:r>
      <w:r>
        <w:rPr>
          <w:rFonts w:ascii="Arial" w:cs="Arial" w:eastAsia="Arial" w:hAnsi="Arial"/>
          <w:sz w:val="19"/>
          <w:szCs w:val="19"/>
          <w:color w:val="auto"/>
        </w:rPr>
        <w:t>On October 16, 2023, or as otherwise mutually agreed (the “Start Date”). If</w:t>
      </w:r>
      <w:r>
        <w:rPr>
          <w:rFonts w:ascii="Arial" w:cs="Arial" w:eastAsia="Arial" w:hAnsi="Arial"/>
          <w:sz w:val="19"/>
          <w:szCs w:val="19"/>
          <w:b w:val="1"/>
          <w:bCs w:val="1"/>
          <w:color w:val="auto"/>
        </w:rPr>
        <w:t xml:space="preserve"> </w:t>
      </w:r>
      <w:r>
        <w:rPr>
          <w:rFonts w:ascii="Arial" w:cs="Arial" w:eastAsia="Arial" w:hAnsi="Arial"/>
          <w:sz w:val="19"/>
          <w:szCs w:val="19"/>
          <w:color w:val="auto"/>
        </w:rPr>
        <w:t>you start no later than October 16, 2023, you will qualify for, pending board approval, a 2023 pro-rated bonus and pro-rated annual equity grant to be granted in 2024. You represent that (i) you are not a party to any agreement that would prohibit you from entering into employment with the Company; and (ii) you have brought to the Company’s attention and provided it with a copy of any agreement that may impact your future employment with the Company or performing the services contemplated, including but not limited to any non-disclosure, non-competition, non-solicitation or invention assignment agreements containing future work restrictions. You represent that prior to the Start Date you will not take any actions on behalf of the Company or engage in any discussions or communications on behalf of the Company.</w:t>
      </w:r>
    </w:p>
    <w:p>
      <w:pPr>
        <w:spacing w:after="0" w:line="190" w:lineRule="exact"/>
        <w:rPr>
          <w:rFonts w:ascii="Arial" w:cs="Arial" w:eastAsia="Arial" w:hAnsi="Arial"/>
          <w:sz w:val="18"/>
          <w:szCs w:val="18"/>
          <w:color w:val="auto"/>
        </w:rPr>
      </w:pPr>
    </w:p>
    <w:p>
      <w:pPr>
        <w:jc w:val="both"/>
        <w:ind w:left="733" w:right="60" w:hanging="733"/>
        <w:spacing w:after="0" w:line="276" w:lineRule="auto"/>
        <w:tabs>
          <w:tab w:leader="none" w:pos="733" w:val="left"/>
        </w:tabs>
        <w:numPr>
          <w:ilvl w:val="0"/>
          <w:numId w:val="44"/>
        </w:numPr>
        <w:rPr>
          <w:rFonts w:ascii="Arial" w:cs="Arial" w:eastAsia="Arial" w:hAnsi="Arial"/>
          <w:sz w:val="18"/>
          <w:szCs w:val="18"/>
          <w:color w:val="auto"/>
        </w:rPr>
      </w:pPr>
      <w:r>
        <w:rPr>
          <w:rFonts w:ascii="Arial" w:cs="Arial" w:eastAsia="Arial" w:hAnsi="Arial"/>
          <w:sz w:val="19"/>
          <w:szCs w:val="19"/>
          <w:b w:val="1"/>
          <w:bCs w:val="1"/>
          <w:color w:val="auto"/>
        </w:rPr>
        <w:t>Non-disparagement</w:t>
      </w:r>
      <w:r>
        <w:rPr>
          <w:rFonts w:ascii="Arial" w:cs="Arial" w:eastAsia="Arial" w:hAnsi="Arial"/>
          <w:sz w:val="19"/>
          <w:szCs w:val="19"/>
          <w:color w:val="auto"/>
        </w:rPr>
        <w:t>. Unless as required by law or valid subpoena, you agree that you will not, whether</w:t>
      </w:r>
      <w:r>
        <w:rPr>
          <w:rFonts w:ascii="Arial" w:cs="Arial" w:eastAsia="Arial" w:hAnsi="Arial"/>
          <w:sz w:val="19"/>
          <w:szCs w:val="19"/>
          <w:b w:val="1"/>
          <w:bCs w:val="1"/>
          <w:color w:val="auto"/>
        </w:rPr>
        <w:t xml:space="preserve"> </w:t>
      </w:r>
      <w:r>
        <w:rPr>
          <w:rFonts w:ascii="Arial" w:cs="Arial" w:eastAsia="Arial" w:hAnsi="Arial"/>
          <w:sz w:val="19"/>
          <w:szCs w:val="19"/>
          <w:color w:val="auto"/>
        </w:rPr>
        <w:t>during your employment or thereafter, directly or indirectly, make or ratify any statement, public or private, oral or written, to any person that disparages, either professionally or personally, the Company or any of its known affiliates, past and present, and each of them, as well as its and their known trustees, directors, officers, members, managers, partners, agents, attorneys, employees, stockholders, representatives, assigns, and successors, past and present, and each of them, provided, however, that the during your active employment, this clause shall not prohibit internal communications made in good faith and pursuant to your responsibilities as an executive of the Company.</w:t>
      </w:r>
    </w:p>
    <w:p>
      <w:pPr>
        <w:spacing w:after="0" w:line="230" w:lineRule="exact"/>
        <w:rPr>
          <w:rFonts w:ascii="Arial" w:cs="Arial" w:eastAsia="Arial" w:hAnsi="Arial"/>
          <w:sz w:val="18"/>
          <w:szCs w:val="18"/>
          <w:color w:val="auto"/>
        </w:rPr>
      </w:pPr>
    </w:p>
    <w:p>
      <w:pPr>
        <w:ind w:left="733" w:right="60" w:hanging="733"/>
        <w:spacing w:after="0" w:line="256" w:lineRule="auto"/>
        <w:tabs>
          <w:tab w:leader="none" w:pos="733" w:val="left"/>
        </w:tabs>
        <w:numPr>
          <w:ilvl w:val="0"/>
          <w:numId w:val="44"/>
        </w:numPr>
        <w:rPr>
          <w:rFonts w:ascii="Arial" w:cs="Arial" w:eastAsia="Arial" w:hAnsi="Arial"/>
          <w:sz w:val="20"/>
          <w:szCs w:val="20"/>
          <w:color w:val="auto"/>
        </w:rPr>
      </w:pPr>
      <w:r>
        <w:rPr>
          <w:rFonts w:ascii="Arial" w:cs="Arial" w:eastAsia="Arial" w:hAnsi="Arial"/>
          <w:sz w:val="22"/>
          <w:szCs w:val="22"/>
          <w:b w:val="1"/>
          <w:bCs w:val="1"/>
          <w:color w:val="auto"/>
        </w:rPr>
        <w:t>Severance</w:t>
      </w:r>
      <w:r>
        <w:rPr>
          <w:rFonts w:ascii="Arial" w:cs="Arial" w:eastAsia="Arial" w:hAnsi="Arial"/>
          <w:sz w:val="22"/>
          <w:szCs w:val="22"/>
          <w:color w:val="auto"/>
        </w:rPr>
        <w:t>. In the event that the Company terminates your employment without Cause, or you terminate</w:t>
      </w:r>
      <w:r>
        <w:rPr>
          <w:rFonts w:ascii="Arial" w:cs="Arial" w:eastAsia="Arial" w:hAnsi="Arial"/>
          <w:sz w:val="22"/>
          <w:szCs w:val="22"/>
          <w:b w:val="1"/>
          <w:bCs w:val="1"/>
          <w:color w:val="auto"/>
        </w:rPr>
        <w:t xml:space="preserve"> </w:t>
      </w:r>
      <w:r>
        <w:rPr>
          <w:rFonts w:ascii="Arial" w:cs="Arial" w:eastAsia="Arial" w:hAnsi="Arial"/>
          <w:sz w:val="22"/>
          <w:szCs w:val="22"/>
          <w:color w:val="auto"/>
        </w:rPr>
        <w:t>your employment for Good Reason, and not due to your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-621030</wp:posOffset>
            </wp:positionH>
            <wp:positionV relativeFrom="paragraph">
              <wp:posOffset>39370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3"/>
          </w:cols>
          <w:pgMar w:left="1287" w:top="355" w:right="519" w:bottom="1440" w:gutter="0" w:footer="0" w:header="0"/>
        </w:sectPr>
      </w:pPr>
    </w:p>
    <w:bookmarkStart w:id="80" w:name="page81"/>
    <w:bookmarkEnd w:id="80"/>
    <w:p>
      <w:pPr>
        <w:jc w:val="both"/>
        <w:ind w:left="580"/>
        <w:spacing w:after="0" w:line="282" w:lineRule="auto"/>
        <w:rPr>
          <w:sz w:val="20"/>
          <w:szCs w:val="20"/>
          <w:color w:val="auto"/>
        </w:rPr>
      </w:pPr>
      <w:r>
        <w:rPr>
          <w:rFonts w:ascii="Arial" w:cs="Arial" w:eastAsia="Arial" w:hAnsi="Arial"/>
          <w:sz w:val="19"/>
          <w:szCs w:val="19"/>
          <w:color w:val="auto"/>
        </w:rPr>
        <w:t>death or Disability, and provided you execute a separation agreement in a form provided by the Company, including, without limitation, a general release of claims (the “Release”) in favor of the Company on or</w:t>
      </w:r>
    </w:p>
    <w:p>
      <w:pPr>
        <w:jc w:val="both"/>
        <w:ind w:left="580"/>
        <w:spacing w:after="0" w:line="250" w:lineRule="auto"/>
        <w:rPr>
          <w:sz w:val="20"/>
          <w:szCs w:val="20"/>
          <w:color w:val="auto"/>
        </w:rPr>
      </w:pPr>
      <w:r>
        <w:rPr>
          <w:rFonts w:ascii="Arial" w:cs="Arial" w:eastAsia="Arial" w:hAnsi="Arial"/>
          <w:sz w:val="20"/>
          <w:szCs w:val="20"/>
          <w:color w:val="auto"/>
        </w:rPr>
        <w:t>before the sixtieth (60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following your last date of employment in a form as required of the other senior executives of the Company, the Company will (i) continue to pay you your annual Base Salary for the Severance Period, and (ii) provided you have properly elected to continue your healthcare coverage pursuant to the Consolidated Omnibus Budget Reconciliation Act of 1985 (“COBRA”) the Company and you will continue to pay your healthcare and dental coverage premiums for COBRA coverage on the same premium-sharing basis for the Severance Period, or, if earlier,until you qualify for alternative health coverage pursuant to new employment or are no longer eligible to continue your coverage pursuant to COBRA. You agree to notify the Company promptly if you become eligible for group medical care coverage through another employer. You also agree to respond promptly and fully to any reasonable requests for information by the Company concerning your </w:t>
      </w:r>
      <w:r>
        <w:rPr>
          <w:rFonts w:ascii="Arial" w:cs="Arial" w:eastAsia="Arial" w:hAnsi="Arial"/>
          <w:sz w:val="18"/>
          <w:szCs w:val="18"/>
          <w:color w:val="auto"/>
        </w:rPr>
        <w:t>eligibility for such coverage.</w:t>
      </w:r>
    </w:p>
    <w:p>
      <w:pPr>
        <w:spacing w:after="0" w:line="232" w:lineRule="exact"/>
        <w:rPr>
          <w:sz w:val="20"/>
          <w:szCs w:val="20"/>
          <w:color w:val="auto"/>
        </w:rPr>
      </w:pPr>
    </w:p>
    <w:p>
      <w:pPr>
        <w:jc w:val="both"/>
        <w:ind w:left="600" w:right="20"/>
        <w:spacing w:after="0" w:line="273" w:lineRule="auto"/>
        <w:rPr>
          <w:sz w:val="20"/>
          <w:szCs w:val="20"/>
          <w:color w:val="auto"/>
        </w:rPr>
      </w:pPr>
      <w:r>
        <w:rPr>
          <w:rFonts w:ascii="Arial" w:cs="Arial" w:eastAsia="Arial" w:hAnsi="Arial"/>
          <w:sz w:val="19"/>
          <w:szCs w:val="19"/>
          <w:color w:val="auto"/>
        </w:rPr>
        <w:t>You may continue coverage after the end of the Severance Period at your own expense for the remainder of the COBRA continuation period, subject to continued eligibility. The base salary continuation shall begin to be paid pursuant to the Company’s regular payroll schedule beginning on the first practicable payroll date that follows the date the Release is effective, which will be on the eighth day after you execute the Release. If the Company does not make one or more payments of base salary continuation on a regular payroll date because the Release has not yet become effective, the Company shall make all such delayed payments by the first payroll date when it is practicable to do so after the Release becomes effective. Under no circumstances will the Release require you to release your rights to vested benefits and equity and or your rights to indemnification and defense. Further, if you die after you are terminated without Cause, the Company will pay the balance of the severance owed to you under this Agreement to your spouse. If your spouse is not alive at the time, the balance will be paid your estate.</w:t>
      </w:r>
    </w:p>
    <w:p>
      <w:pPr>
        <w:spacing w:after="0" w:line="155" w:lineRule="exact"/>
        <w:rPr>
          <w:sz w:val="20"/>
          <w:szCs w:val="20"/>
          <w:color w:val="auto"/>
        </w:rPr>
      </w:pPr>
    </w:p>
    <w:p>
      <w:pPr>
        <w:ind w:left="600" w:right="60"/>
        <w:spacing w:after="0" w:line="250" w:lineRule="auto"/>
        <w:rPr>
          <w:sz w:val="20"/>
          <w:szCs w:val="20"/>
          <w:color w:val="auto"/>
        </w:rPr>
      </w:pPr>
      <w:r>
        <w:rPr>
          <w:rFonts w:ascii="Arial" w:cs="Arial" w:eastAsia="Arial" w:hAnsi="Arial"/>
          <w:sz w:val="22"/>
          <w:szCs w:val="22"/>
          <w:color w:val="auto"/>
        </w:rPr>
        <w:t>The capitalized terms used in this Section 11 (unless otherwise defined therein) shall have the following meanings:</w:t>
      </w:r>
    </w:p>
    <w:p>
      <w:pPr>
        <w:spacing w:after="0" w:line="61" w:lineRule="exact"/>
        <w:rPr>
          <w:sz w:val="20"/>
          <w:szCs w:val="20"/>
          <w:color w:val="auto"/>
        </w:rPr>
      </w:pPr>
    </w:p>
    <w:p>
      <w:pPr>
        <w:jc w:val="both"/>
        <w:ind w:left="1340"/>
        <w:spacing w:after="0" w:line="244" w:lineRule="auto"/>
        <w:rPr>
          <w:sz w:val="20"/>
          <w:szCs w:val="20"/>
          <w:color w:val="auto"/>
        </w:rPr>
      </w:pPr>
      <w:r>
        <w:rPr>
          <w:rFonts w:ascii="Arial" w:cs="Arial" w:eastAsia="Arial" w:hAnsi="Arial"/>
          <w:sz w:val="21"/>
          <w:szCs w:val="21"/>
          <w:b w:val="1"/>
          <w:bCs w:val="1"/>
          <w:color w:val="auto"/>
        </w:rPr>
        <w:t xml:space="preserve">“Cause” </w:t>
      </w:r>
      <w:r>
        <w:rPr>
          <w:rFonts w:ascii="Arial" w:cs="Arial" w:eastAsia="Arial" w:hAnsi="Arial"/>
          <w:sz w:val="21"/>
          <w:szCs w:val="21"/>
          <w:color w:val="auto"/>
        </w:rPr>
        <w:t>means that you have: (i) violated your fiduciary duty to the Company or committed any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other act involving material dishonesty or fraud with respect to the Company; (ii) been indicted for or pled guilty or </w:t>
      </w:r>
      <w:r>
        <w:rPr>
          <w:rFonts w:ascii="Arial" w:cs="Arial" w:eastAsia="Arial" w:hAnsi="Arial"/>
          <w:sz w:val="21"/>
          <w:szCs w:val="21"/>
          <w:i w:val="1"/>
          <w:iCs w:val="1"/>
          <w:color w:val="auto"/>
        </w:rPr>
        <w:t>nolo contendere</w:t>
      </w:r>
      <w:r>
        <w:rPr>
          <w:rFonts w:ascii="Arial" w:cs="Arial" w:eastAsia="Arial" w:hAnsi="Arial"/>
          <w:sz w:val="21"/>
          <w:szCs w:val="21"/>
          <w:color w:val="auto"/>
        </w:rPr>
        <w:t xml:space="preserve"> to a felony involving violence, conversion, theft or misappropriation of property of another, controlled substances, moral turpitude, or the regulatory good standing of the Company; (iii) engaged in grossly negligent or willful misconduct that the Company determines to be materially injurious to the Company; (iv) willfully violated any Company policy that harmed the Company or breached any material provision of any agreement between you and the Company; or (v) failed or refused to perform your material duties or failed or refused to follow a lawful directive from the CEO or the Board of Directors unrelated to a Disability. Further, before terminating you for Cause the Company will provide you in writing the reason for your termination, and if the Company determines that you can cure, 10 business days to cure. For purposes of clarity, receiving a poor performance review is not Cause for purposes of this Agreement. If you are given a cure period, the Company will only terminate your employment if you failed to cure.</w:t>
      </w:r>
    </w:p>
    <w:p>
      <w:pPr>
        <w:spacing w:after="0" w:line="73"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Disability</w:t>
      </w:r>
      <w:r>
        <w:rPr>
          <w:rFonts w:ascii="Arial" w:cs="Arial" w:eastAsia="Arial" w:hAnsi="Arial"/>
          <w:sz w:val="22"/>
          <w:szCs w:val="22"/>
          <w:color w:val="auto"/>
        </w:rPr>
        <w:t>” means a physical or mental illness, impairment, or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66675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440" w:top="361" w:right="559" w:bottom="1440" w:gutter="0" w:footer="0" w:header="0"/>
        </w:sectPr>
      </w:pPr>
    </w:p>
    <w:bookmarkStart w:id="81" w:name="page82"/>
    <w:bookmarkEnd w:id="81"/>
    <w:p>
      <w:pPr>
        <w:jc w:val="both"/>
        <w:ind w:left="2240"/>
        <w:spacing w:after="0" w:line="238" w:lineRule="auto"/>
        <w:rPr>
          <w:sz w:val="20"/>
          <w:szCs w:val="20"/>
          <w:color w:val="auto"/>
        </w:rPr>
      </w:pPr>
      <w:r>
        <w:rPr>
          <w:rFonts w:ascii="Arial" w:cs="Arial" w:eastAsia="Arial" w:hAnsi="Arial"/>
          <w:sz w:val="22"/>
          <w:szCs w:val="22"/>
          <w:color w:val="auto"/>
        </w:rPr>
        <w:t>determined by a physician reasonably selected by you and the Company, and if an agreement on such selection cannot be reached, selected jointly by the two physicians identified by you and the Company, that prevents you from performing the essential functions of your role, with or without a reasonable accommodation</w:t>
      </w:r>
    </w:p>
    <w:p>
      <w:pPr>
        <w:spacing w:after="0" w:line="44" w:lineRule="exact"/>
        <w:rPr>
          <w:sz w:val="20"/>
          <w:szCs w:val="20"/>
          <w:color w:val="auto"/>
        </w:rPr>
      </w:pPr>
    </w:p>
    <w:p>
      <w:pPr>
        <w:jc w:val="both"/>
        <w:ind w:left="2240" w:right="40"/>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Good Reason</w:t>
      </w:r>
      <w:r>
        <w:rPr>
          <w:rFonts w:ascii="Arial" w:cs="Arial" w:eastAsia="Arial" w:hAnsi="Arial"/>
          <w:sz w:val="22"/>
          <w:szCs w:val="22"/>
          <w:color w:val="auto"/>
        </w:rPr>
        <w:t>” shall mean that you have completed all steps of the Good Reason Process (hereinafter defined) following the occurrence of any of the following events without your consent (each, a “Good Reason Condition”):</w:t>
      </w:r>
    </w:p>
    <w:p>
      <w:pPr>
        <w:spacing w:after="0" w:line="183" w:lineRule="exact"/>
        <w:rPr>
          <w:sz w:val="20"/>
          <w:szCs w:val="20"/>
          <w:color w:val="auto"/>
        </w:rPr>
      </w:pPr>
    </w:p>
    <w:p>
      <w:pPr>
        <w:ind w:left="2740" w:hanging="376"/>
        <w:spacing w:after="0"/>
        <w:tabs>
          <w:tab w:leader="none" w:pos="2740" w:val="left"/>
        </w:tabs>
        <w:numPr>
          <w:ilvl w:val="0"/>
          <w:numId w:val="45"/>
        </w:numPr>
        <w:rPr>
          <w:rFonts w:ascii="Arial" w:cs="Arial" w:eastAsia="Arial" w:hAnsi="Arial"/>
          <w:sz w:val="22"/>
          <w:szCs w:val="22"/>
          <w:color w:val="auto"/>
        </w:rPr>
      </w:pPr>
      <w:r>
        <w:rPr>
          <w:rFonts w:ascii="Arial" w:cs="Arial" w:eastAsia="Arial" w:hAnsi="Arial"/>
          <w:sz w:val="22"/>
          <w:szCs w:val="22"/>
          <w:color w:val="auto"/>
        </w:rPr>
        <w:t>a material diminution in your responsibilities, authority, or duties.</w:t>
      </w:r>
    </w:p>
    <w:p>
      <w:pPr>
        <w:spacing w:after="0" w:line="246" w:lineRule="exact"/>
        <w:rPr>
          <w:rFonts w:ascii="Arial" w:cs="Arial" w:eastAsia="Arial" w:hAnsi="Arial"/>
          <w:sz w:val="22"/>
          <w:szCs w:val="22"/>
          <w:color w:val="auto"/>
        </w:rPr>
      </w:pPr>
    </w:p>
    <w:p>
      <w:pPr>
        <w:jc w:val="both"/>
        <w:ind w:left="2720" w:right="20" w:hanging="356"/>
        <w:spacing w:after="0"/>
        <w:tabs>
          <w:tab w:leader="none" w:pos="2720" w:val="left"/>
        </w:tabs>
        <w:numPr>
          <w:ilvl w:val="0"/>
          <w:numId w:val="45"/>
        </w:numPr>
        <w:rPr>
          <w:rFonts w:ascii="Arial" w:cs="Arial" w:eastAsia="Arial" w:hAnsi="Arial"/>
          <w:sz w:val="22"/>
          <w:szCs w:val="22"/>
          <w:color w:val="auto"/>
        </w:rPr>
      </w:pPr>
      <w:r>
        <w:rPr>
          <w:rFonts w:ascii="Arial" w:cs="Arial" w:eastAsia="Arial" w:hAnsi="Arial"/>
          <w:sz w:val="22"/>
          <w:szCs w:val="22"/>
          <w:color w:val="auto"/>
        </w:rPr>
        <w:t>a material diminution in your Base Salary except for across-the-board salary reductions based on the Company’s financial performance similarly affecting all or substantially all senior management employees of the Company; or</w:t>
      </w:r>
    </w:p>
    <w:p>
      <w:pPr>
        <w:spacing w:after="0" w:line="213" w:lineRule="exact"/>
        <w:rPr>
          <w:rFonts w:ascii="Arial" w:cs="Arial" w:eastAsia="Arial" w:hAnsi="Arial"/>
          <w:sz w:val="22"/>
          <w:szCs w:val="22"/>
          <w:color w:val="auto"/>
        </w:rPr>
      </w:pPr>
    </w:p>
    <w:p>
      <w:pPr>
        <w:ind w:left="2720" w:hanging="356"/>
        <w:spacing w:after="0"/>
        <w:tabs>
          <w:tab w:leader="none" w:pos="2720" w:val="left"/>
        </w:tabs>
        <w:numPr>
          <w:ilvl w:val="0"/>
          <w:numId w:val="45"/>
        </w:numPr>
        <w:rPr>
          <w:rFonts w:ascii="Arial" w:cs="Arial" w:eastAsia="Arial" w:hAnsi="Arial"/>
          <w:sz w:val="21"/>
          <w:szCs w:val="21"/>
          <w:color w:val="auto"/>
        </w:rPr>
      </w:pPr>
      <w:r>
        <w:rPr>
          <w:rFonts w:ascii="Arial" w:cs="Arial" w:eastAsia="Arial" w:hAnsi="Arial"/>
          <w:sz w:val="21"/>
          <w:szCs w:val="21"/>
          <w:color w:val="auto"/>
        </w:rPr>
        <w:t>a material breach, including a breach of Section 7, of this Agreement by the Company.</w:t>
      </w:r>
    </w:p>
    <w:p>
      <w:pPr>
        <w:spacing w:after="0" w:line="236" w:lineRule="exact"/>
        <w:rPr>
          <w:sz w:val="20"/>
          <w:szCs w:val="20"/>
          <w:color w:val="auto"/>
        </w:rPr>
      </w:pPr>
    </w:p>
    <w:p>
      <w:pPr>
        <w:ind w:left="2220"/>
        <w:spacing w:after="0"/>
        <w:rPr>
          <w:sz w:val="20"/>
          <w:szCs w:val="20"/>
          <w:color w:val="auto"/>
        </w:rPr>
      </w:pPr>
      <w:r>
        <w:rPr>
          <w:rFonts w:ascii="Arial" w:cs="Arial" w:eastAsia="Arial" w:hAnsi="Arial"/>
          <w:sz w:val="20"/>
          <w:szCs w:val="20"/>
          <w:color w:val="auto"/>
        </w:rPr>
        <w:t>The “Good Reason Process” consists of the following steps:</w:t>
      </w:r>
    </w:p>
    <w:p>
      <w:pPr>
        <w:spacing w:after="0" w:line="211" w:lineRule="exact"/>
        <w:rPr>
          <w:sz w:val="20"/>
          <w:szCs w:val="20"/>
          <w:color w:val="auto"/>
        </w:rPr>
      </w:pPr>
    </w:p>
    <w:p>
      <w:pPr>
        <w:ind w:left="4080" w:right="660" w:hanging="278"/>
        <w:spacing w:after="0" w:line="250" w:lineRule="auto"/>
        <w:tabs>
          <w:tab w:leader="none" w:pos="4080" w:val="left"/>
        </w:tabs>
        <w:numPr>
          <w:ilvl w:val="3"/>
          <w:numId w:val="46"/>
        </w:numPr>
        <w:rPr>
          <w:rFonts w:ascii="Arial" w:cs="Arial" w:eastAsia="Arial" w:hAnsi="Arial"/>
          <w:sz w:val="22"/>
          <w:szCs w:val="22"/>
          <w:color w:val="auto"/>
        </w:rPr>
      </w:pPr>
      <w:r>
        <w:rPr>
          <w:rFonts w:ascii="Arial" w:cs="Arial" w:eastAsia="Arial" w:hAnsi="Arial"/>
          <w:sz w:val="22"/>
          <w:szCs w:val="22"/>
          <w:color w:val="auto"/>
        </w:rPr>
        <w:t>you reasonably determine in good faith that a Good Reason Condition has occurred.</w:t>
      </w:r>
    </w:p>
    <w:p>
      <w:pPr>
        <w:spacing w:after="0" w:line="215" w:lineRule="exact"/>
        <w:rPr>
          <w:rFonts w:ascii="Arial" w:cs="Arial" w:eastAsia="Arial" w:hAnsi="Arial"/>
          <w:sz w:val="22"/>
          <w:szCs w:val="22"/>
          <w:color w:val="auto"/>
        </w:rPr>
      </w:pPr>
    </w:p>
    <w:p>
      <w:pPr>
        <w:ind w:left="4100" w:right="40" w:hanging="373"/>
        <w:spacing w:after="0" w:line="328" w:lineRule="auto"/>
        <w:tabs>
          <w:tab w:leader="none" w:pos="4100" w:val="left"/>
        </w:tabs>
        <w:numPr>
          <w:ilvl w:val="2"/>
          <w:numId w:val="47"/>
        </w:numPr>
        <w:rPr>
          <w:rFonts w:ascii="Arial" w:cs="Arial" w:eastAsia="Arial" w:hAnsi="Arial"/>
          <w:sz w:val="19"/>
          <w:szCs w:val="19"/>
          <w:color w:val="auto"/>
        </w:rPr>
      </w:pPr>
      <w:r>
        <w:rPr>
          <w:rFonts w:ascii="Arial" w:cs="Arial" w:eastAsia="Arial" w:hAnsi="Arial"/>
          <w:sz w:val="19"/>
          <w:szCs w:val="19"/>
          <w:color w:val="auto"/>
        </w:rPr>
        <w:t>you notify the Company in writing of the first occurrence of the Good Reason Condition within 60 days of the first occurrence of such condition.</w:t>
      </w:r>
    </w:p>
    <w:p>
      <w:pPr>
        <w:spacing w:after="0" w:line="145" w:lineRule="exact"/>
        <w:rPr>
          <w:rFonts w:ascii="Arial" w:cs="Arial" w:eastAsia="Arial" w:hAnsi="Arial"/>
          <w:sz w:val="19"/>
          <w:szCs w:val="19"/>
          <w:color w:val="auto"/>
        </w:rPr>
      </w:pPr>
    </w:p>
    <w:p>
      <w:pPr>
        <w:ind w:left="4100" w:right="40" w:hanging="447"/>
        <w:spacing w:after="0" w:line="239" w:lineRule="auto"/>
        <w:tabs>
          <w:tab w:leader="none" w:pos="4100" w:val="left"/>
        </w:tabs>
        <w:numPr>
          <w:ilvl w:val="0"/>
          <w:numId w:val="48"/>
        </w:numPr>
        <w:rPr>
          <w:rFonts w:ascii="Arial" w:cs="Arial" w:eastAsia="Arial" w:hAnsi="Arial"/>
          <w:sz w:val="22"/>
          <w:szCs w:val="22"/>
          <w:color w:val="auto"/>
        </w:rPr>
      </w:pPr>
      <w:r>
        <w:rPr>
          <w:rFonts w:ascii="Arial" w:cs="Arial" w:eastAsia="Arial" w:hAnsi="Arial"/>
          <w:sz w:val="22"/>
          <w:szCs w:val="22"/>
          <w:color w:val="auto"/>
        </w:rPr>
        <w:t>you cooperate in good faith with the Company’s efforts, for a period of not less than 30 days following such</w:t>
      </w:r>
    </w:p>
    <w:p>
      <w:pPr>
        <w:ind w:left="4120"/>
        <w:spacing w:after="0"/>
        <w:rPr>
          <w:rFonts w:ascii="Arial" w:cs="Arial" w:eastAsia="Arial" w:hAnsi="Arial"/>
          <w:sz w:val="22"/>
          <w:szCs w:val="22"/>
          <w:color w:val="auto"/>
        </w:rPr>
      </w:pPr>
      <w:r>
        <w:rPr>
          <w:rFonts w:ascii="Arial" w:cs="Arial" w:eastAsia="Arial" w:hAnsi="Arial"/>
          <w:sz w:val="22"/>
          <w:szCs w:val="22"/>
          <w:color w:val="auto"/>
        </w:rPr>
        <w:t>notice (the “Cure Period”), to remedy the Good Reason Condition.</w:t>
      </w:r>
    </w:p>
    <w:p>
      <w:pPr>
        <w:spacing w:after="0" w:line="188" w:lineRule="exact"/>
        <w:rPr>
          <w:rFonts w:ascii="Arial" w:cs="Arial" w:eastAsia="Arial" w:hAnsi="Arial"/>
          <w:sz w:val="22"/>
          <w:szCs w:val="22"/>
          <w:color w:val="auto"/>
        </w:rPr>
      </w:pPr>
    </w:p>
    <w:p>
      <w:pPr>
        <w:ind w:left="4060" w:right="900" w:hanging="393"/>
        <w:spacing w:after="0" w:line="239" w:lineRule="auto"/>
        <w:tabs>
          <w:tab w:leader="none" w:pos="4060" w:val="left"/>
        </w:tabs>
        <w:numPr>
          <w:ilvl w:val="1"/>
          <w:numId w:val="48"/>
        </w:numPr>
        <w:rPr>
          <w:rFonts w:ascii="Arial" w:cs="Arial" w:eastAsia="Arial" w:hAnsi="Arial"/>
          <w:sz w:val="22"/>
          <w:szCs w:val="22"/>
          <w:color w:val="auto"/>
        </w:rPr>
      </w:pPr>
      <w:r>
        <w:rPr>
          <w:rFonts w:ascii="Arial" w:cs="Arial" w:eastAsia="Arial" w:hAnsi="Arial"/>
          <w:sz w:val="22"/>
          <w:szCs w:val="22"/>
          <w:color w:val="auto"/>
        </w:rPr>
        <w:t>notwithstanding such efforts, the Good Reason Condition continues to exist at the end of the Cure Period; and</w:t>
      </w:r>
    </w:p>
    <w:p>
      <w:pPr>
        <w:ind w:left="4100" w:hanging="358"/>
        <w:spacing w:after="0"/>
        <w:tabs>
          <w:tab w:leader="none" w:pos="4100" w:val="left"/>
        </w:tabs>
        <w:numPr>
          <w:ilvl w:val="2"/>
          <w:numId w:val="48"/>
        </w:numPr>
        <w:rPr>
          <w:rFonts w:ascii="Arial" w:cs="Arial" w:eastAsia="Arial" w:hAnsi="Arial"/>
          <w:sz w:val="19"/>
          <w:szCs w:val="19"/>
          <w:color w:val="auto"/>
        </w:rPr>
      </w:pPr>
      <w:r>
        <w:rPr>
          <w:rFonts w:ascii="Arial" w:cs="Arial" w:eastAsia="Arial" w:hAnsi="Arial"/>
          <w:sz w:val="19"/>
          <w:szCs w:val="19"/>
          <w:color w:val="auto"/>
        </w:rPr>
        <w:t>you terminate employment within 60 days after the end of the Cure Period.</w:t>
      </w:r>
    </w:p>
    <w:p>
      <w:pPr>
        <w:spacing w:after="0" w:line="263"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If the Company cures the Good Reason Condition during the Cure Period, Good Reason shall be deemed not to have occurred.</w:t>
      </w:r>
    </w:p>
    <w:p>
      <w:pPr>
        <w:spacing w:after="0" w:line="223"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 xml:space="preserve">“Severance Period” </w:t>
      </w:r>
      <w:r>
        <w:rPr>
          <w:rFonts w:ascii="Arial" w:cs="Arial" w:eastAsia="Arial" w:hAnsi="Arial"/>
          <w:sz w:val="22"/>
          <w:szCs w:val="22"/>
          <w:color w:val="auto"/>
        </w:rPr>
        <w:t>means nine (9) months following the date of termination.</w:t>
      </w:r>
    </w:p>
    <w:p>
      <w:pPr>
        <w:spacing w:after="0" w:line="347" w:lineRule="exact"/>
        <w:rPr>
          <w:sz w:val="20"/>
          <w:szCs w:val="20"/>
          <w:color w:val="auto"/>
        </w:rPr>
      </w:pPr>
    </w:p>
    <w:p>
      <w:pPr>
        <w:jc w:val="both"/>
        <w:ind w:right="20"/>
        <w:spacing w:after="0" w:line="282" w:lineRule="auto"/>
        <w:rPr>
          <w:sz w:val="20"/>
          <w:szCs w:val="20"/>
          <w:color w:val="auto"/>
        </w:rPr>
      </w:pPr>
      <w:r>
        <w:rPr>
          <w:rFonts w:ascii="Arial" w:cs="Arial" w:eastAsia="Arial" w:hAnsi="Arial"/>
          <w:sz w:val="19"/>
          <w:szCs w:val="19"/>
          <w:color w:val="auto"/>
        </w:rPr>
        <w:t>Subject to your timely acceptance of this offer and reference checks, this offer is binding. You have been provided the additional employment documents (Confidential Information, Non- Solicitation and Invention Assignment Agreement attached hereto as Exhibit B) for your review and execution. Your employment is not effective until all the agreements are signed and returned to the Company. We very much hope to work with you to build an exciting company together. Please feel free to call me if you have any questions. This Agreement is binding on the Company’s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163195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540" w:top="469" w:right="559" w:bottom="1440" w:gutter="0" w:footer="0" w:header="0"/>
        </w:sectPr>
      </w:pPr>
    </w:p>
    <w:bookmarkStart w:id="82" w:name="page83"/>
    <w:bookmarkEnd w:id="82"/>
    <w:p>
      <w:pPr>
        <w:ind w:left="60"/>
        <w:spacing w:after="0"/>
        <w:rPr>
          <w:sz w:val="20"/>
          <w:szCs w:val="20"/>
          <w:color w:val="auto"/>
        </w:rPr>
      </w:pPr>
      <w:r>
        <w:rPr>
          <w:rFonts w:ascii="Arial" w:cs="Arial" w:eastAsia="Arial" w:hAnsi="Arial"/>
          <w:sz w:val="22"/>
          <w:szCs w:val="22"/>
          <w:color w:val="auto"/>
        </w:rPr>
        <w:t>Very truly yours,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AURA BIOSCIENCES,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Elisabet de los Pinos</w:t>
      </w:r>
    </w:p>
    <w:p>
      <w:pPr>
        <w:spacing w:after="0" w:line="125" w:lineRule="exact"/>
        <w:rPr>
          <w:sz w:val="20"/>
          <w:szCs w:val="20"/>
          <w:color w:val="auto"/>
        </w:rPr>
      </w:pPr>
    </w:p>
    <w:p>
      <w:pPr>
        <w:ind w:left="60" w:right="4419"/>
        <w:spacing w:after="0" w:line="250" w:lineRule="auto"/>
        <w:rPr>
          <w:sz w:val="20"/>
          <w:szCs w:val="20"/>
          <w:color w:val="auto"/>
        </w:rPr>
      </w:pPr>
      <w:r>
        <w:rPr>
          <w:rFonts w:ascii="Arial" w:cs="Arial" w:eastAsia="Arial" w:hAnsi="Arial"/>
          <w:sz w:val="22"/>
          <w:szCs w:val="22"/>
          <w:color w:val="auto"/>
        </w:rPr>
        <w:t>Elisabet de los Pinos, Ph.D., President and CEO Hereunto Duly Authorized</w:t>
      </w:r>
    </w:p>
    <w:p>
      <w:pPr>
        <w:spacing w:after="0" w:line="200" w:lineRule="exact"/>
        <w:rPr>
          <w:sz w:val="20"/>
          <w:szCs w:val="20"/>
          <w:color w:val="auto"/>
        </w:rPr>
      </w:pPr>
    </w:p>
    <w:p>
      <w:pPr>
        <w:spacing w:after="0" w:line="285" w:lineRule="exact"/>
        <w:rPr>
          <w:sz w:val="20"/>
          <w:szCs w:val="20"/>
          <w:color w:val="auto"/>
        </w:rPr>
      </w:pPr>
    </w:p>
    <w:p>
      <w:pPr>
        <w:ind w:left="60"/>
        <w:spacing w:after="0"/>
        <w:tabs>
          <w:tab w:leader="none" w:pos="3060" w:val="left"/>
        </w:tabs>
        <w:rPr>
          <w:sz w:val="20"/>
          <w:szCs w:val="20"/>
          <w:color w:val="auto"/>
        </w:rPr>
      </w:pPr>
      <w:r>
        <w:rPr>
          <w:rFonts w:ascii="Arial" w:cs="Arial" w:eastAsia="Arial" w:hAnsi="Arial"/>
          <w:sz w:val="22"/>
          <w:szCs w:val="22"/>
          <w:color w:val="auto"/>
        </w:rPr>
        <w:t>AGREED AND ACCEPTED:</w:t>
      </w:r>
      <w:r>
        <w:rPr>
          <w:sz w:val="20"/>
          <w:szCs w:val="20"/>
          <w:color w:val="auto"/>
        </w:rPr>
        <w:tab/>
      </w:r>
      <w:r>
        <w:rPr>
          <w:rFonts w:ascii="Arial" w:cs="Arial" w:eastAsia="Arial" w:hAnsi="Arial"/>
          <w:sz w:val="19"/>
          <w:szCs w:val="19"/>
          <w:color w:val="auto"/>
        </w:rPr>
        <w:t>Date accepted:  8/9/2023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-17780</wp:posOffset>
            </wp:positionV>
            <wp:extent cx="8007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800735" cy="8255"/>
                    </a:xfrm>
                    <a:prstGeom prst="rect">
                      <a:avLst/>
                    </a:prstGeom>
                    <a:noFill/>
                  </pic:spPr>
                </pic:pic>
              </a:graphicData>
            </a:graphic>
          </wp:anchor>
        </w:drawing>
      </w:r>
    </w:p>
    <w:p>
      <w:pPr>
        <w:spacing w:after="0" w:line="267"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 Jill Hopkins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13716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Jill Hopkins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637540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79"/>
          </w:cols>
          <w:pgMar w:left="480" w:top="739" w:right="1440" w:bottom="1440" w:gutter="0" w:footer="0" w:header="0"/>
        </w:sectPr>
      </w:pPr>
    </w:p>
    <w:bookmarkStart w:id="83" w:name="page84"/>
    <w:bookmarkEnd w:id="83"/>
    <w:p>
      <w:pPr>
        <w:jc w:val="right"/>
        <w:spacing w:after="0"/>
        <w:rPr>
          <w:sz w:val="20"/>
          <w:szCs w:val="20"/>
          <w:color w:val="auto"/>
        </w:rPr>
      </w:pPr>
      <w:r>
        <w:rPr>
          <w:rFonts w:ascii="Arial" w:cs="Arial" w:eastAsia="Arial" w:hAnsi="Arial"/>
          <w:sz w:val="22"/>
          <w:szCs w:val="22"/>
          <w:b w:val="1"/>
          <w:bCs w:val="1"/>
          <w:color w:val="auto"/>
        </w:rPr>
        <w:t>Exhibit 10.2</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September 26, 2023</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PERSONAL AND CONFIDENTIAL</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Dr. Cadmus Rich</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Re: </w:t>
      </w:r>
      <w:r>
        <w:rPr>
          <w:rFonts w:ascii="Arial" w:cs="Arial" w:eastAsia="Arial" w:hAnsi="Arial"/>
          <w:sz w:val="22"/>
          <w:szCs w:val="22"/>
          <w:u w:val="single" w:color="auto"/>
          <w:color w:val="auto"/>
        </w:rPr>
        <w:t>Transition and Release Agreement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Dear Dr. Rich:</w:t>
      </w:r>
    </w:p>
    <w:p>
      <w:pPr>
        <w:spacing w:after="0" w:line="233"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This letter confirms your resignation from employment with Aura Biosciences, Inc. (the “</w:t>
      </w:r>
      <w:r>
        <w:rPr>
          <w:rFonts w:ascii="Arial" w:cs="Arial" w:eastAsia="Arial" w:hAnsi="Arial"/>
          <w:sz w:val="22"/>
          <w:szCs w:val="22"/>
          <w:u w:val="single" w:color="auto"/>
          <w:color w:val="auto"/>
        </w:rPr>
        <w:t>Company</w:t>
      </w:r>
      <w:r>
        <w:rPr>
          <w:rFonts w:ascii="Arial" w:cs="Arial" w:eastAsia="Arial" w:hAnsi="Arial"/>
          <w:sz w:val="22"/>
          <w:szCs w:val="22"/>
          <w:color w:val="auto"/>
        </w:rPr>
        <w:t>”), effective November 7, 2023. As you know, your employment relationship with the Company is governed by your offer letter with the Company dated October 6, 2017 (the “</w:t>
      </w:r>
      <w:r>
        <w:rPr>
          <w:rFonts w:ascii="Arial" w:cs="Arial" w:eastAsia="Arial" w:hAnsi="Arial"/>
          <w:sz w:val="22"/>
          <w:szCs w:val="22"/>
          <w:u w:val="single" w:color="auto"/>
          <w:color w:val="auto"/>
        </w:rPr>
        <w:t>Offer Letter</w:t>
      </w:r>
      <w:r>
        <w:rPr>
          <w:rFonts w:ascii="Arial" w:cs="Arial" w:eastAsia="Arial" w:hAnsi="Arial"/>
          <w:sz w:val="22"/>
          <w:szCs w:val="22"/>
          <w:color w:val="auto"/>
        </w:rPr>
        <w:t>”). As specified in Section 13 of the Offer Letter, you have been employed “at-will,” meaning that you or the Company could end the employment relationship at any time and for any reason, subject to the terms of the Offer Letter.</w:t>
      </w:r>
    </w:p>
    <w:p>
      <w:pPr>
        <w:spacing w:after="0" w:line="228"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color w:val="auto"/>
        </w:rPr>
        <w:t>As set forth in Section 12 of the Offer Letter, you are eligible to receive severance benefits in connection with a termination by the Company without Cause (as defined in the Offer Letter) if you enter into, do not revoke and comply with a Release (as defined in the Offer Letter).</w:t>
      </w:r>
    </w:p>
    <w:p>
      <w:pPr>
        <w:spacing w:after="0" w:line="1" w:lineRule="exact"/>
        <w:rPr>
          <w:sz w:val="20"/>
          <w:szCs w:val="20"/>
          <w:color w:val="auto"/>
        </w:rPr>
      </w:pPr>
    </w:p>
    <w:p>
      <w:pPr>
        <w:ind w:right="280"/>
        <w:spacing w:after="0" w:line="248" w:lineRule="auto"/>
        <w:rPr>
          <w:sz w:val="20"/>
          <w:szCs w:val="20"/>
          <w:color w:val="auto"/>
        </w:rPr>
      </w:pPr>
      <w:r>
        <w:rPr>
          <w:rFonts w:ascii="Arial" w:cs="Arial" w:eastAsia="Arial" w:hAnsi="Arial"/>
          <w:sz w:val="21"/>
          <w:szCs w:val="21"/>
          <w:color w:val="auto"/>
        </w:rPr>
        <w:t>Although you have voluntarily resigned from your employment with the Company, if you enter into the Release Agreement below, the Company will provide you with the opportunity to remain an at-will employee of the Company during a transition period and then subsequently receive the severance benefits outlined in the Offer Letter.</w:t>
      </w:r>
    </w:p>
    <w:p>
      <w:pPr>
        <w:spacing w:after="0" w:line="219"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With those understandings and regardless of whether you enter into the Release Agreement, the following bulleted terms and conditions apply in connection with the ending of your employment:</w:t>
      </w:r>
    </w:p>
    <w:p>
      <w:pPr>
        <w:spacing w:after="0" w:line="202" w:lineRule="exact"/>
        <w:rPr>
          <w:sz w:val="20"/>
          <w:szCs w:val="20"/>
          <w:color w:val="auto"/>
        </w:rPr>
      </w:pPr>
    </w:p>
    <w:p>
      <w:pPr>
        <w:ind w:left="720" w:right="1120" w:hanging="348"/>
        <w:spacing w:after="0" w:line="250" w:lineRule="auto"/>
        <w:tabs>
          <w:tab w:leader="none" w:pos="72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Company shall pay you salary, any accrued but unused vacation, and unpaid and properly documented business expenses accrued to you through the last day of your employment.</w:t>
      </w:r>
    </w:p>
    <w:p>
      <w:pPr>
        <w:spacing w:after="0" w:line="215" w:lineRule="exact"/>
        <w:rPr>
          <w:rFonts w:ascii="Arial" w:cs="Arial" w:eastAsia="Arial" w:hAnsi="Arial"/>
          <w:sz w:val="22"/>
          <w:szCs w:val="22"/>
          <w:color w:val="auto"/>
        </w:rPr>
      </w:pPr>
    </w:p>
    <w:p>
      <w:pPr>
        <w:ind w:left="740" w:right="220" w:hanging="368"/>
        <w:spacing w:after="0" w:line="248" w:lineRule="auto"/>
        <w:tabs>
          <w:tab w:leader="none" w:pos="740" w:val="left"/>
        </w:tabs>
        <w:numPr>
          <w:ilvl w:val="0"/>
          <w:numId w:val="49"/>
        </w:numPr>
        <w:rPr>
          <w:rFonts w:ascii="Arial" w:cs="Arial" w:eastAsia="Arial" w:hAnsi="Arial"/>
          <w:sz w:val="21"/>
          <w:szCs w:val="21"/>
          <w:color w:val="auto"/>
        </w:rPr>
      </w:pPr>
      <w:r>
        <w:rPr>
          <w:rFonts w:ascii="Arial" w:cs="Arial" w:eastAsia="Arial" w:hAnsi="Arial"/>
          <w:sz w:val="21"/>
          <w:szCs w:val="21"/>
          <w:color w:val="auto"/>
        </w:rPr>
        <w:t>Your eligibility to participate in the Company’s group health plans as an active employee will end in accordance with the terms and conditions of the health plans. The Company shall provide you with the opportunity to continue group health coverage at your own expense under the law known as “</w:t>
      </w:r>
      <w:r>
        <w:rPr>
          <w:rFonts w:ascii="Arial" w:cs="Arial" w:eastAsia="Arial" w:hAnsi="Arial"/>
          <w:sz w:val="21"/>
          <w:szCs w:val="21"/>
          <w:u w:val="single" w:color="auto"/>
          <w:color w:val="auto"/>
        </w:rPr>
        <w:t>COBRA</w:t>
      </w:r>
      <w:r>
        <w:rPr>
          <w:rFonts w:ascii="Arial" w:cs="Arial" w:eastAsia="Arial" w:hAnsi="Arial"/>
          <w:sz w:val="21"/>
          <w:szCs w:val="21"/>
          <w:color w:val="auto"/>
        </w:rPr>
        <w:t>”, subject to your COBRA eligibility as applicable. You will be notified by separate memoranda of your rights under COBRA. The COBRA benefits offered by the Company to you will include health insurance, dental insurance and vision insurance at the same level as currently offered to employees of the Company.</w:t>
      </w:r>
    </w:p>
    <w:p>
      <w:pPr>
        <w:spacing w:after="0" w:line="217" w:lineRule="exact"/>
        <w:rPr>
          <w:rFonts w:ascii="Arial" w:cs="Arial" w:eastAsia="Arial" w:hAnsi="Arial"/>
          <w:sz w:val="21"/>
          <w:szCs w:val="21"/>
          <w:color w:val="auto"/>
        </w:rPr>
      </w:pPr>
    </w:p>
    <w:p>
      <w:pPr>
        <w:ind w:left="740" w:right="300" w:hanging="368"/>
        <w:spacing w:after="0"/>
        <w:tabs>
          <w:tab w:leader="none" w:pos="740" w:val="left"/>
        </w:tabs>
        <w:numPr>
          <w:ilvl w:val="0"/>
          <w:numId w:val="49"/>
        </w:numPr>
        <w:rPr>
          <w:rFonts w:ascii="Arial" w:cs="Arial" w:eastAsia="Arial" w:hAnsi="Arial"/>
          <w:sz w:val="22"/>
          <w:szCs w:val="22"/>
          <w:color w:val="auto"/>
        </w:rPr>
      </w:pPr>
      <w:r>
        <w:rPr>
          <w:rFonts w:ascii="Arial" w:cs="Arial" w:eastAsia="Arial" w:hAnsi="Arial"/>
          <w:sz w:val="22"/>
          <w:szCs w:val="22"/>
          <w:color w:val="auto"/>
        </w:rPr>
        <w:t>Your eligibility to participate in the Company’s other employee benefit plans and programs will cease in accordance with the terms and conditions of each of those benefit plans and programs. Your rights to benefits, if any, are governed by the terms and conditions of those benefit plans and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205105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80" w:top="436" w:right="339" w:bottom="1440" w:gutter="0" w:footer="0" w:header="0"/>
        </w:sectPr>
      </w:pPr>
    </w:p>
    <w:bookmarkStart w:id="84" w:name="page85"/>
    <w:bookmarkEnd w:id="84"/>
    <w:p>
      <w:pPr>
        <w:ind w:left="742" w:right="220" w:hanging="368"/>
        <w:spacing w:after="0" w:line="257" w:lineRule="auto"/>
        <w:tabs>
          <w:tab w:leader="none" w:pos="742" w:val="left"/>
        </w:tabs>
        <w:numPr>
          <w:ilvl w:val="0"/>
          <w:numId w:val="50"/>
        </w:numPr>
        <w:rPr>
          <w:rFonts w:ascii="Arial" w:cs="Arial" w:eastAsia="Arial" w:hAnsi="Arial"/>
          <w:sz w:val="21"/>
          <w:szCs w:val="21"/>
          <w:color w:val="auto"/>
        </w:rPr>
      </w:pPr>
      <w:r>
        <w:rPr>
          <w:rFonts w:ascii="Arial" w:cs="Arial" w:eastAsia="Arial" w:hAnsi="Arial"/>
          <w:sz w:val="21"/>
          <w:szCs w:val="21"/>
          <w:color w:val="auto"/>
        </w:rPr>
        <w:t>In connection with the ending of your employment, you hereby (i) resign from your status as an officer or other positions you occupy at the Company, effective as of the last day of your employment and (ii) agree to execute such documentation as the Company reasonably requires to effectuate such resignations.</w:t>
      </w:r>
    </w:p>
    <w:p>
      <w:pPr>
        <w:spacing w:after="0" w:line="196" w:lineRule="exact"/>
        <w:rPr>
          <w:rFonts w:ascii="Arial" w:cs="Arial" w:eastAsia="Arial" w:hAnsi="Arial"/>
          <w:sz w:val="21"/>
          <w:szCs w:val="21"/>
          <w:color w:val="auto"/>
        </w:rPr>
      </w:pPr>
    </w:p>
    <w:p>
      <w:pPr>
        <w:ind w:left="742" w:right="220" w:hanging="368"/>
        <w:spacing w:after="0" w:line="279" w:lineRule="auto"/>
        <w:tabs>
          <w:tab w:leader="none" w:pos="742" w:val="left"/>
        </w:tabs>
        <w:numPr>
          <w:ilvl w:val="0"/>
          <w:numId w:val="50"/>
        </w:numPr>
        <w:rPr>
          <w:rFonts w:ascii="Arial" w:cs="Arial" w:eastAsia="Arial" w:hAnsi="Arial"/>
          <w:sz w:val="19"/>
          <w:szCs w:val="19"/>
          <w:color w:val="auto"/>
        </w:rPr>
      </w:pPr>
      <w:r>
        <w:rPr>
          <w:rFonts w:ascii="Arial" w:cs="Arial" w:eastAsia="Arial" w:hAnsi="Arial"/>
          <w:sz w:val="19"/>
          <w:szCs w:val="19"/>
          <w:color w:val="auto"/>
        </w:rPr>
        <w:t>You are subject to continuing obligations under (i) your Confidentiality, Intellectual Property, Non-Competition and Non-Solicitation Agreement (the “</w:t>
      </w:r>
      <w:r>
        <w:rPr>
          <w:rFonts w:ascii="Arial" w:cs="Arial" w:eastAsia="Arial" w:hAnsi="Arial"/>
          <w:sz w:val="19"/>
          <w:szCs w:val="19"/>
          <w:u w:val="single" w:color="auto"/>
          <w:color w:val="auto"/>
        </w:rPr>
        <w:t>Restrictive Covenants Agreement</w:t>
      </w:r>
      <w:r>
        <w:rPr>
          <w:rFonts w:ascii="Arial" w:cs="Arial" w:eastAsia="Arial" w:hAnsi="Arial"/>
          <w:sz w:val="19"/>
          <w:szCs w:val="19"/>
          <w:color w:val="auto"/>
        </w:rPr>
        <w:t>”), (ii) Sections 10 (Nondisparagement) and 11 (Confidentiality) of the Offer Letter, (iii) the Resignation and Consulting Agreement, which the Company provided to you on September 26, 2023 (the “</w:t>
      </w:r>
      <w:r>
        <w:rPr>
          <w:rFonts w:ascii="Arial" w:cs="Arial" w:eastAsia="Arial" w:hAnsi="Arial"/>
          <w:sz w:val="19"/>
          <w:szCs w:val="19"/>
          <w:u w:val="single" w:color="auto"/>
          <w:color w:val="auto"/>
        </w:rPr>
        <w:t>Consulting Agreement</w:t>
      </w:r>
      <w:r>
        <w:rPr>
          <w:rFonts w:ascii="Arial" w:cs="Arial" w:eastAsia="Arial" w:hAnsi="Arial"/>
          <w:sz w:val="19"/>
          <w:szCs w:val="19"/>
          <w:color w:val="auto"/>
        </w:rPr>
        <w:t>”), and (iv) this Release Agreement (collectively, the “</w:t>
      </w:r>
      <w:r>
        <w:rPr>
          <w:rFonts w:ascii="Arial" w:cs="Arial" w:eastAsia="Arial" w:hAnsi="Arial"/>
          <w:sz w:val="19"/>
          <w:szCs w:val="19"/>
          <w:u w:val="single" w:color="auto"/>
          <w:color w:val="auto"/>
        </w:rPr>
        <w:t>Ongoing Obligations</w:t>
      </w:r>
      <w:r>
        <w:rPr>
          <w:rFonts w:ascii="Arial" w:cs="Arial" w:eastAsia="Arial" w:hAnsi="Arial"/>
          <w:sz w:val="19"/>
          <w:szCs w:val="19"/>
          <w:color w:val="auto"/>
        </w:rPr>
        <w:t>”). The Ongoing Obligations, along with any other confidentiality and restrictive covenant obligations you have to any of the Releasees (as defined below) shall remain in full force and effect.</w:t>
      </w:r>
    </w:p>
    <w:p>
      <w:pPr>
        <w:spacing w:after="0" w:line="190" w:lineRule="exact"/>
        <w:rPr>
          <w:rFonts w:ascii="Arial" w:cs="Arial" w:eastAsia="Arial" w:hAnsi="Arial"/>
          <w:sz w:val="19"/>
          <w:szCs w:val="19"/>
          <w:color w:val="auto"/>
        </w:rPr>
      </w:pPr>
    </w:p>
    <w:p>
      <w:pPr>
        <w:ind w:left="742" w:right="200" w:hanging="368"/>
        <w:spacing w:after="0" w:line="250" w:lineRule="auto"/>
        <w:tabs>
          <w:tab w:leader="none" w:pos="742" w:val="left"/>
        </w:tabs>
        <w:numPr>
          <w:ilvl w:val="0"/>
          <w:numId w:val="50"/>
        </w:numPr>
        <w:rPr>
          <w:rFonts w:ascii="Arial" w:cs="Arial" w:eastAsia="Arial" w:hAnsi="Arial"/>
          <w:sz w:val="22"/>
          <w:szCs w:val="22"/>
          <w:color w:val="auto"/>
        </w:rPr>
      </w:pPr>
      <w:r>
        <w:rPr>
          <w:rFonts w:ascii="Arial" w:cs="Arial" w:eastAsia="Arial" w:hAnsi="Arial"/>
          <w:sz w:val="22"/>
          <w:szCs w:val="22"/>
          <w:color w:val="auto"/>
        </w:rPr>
        <w:t>You are not eligible to receive any Annual Bonus (as defined in the Offer Letter) for calendar year 2023 and you are not entitled to receive any other incentive compensation.</w:t>
      </w:r>
    </w:p>
    <w:p>
      <w:pPr>
        <w:spacing w:after="0" w:line="202" w:lineRule="exact"/>
        <w:rPr>
          <w:sz w:val="20"/>
          <w:szCs w:val="20"/>
          <w:color w:val="auto"/>
        </w:rPr>
      </w:pPr>
    </w:p>
    <w:p>
      <w:pPr>
        <w:ind w:left="2" w:right="240"/>
        <w:spacing w:after="0" w:line="250" w:lineRule="auto"/>
        <w:rPr>
          <w:sz w:val="20"/>
          <w:szCs w:val="20"/>
          <w:color w:val="auto"/>
        </w:rPr>
      </w:pPr>
      <w:r>
        <w:rPr>
          <w:rFonts w:ascii="Arial" w:cs="Arial" w:eastAsia="Arial" w:hAnsi="Arial"/>
          <w:sz w:val="22"/>
          <w:szCs w:val="22"/>
          <w:color w:val="auto"/>
        </w:rPr>
        <w:t>The remainder of this letter proposes the Release Agreement between you and the Company. You and the Company agree as follows:</w:t>
      </w:r>
    </w:p>
    <w:p>
      <w:pPr>
        <w:spacing w:after="0" w:line="182" w:lineRule="exact"/>
        <w:rPr>
          <w:sz w:val="20"/>
          <w:szCs w:val="20"/>
          <w:color w:val="auto"/>
        </w:rPr>
      </w:pPr>
    </w:p>
    <w:p>
      <w:pPr>
        <w:ind w:left="742" w:hanging="742"/>
        <w:spacing w:after="0"/>
        <w:tabs>
          <w:tab w:leader="none" w:pos="742" w:val="left"/>
        </w:tabs>
        <w:numPr>
          <w:ilvl w:val="0"/>
          <w:numId w:val="51"/>
        </w:numPr>
        <w:rPr>
          <w:rFonts w:ascii="Arial" w:cs="Arial" w:eastAsia="Arial" w:hAnsi="Arial"/>
          <w:sz w:val="22"/>
          <w:szCs w:val="22"/>
          <w:color w:val="auto"/>
        </w:rPr>
      </w:pPr>
      <w:r>
        <w:rPr>
          <w:rFonts w:ascii="Arial" w:cs="Arial" w:eastAsia="Arial" w:hAnsi="Arial"/>
          <w:sz w:val="22"/>
          <w:szCs w:val="22"/>
          <w:b w:val="1"/>
          <w:bCs w:val="1"/>
          <w:color w:val="auto"/>
        </w:rPr>
        <w:t>Resignation Date; Transition Period</w:t>
      </w:r>
    </w:p>
    <w:p>
      <w:pPr>
        <w:spacing w:after="0" w:line="239" w:lineRule="exact"/>
        <w:rPr>
          <w:rFonts w:ascii="Arial" w:cs="Arial" w:eastAsia="Arial" w:hAnsi="Arial"/>
          <w:sz w:val="22"/>
          <w:szCs w:val="22"/>
          <w:color w:val="auto"/>
        </w:rPr>
      </w:pPr>
    </w:p>
    <w:p>
      <w:pPr>
        <w:ind w:left="2" w:right="80" w:firstLine="372"/>
        <w:spacing w:after="0" w:line="277" w:lineRule="auto"/>
        <w:tabs>
          <w:tab w:leader="none" w:pos="866" w:val="left"/>
        </w:tabs>
        <w:numPr>
          <w:ilvl w:val="1"/>
          <w:numId w:val="51"/>
        </w:numPr>
        <w:rPr>
          <w:rFonts w:ascii="Arial" w:cs="Arial" w:eastAsia="Arial" w:hAnsi="Arial"/>
          <w:sz w:val="19"/>
          <w:szCs w:val="19"/>
          <w:color w:val="auto"/>
        </w:rPr>
      </w:pPr>
      <w:r>
        <w:rPr>
          <w:rFonts w:ascii="Arial" w:cs="Arial" w:eastAsia="Arial" w:hAnsi="Arial"/>
          <w:sz w:val="19"/>
          <w:szCs w:val="19"/>
          <w:u w:val="single" w:color="auto"/>
          <w:color w:val="auto"/>
        </w:rPr>
        <w:t>Resignation Date; Transition Period</w:t>
      </w:r>
      <w:r>
        <w:rPr>
          <w:rFonts w:ascii="Arial" w:cs="Arial" w:eastAsia="Arial" w:hAnsi="Arial"/>
          <w:sz w:val="19"/>
          <w:szCs w:val="19"/>
          <w:color w:val="auto"/>
        </w:rPr>
        <w:t>. Provided you enter into, do not revoke and comply with this Release Agreement, the Company will continue to employ you until November 7, 2023, unless, prior to that date, the Company terminates your employment due to (i) your breach of this Release Agreement (including without limitation your failure to provide the Transitional Services) or any of the Ongoing Obligations; or (ii) your engaging in other behavior that justified a for “Cause” termination as defined in the Offer Letter ((i), (ii) or (iii) a “</w:t>
      </w:r>
      <w:r>
        <w:rPr>
          <w:rFonts w:ascii="Arial" w:cs="Arial" w:eastAsia="Arial" w:hAnsi="Arial"/>
          <w:sz w:val="19"/>
          <w:szCs w:val="19"/>
          <w:u w:val="single" w:color="auto"/>
          <w:color w:val="auto"/>
        </w:rPr>
        <w:t>Specified Termination</w:t>
      </w:r>
      <w:r>
        <w:rPr>
          <w:rFonts w:ascii="Arial" w:cs="Arial" w:eastAsia="Arial" w:hAnsi="Arial"/>
          <w:sz w:val="19"/>
          <w:szCs w:val="19"/>
          <w:color w:val="auto"/>
        </w:rPr>
        <w:t>”). Subject to the foregoing, the actual last date of your employment, whether it is November 7, 2023 or another date as stated above, is the “</w:t>
      </w:r>
      <w:r>
        <w:rPr>
          <w:rFonts w:ascii="Arial" w:cs="Arial" w:eastAsia="Arial" w:hAnsi="Arial"/>
          <w:sz w:val="19"/>
          <w:szCs w:val="19"/>
          <w:u w:val="single" w:color="auto"/>
          <w:color w:val="auto"/>
        </w:rPr>
        <w:t>Resignation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The time period between the date of this letter and the Resignation Date shall be referred to as the “</w:t>
      </w:r>
      <w:r>
        <w:rPr>
          <w:rFonts w:ascii="Arial" w:cs="Arial" w:eastAsia="Arial" w:hAnsi="Arial"/>
          <w:sz w:val="19"/>
          <w:szCs w:val="19"/>
          <w:u w:val="single" w:color="auto"/>
          <w:color w:val="auto"/>
        </w:rPr>
        <w:t>Transition Period</w:t>
      </w:r>
      <w:r>
        <w:rPr>
          <w:rFonts w:ascii="Arial" w:cs="Arial" w:eastAsia="Arial" w:hAnsi="Arial"/>
          <w:sz w:val="19"/>
          <w:szCs w:val="19"/>
          <w:color w:val="auto"/>
        </w:rPr>
        <w:t>.”</w:t>
      </w:r>
    </w:p>
    <w:p>
      <w:pPr>
        <w:spacing w:after="0" w:line="192" w:lineRule="exact"/>
        <w:rPr>
          <w:rFonts w:ascii="Arial" w:cs="Arial" w:eastAsia="Arial" w:hAnsi="Arial"/>
          <w:sz w:val="19"/>
          <w:szCs w:val="19"/>
          <w:color w:val="auto"/>
        </w:rPr>
      </w:pPr>
    </w:p>
    <w:p>
      <w:pPr>
        <w:ind w:left="2" w:firstLine="372"/>
        <w:spacing w:after="0" w:line="269" w:lineRule="auto"/>
        <w:tabs>
          <w:tab w:leader="none" w:pos="866" w:val="left"/>
        </w:tabs>
        <w:numPr>
          <w:ilvl w:val="1"/>
          <w:numId w:val="51"/>
        </w:numPr>
        <w:rPr>
          <w:rFonts w:ascii="Arial" w:cs="Arial" w:eastAsia="Arial" w:hAnsi="Arial"/>
          <w:sz w:val="19"/>
          <w:szCs w:val="19"/>
          <w:color w:val="auto"/>
        </w:rPr>
      </w:pPr>
      <w:r>
        <w:rPr>
          <w:rFonts w:ascii="Arial" w:cs="Arial" w:eastAsia="Arial" w:hAnsi="Arial"/>
          <w:sz w:val="19"/>
          <w:szCs w:val="19"/>
          <w:u w:val="single" w:color="auto"/>
          <w:color w:val="auto"/>
        </w:rPr>
        <w:t>Transitional Services; Compensation</w:t>
      </w:r>
      <w:r>
        <w:rPr>
          <w:rFonts w:ascii="Arial" w:cs="Arial" w:eastAsia="Arial" w:hAnsi="Arial"/>
          <w:sz w:val="19"/>
          <w:szCs w:val="19"/>
          <w:color w:val="auto"/>
        </w:rPr>
        <w:t>. Unless otherwise directed by the Company, during the Transition Period, you will (i) continue to perform your current full-time job duties in the position of Chief Medical Officer until October 16, 2023, at which time you will transition into the role of Senior Clinical Advisor until November 7, 2023, (ii) assist the Company with the transition of your responsibilities, and (iii) perform any other duties as the Company in its reasonable discretion determines ((i), (ii) and (iii), the “</w:t>
      </w:r>
      <w:r>
        <w:rPr>
          <w:rFonts w:ascii="Arial" w:cs="Arial" w:eastAsia="Arial" w:hAnsi="Arial"/>
          <w:sz w:val="19"/>
          <w:szCs w:val="19"/>
          <w:u w:val="single" w:color="auto"/>
          <w:color w:val="auto"/>
        </w:rPr>
        <w:t>Transitional Services</w:t>
      </w:r>
      <w:r>
        <w:rPr>
          <w:rFonts w:ascii="Arial" w:cs="Arial" w:eastAsia="Arial" w:hAnsi="Arial"/>
          <w:sz w:val="19"/>
          <w:szCs w:val="19"/>
          <w:color w:val="auto"/>
        </w:rPr>
        <w:t>”). For the avoidance of doubt, you must continue to comply with the Company’s policies, including but not limited to the Company’s Insider Trading Policy. During the Transition Period, you will continue to receive your current base salary and you will continue to be eligible for regular employee</w:t>
      </w:r>
    </w:p>
    <w:p>
      <w:pPr>
        <w:spacing w:after="0" w:line="4" w:lineRule="exact"/>
        <w:rPr>
          <w:rFonts w:ascii="Arial" w:cs="Arial" w:eastAsia="Arial" w:hAnsi="Arial"/>
          <w:sz w:val="19"/>
          <w:szCs w:val="19"/>
          <w:color w:val="auto"/>
        </w:rPr>
      </w:pPr>
    </w:p>
    <w:p>
      <w:pPr>
        <w:ind w:left="2" w:right="40"/>
        <w:spacing w:after="0" w:line="248" w:lineRule="auto"/>
        <w:rPr>
          <w:rFonts w:ascii="Arial" w:cs="Arial" w:eastAsia="Arial" w:hAnsi="Arial"/>
          <w:sz w:val="19"/>
          <w:szCs w:val="19"/>
          <w:color w:val="auto"/>
        </w:rPr>
      </w:pPr>
      <w:r>
        <w:rPr>
          <w:rFonts w:ascii="Arial" w:cs="Arial" w:eastAsia="Arial" w:hAnsi="Arial"/>
          <w:sz w:val="21"/>
          <w:szCs w:val="21"/>
          <w:color w:val="auto"/>
        </w:rPr>
        <w:t xml:space="preserve">benefits as currently in effect (subject to the terms of the Company’s benefit plans),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(to avoid doubt) you will not be eligible for any bonuses during the Transition Period or related to your employment during 2023. Subject to the terms of the Equity Documents, your previously granted equity shall continue to vest during the Transition Period.</w:t>
      </w:r>
    </w:p>
    <w:p>
      <w:pPr>
        <w:spacing w:after="0" w:line="37" w:lineRule="exact"/>
        <w:rPr>
          <w:rFonts w:ascii="Arial" w:cs="Arial" w:eastAsia="Arial" w:hAnsi="Arial"/>
          <w:sz w:val="19"/>
          <w:szCs w:val="19"/>
          <w:color w:val="auto"/>
        </w:rPr>
      </w:pPr>
    </w:p>
    <w:p>
      <w:pPr>
        <w:ind w:left="742" w:hanging="742"/>
        <w:spacing w:after="0"/>
        <w:tabs>
          <w:tab w:leader="none" w:pos="742" w:val="left"/>
        </w:tabs>
        <w:numPr>
          <w:ilvl w:val="0"/>
          <w:numId w:val="51"/>
        </w:numPr>
        <w:rPr>
          <w:rFonts w:ascii="Arial" w:cs="Arial" w:eastAsia="Arial" w:hAnsi="Arial"/>
          <w:sz w:val="22"/>
          <w:szCs w:val="22"/>
          <w:color w:val="auto"/>
        </w:rPr>
      </w:pPr>
      <w:r>
        <w:rPr>
          <w:rFonts w:ascii="Arial" w:cs="Arial" w:eastAsia="Arial" w:hAnsi="Arial"/>
          <w:sz w:val="22"/>
          <w:szCs w:val="22"/>
          <w:b w:val="1"/>
          <w:bCs w:val="1"/>
          <w:color w:val="auto"/>
        </w:rPr>
        <w:t>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358140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2"/>
          </w:cols>
          <w:pgMar w:left="478" w:top="442" w:right="439" w:bottom="1440" w:gutter="0" w:footer="0" w:header="0"/>
        </w:sectPr>
      </w:pPr>
    </w:p>
    <w:bookmarkStart w:id="85" w:name="page86"/>
    <w:bookmarkEnd w:id="85"/>
    <w:p>
      <w:pPr>
        <w:spacing w:after="0" w:line="235" w:lineRule="auto"/>
        <w:rPr>
          <w:sz w:val="20"/>
          <w:szCs w:val="20"/>
          <w:color w:val="auto"/>
        </w:rPr>
      </w:pPr>
      <w:r>
        <w:rPr>
          <w:rFonts w:ascii="Arial" w:cs="Arial" w:eastAsia="Arial" w:hAnsi="Arial"/>
          <w:sz w:val="22"/>
          <w:szCs w:val="22"/>
          <w:color w:val="auto"/>
        </w:rPr>
        <w:t xml:space="preserve">Provided you (i) enter into, do not revoke and comply with this Release Agreement, (ii) do not experience a Specified Termination prior November 7, 2023, and (iii) reaffirm the terms of this Release Agreement including the general release in Section 4 so that it covers the period between the date of this Release Agreement and the Resignation Date by signing and returning the Certificate attached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after the Resignation Date in accordance with the time frame provided in such Certificate, and such Certificate becomes effective, the Company shall provide you with the following “</w:t>
      </w:r>
      <w:r>
        <w:rPr>
          <w:rFonts w:ascii="Arial" w:cs="Arial" w:eastAsia="Arial" w:hAnsi="Arial"/>
          <w:sz w:val="22"/>
          <w:szCs w:val="22"/>
          <w:u w:val="single" w:color="auto"/>
          <w:color w:val="auto"/>
        </w:rPr>
        <w:t>Severance Benefits</w:t>
      </w:r>
      <w:r>
        <w:rPr>
          <w:rFonts w:ascii="Arial" w:cs="Arial" w:eastAsia="Arial" w:hAnsi="Arial"/>
          <w:sz w:val="22"/>
          <w:szCs w:val="22"/>
          <w:color w:val="auto"/>
        </w:rPr>
        <w:t>”:</w:t>
      </w:r>
    </w:p>
    <w:p>
      <w:pPr>
        <w:spacing w:after="0" w:line="228" w:lineRule="exact"/>
        <w:rPr>
          <w:sz w:val="20"/>
          <w:szCs w:val="20"/>
          <w:color w:val="auto"/>
        </w:rPr>
      </w:pPr>
    </w:p>
    <w:p>
      <w:pPr>
        <w:jc w:val="both"/>
        <w:ind w:right="80" w:firstLine="749"/>
        <w:spacing w:after="0" w:line="277" w:lineRule="auto"/>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auto"/>
        </w:rPr>
        <w:t>Severance Pay</w:t>
      </w:r>
      <w:r>
        <w:rPr>
          <w:rFonts w:ascii="Arial" w:cs="Arial" w:eastAsia="Arial" w:hAnsi="Arial"/>
          <w:sz w:val="19"/>
          <w:szCs w:val="19"/>
          <w:color w:val="auto"/>
        </w:rPr>
        <w:t>: The Company shall pay you severance pay (“</w:t>
      </w:r>
      <w:r>
        <w:rPr>
          <w:rFonts w:ascii="Arial" w:cs="Arial" w:eastAsia="Arial" w:hAnsi="Arial"/>
          <w:sz w:val="19"/>
          <w:szCs w:val="19"/>
          <w:u w:val="single" w:color="auto"/>
          <w:color w:val="auto"/>
        </w:rPr>
        <w:t>Severance Pay</w:t>
      </w:r>
      <w:r>
        <w:rPr>
          <w:rFonts w:ascii="Arial" w:cs="Arial" w:eastAsia="Arial" w:hAnsi="Arial"/>
          <w:sz w:val="19"/>
          <w:szCs w:val="19"/>
          <w:color w:val="auto"/>
        </w:rPr>
        <w:t>”) by continuing your base salary (at the annual rate of $455,400.24 per year) effective for the nine (9) month period immediately following the Resignation Date (the “</w:t>
      </w:r>
      <w:r>
        <w:rPr>
          <w:rFonts w:ascii="Arial" w:cs="Arial" w:eastAsia="Arial" w:hAnsi="Arial"/>
          <w:sz w:val="19"/>
          <w:szCs w:val="19"/>
          <w:u w:val="single" w:color="auto"/>
          <w:color w:val="auto"/>
        </w:rPr>
        <w:t>Severance Pay Period</w:t>
      </w:r>
      <w:r>
        <w:rPr>
          <w:rFonts w:ascii="Arial" w:cs="Arial" w:eastAsia="Arial" w:hAnsi="Arial"/>
          <w:sz w:val="19"/>
          <w:szCs w:val="19"/>
          <w:color w:val="auto"/>
        </w:rPr>
        <w:t xml:space="preserve">”). The Company shall pay you Severance Pay in installments on its regular payroll dates during the Severance Pay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Company shall not be obligated to pay any Severance Pay before the Certificate Effective Date (as defined in </w:t>
      </w:r>
      <w:r>
        <w:rPr>
          <w:rFonts w:ascii="Arial" w:cs="Arial" w:eastAsia="Arial" w:hAnsi="Arial"/>
          <w:sz w:val="19"/>
          <w:szCs w:val="19"/>
          <w:u w:val="single" w:color="auto"/>
          <w:color w:val="auto"/>
        </w:rPr>
        <w:t>Exhibit A</w:t>
      </w:r>
      <w:r>
        <w:rPr>
          <w:rFonts w:ascii="Arial" w:cs="Arial" w:eastAsia="Arial" w:hAnsi="Arial"/>
          <w:sz w:val="19"/>
          <w:szCs w:val="19"/>
          <w:color w:val="auto"/>
        </w:rPr>
        <w:t>). If the Company does not make one or more payments of Severance Pay on a regular payroll date because the Certificate has not yet become effective, the Company shall make all such delayed payments by the first payroll date when it is practicable to do so after the Certificate Effective Date.</w:t>
      </w:r>
    </w:p>
    <w:p>
      <w:pPr>
        <w:spacing w:after="0" w:line="179" w:lineRule="exact"/>
        <w:rPr>
          <w:sz w:val="20"/>
          <w:szCs w:val="20"/>
          <w:color w:val="auto"/>
        </w:rPr>
      </w:pPr>
    </w:p>
    <w:p>
      <w:pPr>
        <w:ind w:right="40" w:firstLine="749"/>
        <w:spacing w:after="0" w:line="243" w:lineRule="auto"/>
        <w:rPr>
          <w:sz w:val="20"/>
          <w:szCs w:val="20"/>
          <w:color w:val="auto"/>
        </w:rPr>
      </w:pPr>
      <w:r>
        <w:rPr>
          <w:rFonts w:ascii="Arial" w:cs="Arial" w:eastAsia="Arial" w:hAnsi="Arial"/>
          <w:sz w:val="21"/>
          <w:szCs w:val="21"/>
          <w:color w:val="auto"/>
        </w:rPr>
        <w:t>b.</w:t>
      </w:r>
      <w:r>
        <w:rPr>
          <w:rFonts w:ascii="Arial" w:cs="Arial" w:eastAsia="Arial" w:hAnsi="Arial"/>
          <w:sz w:val="21"/>
          <w:szCs w:val="21"/>
          <w:u w:val="single" w:color="auto"/>
          <w:color w:val="auto"/>
        </w:rPr>
        <w:t>Health Benefits/401k</w:t>
      </w:r>
      <w:r>
        <w:rPr>
          <w:rFonts w:ascii="Arial" w:cs="Arial" w:eastAsia="Arial" w:hAnsi="Arial"/>
          <w:sz w:val="21"/>
          <w:szCs w:val="21"/>
          <w:color w:val="auto"/>
        </w:rPr>
        <w:t>: If you elect COBRA continuation coverage, the Company shall pay the same portion of COBRA premiums that the Company pays for its active employees for the same level of group healthcare coverage as in effect for you on the Resignation Date until the earliest of the following: (i) the end of the Severance Pay Period; (ii) your eligibility for group medical care coverage through other employment; or (iii) the end of your eligibility under COBRA for continuation coverage for health care. You agree to notify the Company promptly if you become eligible for group medical care coverage through another employer. You also agree to respond promptly and fully to any reasonable requests for information by the Company concerning your eligibility for such coverage. You may continue coverage after the end of the Severance Pay Period at your own expense for the remainder of the COBRA continuation period, subject to continued eligibility. Notwithstanding the foregoing, if the Company determines at any time that its payments pursuant to this paragraph may be taxable income to you, it may</w:t>
      </w:r>
    </w:p>
    <w:p>
      <w:pPr>
        <w:spacing w:after="0" w:line="3" w:lineRule="exact"/>
        <w:rPr>
          <w:sz w:val="20"/>
          <w:szCs w:val="20"/>
          <w:color w:val="auto"/>
        </w:rPr>
      </w:pPr>
    </w:p>
    <w:p>
      <w:pPr>
        <w:jc w:val="both"/>
        <w:ind w:right="160"/>
        <w:spacing w:after="0" w:line="234" w:lineRule="auto"/>
        <w:rPr>
          <w:sz w:val="20"/>
          <w:szCs w:val="20"/>
          <w:color w:val="auto"/>
        </w:rPr>
      </w:pPr>
      <w:r>
        <w:rPr>
          <w:rFonts w:ascii="Arial" w:cs="Arial" w:eastAsia="Arial" w:hAnsi="Arial"/>
          <w:sz w:val="22"/>
          <w:szCs w:val="22"/>
          <w:color w:val="auto"/>
        </w:rPr>
        <w:t>convert such payments to payroll payments directly to you on the Company’s regular payroll dates, which shall be subject to tax-related deductions and withholdings. In accordance with the Company’s 401k plan, you may transfer your 401k account at any point following the execution of this Release Agreement.</w:t>
      </w:r>
    </w:p>
    <w:p>
      <w:pPr>
        <w:spacing w:after="0" w:line="228" w:lineRule="exact"/>
        <w:rPr>
          <w:sz w:val="20"/>
          <w:szCs w:val="20"/>
          <w:color w:val="auto"/>
        </w:rPr>
      </w:pPr>
    </w:p>
    <w:p>
      <w:pPr>
        <w:ind w:right="200" w:firstLine="749"/>
        <w:spacing w:after="0" w:line="282" w:lineRule="auto"/>
        <w:rPr>
          <w:sz w:val="20"/>
          <w:szCs w:val="20"/>
          <w:color w:val="auto"/>
        </w:rPr>
      </w:pPr>
      <w:r>
        <w:rPr>
          <w:rFonts w:ascii="Arial" w:cs="Arial" w:eastAsia="Arial" w:hAnsi="Arial"/>
          <w:sz w:val="19"/>
          <w:szCs w:val="19"/>
          <w:color w:val="auto"/>
        </w:rPr>
        <w:t>c.</w:t>
      </w:r>
      <w:r>
        <w:rPr>
          <w:rFonts w:ascii="Arial" w:cs="Arial" w:eastAsia="Arial" w:hAnsi="Arial"/>
          <w:sz w:val="19"/>
          <w:szCs w:val="19"/>
          <w:u w:val="single" w:color="auto"/>
          <w:color w:val="auto"/>
        </w:rPr>
        <w:t>Tax Treatment</w:t>
      </w:r>
      <w:r>
        <w:rPr>
          <w:rFonts w:ascii="Arial" w:cs="Arial" w:eastAsia="Arial" w:hAnsi="Arial"/>
          <w:sz w:val="19"/>
          <w:szCs w:val="19"/>
          <w:color w:val="auto"/>
        </w:rPr>
        <w:t>. The Company shall make deductions, withholdings and tax reports with respect to payments and benefits under this Release Agreement that it reasonably determines to be required. Payments under this Release Agreement shall be in amounts net of any such deductions or withholdings. Nothing in this Release Agreement shall be construed to require the Company to make any payments to compensate you for any adverse tax effect associated with any payments or benefits or for any deduction or withholding from any payment or benefit.</w:t>
      </w:r>
    </w:p>
    <w:p>
      <w:pPr>
        <w:spacing w:after="0" w:line="188" w:lineRule="exact"/>
        <w:rPr>
          <w:sz w:val="20"/>
          <w:szCs w:val="20"/>
          <w:color w:val="auto"/>
        </w:rPr>
      </w:pPr>
    </w:p>
    <w:p>
      <w:pPr>
        <w:ind w:right="240"/>
        <w:spacing w:after="0" w:line="250" w:lineRule="auto"/>
        <w:rPr>
          <w:sz w:val="20"/>
          <w:szCs w:val="20"/>
          <w:color w:val="auto"/>
        </w:rPr>
      </w:pPr>
      <w:r>
        <w:rPr>
          <w:rFonts w:ascii="Arial" w:cs="Arial" w:eastAsia="Arial" w:hAnsi="Arial"/>
          <w:sz w:val="22"/>
          <w:szCs w:val="22"/>
          <w:color w:val="auto"/>
        </w:rPr>
        <w:t>Your receipt of the Severance Benefits under this Release Agreement is conditioned on your continued compliance with the Consulting Agreement. If the Consulting Agreement is</w:t>
      </w:r>
    </w:p>
    <w:p>
      <w:pPr>
        <w:spacing w:after="0" w:line="40" w:lineRule="exact"/>
        <w:rPr>
          <w:sz w:val="20"/>
          <w:szCs w:val="20"/>
          <w:color w:val="auto"/>
        </w:rPr>
      </w:pPr>
    </w:p>
    <w:p>
      <w:pPr>
        <w:ind w:right="940"/>
        <w:spacing w:after="0" w:line="250" w:lineRule="auto"/>
        <w:rPr>
          <w:sz w:val="20"/>
          <w:szCs w:val="20"/>
          <w:color w:val="auto"/>
        </w:rPr>
      </w:pPr>
      <w:r>
        <w:rPr>
          <w:rFonts w:ascii="Arial" w:cs="Arial" w:eastAsia="Arial" w:hAnsi="Arial"/>
          <w:sz w:val="22"/>
          <w:szCs w:val="22"/>
          <w:color w:val="auto"/>
        </w:rPr>
        <w:t>terminated for Cause (as defined in the Consulting Agreement), then your receipt of the Severance Benefits shall immediately cease and you will not be eligible for receive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197485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361" w:right="499" w:bottom="1440" w:gutter="0" w:footer="0" w:header="0"/>
        </w:sectPr>
      </w:pPr>
    </w:p>
    <w:bookmarkStart w:id="86" w:name="page87"/>
    <w:bookmarkEnd w:id="86"/>
    <w:p>
      <w:pPr>
        <w:ind w:left="2"/>
        <w:spacing w:after="0"/>
        <w:rPr>
          <w:sz w:val="20"/>
          <w:szCs w:val="20"/>
          <w:color w:val="auto"/>
        </w:rPr>
      </w:pPr>
      <w:r>
        <w:rPr>
          <w:rFonts w:ascii="Arial" w:cs="Arial" w:eastAsia="Arial" w:hAnsi="Arial"/>
          <w:sz w:val="22"/>
          <w:szCs w:val="22"/>
          <w:color w:val="auto"/>
        </w:rPr>
        <w:t>additional Severance Benefits.</w:t>
      </w:r>
    </w:p>
    <w:p>
      <w:pPr>
        <w:spacing w:after="0" w:line="227" w:lineRule="exact"/>
        <w:rPr>
          <w:sz w:val="20"/>
          <w:szCs w:val="20"/>
          <w:color w:val="auto"/>
        </w:rPr>
      </w:pPr>
    </w:p>
    <w:p>
      <w:pPr>
        <w:ind w:left="742" w:hanging="742"/>
        <w:spacing w:after="0"/>
        <w:tabs>
          <w:tab w:leader="none" w:pos="742" w:val="left"/>
        </w:tabs>
        <w:numPr>
          <w:ilvl w:val="0"/>
          <w:numId w:val="52"/>
        </w:numPr>
        <w:rPr>
          <w:rFonts w:ascii="Arial" w:cs="Arial" w:eastAsia="Arial" w:hAnsi="Arial"/>
          <w:sz w:val="22"/>
          <w:szCs w:val="22"/>
          <w:color w:val="auto"/>
        </w:rPr>
      </w:pPr>
      <w:r>
        <w:rPr>
          <w:rFonts w:ascii="Arial" w:cs="Arial" w:eastAsia="Arial" w:hAnsi="Arial"/>
          <w:sz w:val="22"/>
          <w:szCs w:val="22"/>
          <w:b w:val="1"/>
          <w:bCs w:val="1"/>
          <w:color w:val="auto"/>
        </w:rPr>
        <w:t>Equity</w:t>
      </w:r>
    </w:p>
    <w:p>
      <w:pPr>
        <w:spacing w:after="0" w:line="253" w:lineRule="exact"/>
        <w:rPr>
          <w:sz w:val="20"/>
          <w:szCs w:val="20"/>
          <w:color w:val="auto"/>
        </w:rPr>
      </w:pPr>
    </w:p>
    <w:p>
      <w:pPr>
        <w:ind w:left="2" w:right="80"/>
        <w:spacing w:after="0" w:line="271" w:lineRule="auto"/>
        <w:rPr>
          <w:sz w:val="20"/>
          <w:szCs w:val="20"/>
          <w:color w:val="auto"/>
        </w:rPr>
      </w:pPr>
      <w:r>
        <w:rPr>
          <w:rFonts w:ascii="Arial" w:cs="Arial" w:eastAsia="Arial" w:hAnsi="Arial"/>
          <w:sz w:val="19"/>
          <w:szCs w:val="19"/>
          <w:color w:val="auto"/>
        </w:rPr>
        <w:t>During the course of your employment, you were awarded a total of 60,375 Restricted Stock Units (the “</w:t>
      </w:r>
      <w:r>
        <w:rPr>
          <w:rFonts w:ascii="Arial" w:cs="Arial" w:eastAsia="Arial" w:hAnsi="Arial"/>
          <w:sz w:val="19"/>
          <w:szCs w:val="19"/>
          <w:u w:val="single" w:color="auto"/>
          <w:color w:val="auto"/>
        </w:rPr>
        <w:t>Award</w:t>
      </w:r>
      <w:r>
        <w:rPr>
          <w:rFonts w:ascii="Arial" w:cs="Arial" w:eastAsia="Arial" w:hAnsi="Arial"/>
          <w:sz w:val="19"/>
          <w:szCs w:val="19"/>
          <w:color w:val="auto"/>
        </w:rPr>
        <w:t>”) and 459,705 shares of the Company’s common stock (the “</w:t>
      </w:r>
      <w:r>
        <w:rPr>
          <w:rFonts w:ascii="Arial" w:cs="Arial" w:eastAsia="Arial" w:hAnsi="Arial"/>
          <w:sz w:val="19"/>
          <w:szCs w:val="19"/>
          <w:u w:val="single" w:color="auto"/>
          <w:color w:val="auto"/>
        </w:rPr>
        <w:t>Option</w:t>
      </w:r>
      <w:r>
        <w:rPr>
          <w:rFonts w:ascii="Arial" w:cs="Arial" w:eastAsia="Arial" w:hAnsi="Arial"/>
          <w:sz w:val="19"/>
          <w:szCs w:val="19"/>
          <w:color w:val="auto"/>
        </w:rPr>
        <w:t>”), in each case under the Company’s 2021 Stock Option and Incentive Plan and associated restricted stock until award agreements and stock option agreements (collectively, the “</w:t>
      </w:r>
      <w:r>
        <w:rPr>
          <w:rFonts w:ascii="Arial" w:cs="Arial" w:eastAsia="Arial" w:hAnsi="Arial"/>
          <w:sz w:val="19"/>
          <w:szCs w:val="19"/>
          <w:u w:val="single" w:color="auto"/>
          <w:color w:val="auto"/>
        </w:rPr>
        <w:t>Equity</w:t>
      </w:r>
      <w:r>
        <w:rPr>
          <w:rFonts w:ascii="Arial" w:cs="Arial" w:eastAsia="Arial" w:hAnsi="Arial"/>
          <w:sz w:val="19"/>
          <w:szCs w:val="19"/>
          <w:color w:val="auto"/>
        </w:rPr>
        <w:t xml:space="preserve"> </w:t>
      </w:r>
      <w:r>
        <w:rPr>
          <w:rFonts w:ascii="Arial" w:cs="Arial" w:eastAsia="Arial" w:hAnsi="Arial"/>
          <w:sz w:val="19"/>
          <w:szCs w:val="19"/>
          <w:u w:val="single" w:color="auto"/>
          <w:color w:val="auto"/>
        </w:rPr>
        <w:t>Documents</w:t>
      </w:r>
      <w:r>
        <w:rPr>
          <w:rFonts w:ascii="Arial" w:cs="Arial" w:eastAsia="Arial" w:hAnsi="Arial"/>
          <w:sz w:val="19"/>
          <w:szCs w:val="19"/>
          <w:color w:val="auto"/>
        </w:rPr>
        <w:t>”). If you enter into and comply with this Release Agreement, and do not experience a Specified Termination prior to November 7, 2023, you will have 13,126 Restricted Stock Units of the Award vested and 296,059 shares of the Option vested (the “</w:t>
      </w:r>
      <w:r>
        <w:rPr>
          <w:rFonts w:ascii="Arial" w:cs="Arial" w:eastAsia="Arial" w:hAnsi="Arial"/>
          <w:sz w:val="19"/>
          <w:szCs w:val="19"/>
          <w:u w:val="single" w:color="auto"/>
          <w:color w:val="auto"/>
        </w:rPr>
        <w:t>Vested Equity</w:t>
      </w:r>
      <w:r>
        <w:rPr>
          <w:rFonts w:ascii="Arial" w:cs="Arial" w:eastAsia="Arial" w:hAnsi="Arial"/>
          <w:sz w:val="19"/>
          <w:szCs w:val="19"/>
          <w:color w:val="auto"/>
        </w:rPr>
        <w:t>”). The remaining 47,249 Restricted Stock Units of the Award and 163,646 shares of the Option shall be unvested as of November 7, 2023 and shall become null and void as of such date, unless you enter into the Consulting Agreement under which your equity will continue to vest (as described below and in the Consulting Agreement). The Vested Equity, along with any other equity that may vest during the Consulting Period (as described in the Consulting Agreement), shall continue to be subject to the terms and conditions of the Equity Documents, provided that you agree, effective as of September 26, 2023, you will not sell, directly or indirectly, more than 4,000 shares of your vested equity during any 30 day period beginning on September 26, 2023. In addition, you will continue to the eligible to participate in your 10(b)(5)(1) Plan during the Consulting Period, and may adjust your specified strike price under the Plan one (1) time after the termination of your regular employment and during the Consulting Period, provided that you are in compliance with the Company’s Insider Trading Policy.</w:t>
      </w:r>
    </w:p>
    <w:p>
      <w:pPr>
        <w:spacing w:after="0" w:line="200" w:lineRule="exact"/>
        <w:rPr>
          <w:sz w:val="20"/>
          <w:szCs w:val="20"/>
          <w:color w:val="auto"/>
        </w:rPr>
      </w:pPr>
    </w:p>
    <w:p>
      <w:pPr>
        <w:spacing w:after="0" w:line="207" w:lineRule="exact"/>
        <w:rPr>
          <w:sz w:val="20"/>
          <w:szCs w:val="20"/>
          <w:color w:val="auto"/>
        </w:rPr>
      </w:pPr>
    </w:p>
    <w:p>
      <w:pPr>
        <w:ind w:left="2" w:right="20"/>
        <w:spacing w:after="0" w:line="252" w:lineRule="auto"/>
        <w:rPr>
          <w:sz w:val="20"/>
          <w:szCs w:val="20"/>
          <w:color w:val="auto"/>
        </w:rPr>
      </w:pPr>
      <w:r>
        <w:rPr>
          <w:rFonts w:ascii="Arial" w:cs="Arial" w:eastAsia="Arial" w:hAnsi="Arial"/>
          <w:sz w:val="21"/>
          <w:szCs w:val="21"/>
          <w:color w:val="auto"/>
        </w:rPr>
        <w:t>In accordance with the Consulting Agreement, you are also eligible for continued vesting during the Consulting Period (as defined in the Consulting Agreement). For the avoidance of doubt, as provided in the Equity Documents, except in the event of disability, death or Cause, the three- month post-service relationship exercise period for any vested equity shall not begin until after your service relationship with the Company has ended (i.e. after the Consulting Period ends).</w:t>
      </w:r>
    </w:p>
    <w:p>
      <w:pPr>
        <w:spacing w:after="0" w:line="168" w:lineRule="exact"/>
        <w:rPr>
          <w:sz w:val="20"/>
          <w:szCs w:val="20"/>
          <w:color w:val="auto"/>
        </w:rPr>
      </w:pPr>
    </w:p>
    <w:p>
      <w:pPr>
        <w:ind w:left="742" w:hanging="742"/>
        <w:spacing w:after="0"/>
        <w:tabs>
          <w:tab w:leader="none" w:pos="742" w:val="left"/>
        </w:tabs>
        <w:numPr>
          <w:ilvl w:val="0"/>
          <w:numId w:val="53"/>
        </w:numPr>
        <w:rPr>
          <w:rFonts w:ascii="Arial" w:cs="Arial" w:eastAsia="Arial" w:hAnsi="Arial"/>
          <w:sz w:val="22"/>
          <w:szCs w:val="22"/>
          <w:color w:val="auto"/>
        </w:rPr>
      </w:pPr>
      <w:r>
        <w:rPr>
          <w:rFonts w:ascii="Arial" w:cs="Arial" w:eastAsia="Arial" w:hAnsi="Arial"/>
          <w:sz w:val="22"/>
          <w:szCs w:val="22"/>
          <w:b w:val="1"/>
          <w:bCs w:val="1"/>
          <w:color w:val="auto"/>
        </w:rPr>
        <w:t>Release of Claims</w:t>
      </w:r>
    </w:p>
    <w:p>
      <w:pPr>
        <w:spacing w:after="0" w:line="239" w:lineRule="exact"/>
        <w:rPr>
          <w:sz w:val="20"/>
          <w:szCs w:val="20"/>
          <w:color w:val="auto"/>
        </w:rPr>
      </w:pPr>
    </w:p>
    <w:p>
      <w:pPr>
        <w:ind w:left="2"/>
        <w:spacing w:after="0" w:line="233" w:lineRule="auto"/>
        <w:rPr>
          <w:sz w:val="20"/>
          <w:szCs w:val="20"/>
          <w:color w:val="auto"/>
        </w:rPr>
      </w:pPr>
      <w:r>
        <w:rPr>
          <w:rFonts w:ascii="Arial" w:cs="Arial" w:eastAsia="Arial" w:hAnsi="Arial"/>
          <w:sz w:val="22"/>
          <w:szCs w:val="22"/>
          <w:color w:val="auto"/>
        </w:rPr>
        <w:t>In consideration for, among other terms, the opportunity to continue your employment with the Company during the Transition Period and to receive the Severance Benefits, each of which you acknowledge you would otherwise not be entitled to, you voluntarily release and forever discharge the Company and its affiliated and related entities, their respective predecessors, successors and assigns, its and their respective employee benefit plans and fiduciaries of such plans, and the current and former officers, directors, managers, members, shareholders, employees, attorneys, accountants and agents of each of the foregoing in their official and</w:t>
      </w:r>
    </w:p>
    <w:p>
      <w:pPr>
        <w:spacing w:after="0" w:line="2" w:lineRule="exact"/>
        <w:rPr>
          <w:sz w:val="20"/>
          <w:szCs w:val="20"/>
          <w:color w:val="auto"/>
        </w:rPr>
      </w:pPr>
    </w:p>
    <w:p>
      <w:pPr>
        <w:ind w:left="2" w:right="660"/>
        <w:spacing w:after="0" w:line="233" w:lineRule="auto"/>
        <w:rPr>
          <w:sz w:val="20"/>
          <w:szCs w:val="20"/>
          <w:color w:val="auto"/>
        </w:rPr>
      </w:pPr>
      <w:r>
        <w:rPr>
          <w:rFonts w:ascii="Arial" w:cs="Arial" w:eastAsia="Arial" w:hAnsi="Arial"/>
          <w:sz w:val="22"/>
          <w:szCs w:val="22"/>
          <w:color w:val="auto"/>
        </w:rPr>
        <w:t>personal capacities (collectively referred to as the “</w:t>
      </w:r>
      <w:r>
        <w:rPr>
          <w:rFonts w:ascii="Arial" w:cs="Arial" w:eastAsia="Arial" w:hAnsi="Arial"/>
          <w:sz w:val="22"/>
          <w:szCs w:val="22"/>
          <w:u w:val="single" w:color="auto"/>
          <w:color w:val="auto"/>
        </w:rPr>
        <w:t>Releasees</w:t>
      </w:r>
      <w:r>
        <w:rPr>
          <w:rFonts w:ascii="Arial" w:cs="Arial" w:eastAsia="Arial" w:hAnsi="Arial"/>
          <w:sz w:val="22"/>
          <w:szCs w:val="22"/>
          <w:color w:val="auto"/>
        </w:rPr>
        <w:t>”) generally from all claims, demands, debts, damages and liabilities of every name and nature, known or unknown (“</w:t>
      </w:r>
      <w:r>
        <w:rPr>
          <w:rFonts w:ascii="Arial" w:cs="Arial" w:eastAsia="Arial" w:hAnsi="Arial"/>
          <w:sz w:val="22"/>
          <w:szCs w:val="22"/>
          <w:u w:val="single" w:color="auto"/>
          <w:color w:val="auto"/>
        </w:rPr>
        <w:t>Claims</w:t>
      </w:r>
      <w:r>
        <w:rPr>
          <w:rFonts w:ascii="Arial" w:cs="Arial" w:eastAsia="Arial" w:hAnsi="Arial"/>
          <w:sz w:val="22"/>
          <w:szCs w:val="22"/>
          <w:color w:val="auto"/>
        </w:rPr>
        <w:t>”) that, as of the date when you sign this Release Agreement, you have, ever had, now claim to have or ever claimed to have had against any or all of the Releasees. This release includes, without limitation, all Claims:</w:t>
      </w:r>
    </w:p>
    <w:p>
      <w:pPr>
        <w:spacing w:after="0" w:line="53" w:lineRule="exact"/>
        <w:rPr>
          <w:sz w:val="20"/>
          <w:szCs w:val="20"/>
          <w:color w:val="auto"/>
        </w:rPr>
      </w:pPr>
    </w:p>
    <w:p>
      <w:pPr>
        <w:ind w:left="742" w:hanging="368"/>
        <w:spacing w:after="0"/>
        <w:tabs>
          <w:tab w:leader="none" w:pos="742" w:val="left"/>
        </w:tabs>
        <w:numPr>
          <w:ilvl w:val="0"/>
          <w:numId w:val="54"/>
        </w:numPr>
        <w:rPr>
          <w:rFonts w:ascii="Arial" w:cs="Arial" w:eastAsia="Arial" w:hAnsi="Arial"/>
          <w:sz w:val="22"/>
          <w:szCs w:val="22"/>
          <w:color w:val="auto"/>
        </w:rPr>
      </w:pPr>
      <w:r>
        <w:rPr>
          <w:rFonts w:ascii="Arial" w:cs="Arial" w:eastAsia="Arial" w:hAnsi="Arial"/>
          <w:sz w:val="22"/>
          <w:szCs w:val="22"/>
          <w:color w:val="auto"/>
        </w:rPr>
        <w:t>relating to your employment by and resignation from employment with the Company;</w:t>
      </w:r>
    </w:p>
    <w:p>
      <w:pPr>
        <w:spacing w:after="0" w:line="8" w:lineRule="exact"/>
        <w:rPr>
          <w:rFonts w:ascii="Arial" w:cs="Arial" w:eastAsia="Arial" w:hAnsi="Arial"/>
          <w:sz w:val="22"/>
          <w:szCs w:val="22"/>
          <w:color w:val="auto"/>
        </w:rPr>
      </w:pPr>
    </w:p>
    <w:p>
      <w:pPr>
        <w:ind w:left="742" w:hanging="368"/>
        <w:spacing w:after="0" w:line="230" w:lineRule="auto"/>
        <w:tabs>
          <w:tab w:leader="none" w:pos="742" w:val="left"/>
        </w:tabs>
        <w:numPr>
          <w:ilvl w:val="0"/>
          <w:numId w:val="54"/>
        </w:numPr>
        <w:rPr>
          <w:rFonts w:ascii="Arial" w:cs="Arial" w:eastAsia="Arial" w:hAnsi="Arial"/>
          <w:sz w:val="22"/>
          <w:szCs w:val="22"/>
          <w:color w:val="auto"/>
        </w:rPr>
      </w:pPr>
      <w:r>
        <w:rPr>
          <w:rFonts w:ascii="Arial" w:cs="Arial" w:eastAsia="Arial" w:hAnsi="Arial"/>
          <w:sz w:val="22"/>
          <w:szCs w:val="22"/>
          <w:color w:val="auto"/>
        </w:rPr>
        <w:t>relating to your Offer Letter or the Equity Documents;</w:t>
      </w:r>
    </w:p>
    <w:p>
      <w:pPr>
        <w:ind w:left="742" w:hanging="368"/>
        <w:spacing w:after="0" w:line="230" w:lineRule="auto"/>
        <w:tabs>
          <w:tab w:leader="none" w:pos="742" w:val="left"/>
        </w:tabs>
        <w:numPr>
          <w:ilvl w:val="0"/>
          <w:numId w:val="54"/>
        </w:numPr>
        <w:rPr>
          <w:rFonts w:ascii="Arial" w:cs="Arial" w:eastAsia="Arial" w:hAnsi="Arial"/>
          <w:sz w:val="22"/>
          <w:szCs w:val="22"/>
          <w:color w:val="auto"/>
        </w:rPr>
      </w:pPr>
      <w:r>
        <w:rPr>
          <w:rFonts w:ascii="Arial" w:cs="Arial" w:eastAsia="Arial" w:hAnsi="Arial"/>
          <w:sz w:val="22"/>
          <w:szCs w:val="22"/>
          <w:color w:val="auto"/>
        </w:rPr>
        <w:t>of wrongful discharge or violation of public policy;</w:t>
      </w:r>
    </w:p>
    <w:p>
      <w:pPr>
        <w:ind w:left="742" w:hanging="368"/>
        <w:spacing w:after="0"/>
        <w:tabs>
          <w:tab w:leader="none" w:pos="742" w:val="left"/>
        </w:tabs>
        <w:numPr>
          <w:ilvl w:val="0"/>
          <w:numId w:val="54"/>
        </w:numPr>
        <w:rPr>
          <w:rFonts w:ascii="Arial" w:cs="Arial" w:eastAsia="Arial" w:hAnsi="Arial"/>
          <w:sz w:val="22"/>
          <w:szCs w:val="22"/>
          <w:color w:val="auto"/>
        </w:rPr>
      </w:pPr>
      <w:r>
        <w:rPr>
          <w:rFonts w:ascii="Arial" w:cs="Arial" w:eastAsia="Arial" w:hAnsi="Arial"/>
          <w:sz w:val="22"/>
          <w:szCs w:val="22"/>
          <w:color w:val="auto"/>
        </w:rPr>
        <w:t>of breach of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205740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2"/>
          </w:cols>
          <w:pgMar w:left="478" w:top="442" w:right="419" w:bottom="1440" w:gutter="0" w:footer="0" w:header="0"/>
        </w:sectPr>
      </w:pPr>
    </w:p>
    <w:bookmarkStart w:id="87" w:name="page88"/>
    <w:bookmarkEnd w:id="87"/>
    <w:p>
      <w:pPr>
        <w:ind w:left="742" w:right="580" w:hanging="368"/>
        <w:spacing w:after="0" w:line="236" w:lineRule="auto"/>
        <w:tabs>
          <w:tab w:leader="none" w:pos="742" w:val="left"/>
        </w:tabs>
        <w:numPr>
          <w:ilvl w:val="0"/>
          <w:numId w:val="55"/>
        </w:numPr>
        <w:rPr>
          <w:rFonts w:ascii="Arial" w:cs="Arial" w:eastAsia="Arial" w:hAnsi="Arial"/>
          <w:sz w:val="22"/>
          <w:szCs w:val="22"/>
          <w:color w:val="auto"/>
        </w:rPr>
      </w:pPr>
      <w:r>
        <w:rPr>
          <w:rFonts w:ascii="Arial" w:cs="Arial" w:eastAsia="Arial" w:hAnsi="Arial"/>
          <w:sz w:val="22"/>
          <w:szCs w:val="22"/>
          <w:color w:val="auto"/>
        </w:rPr>
        <w:t>of retaliation or discrimination under federal, state or local law (including, without limitation, Claims of discrimination, retaliation or otherwise under the Americans with Disabilities Act, Title VII of the Civil Rights Act of 1964, and the Massachusetts Fair Employment Practices Act (M.G.L. c. 151B));</w:t>
      </w:r>
    </w:p>
    <w:p>
      <w:pPr>
        <w:ind w:left="742" w:hanging="368"/>
        <w:spacing w:after="0" w:line="230" w:lineRule="auto"/>
        <w:tabs>
          <w:tab w:leader="none" w:pos="742" w:val="left"/>
        </w:tabs>
        <w:numPr>
          <w:ilvl w:val="0"/>
          <w:numId w:val="55"/>
        </w:numPr>
        <w:rPr>
          <w:rFonts w:ascii="Arial" w:cs="Arial" w:eastAsia="Arial" w:hAnsi="Arial"/>
          <w:sz w:val="22"/>
          <w:szCs w:val="22"/>
          <w:color w:val="auto"/>
        </w:rPr>
      </w:pPr>
      <w:r>
        <w:rPr>
          <w:rFonts w:ascii="Arial" w:cs="Arial" w:eastAsia="Arial" w:hAnsi="Arial"/>
          <w:sz w:val="22"/>
          <w:szCs w:val="22"/>
          <w:color w:val="auto"/>
        </w:rPr>
        <w:t>under any other federal or state statute;</w:t>
      </w:r>
    </w:p>
    <w:p>
      <w:pPr>
        <w:ind w:left="742" w:right="980" w:hanging="368"/>
        <w:spacing w:after="0" w:line="230" w:lineRule="auto"/>
        <w:tabs>
          <w:tab w:leader="none" w:pos="742" w:val="left"/>
        </w:tabs>
        <w:numPr>
          <w:ilvl w:val="0"/>
          <w:numId w:val="55"/>
        </w:numPr>
        <w:rPr>
          <w:rFonts w:ascii="Arial" w:cs="Arial" w:eastAsia="Arial" w:hAnsi="Arial"/>
          <w:sz w:val="22"/>
          <w:szCs w:val="22"/>
          <w:color w:val="auto"/>
        </w:rPr>
      </w:pPr>
      <w:r>
        <w:rPr>
          <w:rFonts w:ascii="Arial" w:cs="Arial" w:eastAsia="Arial" w:hAnsi="Arial"/>
          <w:sz w:val="22"/>
          <w:szCs w:val="22"/>
          <w:color w:val="auto"/>
        </w:rPr>
        <w:t>for wages, bonuses, incentive compensation, commissions, stock, stock options, vacation pay or any other compensation or benefits, whether under Massachusetts Wage Act,</w:t>
      </w:r>
    </w:p>
    <w:p>
      <w:pPr>
        <w:spacing w:after="0" w:line="1" w:lineRule="exact"/>
        <w:rPr>
          <w:rFonts w:ascii="Arial" w:cs="Arial" w:eastAsia="Arial" w:hAnsi="Arial"/>
          <w:sz w:val="22"/>
          <w:szCs w:val="22"/>
          <w:color w:val="auto"/>
        </w:rPr>
      </w:pPr>
    </w:p>
    <w:p>
      <w:pPr>
        <w:ind w:left="742"/>
        <w:spacing w:after="0" w:line="230" w:lineRule="auto"/>
        <w:rPr>
          <w:rFonts w:ascii="Arial" w:cs="Arial" w:eastAsia="Arial" w:hAnsi="Arial"/>
          <w:sz w:val="22"/>
          <w:szCs w:val="22"/>
          <w:color w:val="auto"/>
        </w:rPr>
      </w:pPr>
      <w:r>
        <w:rPr>
          <w:rFonts w:ascii="Arial" w:cs="Arial" w:eastAsia="Arial" w:hAnsi="Arial"/>
          <w:sz w:val="22"/>
          <w:szCs w:val="22"/>
          <w:color w:val="auto"/>
        </w:rPr>
        <w:t>M.G.L. c. 149, §§148-150C, or otherwise; and</w:t>
      </w:r>
    </w:p>
    <w:p>
      <w:pPr>
        <w:ind w:left="742" w:right="1020" w:hanging="368"/>
        <w:spacing w:after="0" w:line="236" w:lineRule="auto"/>
        <w:tabs>
          <w:tab w:leader="none" w:pos="742" w:val="left"/>
        </w:tabs>
        <w:numPr>
          <w:ilvl w:val="0"/>
          <w:numId w:val="55"/>
        </w:numPr>
        <w:rPr>
          <w:rFonts w:ascii="Arial" w:cs="Arial" w:eastAsia="Arial" w:hAnsi="Arial"/>
          <w:sz w:val="22"/>
          <w:szCs w:val="22"/>
          <w:color w:val="auto"/>
        </w:rPr>
      </w:pPr>
      <w:r>
        <w:rPr>
          <w:rFonts w:ascii="Arial" w:cs="Arial" w:eastAsia="Arial" w:hAnsi="Arial"/>
          <w:sz w:val="22"/>
          <w:szCs w:val="22"/>
          <w:color w:val="auto"/>
        </w:rPr>
        <w:t>for damages or other remedies of any sort, including, without limitation, compensatory damages, punitive damages, injunctive relief and attorney’s fees;</w:t>
      </w:r>
    </w:p>
    <w:p>
      <w:pPr>
        <w:spacing w:after="0" w:line="227" w:lineRule="exact"/>
        <w:rPr>
          <w:sz w:val="20"/>
          <w:szCs w:val="20"/>
          <w:color w:val="auto"/>
        </w:rPr>
      </w:pPr>
    </w:p>
    <w:p>
      <w:pPr>
        <w:ind w:left="2" w:right="60"/>
        <w:spacing w:after="0" w:line="328" w:lineRule="auto"/>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 however, that this release shall not affect your rights under this Release Agreement or under any “employee benefit</w:t>
      </w:r>
      <w:r>
        <w:rPr>
          <w:rFonts w:ascii="Arial" w:cs="Arial" w:eastAsia="Arial" w:hAnsi="Arial"/>
          <w:sz w:val="19"/>
          <w:szCs w:val="19"/>
          <w:i w:val="1"/>
          <w:iCs w:val="1"/>
          <w:color w:val="auto"/>
        </w:rPr>
        <w:t xml:space="preserve"> </w:t>
      </w:r>
      <w:r>
        <w:rPr>
          <w:rFonts w:ascii="Arial" w:cs="Arial" w:eastAsia="Arial" w:hAnsi="Arial"/>
          <w:sz w:val="19"/>
          <w:szCs w:val="19"/>
          <w:color w:val="auto"/>
        </w:rPr>
        <w:t>plan,” as that term is defined in Section 3(3) of the Employee Retirement Income Security Act, 29 U.S.C. §1002(3).</w:t>
      </w:r>
    </w:p>
    <w:p>
      <w:pPr>
        <w:spacing w:after="0" w:line="132" w:lineRule="exact"/>
        <w:rPr>
          <w:sz w:val="20"/>
          <w:szCs w:val="20"/>
          <w:color w:val="auto"/>
        </w:rPr>
      </w:pPr>
    </w:p>
    <w:p>
      <w:pPr>
        <w:ind w:left="2" w:right="400"/>
        <w:spacing w:after="0" w:line="297" w:lineRule="auto"/>
        <w:rPr>
          <w:sz w:val="20"/>
          <w:szCs w:val="20"/>
          <w:color w:val="auto"/>
        </w:rPr>
      </w:pPr>
      <w:r>
        <w:rPr>
          <w:rFonts w:ascii="Arial" w:cs="Arial" w:eastAsia="Arial" w:hAnsi="Arial"/>
          <w:sz w:val="19"/>
          <w:szCs w:val="19"/>
          <w:color w:val="auto"/>
        </w:rPr>
        <w:t>You acknowledge and represent that, except as expressly provided in this Release Agreement, the Company has paid or provided all salary, wages, bonuses, accrued vacation/paid time off, premiums, leaves, severance, reimbursable expenses, commissions, stock, stock options, vesting, and any and all other benefits and compensation due to you.</w:t>
      </w:r>
    </w:p>
    <w:p>
      <w:pPr>
        <w:spacing w:after="0" w:line="174" w:lineRule="exact"/>
        <w:rPr>
          <w:sz w:val="20"/>
          <w:szCs w:val="20"/>
          <w:color w:val="auto"/>
        </w:rPr>
      </w:pPr>
    </w:p>
    <w:p>
      <w:pPr>
        <w:jc w:val="both"/>
        <w:ind w:left="2" w:right="200"/>
        <w:spacing w:after="0" w:line="297" w:lineRule="auto"/>
        <w:rPr>
          <w:sz w:val="20"/>
          <w:szCs w:val="20"/>
          <w:color w:val="auto"/>
        </w:rPr>
      </w:pPr>
      <w:r>
        <w:rPr>
          <w:rFonts w:ascii="Arial" w:cs="Arial" w:eastAsia="Arial" w:hAnsi="Arial"/>
          <w:sz w:val="19"/>
          <w:szCs w:val="19"/>
          <w:color w:val="auto"/>
        </w:rPr>
        <w:t>You agree not to accept damages of any nature, other equitable or legal remedies for your own benefit or attorney’s fees or costs from any of the Releasees with respect to any Claim released by this Release Agreement. As a material inducement to the Company to enter into this Release Agreement, you represent that you have not assigned any Claim to any third party.</w:t>
      </w:r>
    </w:p>
    <w:p>
      <w:pPr>
        <w:spacing w:after="0" w:line="128" w:lineRule="exact"/>
        <w:rPr>
          <w:sz w:val="20"/>
          <w:szCs w:val="20"/>
          <w:color w:val="auto"/>
        </w:rPr>
      </w:pPr>
    </w:p>
    <w:p>
      <w:pPr>
        <w:ind w:left="742" w:hanging="742"/>
        <w:spacing w:after="0"/>
        <w:tabs>
          <w:tab w:leader="none" w:pos="742" w:val="left"/>
        </w:tabs>
        <w:numPr>
          <w:ilvl w:val="0"/>
          <w:numId w:val="56"/>
        </w:numPr>
        <w:rPr>
          <w:rFonts w:ascii="Arial" w:cs="Arial" w:eastAsia="Arial" w:hAnsi="Arial"/>
          <w:sz w:val="22"/>
          <w:szCs w:val="22"/>
          <w:color w:val="auto"/>
        </w:rPr>
      </w:pPr>
      <w:r>
        <w:rPr>
          <w:rFonts w:ascii="Arial" w:cs="Arial" w:eastAsia="Arial" w:hAnsi="Arial"/>
          <w:sz w:val="22"/>
          <w:szCs w:val="22"/>
          <w:b w:val="1"/>
          <w:bCs w:val="1"/>
          <w:color w:val="auto"/>
        </w:rPr>
        <w:t>Return of Property</w:t>
      </w:r>
    </w:p>
    <w:p>
      <w:pPr>
        <w:spacing w:after="0" w:line="253" w:lineRule="exact"/>
        <w:rPr>
          <w:sz w:val="20"/>
          <w:szCs w:val="20"/>
          <w:color w:val="auto"/>
        </w:rPr>
      </w:pPr>
    </w:p>
    <w:p>
      <w:pPr>
        <w:ind w:left="2"/>
        <w:spacing w:after="0" w:line="234" w:lineRule="auto"/>
        <w:rPr>
          <w:sz w:val="20"/>
          <w:szCs w:val="20"/>
          <w:color w:val="auto"/>
        </w:rPr>
      </w:pPr>
      <w:r>
        <w:rPr>
          <w:rFonts w:ascii="Arial" w:cs="Arial" w:eastAsia="Arial" w:hAnsi="Arial"/>
          <w:sz w:val="22"/>
          <w:szCs w:val="22"/>
          <w:color w:val="auto"/>
        </w:rPr>
        <w:t>In accordance with Section 3 of the Restrictive Covenants Agreement, you agree to return to the Company by the Resignation Date all Company property, including, without limitation, computer equipment, keys and access cards, credit cards and any documents (including electronic documents as well as hard copies) containing information concerning the Company, its business or its business relationships. You also commit to deleting and finally purging any duplicates of files or documents that may contain Company information from any computer or other device that remains your property after the Resignation Date. In the event that you discover that you continue to retain any such property, you shall return it to the Company immediately.</w:t>
      </w:r>
    </w:p>
    <w:p>
      <w:pPr>
        <w:spacing w:after="0" w:line="185" w:lineRule="exact"/>
        <w:rPr>
          <w:sz w:val="20"/>
          <w:szCs w:val="20"/>
          <w:color w:val="auto"/>
        </w:rPr>
      </w:pPr>
    </w:p>
    <w:p>
      <w:pPr>
        <w:ind w:left="742" w:hanging="742"/>
        <w:spacing w:after="0"/>
        <w:tabs>
          <w:tab w:leader="none" w:pos="742" w:val="left"/>
        </w:tabs>
        <w:numPr>
          <w:ilvl w:val="0"/>
          <w:numId w:val="57"/>
        </w:numPr>
        <w:rPr>
          <w:rFonts w:ascii="Arial" w:cs="Arial" w:eastAsia="Arial" w:hAnsi="Arial"/>
          <w:sz w:val="22"/>
          <w:szCs w:val="22"/>
          <w:color w:val="auto"/>
        </w:rPr>
      </w:pPr>
      <w:r>
        <w:rPr>
          <w:rFonts w:ascii="Arial" w:cs="Arial" w:eastAsia="Arial" w:hAnsi="Arial"/>
          <w:sz w:val="22"/>
          <w:szCs w:val="22"/>
          <w:b w:val="1"/>
          <w:bCs w:val="1"/>
          <w:color w:val="auto"/>
        </w:rPr>
        <w:t>Nondisparagement</w:t>
      </w:r>
    </w:p>
    <w:p>
      <w:pPr>
        <w:spacing w:after="0" w:line="239" w:lineRule="exact"/>
        <w:rPr>
          <w:sz w:val="20"/>
          <w:szCs w:val="20"/>
          <w:color w:val="auto"/>
        </w:rPr>
      </w:pPr>
    </w:p>
    <w:p>
      <w:pPr>
        <w:ind w:left="2" w:right="20"/>
        <w:spacing w:after="0" w:line="296" w:lineRule="auto"/>
        <w:rPr>
          <w:sz w:val="20"/>
          <w:szCs w:val="20"/>
          <w:color w:val="auto"/>
        </w:rPr>
      </w:pPr>
      <w:r>
        <w:rPr>
          <w:rFonts w:ascii="Arial" w:cs="Arial" w:eastAsia="Arial" w:hAnsi="Arial"/>
          <w:sz w:val="19"/>
          <w:szCs w:val="19"/>
          <w:color w:val="auto"/>
        </w:rPr>
        <w:t>In accordance with Section 10 of the Offer Letter, you agree that you will not directly or indirectly, make or ratify any statement, public or private, oral or written, to any person that disparages, either professionally or personally, the Company or any of its affiliates, past and present, and each of them, as well as its and their trustees, directors, officers, members,</w:t>
      </w:r>
    </w:p>
    <w:p>
      <w:pPr>
        <w:spacing w:after="0" w:line="2" w:lineRule="exact"/>
        <w:rPr>
          <w:sz w:val="20"/>
          <w:szCs w:val="20"/>
          <w:color w:val="auto"/>
        </w:rPr>
      </w:pPr>
    </w:p>
    <w:p>
      <w:pPr>
        <w:ind w:left="2" w:right="120"/>
        <w:spacing w:after="0"/>
        <w:rPr>
          <w:sz w:val="20"/>
          <w:szCs w:val="20"/>
          <w:color w:val="auto"/>
        </w:rPr>
      </w:pPr>
      <w:r>
        <w:rPr>
          <w:rFonts w:ascii="Arial" w:cs="Arial" w:eastAsia="Arial" w:hAnsi="Arial"/>
          <w:sz w:val="22"/>
          <w:szCs w:val="22"/>
          <w:color w:val="auto"/>
        </w:rPr>
        <w:t>managers, partners, agents, attorneys, insurers, employees, stockholders, representatives, assigns, and successors, past and present, and each of them. You represent that during the period since this Release Agreement was proposed to you, you have not made any such disparaging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350520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2"/>
          </w:cols>
          <w:pgMar w:left="478" w:top="361" w:right="539" w:bottom="1440" w:gutter="0" w:footer="0" w:header="0"/>
        </w:sectPr>
      </w:pPr>
    </w:p>
    <w:bookmarkStart w:id="88" w:name="page89"/>
    <w:bookmarkEnd w:id="88"/>
    <w:p>
      <w:pPr>
        <w:ind w:left="2" w:right="500"/>
        <w:spacing w:after="0" w:line="250" w:lineRule="auto"/>
        <w:rPr>
          <w:sz w:val="20"/>
          <w:szCs w:val="20"/>
          <w:color w:val="auto"/>
        </w:rPr>
      </w:pPr>
      <w:r>
        <w:rPr>
          <w:rFonts w:ascii="Arial" w:cs="Arial" w:eastAsia="Arial" w:hAnsi="Arial"/>
          <w:sz w:val="22"/>
          <w:szCs w:val="22"/>
          <w:color w:val="auto"/>
        </w:rPr>
        <w:t>The Company agrees to direct its C-Suite executives not to make disparaging statements about you during such persons’ employment with the Company.</w:t>
      </w:r>
    </w:p>
    <w:p>
      <w:pPr>
        <w:spacing w:after="0" w:line="169" w:lineRule="exact"/>
        <w:rPr>
          <w:sz w:val="20"/>
          <w:szCs w:val="20"/>
          <w:color w:val="auto"/>
        </w:rPr>
      </w:pPr>
    </w:p>
    <w:p>
      <w:pPr>
        <w:ind w:left="742" w:hanging="742"/>
        <w:spacing w:after="0"/>
        <w:tabs>
          <w:tab w:leader="none" w:pos="742" w:val="left"/>
        </w:tabs>
        <w:numPr>
          <w:ilvl w:val="0"/>
          <w:numId w:val="58"/>
        </w:numPr>
        <w:rPr>
          <w:rFonts w:ascii="Arial" w:cs="Arial" w:eastAsia="Arial" w:hAnsi="Arial"/>
          <w:sz w:val="22"/>
          <w:szCs w:val="22"/>
          <w:color w:val="auto"/>
        </w:rPr>
      </w:pPr>
      <w:r>
        <w:rPr>
          <w:rFonts w:ascii="Arial" w:cs="Arial" w:eastAsia="Arial" w:hAnsi="Arial"/>
          <w:sz w:val="22"/>
          <w:szCs w:val="22"/>
          <w:b w:val="1"/>
          <w:bCs w:val="1"/>
          <w:color w:val="auto"/>
        </w:rPr>
        <w:t>Confidentiality of Agreement-Related Information</w:t>
      </w:r>
    </w:p>
    <w:p>
      <w:pPr>
        <w:spacing w:after="0" w:line="253" w:lineRule="exact"/>
        <w:rPr>
          <w:sz w:val="20"/>
          <w:szCs w:val="20"/>
          <w:color w:val="auto"/>
        </w:rPr>
      </w:pPr>
    </w:p>
    <w:p>
      <w:pPr>
        <w:ind w:left="2" w:right="40"/>
        <w:spacing w:after="0" w:line="236" w:lineRule="auto"/>
        <w:rPr>
          <w:sz w:val="20"/>
          <w:szCs w:val="20"/>
          <w:color w:val="auto"/>
        </w:rPr>
      </w:pPr>
      <w:r>
        <w:rPr>
          <w:rFonts w:ascii="Arial" w:cs="Arial" w:eastAsia="Arial" w:hAnsi="Arial"/>
          <w:sz w:val="22"/>
          <w:szCs w:val="22"/>
          <w:color w:val="auto"/>
        </w:rPr>
        <w:t>You agree, to the fullest extent permitted by law, to keep all Release Agreement-Related Information completely confidential. “</w:t>
      </w:r>
      <w:r>
        <w:rPr>
          <w:rFonts w:ascii="Arial" w:cs="Arial" w:eastAsia="Arial" w:hAnsi="Arial"/>
          <w:sz w:val="22"/>
          <w:szCs w:val="22"/>
          <w:u w:val="single" w:color="auto"/>
          <w:color w:val="auto"/>
        </w:rPr>
        <w:t>Release Agreement-Related Information</w:t>
      </w:r>
      <w:r>
        <w:rPr>
          <w:rFonts w:ascii="Arial" w:cs="Arial" w:eastAsia="Arial" w:hAnsi="Arial"/>
          <w:sz w:val="22"/>
          <w:szCs w:val="22"/>
          <w:color w:val="auto"/>
        </w:rPr>
        <w:t>” means the negotiations leading to this Release Agreement and the terms of this Release Agreement.</w:t>
      </w:r>
    </w:p>
    <w:p>
      <w:pPr>
        <w:spacing w:after="0" w:line="1" w:lineRule="exact"/>
        <w:rPr>
          <w:sz w:val="20"/>
          <w:szCs w:val="20"/>
          <w:color w:val="auto"/>
        </w:rPr>
      </w:pPr>
    </w:p>
    <w:p>
      <w:pPr>
        <w:ind w:left="2" w:right="100"/>
        <w:spacing w:after="0" w:line="273" w:lineRule="auto"/>
        <w:rPr>
          <w:sz w:val="20"/>
          <w:szCs w:val="20"/>
          <w:color w:val="auto"/>
        </w:rPr>
      </w:pPr>
      <w:r>
        <w:rPr>
          <w:rFonts w:ascii="Arial" w:cs="Arial" w:eastAsia="Arial" w:hAnsi="Arial"/>
          <w:sz w:val="19"/>
          <w:szCs w:val="19"/>
          <w:color w:val="auto"/>
        </w:rPr>
        <w:t>Notwithstanding the foregoing, you may disclose Release Agreement-Related Information to your spouse, your attorney and your financial advisors (if applicable), and to them only provided that they first agree for the benefit of the Company to keep Release Agreement-Related Information confidential. You represent that during the period since this Release Agreement was proposed to you, you have not made any disclosures that would have been contrary to the foregoing obligation if it had then been in effect. Nothing in this section shall be construed to prevent you from disclosing Release Agreement-Related Information to the extent required by a lawfully issued subpoena or duly issued court order; provided that you provide the Company with advance written notice and a reasonable opportunity to contest such subpoena or court order.</w:t>
      </w:r>
    </w:p>
    <w:p>
      <w:pPr>
        <w:spacing w:after="0" w:line="153" w:lineRule="exact"/>
        <w:rPr>
          <w:sz w:val="20"/>
          <w:szCs w:val="20"/>
          <w:color w:val="auto"/>
        </w:rPr>
      </w:pPr>
    </w:p>
    <w:p>
      <w:pPr>
        <w:ind w:left="742" w:hanging="742"/>
        <w:spacing w:after="0"/>
        <w:tabs>
          <w:tab w:leader="none" w:pos="742"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Protected Disclosures and Other Protected Actions</w:t>
      </w:r>
    </w:p>
    <w:p>
      <w:pPr>
        <w:spacing w:after="0" w:line="239" w:lineRule="exact"/>
        <w:rPr>
          <w:sz w:val="20"/>
          <w:szCs w:val="20"/>
          <w:color w:val="auto"/>
        </w:rPr>
      </w:pPr>
    </w:p>
    <w:p>
      <w:pPr>
        <w:ind w:left="2"/>
        <w:spacing w:after="0" w:line="245" w:lineRule="auto"/>
        <w:rPr>
          <w:sz w:val="20"/>
          <w:szCs w:val="20"/>
          <w:color w:val="auto"/>
        </w:rPr>
      </w:pPr>
      <w:r>
        <w:rPr>
          <w:rFonts w:ascii="Arial" w:cs="Arial" w:eastAsia="Arial" w:hAnsi="Arial"/>
          <w:sz w:val="21"/>
          <w:szCs w:val="21"/>
          <w:color w:val="auto"/>
        </w:rPr>
        <w:t>Nothing contained in this Release Agreement limits your ability to file a charge or complaint with any federal, state or local governmental agency or commission (a “</w:t>
      </w:r>
      <w:r>
        <w:rPr>
          <w:rFonts w:ascii="Arial" w:cs="Arial" w:eastAsia="Arial" w:hAnsi="Arial"/>
          <w:sz w:val="21"/>
          <w:szCs w:val="21"/>
          <w:u w:val="single" w:color="auto"/>
          <w:color w:val="auto"/>
        </w:rPr>
        <w:t>Government Agency</w:t>
      </w:r>
      <w:r>
        <w:rPr>
          <w:rFonts w:ascii="Arial" w:cs="Arial" w:eastAsia="Arial" w:hAnsi="Arial"/>
          <w:sz w:val="21"/>
          <w:szCs w:val="21"/>
          <w:color w:val="auto"/>
        </w:rPr>
        <w:t xml:space="preserve">”). In addition, nothing contained in this Release Agreement limits your ability to communicate with any Government Agency or otherwise participate in any investigation or proceeding that may be conducted by any Government Agency, including your ability to provide documents or other information, without notice to the Company, nor does anything contained in this Release Agreement apply to truthful testimony in litigation. If you file any charge or complaint with any Government Agency and if the Government Agency pursues any claim on your behalf, or if any other third party pursues any claim on your behalf, you waive any right to monetary or other individualized relief (either individually, or as part of any collective or class action);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nothing in this Release Agreement limits any right you may have to receive a whistleblower award or bounty for information provided to the Securities and Exchange Commission.</w:t>
      </w:r>
    </w:p>
    <w:p>
      <w:pPr>
        <w:spacing w:after="0" w:line="175" w:lineRule="exact"/>
        <w:rPr>
          <w:sz w:val="20"/>
          <w:szCs w:val="20"/>
          <w:color w:val="auto"/>
        </w:rPr>
      </w:pPr>
    </w:p>
    <w:p>
      <w:pPr>
        <w:ind w:left="742" w:hanging="742"/>
        <w:spacing w:after="0"/>
        <w:tabs>
          <w:tab w:leader="none" w:pos="742"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Defend Trade Secrets Act</w:t>
      </w:r>
    </w:p>
    <w:p>
      <w:pPr>
        <w:spacing w:after="0" w:line="253" w:lineRule="exact"/>
        <w:rPr>
          <w:sz w:val="20"/>
          <w:szCs w:val="20"/>
          <w:color w:val="auto"/>
        </w:rPr>
      </w:pPr>
    </w:p>
    <w:p>
      <w:pPr>
        <w:ind w:left="2" w:right="80"/>
        <w:spacing w:after="0" w:line="236" w:lineRule="auto"/>
        <w:rPr>
          <w:sz w:val="20"/>
          <w:szCs w:val="20"/>
          <w:color w:val="auto"/>
        </w:rPr>
      </w:pPr>
      <w:r>
        <w:rPr>
          <w:rFonts w:ascii="Arial" w:cs="Arial" w:eastAsia="Arial" w:hAnsi="Arial"/>
          <w:sz w:val="22"/>
          <w:szCs w:val="22"/>
          <w:color w:val="auto"/>
        </w:rPr>
        <w:t>For the avoidance of doubt, pursuant to the federal Defend Trade Secrets Act of 2016, you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46" w:lineRule="exact"/>
        <w:rPr>
          <w:sz w:val="20"/>
          <w:szCs w:val="20"/>
          <w:color w:val="auto"/>
        </w:rPr>
      </w:pPr>
    </w:p>
    <w:p>
      <w:pPr>
        <w:ind w:left="742" w:hanging="742"/>
        <w:spacing w:after="0"/>
        <w:tabs>
          <w:tab w:leader="none" w:pos="742" w:val="left"/>
        </w:tabs>
        <w:numPr>
          <w:ilvl w:val="0"/>
          <w:numId w:val="61"/>
        </w:numPr>
        <w:rPr>
          <w:rFonts w:ascii="Arial" w:cs="Arial" w:eastAsia="Arial" w:hAnsi="Arial"/>
          <w:sz w:val="22"/>
          <w:szCs w:val="22"/>
          <w:color w:val="auto"/>
        </w:rPr>
      </w:pPr>
      <w:r>
        <w:rPr>
          <w:rFonts w:ascii="Arial" w:cs="Arial" w:eastAsia="Arial" w:hAnsi="Arial"/>
          <w:sz w:val="22"/>
          <w:szCs w:val="22"/>
          <w:b w:val="1"/>
          <w:bCs w:val="1"/>
          <w:color w:val="auto"/>
        </w:rPr>
        <w:t>Other Provisions</w:t>
      </w:r>
    </w:p>
    <w:p>
      <w:pPr>
        <w:spacing w:after="0" w:line="239" w:lineRule="exact"/>
        <w:rPr>
          <w:sz w:val="20"/>
          <w:szCs w:val="20"/>
          <w:color w:val="auto"/>
        </w:rPr>
      </w:pPr>
    </w:p>
    <w:p>
      <w:pPr>
        <w:ind w:left="2" w:firstLine="749"/>
        <w:spacing w:after="0" w:line="297" w:lineRule="auto"/>
        <w:rPr>
          <w:sz w:val="20"/>
          <w:szCs w:val="20"/>
          <w:color w:val="auto"/>
        </w:rPr>
      </w:pPr>
      <w:r>
        <w:rPr>
          <w:rFonts w:ascii="Arial" w:cs="Arial" w:eastAsia="Arial" w:hAnsi="Arial"/>
          <w:sz w:val="19"/>
          <w:szCs w:val="19"/>
          <w:color w:val="auto"/>
        </w:rPr>
        <w:t>a.</w:t>
      </w:r>
      <w:r>
        <w:rPr>
          <w:rFonts w:ascii="Arial" w:cs="Arial" w:eastAsia="Arial" w:hAnsi="Arial"/>
          <w:sz w:val="19"/>
          <w:szCs w:val="19"/>
          <w:u w:val="single" w:color="auto"/>
          <w:color w:val="auto"/>
        </w:rPr>
        <w:t>Termination and Return of Payments; Certain Remedies</w:t>
      </w:r>
      <w:r>
        <w:rPr>
          <w:rFonts w:ascii="Arial" w:cs="Arial" w:eastAsia="Arial" w:hAnsi="Arial"/>
          <w:sz w:val="19"/>
          <w:szCs w:val="19"/>
          <w:color w:val="auto"/>
        </w:rPr>
        <w:t>. If you materially breach any of your obligations under this Release Agreement, the Consulting Agreement or any Continuing Obligation, in addition to any other legal or equitable remedies it may have for such breach, the Company shall have the right to: (i) terminate the Transition Period, (ii) cancel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171450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2"/>
          </w:cols>
          <w:pgMar w:left="478" w:top="361" w:right="519" w:bottom="1440" w:gutter="0" w:footer="0" w:header="0"/>
        </w:sectPr>
      </w:pPr>
    </w:p>
    <w:bookmarkStart w:id="89" w:name="page90"/>
    <w:bookmarkEnd w:id="89"/>
    <w:p>
      <w:pPr>
        <w:spacing w:after="0" w:line="279" w:lineRule="auto"/>
        <w:rPr>
          <w:sz w:val="20"/>
          <w:szCs w:val="20"/>
          <w:color w:val="auto"/>
        </w:rPr>
      </w:pPr>
      <w:r>
        <w:rPr>
          <w:rFonts w:ascii="Arial" w:cs="Arial" w:eastAsia="Arial" w:hAnsi="Arial"/>
          <w:sz w:val="19"/>
          <w:szCs w:val="19"/>
          <w:color w:val="auto"/>
        </w:rPr>
        <w:t>equity that has vested during the Transition Period and instruct you to reimburse the Company for any proceeds resulting from the sale of any equity that vested during the Transition Period, and/or (iii) enforce the return of its non-wage payments to you or for your benefit under this Release Agreement. If the Company initiates (i), (ii) or (iii) in the preceding sentence due to a breach, you shall continue to be subject to the Ongoing Obligations Without limiting the Company’s remedies hereunder, if the Company prevails in any action to enforce this Release Agreement, then you shall be liable to the Company for reasonable attorneys’ fees and costs incurred by the Company in connection with such action.</w:t>
      </w:r>
    </w:p>
    <w:p>
      <w:pPr>
        <w:spacing w:after="0" w:line="191" w:lineRule="exact"/>
        <w:rPr>
          <w:sz w:val="20"/>
          <w:szCs w:val="20"/>
          <w:color w:val="auto"/>
        </w:rPr>
      </w:pPr>
    </w:p>
    <w:p>
      <w:pPr>
        <w:ind w:right="180" w:firstLine="749"/>
        <w:spacing w:after="0" w:line="236" w:lineRule="auto"/>
        <w:rPr>
          <w:sz w:val="20"/>
          <w:szCs w:val="20"/>
          <w:color w:val="auto"/>
        </w:rPr>
      </w:pPr>
      <w:r>
        <w:rPr>
          <w:rFonts w:ascii="Arial" w:cs="Arial" w:eastAsia="Arial" w:hAnsi="Arial"/>
          <w:sz w:val="22"/>
          <w:szCs w:val="22"/>
          <w:color w:val="auto"/>
        </w:rPr>
        <w:t>b.</w:t>
      </w:r>
      <w:r>
        <w:rPr>
          <w:rFonts w:ascii="Arial" w:cs="Arial" w:eastAsia="Arial" w:hAnsi="Arial"/>
          <w:sz w:val="22"/>
          <w:szCs w:val="22"/>
          <w:u w:val="single" w:color="auto"/>
          <w:color w:val="auto"/>
        </w:rPr>
        <w:t>Enforceability</w:t>
      </w:r>
      <w:r>
        <w:rPr>
          <w:rFonts w:ascii="Arial" w:cs="Arial" w:eastAsia="Arial" w:hAnsi="Arial"/>
          <w:sz w:val="22"/>
          <w:szCs w:val="22"/>
          <w:color w:val="auto"/>
        </w:rPr>
        <w:t>. If any provision of this Release Agreement is held to be unenforceable, this Release Agreement will be deemed amended to the extent necessary to render the otherwise unenforceable provision, and the rest of the Release Agreement, valid and enforceable. If a court declines to amend this Release Agreement as provided herein, the invalidity or unenforceability of any provision of this Release Agreement shall not affect the validity or enforceability of the remaining provisions.</w:t>
      </w:r>
    </w:p>
    <w:p>
      <w:pPr>
        <w:spacing w:after="0" w:line="214" w:lineRule="exact"/>
        <w:rPr>
          <w:sz w:val="20"/>
          <w:szCs w:val="20"/>
          <w:color w:val="auto"/>
        </w:rPr>
      </w:pPr>
    </w:p>
    <w:p>
      <w:pPr>
        <w:ind w:right="40" w:firstLine="749"/>
        <w:spacing w:after="0"/>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u w:val="single" w:color="auto"/>
          <w:color w:val="auto"/>
        </w:rPr>
        <w:t>Waiver; Absence of Reliance</w:t>
      </w:r>
      <w:r>
        <w:rPr>
          <w:rFonts w:ascii="Arial" w:cs="Arial" w:eastAsia="Arial" w:hAnsi="Arial"/>
          <w:sz w:val="22"/>
          <w:szCs w:val="22"/>
          <w:color w:val="auto"/>
        </w:rPr>
        <w:t>. No waiver of any provision of this Release Agreement shall be effective unless made in writing and signed by the waiving party. In signing this Release Agreement, you are not relying upon any promises or representations made by anyone at or on behalf of the Company.</w:t>
      </w:r>
    </w:p>
    <w:p>
      <w:pPr>
        <w:spacing w:after="0" w:line="227" w:lineRule="exact"/>
        <w:rPr>
          <w:sz w:val="20"/>
          <w:szCs w:val="20"/>
          <w:color w:val="auto"/>
        </w:rPr>
      </w:pPr>
    </w:p>
    <w:p>
      <w:pPr>
        <w:ind w:right="60" w:firstLine="749"/>
        <w:spacing w:after="0" w:line="282" w:lineRule="auto"/>
        <w:rPr>
          <w:sz w:val="20"/>
          <w:szCs w:val="20"/>
          <w:color w:val="auto"/>
        </w:rPr>
      </w:pPr>
      <w:r>
        <w:rPr>
          <w:rFonts w:ascii="Arial" w:cs="Arial" w:eastAsia="Arial" w:hAnsi="Arial"/>
          <w:sz w:val="19"/>
          <w:szCs w:val="19"/>
          <w:color w:val="auto"/>
        </w:rPr>
        <w:t>d.</w:t>
      </w:r>
      <w:r>
        <w:rPr>
          <w:rFonts w:ascii="Arial" w:cs="Arial" w:eastAsia="Arial" w:hAnsi="Arial"/>
          <w:sz w:val="19"/>
          <w:szCs w:val="19"/>
          <w:u w:val="single" w:color="auto"/>
          <w:color w:val="auto"/>
        </w:rPr>
        <w:t>Jurisdiction; Governing Law; Interpretation</w:t>
      </w:r>
      <w:r>
        <w:rPr>
          <w:rFonts w:ascii="Arial" w:cs="Arial" w:eastAsia="Arial" w:hAnsi="Arial"/>
          <w:sz w:val="19"/>
          <w:szCs w:val="19"/>
          <w:color w:val="auto"/>
        </w:rPr>
        <w:t>. You and the Company hereby agree that the state and federal courts of Massachusetts shall have the exclusive jurisdiction to consider any matters related to this Release Agreement. With respect to any such court action, you submit to the jurisdiction and venue of such courts, you acknowledge that venue in such courts is proper and you waive any right to a jury with respect to any such action. This Release Agreement shall be interpreted and enforced under the laws of Massachusetts, without regard to conflict of law principles.</w:t>
      </w:r>
    </w:p>
    <w:p>
      <w:pPr>
        <w:spacing w:after="0" w:line="188" w:lineRule="exact"/>
        <w:rPr>
          <w:sz w:val="20"/>
          <w:szCs w:val="20"/>
          <w:color w:val="auto"/>
        </w:rPr>
      </w:pPr>
    </w:p>
    <w:p>
      <w:pPr>
        <w:ind w:right="320" w:firstLine="749"/>
        <w:spacing w:after="0"/>
        <w:rPr>
          <w:sz w:val="20"/>
          <w:szCs w:val="20"/>
          <w:color w:val="auto"/>
        </w:rPr>
      </w:pPr>
      <w:r>
        <w:rPr>
          <w:rFonts w:ascii="Arial" w:cs="Arial" w:eastAsia="Arial" w:hAnsi="Arial"/>
          <w:sz w:val="22"/>
          <w:szCs w:val="22"/>
          <w:color w:val="auto"/>
        </w:rPr>
        <w:t>e.</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Release Agreement, the Equity Documents, the Consulting Agreement and the Ongoing Obligations, constitute the entire agreement between you and the Company and supersedes any previous agreements or understandings between you and the Company.</w:t>
      </w:r>
    </w:p>
    <w:p>
      <w:pPr>
        <w:spacing w:after="0" w:line="213" w:lineRule="exact"/>
        <w:rPr>
          <w:sz w:val="20"/>
          <w:szCs w:val="20"/>
          <w:color w:val="auto"/>
        </w:rPr>
      </w:pPr>
    </w:p>
    <w:p>
      <w:pPr>
        <w:ind w:firstLine="749"/>
        <w:spacing w:after="0" w:line="235" w:lineRule="auto"/>
        <w:rPr>
          <w:sz w:val="20"/>
          <w:szCs w:val="20"/>
          <w:color w:val="auto"/>
        </w:rPr>
      </w:pPr>
      <w:r>
        <w:rPr>
          <w:rFonts w:ascii="Arial" w:cs="Arial" w:eastAsia="Arial" w:hAnsi="Arial"/>
          <w:sz w:val="22"/>
          <w:szCs w:val="22"/>
          <w:color w:val="auto"/>
        </w:rPr>
        <w:t>f.</w:t>
      </w:r>
      <w:r>
        <w:rPr>
          <w:rFonts w:ascii="Arial" w:cs="Arial" w:eastAsia="Arial" w:hAnsi="Arial"/>
          <w:sz w:val="22"/>
          <w:szCs w:val="22"/>
          <w:u w:val="single" w:color="auto"/>
          <w:color w:val="auto"/>
        </w:rPr>
        <w:t>Time for Consideration; Effective Date</w:t>
      </w:r>
      <w:r>
        <w:rPr>
          <w:rFonts w:ascii="Arial" w:cs="Arial" w:eastAsia="Arial" w:hAnsi="Arial"/>
          <w:sz w:val="22"/>
          <w:szCs w:val="22"/>
          <w:color w:val="auto"/>
        </w:rPr>
        <w:t>. You acknowledge that you have knowingly and voluntarily entered into this Release Agreement and that the Company advises you to consult with an attorney before signing this Release Agreement. By entering into this Release Agreement, you acknowledge that you have been given the opportunity to consider this Release Agreement for twenty-one (21) days from your receipt of this Release Agreement before signing it (the “</w:t>
      </w:r>
      <w:r>
        <w:rPr>
          <w:rFonts w:ascii="Arial" w:cs="Arial" w:eastAsia="Arial" w:hAnsi="Arial"/>
          <w:sz w:val="22"/>
          <w:szCs w:val="22"/>
          <w:u w:val="single" w:color="auto"/>
          <w:color w:val="auto"/>
        </w:rPr>
        <w:t>Consideration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Period</w:t>
      </w:r>
      <w:r>
        <w:rPr>
          <w:rFonts w:ascii="Arial" w:cs="Arial" w:eastAsia="Arial" w:hAnsi="Arial"/>
          <w:sz w:val="22"/>
          <w:szCs w:val="22"/>
          <w:color w:val="auto"/>
        </w:rPr>
        <w:t>”). To accept this Release Agreement, you must return a signed original or a signed PDF copy of this Release Agreement so that it is received by the</w:t>
      </w:r>
    </w:p>
    <w:p>
      <w:pPr>
        <w:spacing w:after="0" w:line="53"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undersigned at or before the expiration of the Consideration Period. If you sign this Release Agreement before the end of the Consideration Period, you acknowledge that such decision was entirely voluntary and that you had the opportunity to consider this Release Agreement for the entire Consideration Period. For the period of seven (7) days from the date when you sign this Release Agreement, you have the right to revoke this Release Agreement by written notice to the undersigned, provided that such notice is delivered so that it is received at or before the expiration of the seven (7) day revocation period. This Release Agreement shall not become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205740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361" w:right="499" w:bottom="1440" w:gutter="0" w:footer="0" w:header="0"/>
        </w:sectPr>
      </w:pPr>
    </w:p>
    <w:bookmarkStart w:id="90" w:name="page91"/>
    <w:bookmarkEnd w:id="90"/>
    <w:p>
      <w:pPr>
        <w:ind w:left="160" w:right="160"/>
        <w:spacing w:after="0" w:line="250" w:lineRule="auto"/>
        <w:rPr>
          <w:sz w:val="20"/>
          <w:szCs w:val="20"/>
          <w:color w:val="auto"/>
        </w:rPr>
      </w:pPr>
      <w:r>
        <w:rPr>
          <w:rFonts w:ascii="Arial" w:cs="Arial" w:eastAsia="Arial" w:hAnsi="Arial"/>
          <w:sz w:val="22"/>
          <w:szCs w:val="22"/>
          <w:color w:val="auto"/>
        </w:rPr>
        <w:t>effective or enforceable during the revocation period. This Release Agreement shall become effective on the first business day following the expiration of the revocation period (the “</w:t>
      </w:r>
      <w:r>
        <w:rPr>
          <w:rFonts w:ascii="Arial" w:cs="Arial" w:eastAsia="Arial" w:hAnsi="Arial"/>
          <w:sz w:val="22"/>
          <w:szCs w:val="22"/>
          <w:u w:val="single" w:color="auto"/>
          <w:color w:val="auto"/>
        </w:rPr>
        <w:t>Effective Date</w:t>
      </w:r>
      <w:r>
        <w:rPr>
          <w:rFonts w:ascii="Arial" w:cs="Arial" w:eastAsia="Arial" w:hAnsi="Arial"/>
          <w:sz w:val="22"/>
          <w:szCs w:val="22"/>
          <w:color w:val="auto"/>
        </w:rPr>
        <w:t>”).</w:t>
      </w:r>
    </w:p>
    <w:p>
      <w:pPr>
        <w:spacing w:after="0" w:line="215" w:lineRule="exact"/>
        <w:rPr>
          <w:sz w:val="20"/>
          <w:szCs w:val="20"/>
          <w:color w:val="auto"/>
        </w:rPr>
      </w:pPr>
    </w:p>
    <w:p>
      <w:pPr>
        <w:ind w:left="160" w:right="200" w:firstLine="749"/>
        <w:spacing w:after="0" w:line="250" w:lineRule="auto"/>
        <w:rPr>
          <w:sz w:val="20"/>
          <w:szCs w:val="20"/>
          <w:color w:val="auto"/>
        </w:rPr>
      </w:pPr>
      <w:r>
        <w:rPr>
          <w:rFonts w:ascii="Arial" w:cs="Arial" w:eastAsia="Arial" w:hAnsi="Arial"/>
          <w:sz w:val="22"/>
          <w:szCs w:val="22"/>
          <w:color w:val="auto"/>
        </w:rPr>
        <w:t>g.</w:t>
      </w:r>
      <w:r>
        <w:rPr>
          <w:rFonts w:ascii="Arial" w:cs="Arial" w:eastAsia="Arial" w:hAnsi="Arial"/>
          <w:sz w:val="22"/>
          <w:szCs w:val="22"/>
          <w:u w:val="single" w:color="auto"/>
          <w:color w:val="auto"/>
        </w:rPr>
        <w:t>Counterparts</w:t>
      </w:r>
      <w:r>
        <w:rPr>
          <w:rFonts w:ascii="Arial" w:cs="Arial" w:eastAsia="Arial" w:hAnsi="Arial"/>
          <w:sz w:val="22"/>
          <w:szCs w:val="22"/>
          <w:color w:val="auto"/>
        </w:rPr>
        <w:t>. This Release Agreement may be executed in separate counterparts. When all counterparts are signed, they shall be treated together as one and the same document.</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60" w:right="840"/>
        <w:spacing w:after="0" w:line="250" w:lineRule="auto"/>
        <w:rPr>
          <w:sz w:val="20"/>
          <w:szCs w:val="20"/>
          <w:color w:val="auto"/>
        </w:rPr>
      </w:pPr>
      <w:r>
        <w:rPr>
          <w:rFonts w:ascii="Arial" w:cs="Arial" w:eastAsia="Arial" w:hAnsi="Arial"/>
          <w:sz w:val="22"/>
          <w:szCs w:val="22"/>
          <w:color w:val="auto"/>
        </w:rPr>
        <w:t>Please indicate your agreement to the terms of this Release Agreement by signing and returning to the undersigned the original or a PDF copy of this letter within the time period set forth above.</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22"/>
          <w:szCs w:val="22"/>
          <w:color w:val="auto"/>
        </w:rPr>
        <w:t>Very truly yours, Aura Biosciences,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60" w:type="dxa"/>
        <w:tblCellMar>
          <w:top w:w="0" w:type="dxa"/>
          <w:left w:w="0" w:type="dxa"/>
          <w:bottom w:w="0" w:type="dxa"/>
          <w:right w:w="0" w:type="dxa"/>
        </w:tblCellMar>
      </w:tblPr>
      <w:tr>
        <w:trPr>
          <w:trHeight w:val="253"/>
        </w:trPr>
        <w:tc>
          <w:tcPr>
            <w:tcW w:w="4700" w:type="dxa"/>
            <w:vAlign w:val="bottom"/>
            <w:gridSpan w:val="2"/>
          </w:tcPr>
          <w:p>
            <w:pPr>
              <w:spacing w:after="0"/>
              <w:rPr>
                <w:sz w:val="20"/>
                <w:szCs w:val="20"/>
                <w:color w:val="auto"/>
              </w:rPr>
            </w:pPr>
            <w:r>
              <w:rPr>
                <w:rFonts w:ascii="Arial" w:cs="Arial" w:eastAsia="Arial" w:hAnsi="Arial"/>
                <w:sz w:val="22"/>
                <w:szCs w:val="22"/>
                <w:color w:val="auto"/>
              </w:rPr>
              <w:t>/s/ Elisabet de los Pinos</w:t>
            </w:r>
          </w:p>
        </w:tc>
        <w:tc>
          <w:tcPr>
            <w:tcW w:w="860" w:type="dxa"/>
            <w:vAlign w:val="bottom"/>
          </w:tcPr>
          <w:p>
            <w:pPr>
              <w:jc w:val="right"/>
              <w:spacing w:after="0"/>
              <w:rPr>
                <w:sz w:val="20"/>
                <w:szCs w:val="20"/>
                <w:color w:val="auto"/>
              </w:rPr>
            </w:pPr>
            <w:r>
              <w:rPr>
                <w:rFonts w:ascii="Arial" w:cs="Arial" w:eastAsia="Arial" w:hAnsi="Arial"/>
                <w:sz w:val="22"/>
                <w:szCs w:val="22"/>
                <w:color w:val="auto"/>
                <w:w w:val="85"/>
              </w:rPr>
              <w:t>9/28/2023</w:t>
            </w:r>
          </w:p>
        </w:tc>
      </w:tr>
      <w:tr>
        <w:trPr>
          <w:trHeight w:val="20"/>
        </w:trPr>
        <w:tc>
          <w:tcPr>
            <w:tcW w:w="204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r>
        <w:trPr>
          <w:trHeight w:val="242"/>
        </w:trPr>
        <w:tc>
          <w:tcPr>
            <w:tcW w:w="4700" w:type="dxa"/>
            <w:vAlign w:val="bottom"/>
            <w:gridSpan w:val="2"/>
          </w:tcPr>
          <w:p>
            <w:pPr>
              <w:ind w:left="120"/>
              <w:spacing w:after="0" w:line="242" w:lineRule="exact"/>
              <w:rPr>
                <w:sz w:val="20"/>
                <w:szCs w:val="20"/>
                <w:color w:val="auto"/>
              </w:rPr>
            </w:pPr>
            <w:r>
              <w:rPr>
                <w:rFonts w:ascii="Arial" w:cs="Arial" w:eastAsia="Arial" w:hAnsi="Arial"/>
                <w:sz w:val="22"/>
                <w:szCs w:val="22"/>
                <w:color w:val="auto"/>
              </w:rPr>
              <w:t>Elisabet de los Pinos, PhD</w:t>
            </w:r>
          </w:p>
        </w:tc>
        <w:tc>
          <w:tcPr>
            <w:tcW w:w="860" w:type="dxa"/>
            <w:vAlign w:val="bottom"/>
          </w:tcPr>
          <w:p>
            <w:pPr>
              <w:jc w:val="right"/>
              <w:ind w:right="232"/>
              <w:spacing w:after="0" w:line="242" w:lineRule="exact"/>
              <w:rPr>
                <w:sz w:val="20"/>
                <w:szCs w:val="20"/>
                <w:color w:val="auto"/>
              </w:rPr>
            </w:pPr>
            <w:r>
              <w:rPr>
                <w:rFonts w:ascii="Arial" w:cs="Arial" w:eastAsia="Arial" w:hAnsi="Arial"/>
                <w:sz w:val="22"/>
                <w:szCs w:val="22"/>
                <w:color w:val="auto"/>
              </w:rPr>
              <w:t>Date</w:t>
            </w:r>
          </w:p>
        </w:tc>
      </w:tr>
      <w:tr>
        <w:trPr>
          <w:trHeight w:val="274"/>
        </w:trPr>
        <w:tc>
          <w:tcPr>
            <w:tcW w:w="4700" w:type="dxa"/>
            <w:vAlign w:val="bottom"/>
            <w:gridSpan w:val="2"/>
          </w:tcPr>
          <w:p>
            <w:pPr>
              <w:ind w:left="120"/>
              <w:spacing w:after="0"/>
              <w:rPr>
                <w:sz w:val="20"/>
                <w:szCs w:val="20"/>
                <w:color w:val="auto"/>
              </w:rPr>
            </w:pPr>
            <w:r>
              <w:rPr>
                <w:rFonts w:ascii="Arial" w:cs="Arial" w:eastAsia="Arial" w:hAnsi="Arial"/>
                <w:sz w:val="22"/>
                <w:szCs w:val="22"/>
                <w:color w:val="auto"/>
              </w:rPr>
              <w:t>Chief Executive Officer</w:t>
            </w:r>
          </w:p>
        </w:tc>
        <w:tc>
          <w:tcPr>
            <w:tcW w:w="8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160" w:right="280"/>
        <w:spacing w:after="0" w:line="297" w:lineRule="auto"/>
        <w:rPr>
          <w:sz w:val="20"/>
          <w:szCs w:val="20"/>
          <w:color w:val="auto"/>
        </w:rPr>
      </w:pPr>
      <w:r>
        <w:rPr>
          <w:rFonts w:ascii="Arial" w:cs="Arial" w:eastAsia="Arial" w:hAnsi="Arial"/>
          <w:sz w:val="19"/>
          <w:szCs w:val="19"/>
          <w:color w:val="auto"/>
        </w:rPr>
        <w:t>You are advised to consult with an attorney before signing this Release Agreement. This is a legal document. Your signature will commit you to its terms. By signing below, you acknowledge that you have carefully read and fully understand all of the provisions of this Release Agreement and that you are knowingly and voluntarily entering into this Release Agreement.</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 w:type="dxa"/>
            <w:vAlign w:val="bottom"/>
          </w:tcPr>
          <w:p>
            <w:pPr>
              <w:spacing w:after="0"/>
              <w:rPr>
                <w:sz w:val="21"/>
                <w:szCs w:val="21"/>
                <w:color w:val="auto"/>
              </w:rPr>
            </w:pPr>
          </w:p>
        </w:tc>
        <w:tc>
          <w:tcPr>
            <w:tcW w:w="3000" w:type="dxa"/>
            <w:vAlign w:val="bottom"/>
            <w:gridSpan w:val="2"/>
          </w:tcPr>
          <w:p>
            <w:pPr>
              <w:spacing w:after="0"/>
              <w:rPr>
                <w:sz w:val="20"/>
                <w:szCs w:val="20"/>
                <w:color w:val="auto"/>
              </w:rPr>
            </w:pPr>
            <w:r>
              <w:rPr>
                <w:rFonts w:ascii="Arial" w:cs="Arial" w:eastAsia="Arial" w:hAnsi="Arial"/>
                <w:sz w:val="22"/>
                <w:szCs w:val="22"/>
                <w:color w:val="auto"/>
              </w:rPr>
              <w:t>/s/ Cadmus Rich</w:t>
            </w:r>
          </w:p>
        </w:tc>
        <w:tc>
          <w:tcPr>
            <w:tcW w:w="8080" w:type="dxa"/>
            <w:vAlign w:val="bottom"/>
            <w:gridSpan w:val="3"/>
          </w:tcPr>
          <w:p>
            <w:pPr>
              <w:ind w:left="1560"/>
              <w:spacing w:after="0"/>
              <w:rPr>
                <w:sz w:val="20"/>
                <w:szCs w:val="20"/>
                <w:color w:val="auto"/>
              </w:rPr>
            </w:pPr>
            <w:r>
              <w:rPr>
                <w:rFonts w:ascii="Arial" w:cs="Arial" w:eastAsia="Arial" w:hAnsi="Arial"/>
                <w:sz w:val="22"/>
                <w:szCs w:val="22"/>
                <w:color w:val="auto"/>
              </w:rPr>
              <w:t>9/28/2023</w:t>
            </w:r>
          </w:p>
        </w:tc>
      </w:tr>
      <w:tr>
        <w:trPr>
          <w:trHeight w:val="20"/>
        </w:trPr>
        <w:tc>
          <w:tcPr>
            <w:tcW w:w="1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r>
        <w:trPr>
          <w:trHeight w:val="274"/>
        </w:trPr>
        <w:tc>
          <w:tcPr>
            <w:tcW w:w="160" w:type="dxa"/>
            <w:vAlign w:val="bottom"/>
          </w:tcPr>
          <w:p>
            <w:pPr>
              <w:spacing w:after="0"/>
              <w:rPr>
                <w:sz w:val="23"/>
                <w:szCs w:val="23"/>
                <w:color w:val="auto"/>
              </w:rPr>
            </w:pPr>
          </w:p>
        </w:tc>
        <w:tc>
          <w:tcPr>
            <w:tcW w:w="3000" w:type="dxa"/>
            <w:vAlign w:val="bottom"/>
            <w:gridSpan w:val="2"/>
          </w:tcPr>
          <w:p>
            <w:pPr>
              <w:spacing w:after="0"/>
              <w:rPr>
                <w:sz w:val="20"/>
                <w:szCs w:val="20"/>
                <w:color w:val="auto"/>
              </w:rPr>
            </w:pPr>
            <w:r>
              <w:rPr>
                <w:rFonts w:ascii="Arial" w:cs="Arial" w:eastAsia="Arial" w:hAnsi="Arial"/>
                <w:sz w:val="22"/>
                <w:szCs w:val="22"/>
                <w:color w:val="auto"/>
              </w:rPr>
              <w:t>Dr. Cadmus Rich</w:t>
            </w:r>
          </w:p>
        </w:tc>
        <w:tc>
          <w:tcPr>
            <w:tcW w:w="8080" w:type="dxa"/>
            <w:vAlign w:val="bottom"/>
            <w:gridSpan w:val="3"/>
          </w:tcPr>
          <w:p>
            <w:pPr>
              <w:ind w:left="1520"/>
              <w:spacing w:after="0"/>
              <w:rPr>
                <w:sz w:val="20"/>
                <w:szCs w:val="20"/>
                <w:color w:val="auto"/>
              </w:rPr>
            </w:pPr>
            <w:r>
              <w:rPr>
                <w:rFonts w:ascii="Arial" w:cs="Arial" w:eastAsia="Arial" w:hAnsi="Arial"/>
                <w:sz w:val="22"/>
                <w:szCs w:val="22"/>
                <w:color w:val="auto"/>
              </w:rPr>
              <w:t>Date</w:t>
            </w:r>
          </w:p>
        </w:tc>
      </w:tr>
      <w:tr>
        <w:trPr>
          <w:trHeight w:val="348"/>
        </w:trPr>
        <w:tc>
          <w:tcPr>
            <w:tcW w:w="1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PERSONAL AND CONFIDENTIAL</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Dr. Cadmus Rich</w:t>
      </w:r>
    </w:p>
    <w:p>
      <w:pPr>
        <w:spacing w:after="0" w:line="227"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Re:</w:t>
      </w:r>
      <w:r>
        <w:rPr>
          <w:sz w:val="20"/>
          <w:szCs w:val="20"/>
          <w:color w:val="auto"/>
        </w:rPr>
        <w:tab/>
      </w:r>
      <w:r>
        <w:rPr>
          <w:rFonts w:ascii="Arial" w:cs="Arial" w:eastAsia="Arial" w:hAnsi="Arial"/>
          <w:sz w:val="19"/>
          <w:szCs w:val="19"/>
          <w:b w:val="1"/>
          <w:bCs w:val="1"/>
          <w:color w:val="auto"/>
        </w:rPr>
        <w:t>Resignation and Consulting Agreement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Dear Dr. Rich:</w:t>
      </w:r>
    </w:p>
    <w:p>
      <w:pPr>
        <w:spacing w:after="0" w:line="206"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This letter confirms your resignation from your employment with Aura Biosciences, Inc. (the “</w:t>
      </w:r>
      <w:r>
        <w:rPr>
          <w:rFonts w:ascii="Arial" w:cs="Arial" w:eastAsia="Arial" w:hAnsi="Arial"/>
          <w:sz w:val="22"/>
          <w:szCs w:val="22"/>
          <w:u w:val="single" w:color="auto"/>
          <w:color w:val="auto"/>
        </w:rPr>
        <w:t>Company</w:t>
      </w:r>
      <w:r>
        <w:rPr>
          <w:rFonts w:ascii="Arial" w:cs="Arial" w:eastAsia="Arial" w:hAnsi="Arial"/>
          <w:sz w:val="22"/>
          <w:szCs w:val="22"/>
          <w:color w:val="auto"/>
        </w:rPr>
        <w:t>”) effective on November 7, 2023 (the “</w:t>
      </w:r>
      <w:r>
        <w:rPr>
          <w:rFonts w:ascii="Arial" w:cs="Arial" w:eastAsia="Arial" w:hAnsi="Arial"/>
          <w:sz w:val="22"/>
          <w:szCs w:val="22"/>
          <w:u w:val="single" w:color="auto"/>
          <w:color w:val="auto"/>
        </w:rPr>
        <w:t>Resignation Date</w:t>
      </w:r>
      <w:r>
        <w:rPr>
          <w:rFonts w:ascii="Arial" w:cs="Arial" w:eastAsia="Arial" w:hAnsi="Arial"/>
          <w:sz w:val="22"/>
          <w:szCs w:val="22"/>
          <w:color w:val="auto"/>
        </w:rPr>
        <w:t>”). The Company is also offering you the opportunity to enter into a consulting relationship with the Company following the Resignation Date. The terms of the consulting engagement, should you accept this offer, are set forth below (the “</w:t>
      </w:r>
      <w:r>
        <w:rPr>
          <w:rFonts w:ascii="Arial" w:cs="Arial" w:eastAsia="Arial" w:hAnsi="Arial"/>
          <w:sz w:val="22"/>
          <w:szCs w:val="22"/>
          <w:u w:val="single" w:color="auto"/>
          <w:color w:val="auto"/>
        </w:rPr>
        <w:t>Consulting Agreement</w:t>
      </w:r>
      <w:r>
        <w:rPr>
          <w:rFonts w:ascii="Arial" w:cs="Arial" w:eastAsia="Arial" w:hAnsi="Arial"/>
          <w:sz w:val="22"/>
          <w:szCs w:val="22"/>
          <w:color w:val="auto"/>
        </w:rPr>
        <w:t>”).</w:t>
      </w:r>
    </w:p>
    <w:p>
      <w:pPr>
        <w:spacing w:after="0" w:line="185" w:lineRule="exact"/>
        <w:rPr>
          <w:sz w:val="20"/>
          <w:szCs w:val="20"/>
          <w:color w:val="auto"/>
        </w:rPr>
      </w:pPr>
    </w:p>
    <w:p>
      <w:pPr>
        <w:ind w:right="200" w:firstLine="374"/>
        <w:spacing w:after="0" w:line="268" w:lineRule="auto"/>
        <w:rPr>
          <w:sz w:val="20"/>
          <w:szCs w:val="20"/>
          <w:color w:val="auto"/>
        </w:rPr>
      </w:pPr>
      <w:r>
        <w:rPr>
          <w:rFonts w:ascii="Arial" w:cs="Arial" w:eastAsia="Arial" w:hAnsi="Arial"/>
          <w:sz w:val="19"/>
          <w:szCs w:val="19"/>
          <w:color w:val="auto"/>
        </w:rPr>
        <w:t>1.</w:t>
      </w:r>
      <w:r>
        <w:rPr>
          <w:rFonts w:ascii="Arial" w:cs="Arial" w:eastAsia="Arial" w:hAnsi="Arial"/>
          <w:sz w:val="19"/>
          <w:szCs w:val="19"/>
          <w:u w:val="single" w:color="auto"/>
          <w:color w:val="auto"/>
        </w:rPr>
        <w:t>Consulting Period; Services; Consideration</w:t>
      </w:r>
      <w:r>
        <w:rPr>
          <w:rFonts w:ascii="Arial" w:cs="Arial" w:eastAsia="Arial" w:hAnsi="Arial"/>
          <w:sz w:val="19"/>
          <w:szCs w:val="19"/>
          <w:color w:val="auto"/>
        </w:rPr>
        <w:t>. Provided you enter into, do not revoke and comply with the Transition and Release Agreement with the Company, which was provided to you on September 26, 2023 (the “</w:t>
      </w:r>
      <w:r>
        <w:rPr>
          <w:rFonts w:ascii="Arial" w:cs="Arial" w:eastAsia="Arial" w:hAnsi="Arial"/>
          <w:sz w:val="19"/>
          <w:szCs w:val="19"/>
          <w:u w:val="single" w:color="auto"/>
          <w:color w:val="auto"/>
        </w:rPr>
        <w:t>Release Agreement</w:t>
      </w:r>
      <w:r>
        <w:rPr>
          <w:rFonts w:ascii="Arial" w:cs="Arial" w:eastAsia="Arial" w:hAnsi="Arial"/>
          <w:sz w:val="19"/>
          <w:szCs w:val="19"/>
          <w:color w:val="auto"/>
        </w:rPr>
        <w:t>”), the term of this Consulting Agreement and your services as a consultant for the Company shall commence immediately following the Resignation Date and, unless terminated earlier pursuant to Section 6 below, shall continue in effect for a period of nine (9) months (the “</w:t>
      </w:r>
      <w:r>
        <w:rPr>
          <w:rFonts w:ascii="Arial" w:cs="Arial" w:eastAsia="Arial" w:hAnsi="Arial"/>
          <w:sz w:val="19"/>
          <w:szCs w:val="19"/>
          <w:u w:val="single" w:color="auto"/>
          <w:color w:val="auto"/>
        </w:rPr>
        <w:t>Consulting Period</w:t>
      </w:r>
      <w:r>
        <w:rPr>
          <w:rFonts w:ascii="Arial" w:cs="Arial" w:eastAsia="Arial" w:hAnsi="Arial"/>
          <w:sz w:val="19"/>
          <w:szCs w:val="19"/>
          <w:color w:val="auto"/>
        </w:rPr>
        <w:t>”). During the Consulting Period, you shall provide to the Company the services reasonably requested by the Company that relate to your responsibilities during your employment (the “</w:t>
      </w:r>
      <w:r>
        <w:rPr>
          <w:rFonts w:ascii="Arial" w:cs="Arial" w:eastAsia="Arial" w:hAnsi="Arial"/>
          <w:sz w:val="19"/>
          <w:szCs w:val="19"/>
          <w:u w:val="single" w:color="auto"/>
          <w:color w:val="auto"/>
        </w:rPr>
        <w:t>Services</w:t>
      </w:r>
      <w:r>
        <w:rPr>
          <w:rFonts w:ascii="Arial" w:cs="Arial" w:eastAsia="Arial" w:hAnsi="Arial"/>
          <w:sz w:val="19"/>
          <w:szCs w:val="19"/>
          <w:color w:val="auto"/>
        </w:rPr>
        <w:t>”), provided that the Services shall not exceed five (5) hours per month on average during the Consulting Period. As consideration for your agreement to this Consulting Agreement, subject to the terms of the Company’s 2021 Stock Option and Incentive Plan and associated restricted stock unit award agreements and stock option agreements (the “</w:t>
      </w:r>
      <w:r>
        <w:rPr>
          <w:rFonts w:ascii="Arial" w:cs="Arial" w:eastAsia="Arial" w:hAnsi="Arial"/>
          <w:sz w:val="19"/>
          <w:szCs w:val="19"/>
          <w:u w:val="single" w:color="auto"/>
          <w:color w:val="auto"/>
        </w:rPr>
        <w:t>Equity Documents</w:t>
      </w:r>
      <w:r>
        <w:rPr>
          <w:rFonts w:ascii="Arial" w:cs="Arial" w:eastAsia="Arial" w:hAnsi="Arial"/>
          <w:sz w:val="19"/>
          <w:szCs w:val="19"/>
          <w:color w:val="auto"/>
        </w:rPr>
        <w:t>”), your previously granted equity shall continue to vest during the Consulting Period, provided that you agree, effective as of September 26, 2023,</w:t>
      </w:r>
    </w:p>
    <w:p>
      <w:pPr>
        <w:spacing w:after="0" w:line="8" w:lineRule="exact"/>
        <w:rPr>
          <w:sz w:val="20"/>
          <w:szCs w:val="20"/>
          <w:color w:val="auto"/>
        </w:rPr>
      </w:pPr>
    </w:p>
    <w:p>
      <w:pPr>
        <w:ind w:right="300" w:firstLine="8"/>
        <w:spacing w:after="0" w:line="233" w:lineRule="auto"/>
        <w:tabs>
          <w:tab w:leader="none" w:pos="258" w:val="left"/>
        </w:tabs>
        <w:numPr>
          <w:ilvl w:val="0"/>
          <w:numId w:val="62"/>
        </w:numPr>
        <w:rPr>
          <w:rFonts w:ascii="Arial" w:cs="Arial" w:eastAsia="Arial" w:hAnsi="Arial"/>
          <w:sz w:val="22"/>
          <w:szCs w:val="22"/>
          <w:color w:val="auto"/>
        </w:rPr>
      </w:pPr>
      <w:r>
        <w:rPr>
          <w:rFonts w:ascii="Arial" w:cs="Arial" w:eastAsia="Arial" w:hAnsi="Arial"/>
          <w:sz w:val="22"/>
          <w:szCs w:val="22"/>
          <w:color w:val="auto"/>
        </w:rPr>
        <w:t>you will not sell, directly or indirectly, more than 4,000 shares of your vested equity during any 30 day period beginning on September 26, 2023 (“</w:t>
      </w:r>
      <w:r>
        <w:rPr>
          <w:rFonts w:ascii="Arial" w:cs="Arial" w:eastAsia="Arial" w:hAnsi="Arial"/>
          <w:sz w:val="22"/>
          <w:szCs w:val="22"/>
          <w:u w:val="single" w:color="auto"/>
          <w:color w:val="auto"/>
        </w:rPr>
        <w:t>Share Sale Restriction</w:t>
      </w:r>
      <w:r>
        <w:rPr>
          <w:rFonts w:ascii="Arial" w:cs="Arial" w:eastAsia="Arial" w:hAnsi="Arial"/>
          <w:sz w:val="22"/>
          <w:szCs w:val="22"/>
          <w:color w:val="auto"/>
        </w:rPr>
        <w:t>”), and (ii) that such Share Sale Restriction shall continue during the nine-month period following the Resignation Date, unless the Company terminates the Consulting Period without Cause, pursuant to Section 6 below.</w:t>
      </w:r>
    </w:p>
    <w:p>
      <w:pPr>
        <w:spacing w:after="0" w:line="215" w:lineRule="exact"/>
        <w:rPr>
          <w:sz w:val="20"/>
          <w:szCs w:val="20"/>
          <w:color w:val="auto"/>
        </w:rPr>
      </w:pPr>
    </w:p>
    <w:p>
      <w:pPr>
        <w:ind w:right="220" w:firstLine="374"/>
        <w:spacing w:after="0"/>
        <w:rPr>
          <w:sz w:val="20"/>
          <w:szCs w:val="20"/>
          <w:color w:val="auto"/>
        </w:rPr>
      </w:pPr>
      <w:r>
        <w:rPr>
          <w:rFonts w:ascii="Arial" w:cs="Arial" w:eastAsia="Arial" w:hAnsi="Arial"/>
          <w:sz w:val="22"/>
          <w:szCs w:val="22"/>
          <w:color w:val="auto"/>
        </w:rPr>
        <w:t>2.</w:t>
      </w:r>
      <w:r>
        <w:rPr>
          <w:rFonts w:ascii="Arial" w:cs="Arial" w:eastAsia="Arial" w:hAnsi="Arial"/>
          <w:sz w:val="22"/>
          <w:szCs w:val="22"/>
          <w:u w:val="single" w:color="auto"/>
          <w:color w:val="auto"/>
        </w:rPr>
        <w:t>Expenses</w:t>
      </w:r>
      <w:r>
        <w:rPr>
          <w:rFonts w:ascii="Arial" w:cs="Arial" w:eastAsia="Arial" w:hAnsi="Arial"/>
          <w:sz w:val="22"/>
          <w:szCs w:val="22"/>
          <w:color w:val="auto"/>
        </w:rPr>
        <w:t>. The Company shall reimburse you for reasonable and necessary out-of-pocket expenses incurred by you in the performance of the Services to the Company, provided such out-of-pocket expenses are approved in advance by the Company and further supported by reasonable documentation.</w:t>
      </w:r>
    </w:p>
    <w:p>
      <w:pPr>
        <w:spacing w:after="0" w:line="213" w:lineRule="exact"/>
        <w:rPr>
          <w:sz w:val="20"/>
          <w:szCs w:val="20"/>
          <w:color w:val="auto"/>
        </w:rPr>
      </w:pPr>
    </w:p>
    <w:p>
      <w:pPr>
        <w:ind w:right="200" w:firstLine="374"/>
        <w:spacing w:after="0" w:line="257" w:lineRule="auto"/>
        <w:rPr>
          <w:sz w:val="20"/>
          <w:szCs w:val="20"/>
          <w:color w:val="auto"/>
        </w:rPr>
      </w:pPr>
      <w:r>
        <w:rPr>
          <w:rFonts w:ascii="Arial" w:cs="Arial" w:eastAsia="Arial" w:hAnsi="Arial"/>
          <w:sz w:val="21"/>
          <w:szCs w:val="21"/>
          <w:color w:val="auto"/>
        </w:rPr>
        <w:t>3.</w:t>
      </w:r>
      <w:r>
        <w:rPr>
          <w:rFonts w:ascii="Arial" w:cs="Arial" w:eastAsia="Arial" w:hAnsi="Arial"/>
          <w:sz w:val="21"/>
          <w:szCs w:val="21"/>
          <w:u w:val="single" w:color="auto"/>
          <w:color w:val="auto"/>
        </w:rPr>
        <w:t>Resignation from Other Positions</w:t>
      </w:r>
      <w:r>
        <w:rPr>
          <w:rFonts w:ascii="Arial" w:cs="Arial" w:eastAsia="Arial" w:hAnsi="Arial"/>
          <w:sz w:val="21"/>
          <w:szCs w:val="21"/>
          <w:color w:val="auto"/>
        </w:rPr>
        <w:t>. In connection with the ending of your employment, you hereby (i) resign from your status as an officer or other positions you occupy at the Company, effective as of the last day of your employment and (ii) agree to execute such documentation as the Company reasonably requires to effectuate such resignations.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2" w:name="page93"/>
    <w:bookmarkEnd w:id="92"/>
    <w:p>
      <w:pPr>
        <w:ind w:firstLine="374"/>
        <w:spacing w:after="0" w:line="279" w:lineRule="auto"/>
        <w:rPr>
          <w:sz w:val="20"/>
          <w:szCs w:val="20"/>
          <w:color w:val="auto"/>
        </w:rPr>
      </w:pPr>
      <w:r>
        <w:rPr>
          <w:rFonts w:ascii="Arial" w:cs="Arial" w:eastAsia="Arial" w:hAnsi="Arial"/>
          <w:sz w:val="19"/>
          <w:szCs w:val="19"/>
          <w:color w:val="auto"/>
        </w:rPr>
        <w:t>4.</w:t>
      </w:r>
      <w:r>
        <w:rPr>
          <w:rFonts w:ascii="Arial" w:cs="Arial" w:eastAsia="Arial" w:hAnsi="Arial"/>
          <w:sz w:val="19"/>
          <w:szCs w:val="19"/>
          <w:u w:val="single" w:color="auto"/>
          <w:color w:val="auto"/>
        </w:rPr>
        <w:t>Ongoing Obligations</w:t>
      </w:r>
      <w:r>
        <w:rPr>
          <w:rFonts w:ascii="Arial" w:cs="Arial" w:eastAsia="Arial" w:hAnsi="Arial"/>
          <w:sz w:val="19"/>
          <w:szCs w:val="19"/>
          <w:color w:val="auto"/>
        </w:rPr>
        <w:t>. You are subject to continuing obligations under (i) your Confidentiality, Intellectual Property, Non-Competition and Non-Solicitation Agreement (the “</w:t>
      </w:r>
      <w:r>
        <w:rPr>
          <w:rFonts w:ascii="Arial" w:cs="Arial" w:eastAsia="Arial" w:hAnsi="Arial"/>
          <w:sz w:val="19"/>
          <w:szCs w:val="19"/>
          <w:u w:val="single" w:color="auto"/>
          <w:color w:val="auto"/>
        </w:rPr>
        <w:t>Restrictive Covenants Agreement</w:t>
      </w:r>
      <w:r>
        <w:rPr>
          <w:rFonts w:ascii="Arial" w:cs="Arial" w:eastAsia="Arial" w:hAnsi="Arial"/>
          <w:sz w:val="19"/>
          <w:szCs w:val="19"/>
          <w:color w:val="auto"/>
        </w:rPr>
        <w:t>”), (ii) Sections 10 (Nondisparagement) and 11 (Confidentiality) of your offer letter dated October 6, 2017, and (iii) the Release Agreement (collectively, the “</w:t>
      </w:r>
      <w:r>
        <w:rPr>
          <w:rFonts w:ascii="Arial" w:cs="Arial" w:eastAsia="Arial" w:hAnsi="Arial"/>
          <w:sz w:val="19"/>
          <w:szCs w:val="19"/>
          <w:u w:val="single" w:color="auto"/>
          <w:color w:val="auto"/>
        </w:rPr>
        <w:t>Ongoing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Obligations</w:t>
      </w:r>
      <w:r>
        <w:rPr>
          <w:rFonts w:ascii="Arial" w:cs="Arial" w:eastAsia="Arial" w:hAnsi="Arial"/>
          <w:sz w:val="19"/>
          <w:szCs w:val="19"/>
          <w:color w:val="auto"/>
        </w:rPr>
        <w:t>”). The Ongoing Obligations, along with any other confidentiality and restrictive covenant obligations you have to the Company, shall remain in full force and effect, and are incorporated by reference herein. Additionally, you shall continue to be subject to the terms of the Company’s Insider Trading Policy and any other policies applicable to consultants.</w:t>
      </w:r>
    </w:p>
    <w:p>
      <w:pPr>
        <w:spacing w:after="0" w:line="177" w:lineRule="exact"/>
        <w:rPr>
          <w:sz w:val="20"/>
          <w:szCs w:val="20"/>
          <w:color w:val="auto"/>
        </w:rPr>
      </w:pPr>
    </w:p>
    <w:p>
      <w:pPr>
        <w:ind w:right="60" w:firstLine="374"/>
        <w:spacing w:after="0" w:line="275" w:lineRule="auto"/>
        <w:rPr>
          <w:sz w:val="20"/>
          <w:szCs w:val="20"/>
          <w:color w:val="auto"/>
        </w:rPr>
      </w:pPr>
      <w:r>
        <w:rPr>
          <w:rFonts w:ascii="Arial" w:cs="Arial" w:eastAsia="Arial" w:hAnsi="Arial"/>
          <w:sz w:val="19"/>
          <w:szCs w:val="19"/>
          <w:color w:val="auto"/>
        </w:rPr>
        <w:t>5.</w:t>
      </w:r>
      <w:r>
        <w:rPr>
          <w:rFonts w:ascii="Arial" w:cs="Arial" w:eastAsia="Arial" w:hAnsi="Arial"/>
          <w:sz w:val="19"/>
          <w:szCs w:val="19"/>
          <w:u w:val="single" w:color="auto"/>
          <w:color w:val="auto"/>
        </w:rPr>
        <w:t>Independent Contractor</w:t>
      </w:r>
      <w:r>
        <w:rPr>
          <w:rFonts w:ascii="Arial" w:cs="Arial" w:eastAsia="Arial" w:hAnsi="Arial"/>
          <w:sz w:val="19"/>
          <w:szCs w:val="19"/>
          <w:color w:val="auto"/>
        </w:rPr>
        <w:t>. You agree that you are not, nor shall you be deemed to be at any time during the term of this Consulting Agreement, an employee of the Company. Your status and relationship with the Company shall be that of an independent contractor and consultant. You shall not state or imply, directly or indirectly, that you are empowered to bind the Company without the Company’s prior written consent. Nothing herein shall create, expressly or by implication, a partnership, joint venture or other association between you and the Company. You acknowledge and agree that you are obligated to pay all taxes, unemployment, disability insurance and workers’ compensation payments applicable to you and any person who performs the Services in connection with this Consulting Agreement, and that you will not be eligible for any employee benefits, except as specified herein or in the Release Agreement, and expressly waive any entitlement to such benefits.</w:t>
      </w:r>
    </w:p>
    <w:p>
      <w:pPr>
        <w:spacing w:after="0" w:line="184" w:lineRule="exact"/>
        <w:rPr>
          <w:sz w:val="20"/>
          <w:szCs w:val="20"/>
          <w:color w:val="auto"/>
        </w:rPr>
      </w:pPr>
    </w:p>
    <w:p>
      <w:pPr>
        <w:ind w:right="300"/>
        <w:spacing w:after="0" w:line="274" w:lineRule="auto"/>
        <w:rPr>
          <w:sz w:val="20"/>
          <w:szCs w:val="20"/>
          <w:color w:val="auto"/>
        </w:rPr>
      </w:pPr>
      <w:r>
        <w:rPr>
          <w:rFonts w:ascii="Arial" w:cs="Arial" w:eastAsia="Arial" w:hAnsi="Arial"/>
          <w:sz w:val="21"/>
          <w:szCs w:val="21"/>
          <w:color w:val="auto"/>
        </w:rPr>
        <w:t>Except insofar as it would preclude you from providing the Services under this Consulting Agreement or violate a term of this Consulting Agreement or the Ongoing Obligations, you are free to perform services for any other person.</w:t>
      </w:r>
    </w:p>
    <w:p>
      <w:pPr>
        <w:spacing w:after="0" w:line="178" w:lineRule="exact"/>
        <w:rPr>
          <w:sz w:val="20"/>
          <w:szCs w:val="20"/>
          <w:color w:val="auto"/>
        </w:rPr>
      </w:pPr>
    </w:p>
    <w:p>
      <w:pPr>
        <w:ind w:right="80" w:firstLine="374"/>
        <w:spacing w:after="0" w:line="275" w:lineRule="auto"/>
        <w:rPr>
          <w:sz w:val="20"/>
          <w:szCs w:val="20"/>
          <w:color w:val="auto"/>
        </w:rPr>
      </w:pPr>
      <w:r>
        <w:rPr>
          <w:rFonts w:ascii="Arial" w:cs="Arial" w:eastAsia="Arial" w:hAnsi="Arial"/>
          <w:sz w:val="19"/>
          <w:szCs w:val="19"/>
          <w:color w:val="auto"/>
        </w:rPr>
        <w:t>6.</w:t>
      </w:r>
      <w:r>
        <w:rPr>
          <w:rFonts w:ascii="Arial" w:cs="Arial" w:eastAsia="Arial" w:hAnsi="Arial"/>
          <w:sz w:val="19"/>
          <w:szCs w:val="19"/>
          <w:u w:val="single" w:color="auto"/>
          <w:color w:val="auto"/>
        </w:rPr>
        <w:t>Cancellation of Services</w:t>
      </w:r>
      <w:r>
        <w:rPr>
          <w:rFonts w:ascii="Arial" w:cs="Arial" w:eastAsia="Arial" w:hAnsi="Arial"/>
          <w:sz w:val="19"/>
          <w:szCs w:val="19"/>
          <w:color w:val="auto"/>
        </w:rPr>
        <w:t>. Either you or the Company may, at any time, terminate the performance of all or any portion of the Services to be provided hereunder and may terminate this Consulting Agreement upon sixty (60) days prior written notice to the non-terminating party stating its intention to terminate. The Company, however, may immediately terminate the Services and this Agreement for Cause. For purposes of this Consulting Agreement, “</w:t>
      </w:r>
      <w:r>
        <w:rPr>
          <w:rFonts w:ascii="Arial" w:cs="Arial" w:eastAsia="Arial" w:hAnsi="Arial"/>
          <w:sz w:val="19"/>
          <w:szCs w:val="19"/>
          <w:u w:val="single" w:color="auto"/>
          <w:color w:val="auto"/>
        </w:rPr>
        <w:t>Cause</w:t>
      </w:r>
      <w:r>
        <w:rPr>
          <w:rFonts w:ascii="Arial" w:cs="Arial" w:eastAsia="Arial" w:hAnsi="Arial"/>
          <w:sz w:val="19"/>
          <w:szCs w:val="19"/>
          <w:color w:val="auto"/>
        </w:rPr>
        <w:t>” shall mean, as determined by the Company in good faith: (a) willful failure or refusal to perform the Services; (b) your material breach of any written agreement between you and the Company, including but not limited to this Consulting Agreement, the Release Agreement and any Ongoing Obligations; or (c) your gross negligence or willful misconduct that would reasonably be expected to result in material injury or reputational harm to the Company if you were to continue to be engaged by the Company.</w:t>
      </w:r>
    </w:p>
    <w:p>
      <w:pPr>
        <w:spacing w:after="0" w:line="184" w:lineRule="exact"/>
        <w:rPr>
          <w:sz w:val="20"/>
          <w:szCs w:val="20"/>
          <w:color w:val="auto"/>
        </w:rPr>
      </w:pPr>
    </w:p>
    <w:p>
      <w:pPr>
        <w:ind w:right="80" w:firstLine="374"/>
        <w:spacing w:after="0" w:line="287" w:lineRule="auto"/>
        <w:rPr>
          <w:sz w:val="20"/>
          <w:szCs w:val="20"/>
          <w:color w:val="auto"/>
        </w:rPr>
      </w:pPr>
      <w:r>
        <w:rPr>
          <w:rFonts w:ascii="Arial" w:cs="Arial" w:eastAsia="Arial" w:hAnsi="Arial"/>
          <w:sz w:val="19"/>
          <w:szCs w:val="19"/>
          <w:color w:val="auto"/>
        </w:rPr>
        <w:t>7.</w:t>
      </w:r>
      <w:r>
        <w:rPr>
          <w:rFonts w:ascii="Arial" w:cs="Arial" w:eastAsia="Arial" w:hAnsi="Arial"/>
          <w:sz w:val="19"/>
          <w:szCs w:val="19"/>
          <w:u w:val="single" w:color="auto"/>
          <w:color w:val="auto"/>
        </w:rPr>
        <w:t>Warranties of Consultant</w:t>
      </w:r>
      <w:r>
        <w:rPr>
          <w:rFonts w:ascii="Arial" w:cs="Arial" w:eastAsia="Arial" w:hAnsi="Arial"/>
          <w:sz w:val="19"/>
          <w:szCs w:val="19"/>
          <w:color w:val="auto"/>
        </w:rPr>
        <w:t>. You represent to the Company that (i) with respect to any information, know-how, knowledge or data disclosed by you to the Company in the performance of this Consulting Agreement, you have the full and unrestricted right to disclose the same; and (ii) you are free to undertake the services required by this Agreement, and there is, and shall be, no conflict of interest between your performance of this Consulting Agreement and any obligation you may have to other parties.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22"/>
          <w:szCs w:val="22"/>
          <w:color w:val="auto"/>
        </w:rPr>
        <w:t>8.</w:t>
      </w:r>
      <w:r>
        <w:rPr>
          <w:rFonts w:ascii="Arial" w:cs="Arial" w:eastAsia="Arial" w:hAnsi="Arial"/>
          <w:sz w:val="22"/>
          <w:szCs w:val="22"/>
          <w:u w:val="single" w:color="auto"/>
          <w:color w:val="auto"/>
        </w:rPr>
        <w:t>Indemnification</w:t>
      </w:r>
      <w:r>
        <w:rPr>
          <w:rFonts w:ascii="Arial" w:cs="Arial" w:eastAsia="Arial" w:hAnsi="Arial"/>
          <w:sz w:val="22"/>
          <w:szCs w:val="22"/>
          <w:color w:val="auto"/>
        </w:rPr>
        <w:t>. You shall indemnify and hold the Company, its affiliates and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93" w:name="page94"/>
    <w:bookmarkEnd w:id="93"/>
    <w:p>
      <w:pPr>
        <w:ind w:right="400"/>
        <w:spacing w:after="0" w:line="282" w:lineRule="auto"/>
        <w:rPr>
          <w:sz w:val="20"/>
          <w:szCs w:val="20"/>
          <w:color w:val="auto"/>
        </w:rPr>
      </w:pPr>
      <w:r>
        <w:rPr>
          <w:rFonts w:ascii="Arial" w:cs="Arial" w:eastAsia="Arial" w:hAnsi="Arial"/>
          <w:sz w:val="19"/>
          <w:szCs w:val="19"/>
          <w:color w:val="auto"/>
        </w:rPr>
        <w:t>respective directors, officers, agents and employees harmless from and against all claims, demands, losses, damages and judgments, including court costs and attorneys’ fees, arising out of or based upon any breach or alleged breach by you of any obligation set forth in this Consulting Agreement, or your gross negligence or willful misconduct. You further agree to indemnify the Company and hold it harmless to the extent of any obligation imposed on the Company (i) to pay withholding taxes or any other applicable taxes or (ii) otherwise resulting from you being determined not to be an independent contractor.</w:t>
      </w:r>
    </w:p>
    <w:p>
      <w:pPr>
        <w:spacing w:after="0" w:line="174" w:lineRule="exact"/>
        <w:rPr>
          <w:sz w:val="20"/>
          <w:szCs w:val="20"/>
          <w:color w:val="auto"/>
        </w:rPr>
      </w:pPr>
    </w:p>
    <w:p>
      <w:pPr>
        <w:ind w:right="240" w:firstLine="374"/>
        <w:spacing w:after="0" w:line="273" w:lineRule="auto"/>
        <w:rPr>
          <w:sz w:val="20"/>
          <w:szCs w:val="20"/>
          <w:color w:val="auto"/>
        </w:rPr>
      </w:pPr>
      <w:r>
        <w:rPr>
          <w:rFonts w:ascii="Arial" w:cs="Arial" w:eastAsia="Arial" w:hAnsi="Arial"/>
          <w:sz w:val="19"/>
          <w:szCs w:val="19"/>
          <w:color w:val="auto"/>
        </w:rPr>
        <w:t>9.</w:t>
      </w:r>
      <w:r>
        <w:rPr>
          <w:rFonts w:ascii="Arial" w:cs="Arial" w:eastAsia="Arial" w:hAnsi="Arial"/>
          <w:sz w:val="19"/>
          <w:szCs w:val="19"/>
          <w:u w:val="single" w:color="auto"/>
          <w:color w:val="auto"/>
        </w:rPr>
        <w:t>Entire Agreement; Jurisdiction; Governing Law; Interpretation</w:t>
      </w:r>
      <w:r>
        <w:rPr>
          <w:rFonts w:ascii="Arial" w:cs="Arial" w:eastAsia="Arial" w:hAnsi="Arial"/>
          <w:sz w:val="19"/>
          <w:szCs w:val="19"/>
          <w:color w:val="auto"/>
        </w:rPr>
        <w:t>. This Consulting Agreement, the Release Agreement and the Ongoing Obligations constitute the entire agreement between you and the Company with respect to the matters contained herein, and supersede all proposals and agreements, written or oral, and all other communications between you and the Company relating to the subject matter of this Consulting Agreement. You and the Company hereby agree that the state and federal courts of Massachusetts shall have the exclusive jurisdiction to consider any matters related to this Consulting Agreement. This Consulting Agreement shall be interpreted and enforced under the laws of the Commonwealth of Massachusetts, without regard to conflict of law principles. This Consulting Agreement may not be modified or amended except in writing signed or executed by you and the Company. In case any provisions (or portions thereof) contained in this Consulting Agreement will, for any reason, be held invalid, illegal or unenforceable in any respect, such invalidity, illegality or unenforceability will not affect the other provisions of this Consulting Agreement, and this Consulting Agreement will be construed as if such invalid, illegal or unenforceable provision had never been contained herein.</w:t>
      </w:r>
    </w:p>
    <w:p>
      <w:pPr>
        <w:spacing w:after="0" w:line="182" w:lineRule="exact"/>
        <w:rPr>
          <w:sz w:val="20"/>
          <w:szCs w:val="20"/>
          <w:color w:val="auto"/>
        </w:rPr>
      </w:pPr>
    </w:p>
    <w:p>
      <w:pPr>
        <w:ind w:right="500" w:firstLine="374"/>
        <w:spacing w:after="0" w:line="257" w:lineRule="auto"/>
        <w:rPr>
          <w:sz w:val="20"/>
          <w:szCs w:val="20"/>
          <w:color w:val="auto"/>
        </w:rPr>
      </w:pPr>
      <w:r>
        <w:rPr>
          <w:rFonts w:ascii="Arial" w:cs="Arial" w:eastAsia="Arial" w:hAnsi="Arial"/>
          <w:sz w:val="21"/>
          <w:szCs w:val="21"/>
          <w:color w:val="auto"/>
        </w:rPr>
        <w:t>10.</w:t>
      </w:r>
      <w:r>
        <w:rPr>
          <w:rFonts w:ascii="Arial" w:cs="Arial" w:eastAsia="Arial" w:hAnsi="Arial"/>
          <w:sz w:val="21"/>
          <w:szCs w:val="21"/>
          <w:u w:val="single" w:color="auto"/>
          <w:color w:val="auto"/>
        </w:rPr>
        <w:t>Effective Date</w:t>
      </w:r>
      <w:r>
        <w:rPr>
          <w:rFonts w:ascii="Arial" w:cs="Arial" w:eastAsia="Arial" w:hAnsi="Arial"/>
          <w:sz w:val="21"/>
          <w:szCs w:val="21"/>
          <w:color w:val="auto"/>
        </w:rPr>
        <w:t>. To accept this Consulting Agreement, you must return a signed original or a signed PDF copy of this Consulting Agreement so that it is received by the Chief Executive Officer of the Company by 5:00 PM on September 28, 2023. This Consulting Agreement shall become effective on the day it becomes fully executed.</w:t>
      </w:r>
    </w:p>
    <w:p>
      <w:pPr>
        <w:spacing w:after="0" w:line="200" w:lineRule="exact"/>
        <w:rPr>
          <w:sz w:val="20"/>
          <w:szCs w:val="20"/>
          <w:color w:val="auto"/>
        </w:rPr>
      </w:pP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Please indicate your agreement to the terms of this Consulting Agreement by signing and returning to the Chief Executive Officer the original or a PDF copy of this Consulting Agreement within the time period set forth above.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THE COMPANY</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700" w:type="dxa"/>
            <w:vAlign w:val="bottom"/>
            <w:gridSpan w:val="3"/>
          </w:tcPr>
          <w:p>
            <w:pPr>
              <w:spacing w:after="0"/>
              <w:rPr>
                <w:sz w:val="20"/>
                <w:szCs w:val="20"/>
                <w:color w:val="auto"/>
              </w:rPr>
            </w:pPr>
            <w:r>
              <w:rPr>
                <w:rFonts w:ascii="Arial" w:cs="Arial" w:eastAsia="Arial" w:hAnsi="Arial"/>
                <w:sz w:val="22"/>
                <w:szCs w:val="22"/>
                <w:color w:val="auto"/>
                <w:w w:val="94"/>
              </w:rPr>
              <w:t>By: _/s/ Elisabet de los Pinos ________</w:t>
            </w:r>
          </w:p>
        </w:tc>
        <w:tc>
          <w:tcPr>
            <w:tcW w:w="4360" w:type="dxa"/>
            <w:vAlign w:val="bottom"/>
            <w:gridSpan w:val="3"/>
          </w:tcPr>
          <w:p>
            <w:pPr>
              <w:jc w:val="right"/>
              <w:spacing w:after="0"/>
              <w:rPr>
                <w:sz w:val="20"/>
                <w:szCs w:val="20"/>
                <w:color w:val="auto"/>
              </w:rPr>
            </w:pPr>
            <w:r>
              <w:rPr>
                <w:rFonts w:ascii="Arial" w:cs="Arial" w:eastAsia="Arial" w:hAnsi="Arial"/>
                <w:sz w:val="22"/>
                <w:szCs w:val="22"/>
                <w:color w:val="auto"/>
                <w:w w:val="93"/>
              </w:rPr>
              <w:t>_9/28/2023_____________________________</w:t>
            </w:r>
          </w:p>
        </w:tc>
      </w:tr>
      <w:tr>
        <w:trPr>
          <w:trHeight w:val="20"/>
        </w:trPr>
        <w:tc>
          <w:tcPr>
            <w:tcW w:w="44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242"/>
        </w:trPr>
        <w:tc>
          <w:tcPr>
            <w:tcW w:w="440" w:type="dxa"/>
            <w:vAlign w:val="bottom"/>
          </w:tcPr>
          <w:p>
            <w:pPr>
              <w:spacing w:after="0"/>
              <w:rPr>
                <w:sz w:val="21"/>
                <w:szCs w:val="21"/>
                <w:color w:val="auto"/>
              </w:rPr>
            </w:pPr>
          </w:p>
        </w:tc>
        <w:tc>
          <w:tcPr>
            <w:tcW w:w="3260" w:type="dxa"/>
            <w:vAlign w:val="bottom"/>
            <w:gridSpan w:val="2"/>
          </w:tcPr>
          <w:p>
            <w:pPr>
              <w:spacing w:after="0" w:line="242" w:lineRule="exact"/>
              <w:rPr>
                <w:sz w:val="20"/>
                <w:szCs w:val="20"/>
                <w:color w:val="auto"/>
              </w:rPr>
            </w:pPr>
            <w:r>
              <w:rPr>
                <w:rFonts w:ascii="Arial" w:cs="Arial" w:eastAsia="Arial" w:hAnsi="Arial"/>
                <w:sz w:val="22"/>
                <w:szCs w:val="22"/>
                <w:color w:val="auto"/>
              </w:rPr>
              <w:t>Elisabet de los Pinos, PhD</w:t>
            </w:r>
          </w:p>
        </w:tc>
        <w:tc>
          <w:tcPr>
            <w:tcW w:w="4360" w:type="dxa"/>
            <w:vAlign w:val="bottom"/>
            <w:gridSpan w:val="3"/>
          </w:tcPr>
          <w:p>
            <w:pPr>
              <w:jc w:val="right"/>
              <w:ind w:right="3760"/>
              <w:spacing w:after="0" w:line="242" w:lineRule="exact"/>
              <w:rPr>
                <w:sz w:val="20"/>
                <w:szCs w:val="20"/>
                <w:color w:val="auto"/>
              </w:rPr>
            </w:pPr>
            <w:r>
              <w:rPr>
                <w:rFonts w:ascii="Arial" w:cs="Arial" w:eastAsia="Arial" w:hAnsi="Arial"/>
                <w:sz w:val="22"/>
                <w:szCs w:val="22"/>
                <w:color w:val="auto"/>
              </w:rPr>
              <w:t>Date</w:t>
            </w:r>
          </w:p>
        </w:tc>
      </w:tr>
      <w:tr>
        <w:trPr>
          <w:trHeight w:val="274"/>
        </w:trPr>
        <w:tc>
          <w:tcPr>
            <w:tcW w:w="440" w:type="dxa"/>
            <w:vAlign w:val="bottom"/>
          </w:tcPr>
          <w:p>
            <w:pPr>
              <w:spacing w:after="0"/>
              <w:rPr>
                <w:sz w:val="23"/>
                <w:szCs w:val="23"/>
                <w:color w:val="auto"/>
              </w:rPr>
            </w:pPr>
          </w:p>
        </w:tc>
        <w:tc>
          <w:tcPr>
            <w:tcW w:w="3260" w:type="dxa"/>
            <w:vAlign w:val="bottom"/>
            <w:gridSpan w:val="2"/>
          </w:tcPr>
          <w:p>
            <w:pPr>
              <w:spacing w:after="0"/>
              <w:rPr>
                <w:sz w:val="20"/>
                <w:szCs w:val="20"/>
                <w:color w:val="auto"/>
              </w:rPr>
            </w:pPr>
            <w:r>
              <w:rPr>
                <w:rFonts w:ascii="Arial" w:cs="Arial" w:eastAsia="Arial" w:hAnsi="Arial"/>
                <w:sz w:val="22"/>
                <w:szCs w:val="22"/>
                <w:color w:val="auto"/>
              </w:rPr>
              <w:t>Chief Executive Officer</w:t>
            </w: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1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I agree to the terms of this Consulting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680085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53"/>
        </w:trPr>
        <w:tc>
          <w:tcPr>
            <w:tcW w:w="2700" w:type="dxa"/>
            <w:vAlign w:val="bottom"/>
            <w:gridSpan w:val="2"/>
          </w:tcPr>
          <w:p>
            <w:pPr>
              <w:spacing w:after="0"/>
              <w:rPr>
                <w:sz w:val="20"/>
                <w:szCs w:val="20"/>
                <w:color w:val="auto"/>
              </w:rPr>
            </w:pPr>
            <w:r>
              <w:rPr>
                <w:rFonts w:ascii="Arial" w:cs="Arial" w:eastAsia="Arial" w:hAnsi="Arial"/>
                <w:sz w:val="22"/>
                <w:szCs w:val="22"/>
                <w:color w:val="auto"/>
              </w:rPr>
              <w:t>_/s/ Cadmus Rich</w:t>
            </w:r>
          </w:p>
        </w:tc>
        <w:tc>
          <w:tcPr>
            <w:tcW w:w="8540" w:type="dxa"/>
            <w:vAlign w:val="bottom"/>
            <w:gridSpan w:val="3"/>
          </w:tcPr>
          <w:p>
            <w:pPr>
              <w:jc w:val="right"/>
              <w:ind w:right="3020"/>
              <w:spacing w:after="0"/>
              <w:rPr>
                <w:sz w:val="20"/>
                <w:szCs w:val="20"/>
                <w:color w:val="auto"/>
              </w:rPr>
            </w:pPr>
            <w:r>
              <w:rPr>
                <w:rFonts w:ascii="Arial" w:cs="Arial" w:eastAsia="Arial" w:hAnsi="Arial"/>
                <w:sz w:val="22"/>
                <w:szCs w:val="22"/>
                <w:color w:val="auto"/>
              </w:rPr>
              <w:t>_9/28/2023_______________________________</w:t>
            </w:r>
          </w:p>
        </w:tc>
      </w:tr>
      <w:tr>
        <w:trPr>
          <w:trHeight w:val="20"/>
        </w:trPr>
        <w:tc>
          <w:tcPr>
            <w:tcW w:w="15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r>
        <w:trPr>
          <w:trHeight w:val="273"/>
        </w:trPr>
        <w:tc>
          <w:tcPr>
            <w:tcW w:w="1540" w:type="dxa"/>
            <w:vAlign w:val="bottom"/>
          </w:tcPr>
          <w:p>
            <w:pPr>
              <w:spacing w:after="0"/>
              <w:rPr>
                <w:sz w:val="20"/>
                <w:szCs w:val="20"/>
                <w:color w:val="auto"/>
              </w:rPr>
            </w:pPr>
            <w:r>
              <w:rPr>
                <w:rFonts w:ascii="Arial" w:cs="Arial" w:eastAsia="Arial" w:hAnsi="Arial"/>
                <w:sz w:val="22"/>
                <w:szCs w:val="22"/>
                <w:color w:val="auto"/>
                <w:w w:val="90"/>
              </w:rPr>
              <w:t>Dr. Cadmus Rich</w:t>
            </w:r>
          </w:p>
        </w:tc>
        <w:tc>
          <w:tcPr>
            <w:tcW w:w="1160" w:type="dxa"/>
            <w:vAlign w:val="bottom"/>
          </w:tcPr>
          <w:p>
            <w:pPr>
              <w:spacing w:after="0"/>
              <w:rPr>
                <w:sz w:val="23"/>
                <w:szCs w:val="23"/>
                <w:color w:val="auto"/>
              </w:rPr>
            </w:pPr>
          </w:p>
        </w:tc>
        <w:tc>
          <w:tcPr>
            <w:tcW w:w="8540" w:type="dxa"/>
            <w:vAlign w:val="bottom"/>
            <w:gridSpan w:val="3"/>
          </w:tcPr>
          <w:p>
            <w:pPr>
              <w:jc w:val="right"/>
              <w:ind w:right="7000"/>
              <w:spacing w:after="0"/>
              <w:rPr>
                <w:sz w:val="20"/>
                <w:szCs w:val="20"/>
                <w:color w:val="auto"/>
              </w:rPr>
            </w:pPr>
            <w:r>
              <w:rPr>
                <w:rFonts w:ascii="Arial" w:cs="Arial" w:eastAsia="Arial" w:hAnsi="Arial"/>
                <w:sz w:val="22"/>
                <w:szCs w:val="22"/>
                <w:color w:val="auto"/>
              </w:rPr>
              <w:t>Date</w:t>
            </w:r>
          </w:p>
        </w:tc>
      </w:tr>
      <w:tr>
        <w:trPr>
          <w:trHeight w:val="645"/>
        </w:trPr>
        <w:tc>
          <w:tcPr>
            <w:tcW w:w="15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22"/>
          <w:szCs w:val="22"/>
          <w:b w:val="1"/>
          <w:bCs w:val="1"/>
          <w:color w:val="auto"/>
        </w:rPr>
        <w:t>Exhibit 10.4</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PERSONAL AND CONFIDENTIAL</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Dr. Cadmus Rich</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Re: </w:t>
      </w:r>
      <w:r>
        <w:rPr>
          <w:rFonts w:ascii="Arial" w:cs="Arial" w:eastAsia="Arial" w:hAnsi="Arial"/>
          <w:sz w:val="22"/>
          <w:szCs w:val="22"/>
          <w:u w:val="single" w:color="auto"/>
          <w:color w:val="auto"/>
        </w:rPr>
        <w:t>Transition and Release Agreement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Dear Dr. Rich:</w:t>
      </w:r>
    </w:p>
    <w:p>
      <w:pPr>
        <w:spacing w:after="0" w:line="233"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This letter confirms your resignation from employment with Aura Biosciences, Inc. (the “</w:t>
      </w:r>
      <w:r>
        <w:rPr>
          <w:rFonts w:ascii="Arial" w:cs="Arial" w:eastAsia="Arial" w:hAnsi="Arial"/>
          <w:sz w:val="22"/>
          <w:szCs w:val="22"/>
          <w:u w:val="single" w:color="auto"/>
          <w:color w:val="auto"/>
        </w:rPr>
        <w:t>Company</w:t>
      </w:r>
      <w:r>
        <w:rPr>
          <w:rFonts w:ascii="Arial" w:cs="Arial" w:eastAsia="Arial" w:hAnsi="Arial"/>
          <w:sz w:val="22"/>
          <w:szCs w:val="22"/>
          <w:color w:val="auto"/>
        </w:rPr>
        <w:t>”), effective November 7, 2023. As you know, your employment relationship with the Company is governed by your offer letter with the Company dated October 6, 2017 (the “</w:t>
      </w:r>
      <w:r>
        <w:rPr>
          <w:rFonts w:ascii="Arial" w:cs="Arial" w:eastAsia="Arial" w:hAnsi="Arial"/>
          <w:sz w:val="22"/>
          <w:szCs w:val="22"/>
          <w:u w:val="single" w:color="auto"/>
          <w:color w:val="auto"/>
        </w:rPr>
        <w:t>Offer Letter</w:t>
      </w:r>
      <w:r>
        <w:rPr>
          <w:rFonts w:ascii="Arial" w:cs="Arial" w:eastAsia="Arial" w:hAnsi="Arial"/>
          <w:sz w:val="22"/>
          <w:szCs w:val="22"/>
          <w:color w:val="auto"/>
        </w:rPr>
        <w:t>”). As specified in Section 13 of the Offer Letter, you have been employed “at-will,” meaning that you or the Company could end the employment relationship at any time and for any reason, subject to the terms of the Offer Letter.</w:t>
      </w:r>
    </w:p>
    <w:p>
      <w:pPr>
        <w:spacing w:after="0" w:line="228"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As set forth in Section 12 of the Offer Letter, you are eligible to receive severance benefits in connection with a termination by the Company without Cause (as defined in the Offer Letter) if you enter into, do not revoke and comply with a Release (as defined in the Offer Letter). Although you have voluntarily resigned from your employment with the Company, if you enter into the Release Agreement below, the Company will provide you with the opportunity to remain an at-will employee of the Company during a transition period and then subsequently receive the severance benefits outlined in the Offer Letter.</w:t>
      </w:r>
    </w:p>
    <w:p>
      <w:pPr>
        <w:spacing w:after="0" w:line="188"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With those understandings and regardless of whether you enter into the Release Agreement, the following bulleted terms and conditions apply in connection with the ending of your employment:</w:t>
      </w:r>
    </w:p>
    <w:p>
      <w:pPr>
        <w:spacing w:after="0" w:line="202" w:lineRule="exact"/>
        <w:rPr>
          <w:sz w:val="20"/>
          <w:szCs w:val="20"/>
          <w:color w:val="auto"/>
        </w:rPr>
      </w:pPr>
    </w:p>
    <w:p>
      <w:pPr>
        <w:ind w:left="720" w:right="1120" w:hanging="348"/>
        <w:spacing w:after="0" w:line="250" w:lineRule="auto"/>
        <w:tabs>
          <w:tab w:leader="none" w:pos="720"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Company shall pay you salary, any accrued but unused vacation, and unpaid and properly documented business expenses accrued to you through the last day of your employment.</w:t>
      </w:r>
    </w:p>
    <w:p>
      <w:pPr>
        <w:spacing w:after="0" w:line="215" w:lineRule="exact"/>
        <w:rPr>
          <w:rFonts w:ascii="Arial" w:cs="Arial" w:eastAsia="Arial" w:hAnsi="Arial"/>
          <w:sz w:val="22"/>
          <w:szCs w:val="22"/>
          <w:color w:val="auto"/>
        </w:rPr>
      </w:pPr>
    </w:p>
    <w:p>
      <w:pPr>
        <w:ind w:left="740" w:right="220" w:hanging="368"/>
        <w:spacing w:after="0" w:line="248" w:lineRule="auto"/>
        <w:tabs>
          <w:tab w:leader="none" w:pos="740" w:val="left"/>
        </w:tabs>
        <w:numPr>
          <w:ilvl w:val="0"/>
          <w:numId w:val="63"/>
        </w:numPr>
        <w:rPr>
          <w:rFonts w:ascii="Arial" w:cs="Arial" w:eastAsia="Arial" w:hAnsi="Arial"/>
          <w:sz w:val="21"/>
          <w:szCs w:val="21"/>
          <w:color w:val="auto"/>
        </w:rPr>
      </w:pPr>
      <w:r>
        <w:rPr>
          <w:rFonts w:ascii="Arial" w:cs="Arial" w:eastAsia="Arial" w:hAnsi="Arial"/>
          <w:sz w:val="21"/>
          <w:szCs w:val="21"/>
          <w:color w:val="auto"/>
        </w:rPr>
        <w:t>Your eligibility to participate in the Company’s group health plans as an active employee will end in accordance with the terms and conditions of the health plans. The Company shall provide you with the opportunity to continue group health coverage at your own expense under the law known as “</w:t>
      </w:r>
      <w:r>
        <w:rPr>
          <w:rFonts w:ascii="Arial" w:cs="Arial" w:eastAsia="Arial" w:hAnsi="Arial"/>
          <w:sz w:val="21"/>
          <w:szCs w:val="21"/>
          <w:u w:val="single" w:color="auto"/>
          <w:color w:val="auto"/>
        </w:rPr>
        <w:t>COBRA</w:t>
      </w:r>
      <w:r>
        <w:rPr>
          <w:rFonts w:ascii="Arial" w:cs="Arial" w:eastAsia="Arial" w:hAnsi="Arial"/>
          <w:sz w:val="21"/>
          <w:szCs w:val="21"/>
          <w:color w:val="auto"/>
        </w:rPr>
        <w:t>”, subject to your COBRA eligibility as applicable. You will be notified by separate memoranda of your rights under COBRA. The COBRA benefits offered by the Company to you will include health insurance, dental insurance and vision insurance at the same level as currently offered to employees of the Company.</w:t>
      </w:r>
    </w:p>
    <w:p>
      <w:pPr>
        <w:spacing w:after="0" w:line="217" w:lineRule="exact"/>
        <w:rPr>
          <w:rFonts w:ascii="Arial" w:cs="Arial" w:eastAsia="Arial" w:hAnsi="Arial"/>
          <w:sz w:val="21"/>
          <w:szCs w:val="21"/>
          <w:color w:val="auto"/>
        </w:rPr>
      </w:pPr>
    </w:p>
    <w:p>
      <w:pPr>
        <w:ind w:left="740" w:right="300" w:hanging="368"/>
        <w:spacing w:after="0"/>
        <w:tabs>
          <w:tab w:leader="none" w:pos="740" w:val="left"/>
        </w:tabs>
        <w:numPr>
          <w:ilvl w:val="0"/>
          <w:numId w:val="63"/>
        </w:numPr>
        <w:rPr>
          <w:rFonts w:ascii="Arial" w:cs="Arial" w:eastAsia="Arial" w:hAnsi="Arial"/>
          <w:sz w:val="22"/>
          <w:szCs w:val="22"/>
          <w:color w:val="auto"/>
        </w:rPr>
      </w:pPr>
      <w:r>
        <w:rPr>
          <w:rFonts w:ascii="Arial" w:cs="Arial" w:eastAsia="Arial" w:hAnsi="Arial"/>
          <w:sz w:val="22"/>
          <w:szCs w:val="22"/>
          <w:color w:val="auto"/>
        </w:rPr>
        <w:t>Your eligibility to participate in the Company’s other employee benefit plans and programs will cease in accordance with the terms and conditions of each of those benefit plans and programs. Your rights to benefits, if any, are governed by the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384810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80" w:top="612" w:right="339" w:bottom="1440" w:gutter="0" w:footer="0" w:header="0"/>
        </w:sectPr>
      </w:pPr>
    </w:p>
    <w:bookmarkStart w:id="96" w:name="page97"/>
    <w:bookmarkEnd w:id="96"/>
    <w:p>
      <w:pPr>
        <w:ind w:left="742"/>
        <w:spacing w:after="0"/>
        <w:rPr>
          <w:sz w:val="20"/>
          <w:szCs w:val="20"/>
          <w:color w:val="auto"/>
        </w:rPr>
      </w:pPr>
      <w:r>
        <w:rPr>
          <w:rFonts w:ascii="Arial" w:cs="Arial" w:eastAsia="Arial" w:hAnsi="Arial"/>
          <w:sz w:val="22"/>
          <w:szCs w:val="22"/>
          <w:color w:val="auto"/>
        </w:rPr>
        <w:t>and conditions of those benefit plans and programs.</w:t>
      </w:r>
    </w:p>
    <w:p>
      <w:pPr>
        <w:spacing w:after="0" w:line="71" w:lineRule="exact"/>
        <w:rPr>
          <w:sz w:val="20"/>
          <w:szCs w:val="20"/>
          <w:color w:val="auto"/>
        </w:rPr>
      </w:pPr>
    </w:p>
    <w:p>
      <w:pPr>
        <w:ind w:left="742" w:right="220" w:hanging="368"/>
        <w:spacing w:after="0" w:line="257" w:lineRule="auto"/>
        <w:tabs>
          <w:tab w:leader="none" w:pos="742" w:val="left"/>
        </w:tabs>
        <w:numPr>
          <w:ilvl w:val="0"/>
          <w:numId w:val="64"/>
        </w:numPr>
        <w:rPr>
          <w:rFonts w:ascii="Arial" w:cs="Arial" w:eastAsia="Arial" w:hAnsi="Arial"/>
          <w:sz w:val="21"/>
          <w:szCs w:val="21"/>
          <w:color w:val="auto"/>
        </w:rPr>
      </w:pPr>
      <w:r>
        <w:rPr>
          <w:rFonts w:ascii="Arial" w:cs="Arial" w:eastAsia="Arial" w:hAnsi="Arial"/>
          <w:sz w:val="21"/>
          <w:szCs w:val="21"/>
          <w:color w:val="auto"/>
        </w:rPr>
        <w:t>In connection with the ending of your employment, you hereby (i) resign from your status as an officer or other positions you occupy at the Company, effective as of the last day of your employment and (ii) agree to execute such documentation as the Company reasonably requires to effectuate such resignations.</w:t>
      </w:r>
    </w:p>
    <w:p>
      <w:pPr>
        <w:spacing w:after="0" w:line="196" w:lineRule="exact"/>
        <w:rPr>
          <w:rFonts w:ascii="Arial" w:cs="Arial" w:eastAsia="Arial" w:hAnsi="Arial"/>
          <w:sz w:val="21"/>
          <w:szCs w:val="21"/>
          <w:color w:val="auto"/>
        </w:rPr>
      </w:pPr>
    </w:p>
    <w:p>
      <w:pPr>
        <w:ind w:left="742" w:right="220" w:hanging="368"/>
        <w:spacing w:after="0" w:line="279" w:lineRule="auto"/>
        <w:tabs>
          <w:tab w:leader="none" w:pos="742" w:val="left"/>
        </w:tabs>
        <w:numPr>
          <w:ilvl w:val="0"/>
          <w:numId w:val="64"/>
        </w:numPr>
        <w:rPr>
          <w:rFonts w:ascii="Arial" w:cs="Arial" w:eastAsia="Arial" w:hAnsi="Arial"/>
          <w:sz w:val="19"/>
          <w:szCs w:val="19"/>
          <w:color w:val="auto"/>
        </w:rPr>
      </w:pPr>
      <w:r>
        <w:rPr>
          <w:rFonts w:ascii="Arial" w:cs="Arial" w:eastAsia="Arial" w:hAnsi="Arial"/>
          <w:sz w:val="19"/>
          <w:szCs w:val="19"/>
          <w:color w:val="auto"/>
        </w:rPr>
        <w:t>You are subject to continuing obligations under (i) your Confidentiality, Intellectual Property, Non-Competition and Non-Solicitation Agreement (the “</w:t>
      </w:r>
      <w:r>
        <w:rPr>
          <w:rFonts w:ascii="Arial" w:cs="Arial" w:eastAsia="Arial" w:hAnsi="Arial"/>
          <w:sz w:val="19"/>
          <w:szCs w:val="19"/>
          <w:u w:val="single" w:color="auto"/>
          <w:color w:val="auto"/>
        </w:rPr>
        <w:t>Restrictive Covenants Agreement</w:t>
      </w:r>
      <w:r>
        <w:rPr>
          <w:rFonts w:ascii="Arial" w:cs="Arial" w:eastAsia="Arial" w:hAnsi="Arial"/>
          <w:sz w:val="19"/>
          <w:szCs w:val="19"/>
          <w:color w:val="auto"/>
        </w:rPr>
        <w:t>”), (ii) Sections 10 (Nondisparagement) and 11 (Confidentiality) of the Offer Letter, (iii) the Resignation and Consulting Agreement, which the Company provided to you on September 26, 2023 (the “</w:t>
      </w:r>
      <w:r>
        <w:rPr>
          <w:rFonts w:ascii="Arial" w:cs="Arial" w:eastAsia="Arial" w:hAnsi="Arial"/>
          <w:sz w:val="19"/>
          <w:szCs w:val="19"/>
          <w:u w:val="single" w:color="auto"/>
          <w:color w:val="auto"/>
        </w:rPr>
        <w:t>Consulting Agreement</w:t>
      </w:r>
      <w:r>
        <w:rPr>
          <w:rFonts w:ascii="Arial" w:cs="Arial" w:eastAsia="Arial" w:hAnsi="Arial"/>
          <w:sz w:val="19"/>
          <w:szCs w:val="19"/>
          <w:color w:val="auto"/>
        </w:rPr>
        <w:t>”), and (iv) this Release Agreement (collectively, the “</w:t>
      </w:r>
      <w:r>
        <w:rPr>
          <w:rFonts w:ascii="Arial" w:cs="Arial" w:eastAsia="Arial" w:hAnsi="Arial"/>
          <w:sz w:val="19"/>
          <w:szCs w:val="19"/>
          <w:u w:val="single" w:color="auto"/>
          <w:color w:val="auto"/>
        </w:rPr>
        <w:t>Ongoing Obligations</w:t>
      </w:r>
      <w:r>
        <w:rPr>
          <w:rFonts w:ascii="Arial" w:cs="Arial" w:eastAsia="Arial" w:hAnsi="Arial"/>
          <w:sz w:val="19"/>
          <w:szCs w:val="19"/>
          <w:color w:val="auto"/>
        </w:rPr>
        <w:t>”). The Ongoing Obligations, along with any other confidentiality and restrictive covenant obligations you have to any of the Releasees (as defined below) shall remain in full force and effect.</w:t>
      </w:r>
    </w:p>
    <w:p>
      <w:pPr>
        <w:spacing w:after="0" w:line="190" w:lineRule="exact"/>
        <w:rPr>
          <w:rFonts w:ascii="Arial" w:cs="Arial" w:eastAsia="Arial" w:hAnsi="Arial"/>
          <w:sz w:val="19"/>
          <w:szCs w:val="19"/>
          <w:color w:val="auto"/>
        </w:rPr>
      </w:pPr>
    </w:p>
    <w:p>
      <w:pPr>
        <w:ind w:left="742" w:right="200" w:hanging="368"/>
        <w:spacing w:after="0" w:line="250" w:lineRule="auto"/>
        <w:tabs>
          <w:tab w:leader="none" w:pos="742" w:val="left"/>
        </w:tabs>
        <w:numPr>
          <w:ilvl w:val="0"/>
          <w:numId w:val="64"/>
        </w:numPr>
        <w:rPr>
          <w:rFonts w:ascii="Arial" w:cs="Arial" w:eastAsia="Arial" w:hAnsi="Arial"/>
          <w:sz w:val="22"/>
          <w:szCs w:val="22"/>
          <w:color w:val="auto"/>
        </w:rPr>
      </w:pPr>
      <w:r>
        <w:rPr>
          <w:rFonts w:ascii="Arial" w:cs="Arial" w:eastAsia="Arial" w:hAnsi="Arial"/>
          <w:sz w:val="22"/>
          <w:szCs w:val="22"/>
          <w:color w:val="auto"/>
        </w:rPr>
        <w:t>You are not eligible to receive any Annual Bonus (as defined in the Offer Letter) for calendar year 2023 and you are not entitled to receive any other incentive compensation.</w:t>
      </w:r>
    </w:p>
    <w:p>
      <w:pPr>
        <w:spacing w:after="0" w:line="202" w:lineRule="exact"/>
        <w:rPr>
          <w:sz w:val="20"/>
          <w:szCs w:val="20"/>
          <w:color w:val="auto"/>
        </w:rPr>
      </w:pPr>
    </w:p>
    <w:p>
      <w:pPr>
        <w:ind w:left="2" w:right="240"/>
        <w:spacing w:after="0" w:line="250" w:lineRule="auto"/>
        <w:rPr>
          <w:sz w:val="20"/>
          <w:szCs w:val="20"/>
          <w:color w:val="auto"/>
        </w:rPr>
      </w:pPr>
      <w:r>
        <w:rPr>
          <w:rFonts w:ascii="Arial" w:cs="Arial" w:eastAsia="Arial" w:hAnsi="Arial"/>
          <w:sz w:val="22"/>
          <w:szCs w:val="22"/>
          <w:color w:val="auto"/>
        </w:rPr>
        <w:t>The remainder of this letter proposes the Release Agreement between you and the Company. You and the Company agree as follows:</w:t>
      </w:r>
    </w:p>
    <w:p>
      <w:pPr>
        <w:spacing w:after="0" w:line="169" w:lineRule="exact"/>
        <w:rPr>
          <w:sz w:val="20"/>
          <w:szCs w:val="20"/>
          <w:color w:val="auto"/>
        </w:rPr>
      </w:pPr>
    </w:p>
    <w:p>
      <w:pPr>
        <w:ind w:left="742" w:hanging="742"/>
        <w:spacing w:after="0"/>
        <w:tabs>
          <w:tab w:leader="none" w:pos="742" w:val="left"/>
        </w:tabs>
        <w:numPr>
          <w:ilvl w:val="0"/>
          <w:numId w:val="65"/>
        </w:numPr>
        <w:rPr>
          <w:rFonts w:ascii="Arial" w:cs="Arial" w:eastAsia="Arial" w:hAnsi="Arial"/>
          <w:sz w:val="22"/>
          <w:szCs w:val="22"/>
          <w:color w:val="auto"/>
        </w:rPr>
      </w:pPr>
      <w:r>
        <w:rPr>
          <w:rFonts w:ascii="Arial" w:cs="Arial" w:eastAsia="Arial" w:hAnsi="Arial"/>
          <w:sz w:val="22"/>
          <w:szCs w:val="22"/>
          <w:b w:val="1"/>
          <w:bCs w:val="1"/>
          <w:color w:val="auto"/>
        </w:rPr>
        <w:t>Resignation Date; Transition Period</w:t>
      </w:r>
    </w:p>
    <w:p>
      <w:pPr>
        <w:spacing w:after="0" w:line="252" w:lineRule="exact"/>
        <w:rPr>
          <w:rFonts w:ascii="Arial" w:cs="Arial" w:eastAsia="Arial" w:hAnsi="Arial"/>
          <w:sz w:val="22"/>
          <w:szCs w:val="22"/>
          <w:color w:val="auto"/>
        </w:rPr>
      </w:pPr>
    </w:p>
    <w:p>
      <w:pPr>
        <w:ind w:left="2" w:right="80" w:firstLine="596"/>
        <w:spacing w:after="0" w:line="277" w:lineRule="auto"/>
        <w:tabs>
          <w:tab w:leader="none" w:pos="868" w:val="left"/>
        </w:tabs>
        <w:numPr>
          <w:ilvl w:val="1"/>
          <w:numId w:val="65"/>
        </w:numPr>
        <w:rPr>
          <w:rFonts w:ascii="Arial" w:cs="Arial" w:eastAsia="Arial" w:hAnsi="Arial"/>
          <w:sz w:val="19"/>
          <w:szCs w:val="19"/>
          <w:color w:val="auto"/>
        </w:rPr>
      </w:pPr>
      <w:r>
        <w:rPr>
          <w:rFonts w:ascii="Arial" w:cs="Arial" w:eastAsia="Arial" w:hAnsi="Arial"/>
          <w:sz w:val="19"/>
          <w:szCs w:val="19"/>
          <w:u w:val="single" w:color="auto"/>
          <w:color w:val="auto"/>
        </w:rPr>
        <w:t>Resignation Date; Transition Period</w:t>
      </w:r>
      <w:r>
        <w:rPr>
          <w:rFonts w:ascii="Arial" w:cs="Arial" w:eastAsia="Arial" w:hAnsi="Arial"/>
          <w:sz w:val="19"/>
          <w:szCs w:val="19"/>
          <w:color w:val="auto"/>
        </w:rPr>
        <w:t>. Provided you enter into, do not revoke and comply with this Release Agreement, the Company will continue to employ you until November 7, 2023, unless, prior to that date, the Company terminates your employment due to (i) your breach of this Release Agreement (including without limitation your failure to provide the Transitional Services) or any of the Ongoing Obligations; or (ii) your engaging in other behavior that justified a for “Cause” termination as defined in the Offer Letter ((i), (ii) or (iii) a “</w:t>
      </w:r>
      <w:r>
        <w:rPr>
          <w:rFonts w:ascii="Arial" w:cs="Arial" w:eastAsia="Arial" w:hAnsi="Arial"/>
          <w:sz w:val="19"/>
          <w:szCs w:val="19"/>
          <w:u w:val="single" w:color="auto"/>
          <w:color w:val="auto"/>
        </w:rPr>
        <w:t>Specified Termination</w:t>
      </w:r>
      <w:r>
        <w:rPr>
          <w:rFonts w:ascii="Arial" w:cs="Arial" w:eastAsia="Arial" w:hAnsi="Arial"/>
          <w:sz w:val="19"/>
          <w:szCs w:val="19"/>
          <w:color w:val="auto"/>
        </w:rPr>
        <w:t>”). Subject to the foregoing, the actual last date of your employment, whether it is November 7, 2023 or another date as stated above, is the “</w:t>
      </w:r>
      <w:r>
        <w:rPr>
          <w:rFonts w:ascii="Arial" w:cs="Arial" w:eastAsia="Arial" w:hAnsi="Arial"/>
          <w:sz w:val="19"/>
          <w:szCs w:val="19"/>
          <w:u w:val="single" w:color="auto"/>
          <w:color w:val="auto"/>
        </w:rPr>
        <w:t>Resignation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The time period between the date of this letter and the Resignation Date shall be referred to as the “</w:t>
      </w:r>
      <w:r>
        <w:rPr>
          <w:rFonts w:ascii="Arial" w:cs="Arial" w:eastAsia="Arial" w:hAnsi="Arial"/>
          <w:sz w:val="19"/>
          <w:szCs w:val="19"/>
          <w:u w:val="single" w:color="auto"/>
          <w:color w:val="auto"/>
        </w:rPr>
        <w:t>Transition Period</w:t>
      </w:r>
      <w:r>
        <w:rPr>
          <w:rFonts w:ascii="Arial" w:cs="Arial" w:eastAsia="Arial" w:hAnsi="Arial"/>
          <w:sz w:val="19"/>
          <w:szCs w:val="19"/>
          <w:color w:val="auto"/>
        </w:rPr>
        <w:t>.”</w:t>
      </w:r>
    </w:p>
    <w:p>
      <w:pPr>
        <w:spacing w:after="0" w:line="192" w:lineRule="exact"/>
        <w:rPr>
          <w:rFonts w:ascii="Arial" w:cs="Arial" w:eastAsia="Arial" w:hAnsi="Arial"/>
          <w:sz w:val="19"/>
          <w:szCs w:val="19"/>
          <w:color w:val="auto"/>
        </w:rPr>
      </w:pPr>
    </w:p>
    <w:p>
      <w:pPr>
        <w:ind w:left="2" w:firstLine="596"/>
        <w:spacing w:after="0" w:line="269" w:lineRule="auto"/>
        <w:tabs>
          <w:tab w:leader="none" w:pos="868" w:val="left"/>
        </w:tabs>
        <w:numPr>
          <w:ilvl w:val="1"/>
          <w:numId w:val="65"/>
        </w:numPr>
        <w:rPr>
          <w:rFonts w:ascii="Arial" w:cs="Arial" w:eastAsia="Arial" w:hAnsi="Arial"/>
          <w:sz w:val="19"/>
          <w:szCs w:val="19"/>
          <w:color w:val="auto"/>
        </w:rPr>
      </w:pPr>
      <w:r>
        <w:rPr>
          <w:rFonts w:ascii="Arial" w:cs="Arial" w:eastAsia="Arial" w:hAnsi="Arial"/>
          <w:sz w:val="19"/>
          <w:szCs w:val="19"/>
          <w:u w:val="single" w:color="auto"/>
          <w:color w:val="auto"/>
        </w:rPr>
        <w:t>Transitional Services; Compensation</w:t>
      </w:r>
      <w:r>
        <w:rPr>
          <w:rFonts w:ascii="Arial" w:cs="Arial" w:eastAsia="Arial" w:hAnsi="Arial"/>
          <w:sz w:val="19"/>
          <w:szCs w:val="19"/>
          <w:color w:val="auto"/>
        </w:rPr>
        <w:t>. Unless otherwise directed by the Company, during the Transition Period, you will (i) continue to perform your current full-time job duties in the position of Chief Medical Officer until October 16, 2023, at which time you will transition into the role of Senior Clinical Advisor until November 7, 2023, (ii) assist the Company with the transition of your responsibilities, and (iii) perform any other duties as the Company in its reasonable discretion determines ((i), (ii) and (iii), the “</w:t>
      </w:r>
      <w:r>
        <w:rPr>
          <w:rFonts w:ascii="Arial" w:cs="Arial" w:eastAsia="Arial" w:hAnsi="Arial"/>
          <w:sz w:val="19"/>
          <w:szCs w:val="19"/>
          <w:u w:val="single" w:color="auto"/>
          <w:color w:val="auto"/>
        </w:rPr>
        <w:t>Transitional Services</w:t>
      </w:r>
      <w:r>
        <w:rPr>
          <w:rFonts w:ascii="Arial" w:cs="Arial" w:eastAsia="Arial" w:hAnsi="Arial"/>
          <w:sz w:val="19"/>
          <w:szCs w:val="19"/>
          <w:color w:val="auto"/>
        </w:rPr>
        <w:t>”). For the avoidance of doubt, you must continue to comply with the Company’s policies, including but not limited to the Company’s Insider Trading Policy. During the Transition Period, you will continue to receive your current base salary and you will continue to be eligible for regular employee</w:t>
      </w:r>
    </w:p>
    <w:p>
      <w:pPr>
        <w:spacing w:after="0" w:line="4" w:lineRule="exact"/>
        <w:rPr>
          <w:rFonts w:ascii="Arial" w:cs="Arial" w:eastAsia="Arial" w:hAnsi="Arial"/>
          <w:sz w:val="19"/>
          <w:szCs w:val="19"/>
          <w:color w:val="auto"/>
        </w:rPr>
      </w:pPr>
    </w:p>
    <w:p>
      <w:pPr>
        <w:ind w:left="2" w:right="40"/>
        <w:spacing w:after="0" w:line="248" w:lineRule="auto"/>
        <w:rPr>
          <w:rFonts w:ascii="Arial" w:cs="Arial" w:eastAsia="Arial" w:hAnsi="Arial"/>
          <w:sz w:val="19"/>
          <w:szCs w:val="19"/>
          <w:color w:val="auto"/>
        </w:rPr>
      </w:pPr>
      <w:r>
        <w:rPr>
          <w:rFonts w:ascii="Arial" w:cs="Arial" w:eastAsia="Arial" w:hAnsi="Arial"/>
          <w:sz w:val="21"/>
          <w:szCs w:val="21"/>
          <w:color w:val="auto"/>
        </w:rPr>
        <w:t xml:space="preserve">benefits as currently in effect (subject to the terms of the Company’s benefit plans),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(to avoid doubt) you will not be eligible for any bonuses during the Transition Period or related to your employment during 2023. Subject to the terms of the Equity Documents, your previously granted equity shall continue to vest during the Transition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379730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2"/>
          </w:cols>
          <w:pgMar w:left="478" w:top="537" w:right="439" w:bottom="1440" w:gutter="0" w:footer="0" w:header="0"/>
        </w:sectPr>
      </w:pPr>
    </w:p>
    <w:bookmarkStart w:id="97" w:name="page98"/>
    <w:bookmarkEnd w:id="97"/>
    <w:p>
      <w:pPr>
        <w:ind w:left="742" w:hanging="742"/>
        <w:spacing w:after="0"/>
        <w:tabs>
          <w:tab w:leader="none" w:pos="742" w:val="left"/>
        </w:tabs>
        <w:numPr>
          <w:ilvl w:val="0"/>
          <w:numId w:val="66"/>
        </w:numPr>
        <w:rPr>
          <w:rFonts w:ascii="Arial" w:cs="Arial" w:eastAsia="Arial" w:hAnsi="Arial"/>
          <w:sz w:val="22"/>
          <w:szCs w:val="22"/>
          <w:color w:val="auto"/>
        </w:rPr>
      </w:pPr>
      <w:r>
        <w:rPr>
          <w:rFonts w:ascii="Arial" w:cs="Arial" w:eastAsia="Arial" w:hAnsi="Arial"/>
          <w:sz w:val="22"/>
          <w:szCs w:val="22"/>
          <w:b w:val="1"/>
          <w:bCs w:val="1"/>
          <w:color w:val="auto"/>
        </w:rPr>
        <w:t>Severance Benefits</w:t>
      </w:r>
    </w:p>
    <w:p>
      <w:pPr>
        <w:spacing w:after="0" w:line="253" w:lineRule="exact"/>
        <w:rPr>
          <w:sz w:val="20"/>
          <w:szCs w:val="20"/>
          <w:color w:val="auto"/>
        </w:rPr>
      </w:pPr>
    </w:p>
    <w:p>
      <w:pPr>
        <w:ind w:left="2"/>
        <w:spacing w:after="0" w:line="235" w:lineRule="auto"/>
        <w:rPr>
          <w:sz w:val="20"/>
          <w:szCs w:val="20"/>
          <w:color w:val="auto"/>
        </w:rPr>
      </w:pPr>
      <w:r>
        <w:rPr>
          <w:rFonts w:ascii="Arial" w:cs="Arial" w:eastAsia="Arial" w:hAnsi="Arial"/>
          <w:sz w:val="22"/>
          <w:szCs w:val="22"/>
          <w:color w:val="auto"/>
        </w:rPr>
        <w:t xml:space="preserve">Provided you (i) enter into, do not revoke and comply with this Release Agreement, (ii) do not experience a Specified Termination prior November 7, 2023, and (iii) reaffirm the terms of this Release Agreement including the general release in Section 4 so that it covers the period between the date of this Release Agreement and the Resignation Date by signing and returning the Certificate attached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after the Resignation Date in accordance with the time frame provided in such Certificate, and such Certificate becomes effective, the Company shall provide you with the following “</w:t>
      </w:r>
      <w:r>
        <w:rPr>
          <w:rFonts w:ascii="Arial" w:cs="Arial" w:eastAsia="Arial" w:hAnsi="Arial"/>
          <w:sz w:val="22"/>
          <w:szCs w:val="22"/>
          <w:u w:val="single" w:color="auto"/>
          <w:color w:val="auto"/>
        </w:rPr>
        <w:t>Severance Benefits</w:t>
      </w:r>
      <w:r>
        <w:rPr>
          <w:rFonts w:ascii="Arial" w:cs="Arial" w:eastAsia="Arial" w:hAnsi="Arial"/>
          <w:sz w:val="22"/>
          <w:szCs w:val="22"/>
          <w:color w:val="auto"/>
        </w:rPr>
        <w:t>”:</w:t>
      </w:r>
    </w:p>
    <w:p>
      <w:pPr>
        <w:spacing w:after="0" w:line="215" w:lineRule="exact"/>
        <w:rPr>
          <w:sz w:val="20"/>
          <w:szCs w:val="20"/>
          <w:color w:val="auto"/>
        </w:rPr>
      </w:pPr>
    </w:p>
    <w:p>
      <w:pPr>
        <w:ind w:left="2" w:right="20" w:firstLine="597"/>
        <w:spacing w:after="0" w:line="277" w:lineRule="auto"/>
        <w:tabs>
          <w:tab w:leader="none" w:pos="867"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Severance Pay</w:t>
      </w:r>
      <w:r>
        <w:rPr>
          <w:rFonts w:ascii="Arial" w:cs="Arial" w:eastAsia="Arial" w:hAnsi="Arial"/>
          <w:sz w:val="19"/>
          <w:szCs w:val="19"/>
          <w:color w:val="auto"/>
        </w:rPr>
        <w:t>: The Company shall pay you severance pay (“</w:t>
      </w:r>
      <w:r>
        <w:rPr>
          <w:rFonts w:ascii="Arial" w:cs="Arial" w:eastAsia="Arial" w:hAnsi="Arial"/>
          <w:sz w:val="19"/>
          <w:szCs w:val="19"/>
          <w:u w:val="single" w:color="auto"/>
          <w:color w:val="auto"/>
        </w:rPr>
        <w:t>Severance Pay</w:t>
      </w:r>
      <w:r>
        <w:rPr>
          <w:rFonts w:ascii="Arial" w:cs="Arial" w:eastAsia="Arial" w:hAnsi="Arial"/>
          <w:sz w:val="19"/>
          <w:szCs w:val="19"/>
          <w:color w:val="auto"/>
        </w:rPr>
        <w:t>”) by continuing your base salary (at the annual rate of $455,400.24 per year) effective for the nine (9) month period immediately following the Resignation Date (the “</w:t>
      </w:r>
      <w:r>
        <w:rPr>
          <w:rFonts w:ascii="Arial" w:cs="Arial" w:eastAsia="Arial" w:hAnsi="Arial"/>
          <w:sz w:val="19"/>
          <w:szCs w:val="19"/>
          <w:u w:val="single" w:color="auto"/>
          <w:color w:val="auto"/>
        </w:rPr>
        <w:t>Severance Pay Period</w:t>
      </w:r>
      <w:r>
        <w:rPr>
          <w:rFonts w:ascii="Arial" w:cs="Arial" w:eastAsia="Arial" w:hAnsi="Arial"/>
          <w:sz w:val="19"/>
          <w:szCs w:val="19"/>
          <w:color w:val="auto"/>
        </w:rPr>
        <w:t xml:space="preserve">”). The Company shall pay you Severance Pay in installments on its regular payroll dates during the Severance Pay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Company shall not be obligated to pay any Severance Pay before the Certificate Effective Date (as defined in </w:t>
      </w:r>
      <w:r>
        <w:rPr>
          <w:rFonts w:ascii="Arial" w:cs="Arial" w:eastAsia="Arial" w:hAnsi="Arial"/>
          <w:sz w:val="19"/>
          <w:szCs w:val="19"/>
          <w:u w:val="single" w:color="auto"/>
          <w:color w:val="auto"/>
        </w:rPr>
        <w:t>Exhibit A</w:t>
      </w:r>
      <w:r>
        <w:rPr>
          <w:rFonts w:ascii="Arial" w:cs="Arial" w:eastAsia="Arial" w:hAnsi="Arial"/>
          <w:sz w:val="19"/>
          <w:szCs w:val="19"/>
          <w:color w:val="auto"/>
        </w:rPr>
        <w:t>). If the Company does not make one or more payments of Severance Pay on a regular payroll date because the Certificate has not yet become effective, the Company shall make all such delayed payments by the first payroll date when it is practicable to do so after the Certificate Effective Date.</w:t>
      </w:r>
    </w:p>
    <w:p>
      <w:pPr>
        <w:spacing w:after="0" w:line="192" w:lineRule="exact"/>
        <w:rPr>
          <w:sz w:val="20"/>
          <w:szCs w:val="20"/>
          <w:color w:val="auto"/>
        </w:rPr>
      </w:pPr>
    </w:p>
    <w:p>
      <w:pPr>
        <w:ind w:left="2" w:right="280" w:firstLine="749"/>
        <w:spacing w:after="0" w:line="274" w:lineRule="auto"/>
        <w:rPr>
          <w:sz w:val="20"/>
          <w:szCs w:val="20"/>
          <w:color w:val="auto"/>
        </w:rPr>
      </w:pPr>
      <w:r>
        <w:rPr>
          <w:rFonts w:ascii="Arial" w:cs="Arial" w:eastAsia="Arial" w:hAnsi="Arial"/>
          <w:sz w:val="19"/>
          <w:szCs w:val="19"/>
          <w:color w:val="auto"/>
        </w:rPr>
        <w:t>b.</w:t>
      </w:r>
      <w:r>
        <w:rPr>
          <w:rFonts w:ascii="Arial" w:cs="Arial" w:eastAsia="Arial" w:hAnsi="Arial"/>
          <w:sz w:val="19"/>
          <w:szCs w:val="19"/>
          <w:u w:val="single" w:color="auto"/>
          <w:color w:val="auto"/>
        </w:rPr>
        <w:t>Health Benefits/401k</w:t>
      </w:r>
      <w:r>
        <w:rPr>
          <w:rFonts w:ascii="Arial" w:cs="Arial" w:eastAsia="Arial" w:hAnsi="Arial"/>
          <w:sz w:val="19"/>
          <w:szCs w:val="19"/>
          <w:color w:val="auto"/>
        </w:rPr>
        <w:t xml:space="preserve">: If you elect COBRA continuation coverage, the Company shall pay the same portion of COBRA premiums that the Company pays for its active employees for the same level of group healthcare coverage as in effect for you on the Resignation Date until the earliest of the following: (i) the end of the Severance Pay Period; (ii) your eligibility for group medical care coverage through other employment; or (iii) the end of your eligibility under COBRA for continuation coverage for health care. You agree to notify the Company promptly if you become eligible for group medical care coverage through another employer. You also agree to respond promptly and fully to any reasonable requests for information by the Company concerning your eligibility for such coverage. You may continue coverage after the end of the Severance Pay Period at your own expense for the remainder of the COBRA continuation period, subject to continued eligibility. Notwithstanding the foregoing, if the Company determines at any time that its payments pursuant to this paragraph may be taxable income to you, it may </w:t>
      </w:r>
      <w:r>
        <w:rPr>
          <w:rFonts w:ascii="Arial" w:cs="Arial" w:eastAsia="Arial" w:hAnsi="Arial"/>
          <w:sz w:val="17"/>
          <w:szCs w:val="17"/>
          <w:color w:val="auto"/>
        </w:rPr>
        <w:t>convert such payments to payroll payments directly to you on the Company’s</w:t>
      </w:r>
      <w:r>
        <w:rPr>
          <w:rFonts w:ascii="Arial" w:cs="Arial" w:eastAsia="Arial" w:hAnsi="Arial"/>
          <w:sz w:val="19"/>
          <w:szCs w:val="19"/>
          <w:color w:val="auto"/>
        </w:rPr>
        <w:t xml:space="preserve"> </w:t>
      </w:r>
      <w:r>
        <w:rPr>
          <w:rFonts w:ascii="Arial" w:cs="Arial" w:eastAsia="Arial" w:hAnsi="Arial"/>
          <w:sz w:val="17"/>
          <w:szCs w:val="17"/>
          <w:color w:val="auto"/>
        </w:rPr>
        <w:t>regular payroll dates, which shall be subject to tax-related deductions and withholdings. In accordance with the Company’s 401k plan, you may transfer your 401k account at any point following the execution of this Release Agreement.</w:t>
      </w:r>
    </w:p>
    <w:p>
      <w:pPr>
        <w:spacing w:after="0" w:line="205" w:lineRule="exact"/>
        <w:rPr>
          <w:sz w:val="20"/>
          <w:szCs w:val="20"/>
          <w:color w:val="auto"/>
        </w:rPr>
      </w:pPr>
    </w:p>
    <w:p>
      <w:pPr>
        <w:ind w:left="2" w:right="200" w:firstLine="749"/>
        <w:spacing w:after="0" w:line="282" w:lineRule="auto"/>
        <w:rPr>
          <w:sz w:val="20"/>
          <w:szCs w:val="20"/>
          <w:color w:val="auto"/>
        </w:rPr>
      </w:pPr>
      <w:r>
        <w:rPr>
          <w:rFonts w:ascii="Arial" w:cs="Arial" w:eastAsia="Arial" w:hAnsi="Arial"/>
          <w:sz w:val="19"/>
          <w:szCs w:val="19"/>
          <w:color w:val="auto"/>
        </w:rPr>
        <w:t>c.</w:t>
      </w:r>
      <w:r>
        <w:rPr>
          <w:rFonts w:ascii="Arial" w:cs="Arial" w:eastAsia="Arial" w:hAnsi="Arial"/>
          <w:sz w:val="19"/>
          <w:szCs w:val="19"/>
          <w:u w:val="single" w:color="auto"/>
          <w:color w:val="auto"/>
        </w:rPr>
        <w:t>Tax Treatment</w:t>
      </w:r>
      <w:r>
        <w:rPr>
          <w:rFonts w:ascii="Arial" w:cs="Arial" w:eastAsia="Arial" w:hAnsi="Arial"/>
          <w:sz w:val="19"/>
          <w:szCs w:val="19"/>
          <w:color w:val="auto"/>
        </w:rPr>
        <w:t>. The Company shall make deductions, withholdings and tax reports with respect to payments and benefits under this Release Agreement that it reasonably determines to be required. Payments under this Release Agreement shall be in amounts net of any such deductions or withholdings. Nothing in this Release Agreement shall be construed to require the Company to make any payments to compensate you for any adverse tax effect associated with any payments or benefits or for any deduction or withholding from any payment or benefit.</w:t>
      </w:r>
    </w:p>
    <w:p>
      <w:pPr>
        <w:spacing w:after="0" w:line="174" w:lineRule="exact"/>
        <w:rPr>
          <w:sz w:val="20"/>
          <w:szCs w:val="20"/>
          <w:color w:val="auto"/>
        </w:rPr>
      </w:pPr>
    </w:p>
    <w:p>
      <w:pPr>
        <w:ind w:left="2" w:right="240"/>
        <w:spacing w:after="0" w:line="250" w:lineRule="auto"/>
        <w:rPr>
          <w:sz w:val="20"/>
          <w:szCs w:val="20"/>
          <w:color w:val="auto"/>
        </w:rPr>
      </w:pPr>
      <w:r>
        <w:rPr>
          <w:rFonts w:ascii="Arial" w:cs="Arial" w:eastAsia="Arial" w:hAnsi="Arial"/>
          <w:sz w:val="22"/>
          <w:szCs w:val="22"/>
          <w:color w:val="auto"/>
        </w:rPr>
        <w:t>Your receipt of the Severance Benefits under this Release Agreement is conditioned on your continued compliance with the Consulting Agreement. If the Consulting Agreement is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377825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2"/>
          </w:cols>
          <w:pgMar w:left="478" w:top="612" w:right="499" w:bottom="1440" w:gutter="0" w:footer="0" w:header="0"/>
        </w:sectPr>
      </w:pPr>
    </w:p>
    <w:bookmarkStart w:id="98" w:name="page99"/>
    <w:bookmarkEnd w:id="98"/>
    <w:p>
      <w:pPr>
        <w:ind w:left="2" w:right="220"/>
        <w:spacing w:after="0" w:line="250" w:lineRule="auto"/>
        <w:rPr>
          <w:sz w:val="20"/>
          <w:szCs w:val="20"/>
          <w:color w:val="auto"/>
        </w:rPr>
      </w:pPr>
      <w:r>
        <w:rPr>
          <w:rFonts w:ascii="Arial" w:cs="Arial" w:eastAsia="Arial" w:hAnsi="Arial"/>
          <w:sz w:val="22"/>
          <w:szCs w:val="22"/>
          <w:color w:val="auto"/>
        </w:rPr>
        <w:t>for Cause (as defined in the Consulting Agreement), then your receipt of the Severance Benefits shall immediately cease and you will not be eligible for receive any additional Severance Benefits.</w:t>
      </w:r>
    </w:p>
    <w:p>
      <w:pPr>
        <w:spacing w:after="0" w:line="196" w:lineRule="exact"/>
        <w:rPr>
          <w:sz w:val="20"/>
          <w:szCs w:val="20"/>
          <w:color w:val="auto"/>
        </w:rPr>
      </w:pPr>
    </w:p>
    <w:p>
      <w:pPr>
        <w:ind w:left="742" w:hanging="742"/>
        <w:spacing w:after="0"/>
        <w:tabs>
          <w:tab w:leader="none" w:pos="742" w:val="left"/>
        </w:tabs>
        <w:numPr>
          <w:ilvl w:val="0"/>
          <w:numId w:val="68"/>
        </w:numPr>
        <w:rPr>
          <w:rFonts w:ascii="Arial" w:cs="Arial" w:eastAsia="Arial" w:hAnsi="Arial"/>
          <w:sz w:val="22"/>
          <w:szCs w:val="22"/>
          <w:color w:val="auto"/>
        </w:rPr>
      </w:pPr>
      <w:r>
        <w:rPr>
          <w:rFonts w:ascii="Arial" w:cs="Arial" w:eastAsia="Arial" w:hAnsi="Arial"/>
          <w:sz w:val="22"/>
          <w:szCs w:val="22"/>
          <w:b w:val="1"/>
          <w:bCs w:val="1"/>
          <w:color w:val="auto"/>
        </w:rPr>
        <w:t>Equity</w:t>
      </w:r>
    </w:p>
    <w:p>
      <w:pPr>
        <w:spacing w:after="0" w:line="253" w:lineRule="exact"/>
        <w:rPr>
          <w:sz w:val="20"/>
          <w:szCs w:val="20"/>
          <w:color w:val="auto"/>
        </w:rPr>
      </w:pPr>
    </w:p>
    <w:p>
      <w:pPr>
        <w:ind w:left="2" w:right="80"/>
        <w:spacing w:after="0" w:line="270" w:lineRule="auto"/>
        <w:rPr>
          <w:sz w:val="20"/>
          <w:szCs w:val="20"/>
          <w:color w:val="auto"/>
        </w:rPr>
      </w:pPr>
      <w:r>
        <w:rPr>
          <w:rFonts w:ascii="Arial" w:cs="Arial" w:eastAsia="Arial" w:hAnsi="Arial"/>
          <w:sz w:val="19"/>
          <w:szCs w:val="19"/>
          <w:color w:val="auto"/>
        </w:rPr>
        <w:t>During the course of your employment, you were awarded a total of 60,375 Restricted Stock Units (the “</w:t>
      </w:r>
      <w:r>
        <w:rPr>
          <w:rFonts w:ascii="Arial" w:cs="Arial" w:eastAsia="Arial" w:hAnsi="Arial"/>
          <w:sz w:val="19"/>
          <w:szCs w:val="19"/>
          <w:u w:val="single" w:color="auto"/>
          <w:color w:val="auto"/>
        </w:rPr>
        <w:t>Award</w:t>
      </w:r>
      <w:r>
        <w:rPr>
          <w:rFonts w:ascii="Arial" w:cs="Arial" w:eastAsia="Arial" w:hAnsi="Arial"/>
          <w:sz w:val="19"/>
          <w:szCs w:val="19"/>
          <w:color w:val="auto"/>
        </w:rPr>
        <w:t>”) and 459,705 shares of the Company’s common stock (the “</w:t>
      </w:r>
      <w:r>
        <w:rPr>
          <w:rFonts w:ascii="Arial" w:cs="Arial" w:eastAsia="Arial" w:hAnsi="Arial"/>
          <w:sz w:val="19"/>
          <w:szCs w:val="19"/>
          <w:u w:val="single" w:color="auto"/>
          <w:color w:val="auto"/>
        </w:rPr>
        <w:t>Option</w:t>
      </w:r>
      <w:r>
        <w:rPr>
          <w:rFonts w:ascii="Arial" w:cs="Arial" w:eastAsia="Arial" w:hAnsi="Arial"/>
          <w:sz w:val="19"/>
          <w:szCs w:val="19"/>
          <w:color w:val="auto"/>
        </w:rPr>
        <w:t>”), in each case under the Company’s 2009 Amended and Restated Stock Option and Restricted Stock Plan and 2021 Stock Option and Incentive Plan and associated restricted stock unit award agreements and stock option agreements (collectively, the “</w:t>
      </w:r>
      <w:r>
        <w:rPr>
          <w:rFonts w:ascii="Arial" w:cs="Arial" w:eastAsia="Arial" w:hAnsi="Arial"/>
          <w:sz w:val="19"/>
          <w:szCs w:val="19"/>
          <w:u w:val="single" w:color="auto"/>
          <w:color w:val="auto"/>
        </w:rPr>
        <w:t>Equity Documents</w:t>
      </w:r>
      <w:r>
        <w:rPr>
          <w:rFonts w:ascii="Arial" w:cs="Arial" w:eastAsia="Arial" w:hAnsi="Arial"/>
          <w:sz w:val="19"/>
          <w:szCs w:val="19"/>
          <w:color w:val="auto"/>
        </w:rPr>
        <w:t>”). If you enter into and comply with this Release Agreement, and do not experience a Specified Termination prior to November 7, 2023, you will have 13,126 Restricted Stock Units of the Award vested and 296,059 shares of the Option vested. The remaining 47,249 Restricted Stock Units of the Award and 163,646 shares of the Option shall be unvested as of November 7, 2023 and shall become null and void as of such date, unless you enter into the Consulting Agreement under which your equity will continue to vest (as described below and in the Consulting Agreement). The vested equity as of November 7, 2023, along with any other equity that may vest during the Consulting Period (as described in the Consulting Agreement) (collectively the “</w:t>
      </w:r>
      <w:r>
        <w:rPr>
          <w:rFonts w:ascii="Arial" w:cs="Arial" w:eastAsia="Arial" w:hAnsi="Arial"/>
          <w:sz w:val="19"/>
          <w:szCs w:val="19"/>
          <w:u w:val="single" w:color="auto"/>
          <w:color w:val="auto"/>
        </w:rPr>
        <w:t>Vested Equity</w:t>
      </w:r>
      <w:r>
        <w:rPr>
          <w:rFonts w:ascii="Arial" w:cs="Arial" w:eastAsia="Arial" w:hAnsi="Arial"/>
          <w:sz w:val="19"/>
          <w:szCs w:val="19"/>
          <w:color w:val="auto"/>
        </w:rPr>
        <w:t>”), shall continue to be subject to the terms and conditions of the Equity Documents, provided that you agree, effective as of September 26, 2023, to the following: (i) from September 26, 2023 through the expiration of your existing 10b5-1 Plan with Morgan Stanley (the “</w:t>
      </w:r>
      <w:r>
        <w:rPr>
          <w:rFonts w:ascii="Arial" w:cs="Arial" w:eastAsia="Arial" w:hAnsi="Arial"/>
          <w:sz w:val="19"/>
          <w:szCs w:val="19"/>
          <w:u w:val="single" w:color="auto"/>
          <w:color w:val="auto"/>
        </w:rPr>
        <w:t>10b5-1 Plan</w:t>
      </w:r>
      <w:r>
        <w:rPr>
          <w:rFonts w:ascii="Arial" w:cs="Arial" w:eastAsia="Arial" w:hAnsi="Arial"/>
          <w:sz w:val="19"/>
          <w:szCs w:val="19"/>
          <w:color w:val="auto"/>
        </w:rPr>
        <w:t>”), which is expected to occur on April 15, 2024 (the “</w:t>
      </w:r>
      <w:r>
        <w:rPr>
          <w:rFonts w:ascii="Arial" w:cs="Arial" w:eastAsia="Arial" w:hAnsi="Arial"/>
          <w:sz w:val="19"/>
          <w:szCs w:val="19"/>
          <w:u w:val="single" w:color="auto"/>
          <w:color w:val="auto"/>
        </w:rPr>
        <w:t>Plan Termination Date</w:t>
      </w:r>
      <w:r>
        <w:rPr>
          <w:rFonts w:ascii="Arial" w:cs="Arial" w:eastAsia="Arial" w:hAnsi="Arial"/>
          <w:sz w:val="19"/>
          <w:szCs w:val="19"/>
          <w:color w:val="auto"/>
        </w:rPr>
        <w:t xml:space="preserve">”), you will not sell, directly or indirectly, any shares of Vested Equity other than pursuant to the 10b5-1 Plan; and (ii) after the Plan Termination Date, you shall not sell, directly or indirectly, more than 5,000 shares of your Vested Equity during any 30 day period beginning on the Plan Termination Date. In addition, you will continue to be eligible to participate in your 10b5-1 Plan during the Consulting Period through the Plan Termination Date, and may amend the 10b5-1 Plan one (1) time in accordance with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hereto after the termination of your regular employment and during the Consulting Period prior to the Plan Termination Date, provided that you are in compliance with the Company’s Insider Trading Policy. After the Plan Termination Date, you shall not enter into a subsequent 10b5-1 trading plan but rather will be subject to the limitations set forth in clause (ii) above.</w:t>
      </w:r>
    </w:p>
    <w:p>
      <w:pPr>
        <w:spacing w:after="0" w:line="200" w:lineRule="exact"/>
        <w:rPr>
          <w:sz w:val="20"/>
          <w:szCs w:val="20"/>
          <w:color w:val="auto"/>
        </w:rPr>
      </w:pPr>
    </w:p>
    <w:p>
      <w:pPr>
        <w:spacing w:after="0" w:line="203" w:lineRule="exact"/>
        <w:rPr>
          <w:sz w:val="20"/>
          <w:szCs w:val="20"/>
          <w:color w:val="auto"/>
        </w:rPr>
      </w:pPr>
    </w:p>
    <w:p>
      <w:pPr>
        <w:ind w:left="2" w:right="20"/>
        <w:spacing w:after="0" w:line="252" w:lineRule="auto"/>
        <w:rPr>
          <w:sz w:val="20"/>
          <w:szCs w:val="20"/>
          <w:color w:val="auto"/>
        </w:rPr>
      </w:pPr>
      <w:r>
        <w:rPr>
          <w:rFonts w:ascii="Arial" w:cs="Arial" w:eastAsia="Arial" w:hAnsi="Arial"/>
          <w:sz w:val="21"/>
          <w:szCs w:val="21"/>
          <w:color w:val="auto"/>
        </w:rPr>
        <w:t>In accordance with the Consulting Agreement, you are also eligible for continued vesting during the Consulting Period (as defined in the Consulting Agreement). For the avoidance of doubt, as provided in the Equity Documents, except in the event of disability, death or Cause, the three- month post-service relationship exercise period for any vested equity shall not begin until after your service relationship with the Company has ended (i.e. after the Consulting Period ends).</w:t>
      </w:r>
    </w:p>
    <w:p>
      <w:pPr>
        <w:spacing w:after="0" w:line="201" w:lineRule="exact"/>
        <w:rPr>
          <w:sz w:val="20"/>
          <w:szCs w:val="20"/>
          <w:color w:val="auto"/>
        </w:rPr>
      </w:pPr>
    </w:p>
    <w:p>
      <w:pPr>
        <w:ind w:left="2"/>
        <w:spacing w:after="0"/>
        <w:rPr>
          <w:sz w:val="20"/>
          <w:szCs w:val="20"/>
          <w:color w:val="auto"/>
        </w:rPr>
      </w:pPr>
      <w:r>
        <w:rPr>
          <w:rFonts w:ascii="Arial" w:cs="Arial" w:eastAsia="Arial" w:hAnsi="Arial"/>
          <w:sz w:val="22"/>
          <w:szCs w:val="22"/>
          <w:color w:val="auto"/>
        </w:rPr>
        <w:t>You and the Company agree that the proviso at the end of Section 1 of the Consulting Agreement, which states:</w:t>
      </w:r>
    </w:p>
    <w:p>
      <w:pPr>
        <w:spacing w:after="0" w:line="241" w:lineRule="exact"/>
        <w:rPr>
          <w:sz w:val="20"/>
          <w:szCs w:val="20"/>
          <w:color w:val="auto"/>
        </w:rPr>
      </w:pPr>
    </w:p>
    <w:p>
      <w:pPr>
        <w:ind w:left="1342"/>
        <w:spacing w:after="0" w:line="292" w:lineRule="auto"/>
        <w:rPr>
          <w:sz w:val="20"/>
          <w:szCs w:val="20"/>
          <w:color w:val="auto"/>
        </w:rPr>
      </w:pPr>
      <w:r>
        <w:rPr>
          <w:rFonts w:ascii="Arial" w:cs="Arial" w:eastAsia="Arial" w:hAnsi="Arial"/>
          <w:sz w:val="19"/>
          <w:szCs w:val="19"/>
          <w:color w:val="auto"/>
        </w:rPr>
        <w:t>“…provided that you agree, effective as of September 26, 2023, (i) you will not sell, directly or indirectly, more than 4,000 shares of your vested equity during any 30 day period beginning on September 26, 2023 (“Share Sale Restriction”), and (ii) that such Share Sale Restriction shall continue during the nine-month period following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354965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2"/>
          </w:cols>
          <w:pgMar w:left="478" w:top="537" w:right="419" w:bottom="1440" w:gutter="0" w:footer="0" w:header="0"/>
        </w:sectPr>
      </w:pPr>
    </w:p>
    <w:bookmarkStart w:id="99" w:name="page100"/>
    <w:bookmarkEnd w:id="99"/>
    <w:p>
      <w:pPr>
        <w:ind w:left="1342" w:right="580"/>
        <w:spacing w:after="0" w:line="264" w:lineRule="auto"/>
        <w:rPr>
          <w:sz w:val="20"/>
          <w:szCs w:val="20"/>
          <w:color w:val="auto"/>
        </w:rPr>
      </w:pPr>
      <w:r>
        <w:rPr>
          <w:rFonts w:ascii="Arial" w:cs="Arial" w:eastAsia="Arial" w:hAnsi="Arial"/>
          <w:sz w:val="21"/>
          <w:szCs w:val="21"/>
          <w:color w:val="auto"/>
        </w:rPr>
        <w:t>Resignation Date, unless the Company terminates the Consulting Period without Cause, pursuant to Section 6 below.”</w:t>
      </w:r>
    </w:p>
    <w:p>
      <w:pPr>
        <w:spacing w:after="0" w:line="190" w:lineRule="exact"/>
        <w:rPr>
          <w:sz w:val="20"/>
          <w:szCs w:val="20"/>
          <w:color w:val="auto"/>
        </w:rPr>
      </w:pPr>
    </w:p>
    <w:p>
      <w:pPr>
        <w:ind w:left="2"/>
        <w:spacing w:after="0"/>
        <w:rPr>
          <w:sz w:val="20"/>
          <w:szCs w:val="20"/>
          <w:color w:val="auto"/>
        </w:rPr>
      </w:pPr>
      <w:r>
        <w:rPr>
          <w:rFonts w:ascii="Arial" w:cs="Arial" w:eastAsia="Arial" w:hAnsi="Arial"/>
          <w:sz w:val="22"/>
          <w:szCs w:val="22"/>
          <w:color w:val="auto"/>
        </w:rPr>
        <w:t>is hereby amended by deleting the above quoted language and replacing it with the following:</w:t>
      </w:r>
    </w:p>
    <w:p>
      <w:pPr>
        <w:spacing w:after="0" w:line="233" w:lineRule="exact"/>
        <w:rPr>
          <w:sz w:val="20"/>
          <w:szCs w:val="20"/>
          <w:color w:val="auto"/>
        </w:rPr>
      </w:pPr>
    </w:p>
    <w:p>
      <w:pPr>
        <w:ind w:left="1342" w:right="480"/>
        <w:spacing w:after="0" w:line="250" w:lineRule="auto"/>
        <w:rPr>
          <w:sz w:val="20"/>
          <w:szCs w:val="20"/>
          <w:color w:val="auto"/>
        </w:rPr>
      </w:pPr>
      <w:r>
        <w:rPr>
          <w:rFonts w:ascii="Arial" w:cs="Arial" w:eastAsia="Arial" w:hAnsi="Arial"/>
          <w:sz w:val="22"/>
          <w:szCs w:val="22"/>
          <w:color w:val="auto"/>
        </w:rPr>
        <w:t>“…provided that you comply with the restrictions on your sale of Vested Equity (as defined in the Release Agreement) as set forth in Section 3 of the Release Agreement.”</w:t>
      </w:r>
    </w:p>
    <w:p>
      <w:pPr>
        <w:spacing w:after="0" w:line="169" w:lineRule="exact"/>
        <w:rPr>
          <w:sz w:val="20"/>
          <w:szCs w:val="20"/>
          <w:color w:val="auto"/>
        </w:rPr>
      </w:pPr>
    </w:p>
    <w:p>
      <w:pPr>
        <w:ind w:left="742" w:hanging="742"/>
        <w:spacing w:after="0"/>
        <w:tabs>
          <w:tab w:leader="none" w:pos="742" w:val="left"/>
        </w:tabs>
        <w:numPr>
          <w:ilvl w:val="0"/>
          <w:numId w:val="69"/>
        </w:numPr>
        <w:rPr>
          <w:rFonts w:ascii="Arial" w:cs="Arial" w:eastAsia="Arial" w:hAnsi="Arial"/>
          <w:sz w:val="22"/>
          <w:szCs w:val="22"/>
          <w:color w:val="auto"/>
        </w:rPr>
      </w:pPr>
      <w:r>
        <w:rPr>
          <w:rFonts w:ascii="Arial" w:cs="Arial" w:eastAsia="Arial" w:hAnsi="Arial"/>
          <w:sz w:val="22"/>
          <w:szCs w:val="22"/>
          <w:b w:val="1"/>
          <w:bCs w:val="1"/>
          <w:color w:val="auto"/>
        </w:rPr>
        <w:t>Release of Claims</w:t>
      </w:r>
    </w:p>
    <w:p>
      <w:pPr>
        <w:spacing w:after="0" w:line="253" w:lineRule="exact"/>
        <w:rPr>
          <w:sz w:val="20"/>
          <w:szCs w:val="20"/>
          <w:color w:val="auto"/>
        </w:rPr>
      </w:pPr>
    </w:p>
    <w:p>
      <w:pPr>
        <w:ind w:left="2"/>
        <w:spacing w:after="0" w:line="274" w:lineRule="auto"/>
        <w:rPr>
          <w:sz w:val="20"/>
          <w:szCs w:val="20"/>
          <w:color w:val="auto"/>
        </w:rPr>
      </w:pPr>
      <w:r>
        <w:rPr>
          <w:rFonts w:ascii="Arial" w:cs="Arial" w:eastAsia="Arial" w:hAnsi="Arial"/>
          <w:sz w:val="19"/>
          <w:szCs w:val="19"/>
          <w:color w:val="auto"/>
        </w:rPr>
        <w:t>In consideration for, among other terms, the opportunity to continue your employment with the Company during the Transition Period and to receive the Severance Benefits, each of which you acknowledge you would otherwise not be entitled to, you voluntarily release and forever discharge the Company and its affiliated and related entities, their respective predecessors, successors and assigns, its and their respective employee benefit plans and fiduciaries of such plans, and the current and former officers, directors, managers, members, shareholders, employees, attorneys, accountants and agents of each of the foregoing in their official and personal capacities (collectively referred to as the “</w:t>
      </w:r>
      <w:r>
        <w:rPr>
          <w:rFonts w:ascii="Arial" w:cs="Arial" w:eastAsia="Arial" w:hAnsi="Arial"/>
          <w:sz w:val="19"/>
          <w:szCs w:val="19"/>
          <w:u w:val="single" w:color="auto"/>
          <w:color w:val="auto"/>
        </w:rPr>
        <w:t>Releasees</w:t>
      </w:r>
      <w:r>
        <w:rPr>
          <w:rFonts w:ascii="Arial" w:cs="Arial" w:eastAsia="Arial" w:hAnsi="Arial"/>
          <w:sz w:val="19"/>
          <w:szCs w:val="19"/>
          <w:color w:val="auto"/>
        </w:rPr>
        <w:t>”) generally from all claims, demands, debts, damages and liabilities of every name and nature, known or unknown (“</w:t>
      </w:r>
      <w:r>
        <w:rPr>
          <w:rFonts w:ascii="Arial" w:cs="Arial" w:eastAsia="Arial" w:hAnsi="Arial"/>
          <w:sz w:val="19"/>
          <w:szCs w:val="19"/>
          <w:u w:val="single" w:color="auto"/>
          <w:color w:val="auto"/>
        </w:rPr>
        <w:t>Claims</w:t>
      </w:r>
      <w:r>
        <w:rPr>
          <w:rFonts w:ascii="Arial" w:cs="Arial" w:eastAsia="Arial" w:hAnsi="Arial"/>
          <w:sz w:val="19"/>
          <w:szCs w:val="19"/>
          <w:color w:val="auto"/>
        </w:rPr>
        <w:t>”) that, as of the date when you sign this Release Agreement, you have, ever had, now claim to have or ever claimed to have had against any or all of the Releasees. This release includes, without limitation, all Claims:</w:t>
      </w:r>
    </w:p>
    <w:p>
      <w:pPr>
        <w:spacing w:after="0" w:line="266" w:lineRule="exact"/>
        <w:rPr>
          <w:sz w:val="20"/>
          <w:szCs w:val="20"/>
          <w:color w:val="auto"/>
        </w:rPr>
      </w:pPr>
    </w:p>
    <w:p>
      <w:pPr>
        <w:ind w:left="742" w:hanging="368"/>
        <w:spacing w:after="0"/>
        <w:tabs>
          <w:tab w:leader="none" w:pos="742" w:val="left"/>
        </w:tabs>
        <w:numPr>
          <w:ilvl w:val="0"/>
          <w:numId w:val="70"/>
        </w:numPr>
        <w:rPr>
          <w:rFonts w:ascii="Arial" w:cs="Arial" w:eastAsia="Arial" w:hAnsi="Arial"/>
          <w:sz w:val="22"/>
          <w:szCs w:val="22"/>
          <w:color w:val="auto"/>
        </w:rPr>
      </w:pPr>
      <w:r>
        <w:rPr>
          <w:rFonts w:ascii="Arial" w:cs="Arial" w:eastAsia="Arial" w:hAnsi="Arial"/>
          <w:sz w:val="22"/>
          <w:szCs w:val="22"/>
          <w:color w:val="auto"/>
        </w:rPr>
        <w:t>relating to your employment by and resignation from employment with the Company;</w:t>
      </w:r>
    </w:p>
    <w:p>
      <w:pPr>
        <w:spacing w:after="0" w:line="8" w:lineRule="exact"/>
        <w:rPr>
          <w:rFonts w:ascii="Arial" w:cs="Arial" w:eastAsia="Arial" w:hAnsi="Arial"/>
          <w:sz w:val="22"/>
          <w:szCs w:val="22"/>
          <w:color w:val="auto"/>
        </w:rPr>
      </w:pPr>
    </w:p>
    <w:p>
      <w:pPr>
        <w:ind w:left="742" w:hanging="368"/>
        <w:spacing w:after="0" w:line="230" w:lineRule="auto"/>
        <w:tabs>
          <w:tab w:leader="none" w:pos="742" w:val="left"/>
        </w:tabs>
        <w:numPr>
          <w:ilvl w:val="0"/>
          <w:numId w:val="70"/>
        </w:numPr>
        <w:rPr>
          <w:rFonts w:ascii="Arial" w:cs="Arial" w:eastAsia="Arial" w:hAnsi="Arial"/>
          <w:sz w:val="22"/>
          <w:szCs w:val="22"/>
          <w:color w:val="auto"/>
        </w:rPr>
      </w:pPr>
      <w:r>
        <w:rPr>
          <w:rFonts w:ascii="Arial" w:cs="Arial" w:eastAsia="Arial" w:hAnsi="Arial"/>
          <w:sz w:val="22"/>
          <w:szCs w:val="22"/>
          <w:color w:val="auto"/>
        </w:rPr>
        <w:t>relating to your Offer Letter or the Equity Documents;</w:t>
      </w:r>
    </w:p>
    <w:p>
      <w:pPr>
        <w:ind w:left="742" w:hanging="368"/>
        <w:spacing w:after="0" w:line="230" w:lineRule="auto"/>
        <w:tabs>
          <w:tab w:leader="none" w:pos="742" w:val="left"/>
        </w:tabs>
        <w:numPr>
          <w:ilvl w:val="0"/>
          <w:numId w:val="70"/>
        </w:numPr>
        <w:rPr>
          <w:rFonts w:ascii="Arial" w:cs="Arial" w:eastAsia="Arial" w:hAnsi="Arial"/>
          <w:sz w:val="22"/>
          <w:szCs w:val="22"/>
          <w:color w:val="auto"/>
        </w:rPr>
      </w:pPr>
      <w:r>
        <w:rPr>
          <w:rFonts w:ascii="Arial" w:cs="Arial" w:eastAsia="Arial" w:hAnsi="Arial"/>
          <w:sz w:val="22"/>
          <w:szCs w:val="22"/>
          <w:color w:val="auto"/>
        </w:rPr>
        <w:t>of wrongful discharge or violation of public policy;</w:t>
      </w:r>
    </w:p>
    <w:p>
      <w:pPr>
        <w:ind w:left="742" w:hanging="368"/>
        <w:spacing w:after="0" w:line="230" w:lineRule="auto"/>
        <w:tabs>
          <w:tab w:leader="none" w:pos="742" w:val="left"/>
        </w:tabs>
        <w:numPr>
          <w:ilvl w:val="0"/>
          <w:numId w:val="70"/>
        </w:numPr>
        <w:rPr>
          <w:rFonts w:ascii="Arial" w:cs="Arial" w:eastAsia="Arial" w:hAnsi="Arial"/>
          <w:sz w:val="22"/>
          <w:szCs w:val="22"/>
          <w:color w:val="auto"/>
        </w:rPr>
      </w:pPr>
      <w:r>
        <w:rPr>
          <w:rFonts w:ascii="Arial" w:cs="Arial" w:eastAsia="Arial" w:hAnsi="Arial"/>
          <w:sz w:val="22"/>
          <w:szCs w:val="22"/>
          <w:color w:val="auto"/>
        </w:rPr>
        <w:t>of breach of contract;</w:t>
      </w:r>
    </w:p>
    <w:p>
      <w:pPr>
        <w:ind w:left="742" w:right="700" w:hanging="368"/>
        <w:spacing w:after="0" w:line="230" w:lineRule="auto"/>
        <w:tabs>
          <w:tab w:leader="none" w:pos="742" w:val="left"/>
        </w:tabs>
        <w:numPr>
          <w:ilvl w:val="0"/>
          <w:numId w:val="70"/>
        </w:numPr>
        <w:rPr>
          <w:rFonts w:ascii="Arial" w:cs="Arial" w:eastAsia="Arial" w:hAnsi="Arial"/>
          <w:sz w:val="22"/>
          <w:szCs w:val="22"/>
          <w:color w:val="auto"/>
        </w:rPr>
      </w:pPr>
      <w:r>
        <w:rPr>
          <w:rFonts w:ascii="Arial" w:cs="Arial" w:eastAsia="Arial" w:hAnsi="Arial"/>
          <w:sz w:val="22"/>
          <w:szCs w:val="22"/>
          <w:color w:val="auto"/>
        </w:rPr>
        <w:t>of retaliation or discrimination under federal, state or local law (including, without limitation, Claims of discrimination, retaliation or otherwise under the Americans with Disabilities Act, Title VII of the Civil Rights Act of 1964, and the Massachusetts Fair Employment Practices Act (M.G.L. c. 151B));</w:t>
      </w:r>
    </w:p>
    <w:p>
      <w:pPr>
        <w:spacing w:after="0" w:line="1" w:lineRule="exact"/>
        <w:rPr>
          <w:rFonts w:ascii="Arial" w:cs="Arial" w:eastAsia="Arial" w:hAnsi="Arial"/>
          <w:sz w:val="22"/>
          <w:szCs w:val="22"/>
          <w:color w:val="auto"/>
        </w:rPr>
      </w:pPr>
    </w:p>
    <w:p>
      <w:pPr>
        <w:ind w:left="742" w:hanging="368"/>
        <w:spacing w:after="0" w:line="230" w:lineRule="auto"/>
        <w:tabs>
          <w:tab w:leader="none" w:pos="742" w:val="left"/>
        </w:tabs>
        <w:numPr>
          <w:ilvl w:val="0"/>
          <w:numId w:val="70"/>
        </w:numPr>
        <w:rPr>
          <w:rFonts w:ascii="Arial" w:cs="Arial" w:eastAsia="Arial" w:hAnsi="Arial"/>
          <w:sz w:val="22"/>
          <w:szCs w:val="22"/>
          <w:color w:val="auto"/>
        </w:rPr>
      </w:pPr>
      <w:r>
        <w:rPr>
          <w:rFonts w:ascii="Arial" w:cs="Arial" w:eastAsia="Arial" w:hAnsi="Arial"/>
          <w:sz w:val="22"/>
          <w:szCs w:val="22"/>
          <w:color w:val="auto"/>
        </w:rPr>
        <w:t>under any other federal or state statute;</w:t>
      </w:r>
    </w:p>
    <w:p>
      <w:pPr>
        <w:ind w:left="742" w:right="1100" w:hanging="368"/>
        <w:spacing w:after="0" w:line="230" w:lineRule="auto"/>
        <w:tabs>
          <w:tab w:leader="none" w:pos="742" w:val="left"/>
        </w:tabs>
        <w:numPr>
          <w:ilvl w:val="0"/>
          <w:numId w:val="70"/>
        </w:numPr>
        <w:rPr>
          <w:rFonts w:ascii="Arial" w:cs="Arial" w:eastAsia="Arial" w:hAnsi="Arial"/>
          <w:sz w:val="22"/>
          <w:szCs w:val="22"/>
          <w:color w:val="auto"/>
        </w:rPr>
      </w:pPr>
      <w:r>
        <w:rPr>
          <w:rFonts w:ascii="Arial" w:cs="Arial" w:eastAsia="Arial" w:hAnsi="Arial"/>
          <w:sz w:val="22"/>
          <w:szCs w:val="22"/>
          <w:color w:val="auto"/>
        </w:rPr>
        <w:t>for wages, bonuses, incentive compensation, commissions, stock, stock options, vacation pay or any other compensation or benefits, whether under Massachusetts Wage Act,</w:t>
      </w:r>
    </w:p>
    <w:p>
      <w:pPr>
        <w:spacing w:after="0" w:line="1" w:lineRule="exact"/>
        <w:rPr>
          <w:rFonts w:ascii="Arial" w:cs="Arial" w:eastAsia="Arial" w:hAnsi="Arial"/>
          <w:sz w:val="22"/>
          <w:szCs w:val="22"/>
          <w:color w:val="auto"/>
        </w:rPr>
      </w:pPr>
    </w:p>
    <w:p>
      <w:pPr>
        <w:ind w:left="742"/>
        <w:spacing w:after="0" w:line="230" w:lineRule="auto"/>
        <w:rPr>
          <w:rFonts w:ascii="Arial" w:cs="Arial" w:eastAsia="Arial" w:hAnsi="Arial"/>
          <w:sz w:val="22"/>
          <w:szCs w:val="22"/>
          <w:color w:val="auto"/>
        </w:rPr>
      </w:pPr>
      <w:r>
        <w:rPr>
          <w:rFonts w:ascii="Arial" w:cs="Arial" w:eastAsia="Arial" w:hAnsi="Arial"/>
          <w:sz w:val="22"/>
          <w:szCs w:val="22"/>
          <w:color w:val="auto"/>
        </w:rPr>
        <w:t>M.G.L. c. 149, §§148-150C, or otherwise; and</w:t>
      </w:r>
    </w:p>
    <w:p>
      <w:pPr>
        <w:ind w:left="742" w:right="1140" w:hanging="368"/>
        <w:spacing w:after="0" w:line="236" w:lineRule="auto"/>
        <w:tabs>
          <w:tab w:leader="none" w:pos="742" w:val="left"/>
        </w:tabs>
        <w:numPr>
          <w:ilvl w:val="0"/>
          <w:numId w:val="70"/>
        </w:numPr>
        <w:rPr>
          <w:rFonts w:ascii="Arial" w:cs="Arial" w:eastAsia="Arial" w:hAnsi="Arial"/>
          <w:sz w:val="22"/>
          <w:szCs w:val="22"/>
          <w:color w:val="auto"/>
        </w:rPr>
      </w:pPr>
      <w:r>
        <w:rPr>
          <w:rFonts w:ascii="Arial" w:cs="Arial" w:eastAsia="Arial" w:hAnsi="Arial"/>
          <w:sz w:val="22"/>
          <w:szCs w:val="22"/>
          <w:color w:val="auto"/>
        </w:rPr>
        <w:t>for damages or other remedies of any sort, including, without limitation, compensatory damages, punitive damages, injunctive relief and attorney’s fees;</w:t>
      </w:r>
    </w:p>
    <w:p>
      <w:pPr>
        <w:spacing w:after="0" w:line="214" w:lineRule="exact"/>
        <w:rPr>
          <w:sz w:val="20"/>
          <w:szCs w:val="20"/>
          <w:color w:val="auto"/>
        </w:rPr>
      </w:pPr>
    </w:p>
    <w:p>
      <w:pPr>
        <w:ind w:left="2" w:right="180"/>
        <w:spacing w:after="0" w:line="328" w:lineRule="auto"/>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 however, that this release shall not affect your rights under this Release Agreement or under any “employee benefit</w:t>
      </w:r>
      <w:r>
        <w:rPr>
          <w:rFonts w:ascii="Arial" w:cs="Arial" w:eastAsia="Arial" w:hAnsi="Arial"/>
          <w:sz w:val="19"/>
          <w:szCs w:val="19"/>
          <w:i w:val="1"/>
          <w:iCs w:val="1"/>
          <w:color w:val="auto"/>
        </w:rPr>
        <w:t xml:space="preserve"> </w:t>
      </w:r>
      <w:r>
        <w:rPr>
          <w:rFonts w:ascii="Arial" w:cs="Arial" w:eastAsia="Arial" w:hAnsi="Arial"/>
          <w:sz w:val="19"/>
          <w:szCs w:val="19"/>
          <w:color w:val="auto"/>
        </w:rPr>
        <w:t>plan,” as that term is defined in Section 3(3) of the Employee Retirement Income Security Act, 29 U.S.C. §1002(3).</w:t>
      </w:r>
    </w:p>
    <w:p>
      <w:pPr>
        <w:spacing w:after="0" w:line="145" w:lineRule="exact"/>
        <w:rPr>
          <w:sz w:val="20"/>
          <w:szCs w:val="20"/>
          <w:color w:val="auto"/>
        </w:rPr>
      </w:pPr>
    </w:p>
    <w:p>
      <w:pPr>
        <w:ind w:left="2" w:right="520"/>
        <w:spacing w:after="0" w:line="297" w:lineRule="auto"/>
        <w:rPr>
          <w:sz w:val="20"/>
          <w:szCs w:val="20"/>
          <w:color w:val="auto"/>
        </w:rPr>
      </w:pPr>
      <w:r>
        <w:rPr>
          <w:rFonts w:ascii="Arial" w:cs="Arial" w:eastAsia="Arial" w:hAnsi="Arial"/>
          <w:sz w:val="19"/>
          <w:szCs w:val="19"/>
          <w:color w:val="auto"/>
        </w:rPr>
        <w:t>You acknowledge and represent that, except as expressly provided in this Release Agreement, the Company has paid or provided all salary, wages, bonuses, accrued vacation/paid time off, premiums, leaves, severance, reimbursable expenses, commissions, stock, stock options, vesting, and any and all other benefits and compensation due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351790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2"/>
          </w:cols>
          <w:pgMar w:left="478" w:top="545" w:right="419" w:bottom="1440" w:gutter="0" w:footer="0" w:header="0"/>
        </w:sectPr>
      </w:pPr>
    </w:p>
    <w:bookmarkStart w:id="100" w:name="page101"/>
    <w:bookmarkEnd w:id="100"/>
    <w:p>
      <w:pPr>
        <w:jc w:val="both"/>
        <w:ind w:left="2" w:right="200"/>
        <w:spacing w:after="0" w:line="297" w:lineRule="auto"/>
        <w:rPr>
          <w:sz w:val="20"/>
          <w:szCs w:val="20"/>
          <w:color w:val="auto"/>
        </w:rPr>
      </w:pPr>
      <w:r>
        <w:rPr>
          <w:rFonts w:ascii="Arial" w:cs="Arial" w:eastAsia="Arial" w:hAnsi="Arial"/>
          <w:sz w:val="19"/>
          <w:szCs w:val="19"/>
          <w:color w:val="auto"/>
        </w:rPr>
        <w:t>You agree not to accept damages of any nature, other equitable or legal remedies for your own benefit or attorney’s fees or costs from any of the Releasees with respect to any Claim released by this Release Agreement. As a material inducement to the Company to enter into this Release Agreement, you represent that you have not assigned any Claim to any third party.</w:t>
      </w:r>
    </w:p>
    <w:p>
      <w:pPr>
        <w:spacing w:after="0" w:line="128" w:lineRule="exact"/>
        <w:rPr>
          <w:sz w:val="20"/>
          <w:szCs w:val="20"/>
          <w:color w:val="auto"/>
        </w:rPr>
      </w:pPr>
    </w:p>
    <w:p>
      <w:pPr>
        <w:ind w:left="742" w:hanging="742"/>
        <w:spacing w:after="0"/>
        <w:tabs>
          <w:tab w:leader="none" w:pos="742" w:val="left"/>
        </w:tabs>
        <w:numPr>
          <w:ilvl w:val="0"/>
          <w:numId w:val="71"/>
        </w:numPr>
        <w:rPr>
          <w:rFonts w:ascii="Arial" w:cs="Arial" w:eastAsia="Arial" w:hAnsi="Arial"/>
          <w:sz w:val="22"/>
          <w:szCs w:val="22"/>
          <w:color w:val="auto"/>
        </w:rPr>
      </w:pPr>
      <w:r>
        <w:rPr>
          <w:rFonts w:ascii="Arial" w:cs="Arial" w:eastAsia="Arial" w:hAnsi="Arial"/>
          <w:sz w:val="22"/>
          <w:szCs w:val="22"/>
          <w:b w:val="1"/>
          <w:bCs w:val="1"/>
          <w:color w:val="auto"/>
        </w:rPr>
        <w:t>Return of Property</w:t>
      </w:r>
    </w:p>
    <w:p>
      <w:pPr>
        <w:spacing w:after="0" w:line="239" w:lineRule="exact"/>
        <w:rPr>
          <w:sz w:val="20"/>
          <w:szCs w:val="20"/>
          <w:color w:val="auto"/>
        </w:rPr>
      </w:pPr>
    </w:p>
    <w:p>
      <w:pPr>
        <w:ind w:left="2"/>
        <w:spacing w:after="0" w:line="234" w:lineRule="auto"/>
        <w:rPr>
          <w:sz w:val="20"/>
          <w:szCs w:val="20"/>
          <w:color w:val="auto"/>
        </w:rPr>
      </w:pPr>
      <w:r>
        <w:rPr>
          <w:rFonts w:ascii="Arial" w:cs="Arial" w:eastAsia="Arial" w:hAnsi="Arial"/>
          <w:sz w:val="22"/>
          <w:szCs w:val="22"/>
          <w:color w:val="auto"/>
        </w:rPr>
        <w:t>In accordance with Section 3 of the Restrictive Covenants Agreement, you agree to return to the Company by the Resignation Date all Company property, including, without limitation, computer equipment, keys and access cards, credit cards and any documents (including electronic documents as well as hard copies) containing information concerning the Company, its business or its business relationships. You also commit to deleting and finally purging any duplicates of files or documents that may contain Company information from any computer or other device that remains your property after the Resignation Date. In the event that you discover that you continue to retain any such property, you shall return it to the Company immediately.</w:t>
      </w:r>
    </w:p>
    <w:p>
      <w:pPr>
        <w:spacing w:after="0" w:line="185" w:lineRule="exact"/>
        <w:rPr>
          <w:sz w:val="20"/>
          <w:szCs w:val="20"/>
          <w:color w:val="auto"/>
        </w:rPr>
      </w:pPr>
    </w:p>
    <w:p>
      <w:pPr>
        <w:ind w:left="742" w:hanging="742"/>
        <w:spacing w:after="0"/>
        <w:tabs>
          <w:tab w:leader="none" w:pos="742" w:val="left"/>
        </w:tabs>
        <w:numPr>
          <w:ilvl w:val="0"/>
          <w:numId w:val="72"/>
        </w:numPr>
        <w:rPr>
          <w:rFonts w:ascii="Arial" w:cs="Arial" w:eastAsia="Arial" w:hAnsi="Arial"/>
          <w:sz w:val="22"/>
          <w:szCs w:val="22"/>
          <w:color w:val="auto"/>
        </w:rPr>
      </w:pPr>
      <w:r>
        <w:rPr>
          <w:rFonts w:ascii="Arial" w:cs="Arial" w:eastAsia="Arial" w:hAnsi="Arial"/>
          <w:sz w:val="22"/>
          <w:szCs w:val="22"/>
          <w:b w:val="1"/>
          <w:bCs w:val="1"/>
          <w:color w:val="auto"/>
        </w:rPr>
        <w:t>Nondisparagement</w:t>
      </w:r>
    </w:p>
    <w:p>
      <w:pPr>
        <w:spacing w:after="0" w:line="253" w:lineRule="exact"/>
        <w:rPr>
          <w:sz w:val="20"/>
          <w:szCs w:val="20"/>
          <w:color w:val="auto"/>
        </w:rPr>
      </w:pPr>
    </w:p>
    <w:p>
      <w:pPr>
        <w:ind w:left="2" w:right="20"/>
        <w:spacing w:after="0" w:line="248" w:lineRule="auto"/>
        <w:rPr>
          <w:sz w:val="20"/>
          <w:szCs w:val="20"/>
          <w:color w:val="auto"/>
        </w:rPr>
      </w:pPr>
      <w:r>
        <w:rPr>
          <w:rFonts w:ascii="Arial" w:cs="Arial" w:eastAsia="Arial" w:hAnsi="Arial"/>
          <w:sz w:val="21"/>
          <w:szCs w:val="21"/>
          <w:color w:val="auto"/>
        </w:rPr>
        <w:t>In accordance with Section 10 of the Offer Letter, you agree that you will not directly or indirectly, make or ratify any statement, public or private, oral or written, to any person that disparages, either professionally or personally, the Company or any of its affiliates, past and present, and each of them, as well as its and their trustees, directors, officers, members, managers, partners, agents, attorneys, insurers, employees, stockholders, representatives, assigns, and successors, past and present, and each of them. You represent that during the period since this Release Agreement was proposed to you, you have not made any such disparaging statements.</w:t>
      </w:r>
    </w:p>
    <w:p>
      <w:pPr>
        <w:spacing w:after="0" w:line="204" w:lineRule="exact"/>
        <w:rPr>
          <w:sz w:val="20"/>
          <w:szCs w:val="20"/>
          <w:color w:val="auto"/>
        </w:rPr>
      </w:pPr>
    </w:p>
    <w:p>
      <w:pPr>
        <w:ind w:left="2" w:right="480"/>
        <w:spacing w:after="0" w:line="250" w:lineRule="auto"/>
        <w:rPr>
          <w:sz w:val="20"/>
          <w:szCs w:val="20"/>
          <w:color w:val="auto"/>
        </w:rPr>
      </w:pPr>
      <w:r>
        <w:rPr>
          <w:rFonts w:ascii="Arial" w:cs="Arial" w:eastAsia="Arial" w:hAnsi="Arial"/>
          <w:sz w:val="22"/>
          <w:szCs w:val="22"/>
          <w:color w:val="auto"/>
        </w:rPr>
        <w:t>The Company agrees to direct its C-Suite executives not to make disparaging statements about you during such persons’ employment with the Company.</w:t>
      </w:r>
    </w:p>
    <w:p>
      <w:pPr>
        <w:spacing w:after="0" w:line="182" w:lineRule="exact"/>
        <w:rPr>
          <w:sz w:val="20"/>
          <w:szCs w:val="20"/>
          <w:color w:val="auto"/>
        </w:rPr>
      </w:pPr>
    </w:p>
    <w:p>
      <w:pPr>
        <w:ind w:left="742" w:hanging="742"/>
        <w:spacing w:after="0"/>
        <w:tabs>
          <w:tab w:leader="none" w:pos="742" w:val="left"/>
        </w:tabs>
        <w:numPr>
          <w:ilvl w:val="0"/>
          <w:numId w:val="73"/>
        </w:numPr>
        <w:rPr>
          <w:rFonts w:ascii="Arial" w:cs="Arial" w:eastAsia="Arial" w:hAnsi="Arial"/>
          <w:sz w:val="22"/>
          <w:szCs w:val="22"/>
          <w:color w:val="auto"/>
        </w:rPr>
      </w:pPr>
      <w:r>
        <w:rPr>
          <w:rFonts w:ascii="Arial" w:cs="Arial" w:eastAsia="Arial" w:hAnsi="Arial"/>
          <w:sz w:val="22"/>
          <w:szCs w:val="22"/>
          <w:b w:val="1"/>
          <w:bCs w:val="1"/>
          <w:color w:val="auto"/>
        </w:rPr>
        <w:t>Confidentiality of Agreement-Related Information</w:t>
      </w:r>
    </w:p>
    <w:p>
      <w:pPr>
        <w:spacing w:after="0" w:line="239" w:lineRule="exact"/>
        <w:rPr>
          <w:sz w:val="20"/>
          <w:szCs w:val="20"/>
          <w:color w:val="auto"/>
        </w:rPr>
      </w:pPr>
    </w:p>
    <w:p>
      <w:pPr>
        <w:ind w:left="2" w:right="20"/>
        <w:spacing w:after="0" w:line="236" w:lineRule="auto"/>
        <w:rPr>
          <w:sz w:val="20"/>
          <w:szCs w:val="20"/>
          <w:color w:val="auto"/>
        </w:rPr>
      </w:pPr>
      <w:r>
        <w:rPr>
          <w:rFonts w:ascii="Arial" w:cs="Arial" w:eastAsia="Arial" w:hAnsi="Arial"/>
          <w:sz w:val="22"/>
          <w:szCs w:val="22"/>
          <w:color w:val="auto"/>
        </w:rPr>
        <w:t>You agree, to the fullest extent permitted by law, to keep all Release Agreement-Related Information completely confidential. “</w:t>
      </w:r>
      <w:r>
        <w:rPr>
          <w:rFonts w:ascii="Arial" w:cs="Arial" w:eastAsia="Arial" w:hAnsi="Arial"/>
          <w:sz w:val="22"/>
          <w:szCs w:val="22"/>
          <w:u w:val="single" w:color="auto"/>
          <w:color w:val="auto"/>
        </w:rPr>
        <w:t>Release Agreement-Related Information</w:t>
      </w:r>
      <w:r>
        <w:rPr>
          <w:rFonts w:ascii="Arial" w:cs="Arial" w:eastAsia="Arial" w:hAnsi="Arial"/>
          <w:sz w:val="22"/>
          <w:szCs w:val="22"/>
          <w:color w:val="auto"/>
        </w:rPr>
        <w:t>” means the negotiations leading to this Release Agreement and the terms of this Release Agreement.</w:t>
      </w:r>
    </w:p>
    <w:p>
      <w:pPr>
        <w:spacing w:after="0" w:line="1" w:lineRule="exact"/>
        <w:rPr>
          <w:sz w:val="20"/>
          <w:szCs w:val="20"/>
          <w:color w:val="auto"/>
        </w:rPr>
      </w:pPr>
    </w:p>
    <w:p>
      <w:pPr>
        <w:ind w:left="2" w:right="80"/>
        <w:spacing w:after="0" w:line="273" w:lineRule="auto"/>
        <w:rPr>
          <w:sz w:val="20"/>
          <w:szCs w:val="20"/>
          <w:color w:val="auto"/>
        </w:rPr>
      </w:pPr>
      <w:r>
        <w:rPr>
          <w:rFonts w:ascii="Arial" w:cs="Arial" w:eastAsia="Arial" w:hAnsi="Arial"/>
          <w:sz w:val="19"/>
          <w:szCs w:val="19"/>
          <w:color w:val="auto"/>
        </w:rPr>
        <w:t>Notwithstanding the foregoing, you may disclose Release Agreement-Related Information to your spouse, your attorney and your financial advisors (if applicable), and to them only provided that they first agree for the benefit of the Company to keep Release Agreement-Related Information confidential. You represent that during the period since this Release Agreement was proposed to you, you have not made any disclosures that would have been contrary to the foregoing obligation if it had then been in effect. Nothing in this section shall be construed to prevent you from disclosing Release Agreement-Related Information to the extent required by a lawfully issued subpoena or duly issued court order; provided that you provide the Company with advance written notice and a reasonable opportunity to contest such subpoena or court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504825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2"/>
          </w:cols>
          <w:pgMar w:left="478" w:top="793" w:right="539" w:bottom="1440" w:gutter="0" w:footer="0" w:header="0"/>
        </w:sectPr>
      </w:pPr>
    </w:p>
    <w:bookmarkStart w:id="101" w:name="page102"/>
    <w:bookmarkEnd w:id="101"/>
    <w:p>
      <w:pPr>
        <w:ind w:left="742" w:hanging="742"/>
        <w:spacing w:after="0"/>
        <w:tabs>
          <w:tab w:leader="none" w:pos="742" w:val="left"/>
        </w:tabs>
        <w:numPr>
          <w:ilvl w:val="0"/>
          <w:numId w:val="74"/>
        </w:numPr>
        <w:rPr>
          <w:rFonts w:ascii="Arial" w:cs="Arial" w:eastAsia="Arial" w:hAnsi="Arial"/>
          <w:sz w:val="22"/>
          <w:szCs w:val="22"/>
          <w:color w:val="auto"/>
        </w:rPr>
      </w:pPr>
      <w:r>
        <w:rPr>
          <w:rFonts w:ascii="Arial" w:cs="Arial" w:eastAsia="Arial" w:hAnsi="Arial"/>
          <w:sz w:val="22"/>
          <w:szCs w:val="22"/>
          <w:b w:val="1"/>
          <w:bCs w:val="1"/>
          <w:color w:val="auto"/>
        </w:rPr>
        <w:t>Protected Disclosures and Other Protected Actions</w:t>
      </w:r>
    </w:p>
    <w:p>
      <w:pPr>
        <w:spacing w:after="0" w:line="239" w:lineRule="exact"/>
        <w:rPr>
          <w:sz w:val="20"/>
          <w:szCs w:val="20"/>
          <w:color w:val="auto"/>
        </w:rPr>
      </w:pPr>
    </w:p>
    <w:p>
      <w:pPr>
        <w:ind w:left="2"/>
        <w:spacing w:after="0" w:line="270" w:lineRule="auto"/>
        <w:rPr>
          <w:sz w:val="20"/>
          <w:szCs w:val="20"/>
          <w:color w:val="auto"/>
        </w:rPr>
      </w:pPr>
      <w:r>
        <w:rPr>
          <w:rFonts w:ascii="Arial" w:cs="Arial" w:eastAsia="Arial" w:hAnsi="Arial"/>
          <w:sz w:val="19"/>
          <w:szCs w:val="19"/>
          <w:color w:val="auto"/>
        </w:rPr>
        <w:t>Nothing contained in this Agreement, any other agreement with the Company (including without limitation the Ongoing Obligations), or any Company policy limits your ability, with or without notice to the Company, to: (i) file a charge or complaint with any federal, state or local governmental agency or commission (a “Government Agency”), including without limitation, the Equal Employment Opportunity Commission, the National Labor Relations Board or the Securities and Exchange Commission (the “SEC”); (ii) communicate with any Government Agency or otherwise participate in any investigation or proceeding that may be conducted by any Government Agency, including by providing non-privileged documents or information; (iii) exercise any rights under Section 7 of the National Labor Relations Act, which are available to non-supervisory employees, including assisting co-workers with or discussing any employment issue as part of engaging in concerted activities for the purpose of mutual aid or protection; (iv) discuss or disclose information about unlawful acts in the workplace, such as harassment or discrimination or any other conduct that you have reason to believe is unlawful; or (v) testify truthfully in a legal proceeding. Any such communications and disclosures must not violate applicable law and the information disclosed must not have been obtained through a communication that was subject to the attorney-client privilege (unless disclosure of that information would otherwise be permitted consistent with such privilege or applicable law). If a Government Agency or any other third party pursues any claim on your behalf, you waive any right to monetary or other individualized relief (either individually or as part of any collective or class action), but the Company will not limit any right you may have to receive an award pursuant to the whistleblower provisions of any applicable law or regulation for providing information to the SEC or any other Government Agency.</w:t>
      </w:r>
    </w:p>
    <w:p>
      <w:pPr>
        <w:spacing w:after="0" w:line="200" w:lineRule="exact"/>
        <w:rPr>
          <w:sz w:val="20"/>
          <w:szCs w:val="20"/>
          <w:color w:val="auto"/>
        </w:rPr>
      </w:pPr>
    </w:p>
    <w:p>
      <w:pPr>
        <w:spacing w:after="0" w:line="222" w:lineRule="exact"/>
        <w:rPr>
          <w:sz w:val="20"/>
          <w:szCs w:val="20"/>
          <w:color w:val="auto"/>
        </w:rPr>
      </w:pPr>
    </w:p>
    <w:p>
      <w:pPr>
        <w:ind w:left="742" w:hanging="742"/>
        <w:spacing w:after="0"/>
        <w:tabs>
          <w:tab w:leader="none" w:pos="742" w:val="left"/>
        </w:tabs>
        <w:numPr>
          <w:ilvl w:val="0"/>
          <w:numId w:val="75"/>
        </w:numPr>
        <w:rPr>
          <w:rFonts w:ascii="Arial" w:cs="Arial" w:eastAsia="Arial" w:hAnsi="Arial"/>
          <w:sz w:val="22"/>
          <w:szCs w:val="22"/>
          <w:color w:val="auto"/>
        </w:rPr>
      </w:pPr>
      <w:r>
        <w:rPr>
          <w:rFonts w:ascii="Arial" w:cs="Arial" w:eastAsia="Arial" w:hAnsi="Arial"/>
          <w:sz w:val="22"/>
          <w:szCs w:val="22"/>
          <w:b w:val="1"/>
          <w:bCs w:val="1"/>
          <w:color w:val="auto"/>
        </w:rPr>
        <w:t>Defend Trade Secrets Act</w:t>
      </w:r>
    </w:p>
    <w:p>
      <w:pPr>
        <w:spacing w:after="0" w:line="239" w:lineRule="exact"/>
        <w:rPr>
          <w:sz w:val="20"/>
          <w:szCs w:val="20"/>
          <w:color w:val="auto"/>
        </w:rPr>
      </w:pPr>
    </w:p>
    <w:p>
      <w:pPr>
        <w:ind w:left="2" w:right="100"/>
        <w:spacing w:after="0" w:line="236" w:lineRule="auto"/>
        <w:rPr>
          <w:sz w:val="20"/>
          <w:szCs w:val="20"/>
          <w:color w:val="auto"/>
        </w:rPr>
      </w:pPr>
      <w:r>
        <w:rPr>
          <w:rFonts w:ascii="Arial" w:cs="Arial" w:eastAsia="Arial" w:hAnsi="Arial"/>
          <w:sz w:val="22"/>
          <w:szCs w:val="22"/>
          <w:color w:val="auto"/>
        </w:rPr>
        <w:t>For the avoidance of doubt, pursuant to the federal Defend Trade Secrets Act of 2016, you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289" w:lineRule="exact"/>
        <w:rPr>
          <w:sz w:val="20"/>
          <w:szCs w:val="20"/>
          <w:color w:val="auto"/>
        </w:rPr>
      </w:pPr>
    </w:p>
    <w:p>
      <w:pPr>
        <w:ind w:left="742" w:hanging="742"/>
        <w:spacing w:after="0"/>
        <w:tabs>
          <w:tab w:leader="none" w:pos="742" w:val="left"/>
        </w:tabs>
        <w:numPr>
          <w:ilvl w:val="0"/>
          <w:numId w:val="76"/>
        </w:numPr>
        <w:rPr>
          <w:rFonts w:ascii="Arial" w:cs="Arial" w:eastAsia="Arial" w:hAnsi="Arial"/>
          <w:sz w:val="22"/>
          <w:szCs w:val="22"/>
          <w:color w:val="auto"/>
        </w:rPr>
      </w:pPr>
      <w:r>
        <w:rPr>
          <w:rFonts w:ascii="Arial" w:cs="Arial" w:eastAsia="Arial" w:hAnsi="Arial"/>
          <w:sz w:val="22"/>
          <w:szCs w:val="22"/>
          <w:b w:val="1"/>
          <w:bCs w:val="1"/>
          <w:color w:val="auto"/>
        </w:rPr>
        <w:t>Other Provisions</w:t>
      </w:r>
    </w:p>
    <w:p>
      <w:pPr>
        <w:spacing w:after="0" w:line="253" w:lineRule="exact"/>
        <w:rPr>
          <w:sz w:val="20"/>
          <w:szCs w:val="20"/>
          <w:color w:val="auto"/>
        </w:rPr>
      </w:pPr>
    </w:p>
    <w:p>
      <w:pPr>
        <w:ind w:left="2" w:firstLine="749"/>
        <w:spacing w:after="0" w:line="246" w:lineRule="auto"/>
        <w:rPr>
          <w:sz w:val="20"/>
          <w:szCs w:val="20"/>
          <w:color w:val="auto"/>
        </w:rPr>
      </w:pPr>
      <w:r>
        <w:rPr>
          <w:rFonts w:ascii="Arial" w:cs="Arial" w:eastAsia="Arial" w:hAnsi="Arial"/>
          <w:sz w:val="21"/>
          <w:szCs w:val="21"/>
          <w:color w:val="auto"/>
        </w:rPr>
        <w:t>a.</w:t>
      </w:r>
      <w:r>
        <w:rPr>
          <w:rFonts w:ascii="Arial" w:cs="Arial" w:eastAsia="Arial" w:hAnsi="Arial"/>
          <w:sz w:val="21"/>
          <w:szCs w:val="21"/>
          <w:u w:val="single" w:color="auto"/>
          <w:color w:val="auto"/>
        </w:rPr>
        <w:t>Termination and Return of Payments; Certain Remedies</w:t>
      </w:r>
      <w:r>
        <w:rPr>
          <w:rFonts w:ascii="Arial" w:cs="Arial" w:eastAsia="Arial" w:hAnsi="Arial"/>
          <w:sz w:val="21"/>
          <w:szCs w:val="21"/>
          <w:color w:val="auto"/>
        </w:rPr>
        <w:t>. If you materially breach any of your obligations under this Release Agreement, the Consulting Agreement or any Continuing Obligation, in addition to any other legal or equitable remedies it may have for such breach, the Company shall have the right to: (i) terminate the Transition Period, (ii) cancel any equity that has vested during the Transition Period and instruct you to reimburse the Company for any proceeds resulting from the sale of any equity that vested during the Transition Period, and/or (iii) enforce the return of its non-wage payments to you or for your benefit under this Release Agreement. If the Company initiates (i), (ii) or (iii) in the preceding sentence due to a breach, you shall continue to be subject to the Ongoing Obligations Without limiting the Company’s remedies hereunder, if the Company prevails in any action to enforce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381000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2"/>
          </w:cols>
          <w:pgMar w:left="478" w:top="531" w:right="499" w:bottom="1440" w:gutter="0" w:footer="0" w:header="0"/>
        </w:sectPr>
      </w:pPr>
    </w:p>
    <w:bookmarkStart w:id="102" w:name="page103"/>
    <w:bookmarkEnd w:id="102"/>
    <w:p>
      <w:pPr>
        <w:ind w:right="480"/>
        <w:spacing w:after="0" w:line="250" w:lineRule="auto"/>
        <w:rPr>
          <w:sz w:val="20"/>
          <w:szCs w:val="20"/>
          <w:color w:val="auto"/>
        </w:rPr>
      </w:pPr>
      <w:r>
        <w:rPr>
          <w:rFonts w:ascii="Arial" w:cs="Arial" w:eastAsia="Arial" w:hAnsi="Arial"/>
          <w:sz w:val="22"/>
          <w:szCs w:val="22"/>
          <w:color w:val="auto"/>
        </w:rPr>
        <w:t>Agreement, then you shall be liable to the Company for reasonable attorneys’ fees and costs incurred by the Company in connection with such action.</w:t>
      </w:r>
    </w:p>
    <w:p>
      <w:pPr>
        <w:spacing w:after="0" w:line="215" w:lineRule="exact"/>
        <w:rPr>
          <w:sz w:val="20"/>
          <w:szCs w:val="20"/>
          <w:color w:val="auto"/>
        </w:rPr>
      </w:pPr>
    </w:p>
    <w:p>
      <w:pPr>
        <w:ind w:right="180" w:firstLine="749"/>
        <w:spacing w:after="0" w:line="236" w:lineRule="auto"/>
        <w:rPr>
          <w:sz w:val="20"/>
          <w:szCs w:val="20"/>
          <w:color w:val="auto"/>
        </w:rPr>
      </w:pPr>
      <w:r>
        <w:rPr>
          <w:rFonts w:ascii="Arial" w:cs="Arial" w:eastAsia="Arial" w:hAnsi="Arial"/>
          <w:sz w:val="22"/>
          <w:szCs w:val="22"/>
          <w:color w:val="auto"/>
        </w:rPr>
        <w:t>b.</w:t>
      </w:r>
      <w:r>
        <w:rPr>
          <w:rFonts w:ascii="Arial" w:cs="Arial" w:eastAsia="Arial" w:hAnsi="Arial"/>
          <w:sz w:val="22"/>
          <w:szCs w:val="22"/>
          <w:u w:val="single" w:color="auto"/>
          <w:color w:val="auto"/>
        </w:rPr>
        <w:t>Enforceability</w:t>
      </w:r>
      <w:r>
        <w:rPr>
          <w:rFonts w:ascii="Arial" w:cs="Arial" w:eastAsia="Arial" w:hAnsi="Arial"/>
          <w:sz w:val="22"/>
          <w:szCs w:val="22"/>
          <w:color w:val="auto"/>
        </w:rPr>
        <w:t>. If any provision of this Release Agreement is held to be unenforceable, this Release Agreement will be deemed amended to the extent necessary to render the otherwise unenforceable provision, and the rest of the Release Agreement, valid and enforceable. If a court declines to amend this Release Agreement as provided herein, the invalidity or unenforceability of any provision of this Release Agreement shall not affect the validity or enforceability of the remaining provisions.</w:t>
      </w:r>
    </w:p>
    <w:p>
      <w:pPr>
        <w:spacing w:after="0" w:line="214" w:lineRule="exact"/>
        <w:rPr>
          <w:sz w:val="20"/>
          <w:szCs w:val="20"/>
          <w:color w:val="auto"/>
        </w:rPr>
      </w:pPr>
    </w:p>
    <w:p>
      <w:pPr>
        <w:ind w:right="40" w:firstLine="749"/>
        <w:spacing w:after="0"/>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u w:val="single" w:color="auto"/>
          <w:color w:val="auto"/>
        </w:rPr>
        <w:t>Waiver; Absence of Reliance</w:t>
      </w:r>
      <w:r>
        <w:rPr>
          <w:rFonts w:ascii="Arial" w:cs="Arial" w:eastAsia="Arial" w:hAnsi="Arial"/>
          <w:sz w:val="22"/>
          <w:szCs w:val="22"/>
          <w:color w:val="auto"/>
        </w:rPr>
        <w:t>. No waiver of any provision of this Release Agreement shall be effective unless made in writing and signed by the waiving party. In signing this Release Agreement, you are not relying upon any promises or representations made by anyone at or on behalf of the Company.</w:t>
      </w:r>
    </w:p>
    <w:p>
      <w:pPr>
        <w:spacing w:after="0" w:line="227" w:lineRule="exact"/>
        <w:rPr>
          <w:sz w:val="20"/>
          <w:szCs w:val="20"/>
          <w:color w:val="auto"/>
        </w:rPr>
      </w:pPr>
    </w:p>
    <w:p>
      <w:pPr>
        <w:ind w:right="60" w:firstLine="749"/>
        <w:spacing w:after="0" w:line="282" w:lineRule="auto"/>
        <w:rPr>
          <w:sz w:val="20"/>
          <w:szCs w:val="20"/>
          <w:color w:val="auto"/>
        </w:rPr>
      </w:pPr>
      <w:r>
        <w:rPr>
          <w:rFonts w:ascii="Arial" w:cs="Arial" w:eastAsia="Arial" w:hAnsi="Arial"/>
          <w:sz w:val="19"/>
          <w:szCs w:val="19"/>
          <w:color w:val="auto"/>
        </w:rPr>
        <w:t>d.</w:t>
      </w:r>
      <w:r>
        <w:rPr>
          <w:rFonts w:ascii="Arial" w:cs="Arial" w:eastAsia="Arial" w:hAnsi="Arial"/>
          <w:sz w:val="19"/>
          <w:szCs w:val="19"/>
          <w:u w:val="single" w:color="auto"/>
          <w:color w:val="auto"/>
        </w:rPr>
        <w:t>Jurisdiction; Governing Law; Interpretation</w:t>
      </w:r>
      <w:r>
        <w:rPr>
          <w:rFonts w:ascii="Arial" w:cs="Arial" w:eastAsia="Arial" w:hAnsi="Arial"/>
          <w:sz w:val="19"/>
          <w:szCs w:val="19"/>
          <w:color w:val="auto"/>
        </w:rPr>
        <w:t>. You and the Company hereby agree that the state and federal courts of Massachusetts shall have the exclusive jurisdiction to consider any matters related to this Release Agreement. With respect to any such court action, you submit to the jurisdiction and venue of such courts, you acknowledge that venue in such courts is proper and you waive any right to a jury with respect to any such action. This Release Agreement shall be interpreted and enforced under the laws of Massachusetts, without regard to conflict of law principles.</w:t>
      </w:r>
    </w:p>
    <w:p>
      <w:pPr>
        <w:spacing w:after="0" w:line="188" w:lineRule="exact"/>
        <w:rPr>
          <w:sz w:val="20"/>
          <w:szCs w:val="20"/>
          <w:color w:val="auto"/>
        </w:rPr>
      </w:pPr>
    </w:p>
    <w:p>
      <w:pPr>
        <w:ind w:right="320" w:firstLine="749"/>
        <w:spacing w:after="0"/>
        <w:rPr>
          <w:sz w:val="20"/>
          <w:szCs w:val="20"/>
          <w:color w:val="auto"/>
        </w:rPr>
      </w:pPr>
      <w:r>
        <w:rPr>
          <w:rFonts w:ascii="Arial" w:cs="Arial" w:eastAsia="Arial" w:hAnsi="Arial"/>
          <w:sz w:val="22"/>
          <w:szCs w:val="22"/>
          <w:color w:val="auto"/>
        </w:rPr>
        <w:t>e.</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Release Agreement, the Equity Documents, the Consulting Agreement and the Ongoing Obligations, constitute the entire agreement between you and the Company and supersedes any previous agreements or understandings between you and the Company.</w:t>
      </w:r>
    </w:p>
    <w:p>
      <w:pPr>
        <w:spacing w:after="0" w:line="294" w:lineRule="exact"/>
        <w:rPr>
          <w:sz w:val="20"/>
          <w:szCs w:val="20"/>
          <w:color w:val="auto"/>
        </w:rPr>
      </w:pPr>
    </w:p>
    <w:p>
      <w:pPr>
        <w:ind w:firstLine="749"/>
        <w:spacing w:after="0" w:line="272" w:lineRule="auto"/>
        <w:rPr>
          <w:sz w:val="20"/>
          <w:szCs w:val="20"/>
          <w:color w:val="auto"/>
        </w:rPr>
      </w:pPr>
      <w:r>
        <w:rPr>
          <w:rFonts w:ascii="Arial" w:cs="Arial" w:eastAsia="Arial" w:hAnsi="Arial"/>
          <w:sz w:val="19"/>
          <w:szCs w:val="19"/>
          <w:color w:val="auto"/>
        </w:rPr>
        <w:t>f.</w:t>
      </w:r>
      <w:r>
        <w:rPr>
          <w:rFonts w:ascii="Arial" w:cs="Arial" w:eastAsia="Arial" w:hAnsi="Arial"/>
          <w:sz w:val="19"/>
          <w:szCs w:val="19"/>
          <w:u w:val="single" w:color="auto"/>
          <w:color w:val="auto"/>
        </w:rPr>
        <w:t>Time for Consideration; Effective Date</w:t>
      </w:r>
      <w:r>
        <w:rPr>
          <w:rFonts w:ascii="Arial" w:cs="Arial" w:eastAsia="Arial" w:hAnsi="Arial"/>
          <w:sz w:val="19"/>
          <w:szCs w:val="19"/>
          <w:color w:val="auto"/>
        </w:rPr>
        <w:t>. You acknowledge that you have knowingly and voluntarily entered into this Release Agreement and that the Company advises you to consult with an attorney before signing this Release Agreement. By entering into this Release Agreement, you acknowledge that you have been given the opportunity to consider this Release Agreement for twenty-one (21) days from your receipt of this Release Agreement before signing it (the “</w:t>
      </w:r>
      <w:r>
        <w:rPr>
          <w:rFonts w:ascii="Arial" w:cs="Arial" w:eastAsia="Arial" w:hAnsi="Arial"/>
          <w:sz w:val="19"/>
          <w:szCs w:val="19"/>
          <w:u w:val="single" w:color="auto"/>
          <w:color w:val="auto"/>
        </w:rPr>
        <w:t>Consideration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To accept this Release Agreement, you must return a signed original or a signed PDF copy of this Release Agreement so that it is received by the undersigned at or before the expiration of the Consideration Period. If you sign this Release Agreement before the end of the Consideration Period, you acknowledge that such decision was entirely voluntary and that you had the opportunity to consider this Release Agreement for the entire Consideration Period. For the period of seven (7) days from the date when you sign this Release Agreement, you have the right to revoke this Release Agreement by written notice to the undersigned, provided that such notice is delivered so that it is received at or before the expiration of the seven (7) day revocation period. This Release Agreement shall not become effective or enforceable during the revocation period. This Release Agreement shall become effective on the first business day following the expiration of the revocation period (the “</w:t>
      </w:r>
      <w:r>
        <w:rPr>
          <w:rFonts w:ascii="Arial" w:cs="Arial" w:eastAsia="Arial" w:hAnsi="Arial"/>
          <w:sz w:val="19"/>
          <w:szCs w:val="19"/>
          <w:u w:val="single" w:color="auto"/>
          <w:color w:val="auto"/>
        </w:rPr>
        <w:t>Effective Date</w:t>
      </w:r>
      <w:r>
        <w:rPr>
          <w:rFonts w:ascii="Arial" w:cs="Arial" w:eastAsia="Arial" w:hAnsi="Arial"/>
          <w:sz w:val="19"/>
          <w:szCs w:val="19"/>
          <w:color w:val="auto"/>
        </w:rPr>
        <w:t>”).</w:t>
      </w:r>
    </w:p>
    <w:p>
      <w:pPr>
        <w:spacing w:after="0" w:line="200" w:lineRule="exact"/>
        <w:rPr>
          <w:sz w:val="20"/>
          <w:szCs w:val="20"/>
          <w:color w:val="auto"/>
        </w:rPr>
      </w:pPr>
    </w:p>
    <w:p>
      <w:pPr>
        <w:spacing w:after="0" w:line="244" w:lineRule="exact"/>
        <w:rPr>
          <w:sz w:val="20"/>
          <w:szCs w:val="20"/>
          <w:color w:val="auto"/>
        </w:rPr>
      </w:pPr>
    </w:p>
    <w:p>
      <w:pPr>
        <w:ind w:left="740"/>
        <w:spacing w:after="0"/>
        <w:rPr>
          <w:sz w:val="20"/>
          <w:szCs w:val="20"/>
          <w:color w:val="auto"/>
        </w:rPr>
      </w:pPr>
      <w:r>
        <w:rPr>
          <w:rFonts w:ascii="Arial" w:cs="Arial" w:eastAsia="Arial" w:hAnsi="Arial"/>
          <w:sz w:val="22"/>
          <w:szCs w:val="22"/>
          <w:color w:val="auto"/>
        </w:rPr>
        <w:t>g.</w:t>
      </w:r>
      <w:r>
        <w:rPr>
          <w:rFonts w:ascii="Arial" w:cs="Arial" w:eastAsia="Arial" w:hAnsi="Arial"/>
          <w:sz w:val="22"/>
          <w:szCs w:val="22"/>
          <w:u w:val="single" w:color="auto"/>
          <w:color w:val="auto"/>
        </w:rPr>
        <w:t>Counterparts</w:t>
      </w:r>
      <w:r>
        <w:rPr>
          <w:rFonts w:ascii="Arial" w:cs="Arial" w:eastAsia="Arial" w:hAnsi="Arial"/>
          <w:sz w:val="22"/>
          <w:szCs w:val="22"/>
          <w:color w:val="auto"/>
        </w:rPr>
        <w:t>. This Release Agreement may be executed in separate counterparts.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397510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537" w:right="499" w:bottom="1440" w:gutter="0" w:footer="0" w:header="0"/>
        </w:sectPr>
      </w:pPr>
    </w:p>
    <w:bookmarkStart w:id="103" w:name="page104"/>
    <w:bookmarkEnd w:id="103"/>
    <w:p>
      <w:pPr>
        <w:ind w:left="160"/>
        <w:spacing w:after="0"/>
        <w:rPr>
          <w:sz w:val="20"/>
          <w:szCs w:val="20"/>
          <w:color w:val="auto"/>
        </w:rPr>
      </w:pPr>
      <w:r>
        <w:rPr>
          <w:rFonts w:ascii="Arial" w:cs="Arial" w:eastAsia="Arial" w:hAnsi="Arial"/>
          <w:sz w:val="22"/>
          <w:szCs w:val="22"/>
          <w:color w:val="auto"/>
        </w:rPr>
        <w:t>When all counterparts are signed, they shall be treated together as one and the same document.</w:t>
      </w: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60" w:right="840"/>
        <w:spacing w:after="0" w:line="250" w:lineRule="auto"/>
        <w:rPr>
          <w:sz w:val="20"/>
          <w:szCs w:val="20"/>
          <w:color w:val="auto"/>
        </w:rPr>
      </w:pPr>
      <w:r>
        <w:rPr>
          <w:rFonts w:ascii="Arial" w:cs="Arial" w:eastAsia="Arial" w:hAnsi="Arial"/>
          <w:sz w:val="22"/>
          <w:szCs w:val="22"/>
          <w:color w:val="auto"/>
        </w:rPr>
        <w:t>Please indicate your agreement to the terms of this Release Agreement by signing and returning to the undersigned the original or a PDF copy of this letter within the time period set forth above.</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22"/>
          <w:szCs w:val="22"/>
          <w:color w:val="auto"/>
        </w:rPr>
        <w:t>Very truly yours, Aura Biosciences,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60" w:type="dxa"/>
            <w:vAlign w:val="bottom"/>
            <w:gridSpan w:val="2"/>
          </w:tcPr>
          <w:p>
            <w:pPr>
              <w:spacing w:after="0"/>
              <w:rPr>
                <w:sz w:val="20"/>
                <w:szCs w:val="20"/>
                <w:color w:val="auto"/>
              </w:rPr>
            </w:pPr>
            <w:r>
              <w:rPr>
                <w:rFonts w:ascii="Arial" w:cs="Arial" w:eastAsia="Arial" w:hAnsi="Arial"/>
                <w:sz w:val="22"/>
                <w:szCs w:val="22"/>
                <w:color w:val="auto"/>
              </w:rPr>
              <w:t>By:  /s/ Elisabet de los Pinos</w:t>
            </w:r>
          </w:p>
        </w:tc>
        <w:tc>
          <w:tcPr>
            <w:tcW w:w="4380" w:type="dxa"/>
            <w:vAlign w:val="bottom"/>
            <w:gridSpan w:val="3"/>
          </w:tcPr>
          <w:p>
            <w:pPr>
              <w:jc w:val="right"/>
              <w:spacing w:after="0"/>
              <w:rPr>
                <w:sz w:val="20"/>
                <w:szCs w:val="20"/>
                <w:color w:val="auto"/>
              </w:rPr>
            </w:pPr>
            <w:r>
              <w:rPr>
                <w:rFonts w:ascii="Arial" w:cs="Arial" w:eastAsia="Arial" w:hAnsi="Arial"/>
                <w:sz w:val="22"/>
                <w:szCs w:val="22"/>
                <w:color w:val="auto"/>
              </w:rPr>
              <w:t>11/6/2023_</w:t>
            </w:r>
            <w:r>
              <w:rPr>
                <w:rFonts w:ascii="Arial" w:cs="Arial" w:eastAsia="Arial" w:hAnsi="Arial"/>
                <w:sz w:val="17"/>
                <w:szCs w:val="17"/>
                <w:color w:val="auto"/>
              </w:rPr>
              <w:t>________________________</w:t>
            </w:r>
          </w:p>
        </w:tc>
      </w:tr>
      <w:tr>
        <w:trPr>
          <w:trHeight w:val="377"/>
        </w:trPr>
        <w:tc>
          <w:tcPr>
            <w:tcW w:w="380" w:type="dxa"/>
            <w:vAlign w:val="bottom"/>
          </w:tcPr>
          <w:p>
            <w:pPr>
              <w:spacing w:after="0"/>
              <w:rPr>
                <w:sz w:val="24"/>
                <w:szCs w:val="24"/>
                <w:color w:val="auto"/>
              </w:rPr>
            </w:pPr>
          </w:p>
        </w:tc>
        <w:tc>
          <w:tcPr>
            <w:tcW w:w="3280" w:type="dxa"/>
            <w:vAlign w:val="bottom"/>
            <w:tcBorders>
              <w:top w:val="single" w:sz="8" w:color="auto"/>
            </w:tcBorders>
          </w:tcPr>
          <w:p>
            <w:pPr>
              <w:ind w:left="140"/>
              <w:spacing w:after="0"/>
              <w:rPr>
                <w:sz w:val="20"/>
                <w:szCs w:val="20"/>
                <w:color w:val="auto"/>
              </w:rPr>
            </w:pPr>
            <w:r>
              <w:rPr>
                <w:rFonts w:ascii="Arial" w:cs="Arial" w:eastAsia="Arial" w:hAnsi="Arial"/>
                <w:sz w:val="22"/>
                <w:szCs w:val="22"/>
                <w:color w:val="auto"/>
              </w:rPr>
              <w:t>Elisabet de los Pinos, PhD</w:t>
            </w:r>
          </w:p>
        </w:tc>
        <w:tc>
          <w:tcPr>
            <w:tcW w:w="1240" w:type="dxa"/>
            <w:vAlign w:val="bottom"/>
          </w:tcPr>
          <w:p>
            <w:pPr>
              <w:spacing w:after="0"/>
              <w:rPr>
                <w:sz w:val="24"/>
                <w:szCs w:val="24"/>
                <w:color w:val="auto"/>
              </w:rPr>
            </w:pPr>
          </w:p>
        </w:tc>
        <w:tc>
          <w:tcPr>
            <w:tcW w:w="880" w:type="dxa"/>
            <w:vAlign w:val="bottom"/>
            <w:tcBorders>
              <w:top w:val="single" w:sz="8" w:color="auto"/>
            </w:tcBorders>
          </w:tcPr>
          <w:p>
            <w:pPr>
              <w:ind w:left="60"/>
              <w:spacing w:after="0"/>
              <w:rPr>
                <w:sz w:val="20"/>
                <w:szCs w:val="20"/>
                <w:color w:val="auto"/>
              </w:rPr>
            </w:pPr>
            <w:r>
              <w:rPr>
                <w:rFonts w:ascii="Arial" w:cs="Arial" w:eastAsia="Arial" w:hAnsi="Arial"/>
                <w:sz w:val="22"/>
                <w:szCs w:val="22"/>
                <w:color w:val="auto"/>
              </w:rPr>
              <w:t>Date</w:t>
            </w:r>
          </w:p>
        </w:tc>
        <w:tc>
          <w:tcPr>
            <w:tcW w:w="2260" w:type="dxa"/>
            <w:vAlign w:val="bottom"/>
          </w:tcPr>
          <w:p>
            <w:pPr>
              <w:spacing w:after="0"/>
              <w:rPr>
                <w:sz w:val="24"/>
                <w:szCs w:val="24"/>
                <w:color w:val="auto"/>
              </w:rPr>
            </w:pPr>
          </w:p>
        </w:tc>
      </w:tr>
      <w:tr>
        <w:trPr>
          <w:trHeight w:val="274"/>
        </w:trPr>
        <w:tc>
          <w:tcPr>
            <w:tcW w:w="380" w:type="dxa"/>
            <w:vAlign w:val="bottom"/>
          </w:tcPr>
          <w:p>
            <w:pPr>
              <w:spacing w:after="0"/>
              <w:rPr>
                <w:sz w:val="23"/>
                <w:szCs w:val="23"/>
                <w:color w:val="auto"/>
              </w:rPr>
            </w:pPr>
          </w:p>
        </w:tc>
        <w:tc>
          <w:tcPr>
            <w:tcW w:w="3280" w:type="dxa"/>
            <w:vAlign w:val="bottom"/>
          </w:tcPr>
          <w:p>
            <w:pPr>
              <w:ind w:left="140"/>
              <w:spacing w:after="0"/>
              <w:rPr>
                <w:sz w:val="20"/>
                <w:szCs w:val="20"/>
                <w:color w:val="auto"/>
              </w:rPr>
            </w:pPr>
            <w:r>
              <w:rPr>
                <w:rFonts w:ascii="Arial" w:cs="Arial" w:eastAsia="Arial" w:hAnsi="Arial"/>
                <w:sz w:val="22"/>
                <w:szCs w:val="22"/>
                <w:color w:val="auto"/>
              </w:rPr>
              <w:t>Chief Executive Officer</w:t>
            </w:r>
          </w:p>
        </w:tc>
        <w:tc>
          <w:tcPr>
            <w:tcW w:w="1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1079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10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160" w:right="280"/>
        <w:spacing w:after="0" w:line="297" w:lineRule="auto"/>
        <w:rPr>
          <w:sz w:val="20"/>
          <w:szCs w:val="20"/>
          <w:color w:val="auto"/>
        </w:rPr>
      </w:pPr>
      <w:r>
        <w:rPr>
          <w:rFonts w:ascii="Arial" w:cs="Arial" w:eastAsia="Arial" w:hAnsi="Arial"/>
          <w:sz w:val="19"/>
          <w:szCs w:val="19"/>
          <w:color w:val="auto"/>
        </w:rPr>
        <w:t>You are advised to consult with an attorney before signing this Release Agreement. This is a legal document. Your signature will commit you to its terms. By signing below, you acknowledge that you have carefully read and fully understand all of the provisions of this Release Agreement and that you are knowingly and voluntarily entering into this Release Agreement.</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 w:type="dxa"/>
            <w:vAlign w:val="bottom"/>
          </w:tcPr>
          <w:p>
            <w:pPr>
              <w:spacing w:after="0"/>
              <w:rPr>
                <w:sz w:val="21"/>
                <w:szCs w:val="21"/>
                <w:color w:val="auto"/>
              </w:rPr>
            </w:pPr>
          </w:p>
        </w:tc>
        <w:tc>
          <w:tcPr>
            <w:tcW w:w="4320" w:type="dxa"/>
            <w:vAlign w:val="bottom"/>
            <w:gridSpan w:val="2"/>
          </w:tcPr>
          <w:p>
            <w:pPr>
              <w:spacing w:after="0"/>
              <w:rPr>
                <w:sz w:val="20"/>
                <w:szCs w:val="20"/>
                <w:color w:val="auto"/>
              </w:rPr>
            </w:pPr>
            <w:r>
              <w:rPr>
                <w:rFonts w:ascii="Arial" w:cs="Arial" w:eastAsia="Arial" w:hAnsi="Arial"/>
                <w:sz w:val="22"/>
                <w:szCs w:val="22"/>
                <w:color w:val="auto"/>
                <w:w w:val="98"/>
              </w:rPr>
              <w:t>_/s/ Cadmus Rich _____________________</w:t>
            </w:r>
          </w:p>
        </w:tc>
        <w:tc>
          <w:tcPr>
            <w:tcW w:w="6760" w:type="dxa"/>
            <w:vAlign w:val="bottom"/>
            <w:gridSpan w:val="2"/>
          </w:tcPr>
          <w:p>
            <w:pPr>
              <w:jc w:val="right"/>
              <w:ind w:right="3200"/>
              <w:spacing w:after="0"/>
              <w:rPr>
                <w:sz w:val="20"/>
                <w:szCs w:val="20"/>
                <w:color w:val="auto"/>
              </w:rPr>
            </w:pPr>
            <w:r>
              <w:rPr>
                <w:rFonts w:ascii="Arial" w:cs="Arial" w:eastAsia="Arial" w:hAnsi="Arial"/>
                <w:sz w:val="22"/>
                <w:szCs w:val="22"/>
                <w:color w:val="auto"/>
                <w:w w:val="87"/>
              </w:rPr>
              <w:t>11/6/2023_________________________</w:t>
            </w:r>
          </w:p>
        </w:tc>
      </w:tr>
      <w:tr>
        <w:trPr>
          <w:trHeight w:val="516"/>
        </w:trPr>
        <w:tc>
          <w:tcPr>
            <w:tcW w:w="160" w:type="dxa"/>
            <w:vAlign w:val="bottom"/>
          </w:tcPr>
          <w:p>
            <w:pPr>
              <w:spacing w:after="0"/>
              <w:rPr>
                <w:sz w:val="24"/>
                <w:szCs w:val="24"/>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22"/>
                <w:szCs w:val="22"/>
                <w:color w:val="auto"/>
                <w:w w:val="89"/>
              </w:rPr>
              <w:t>Dr. Cadmus Rich</w:t>
            </w:r>
          </w:p>
        </w:tc>
        <w:tc>
          <w:tcPr>
            <w:tcW w:w="2800" w:type="dxa"/>
            <w:vAlign w:val="bottom"/>
          </w:tcPr>
          <w:p>
            <w:pPr>
              <w:spacing w:after="0"/>
              <w:rPr>
                <w:sz w:val="24"/>
                <w:szCs w:val="24"/>
                <w:color w:val="auto"/>
              </w:rPr>
            </w:pPr>
          </w:p>
        </w:tc>
        <w:tc>
          <w:tcPr>
            <w:tcW w:w="860" w:type="dxa"/>
            <w:vAlign w:val="bottom"/>
            <w:tcBorders>
              <w:top w:val="single" w:sz="8" w:color="auto"/>
            </w:tcBorders>
          </w:tcPr>
          <w:p>
            <w:pPr>
              <w:ind w:left="420"/>
              <w:spacing w:after="0"/>
              <w:rPr>
                <w:sz w:val="20"/>
                <w:szCs w:val="20"/>
                <w:color w:val="auto"/>
              </w:rPr>
            </w:pPr>
            <w:r>
              <w:rPr>
                <w:rFonts w:ascii="Arial" w:cs="Arial" w:eastAsia="Arial" w:hAnsi="Arial"/>
                <w:sz w:val="22"/>
                <w:szCs w:val="22"/>
                <w:color w:val="auto"/>
                <w:w w:val="90"/>
              </w:rPr>
              <w:t>Date</w:t>
            </w:r>
          </w:p>
        </w:tc>
        <w:tc>
          <w:tcPr>
            <w:tcW w:w="5900" w:type="dxa"/>
            <w:vAlign w:val="bottom"/>
          </w:tcPr>
          <w:p>
            <w:pPr>
              <w:spacing w:after="0"/>
              <w:rPr>
                <w:sz w:val="24"/>
                <w:szCs w:val="24"/>
                <w:color w:val="auto"/>
              </w:rPr>
            </w:pPr>
          </w:p>
        </w:tc>
      </w:tr>
      <w:tr>
        <w:trPr>
          <w:trHeight w:val="1333"/>
        </w:trPr>
        <w:tc>
          <w:tcPr>
            <w:tcW w:w="1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6"/>
          <w:szCs w:val="16"/>
          <w:b w:val="1"/>
          <w:bCs w:val="1"/>
          <w:color w:val="auto"/>
        </w:rPr>
        <w:t>Exhibit 31.1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 Elisabet de los Pinos, certify that:</w:t>
      </w:r>
    </w:p>
    <w:p>
      <w:pPr>
        <w:spacing w:after="0" w:line="194" w:lineRule="exact"/>
        <w:rPr>
          <w:sz w:val="20"/>
          <w:szCs w:val="20"/>
          <w:color w:val="auto"/>
        </w:rPr>
      </w:pPr>
    </w:p>
    <w:p>
      <w:pPr>
        <w:ind w:left="180" w:hanging="172"/>
        <w:spacing w:after="0"/>
        <w:tabs>
          <w:tab w:leader="none" w:pos="1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Aura Biosciences, Inc;</w:t>
      </w:r>
    </w:p>
    <w:p>
      <w:pPr>
        <w:spacing w:after="0" w:line="194" w:lineRule="exact"/>
        <w:rPr>
          <w:rFonts w:ascii="Arial" w:cs="Arial" w:eastAsia="Arial" w:hAnsi="Arial"/>
          <w:sz w:val="16"/>
          <w:szCs w:val="16"/>
          <w:color w:val="auto"/>
        </w:rPr>
      </w:pPr>
    </w:p>
    <w:p>
      <w:pPr>
        <w:ind w:right="280" w:firstLine="8"/>
        <w:spacing w:after="0" w:line="276" w:lineRule="auto"/>
        <w:tabs>
          <w:tab w:leader="none" w:pos="1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6"/>
          <w:szCs w:val="16"/>
          <w:color w:val="auto"/>
        </w:rPr>
      </w:pPr>
    </w:p>
    <w:p>
      <w:pPr>
        <w:ind w:right="60" w:firstLine="8"/>
        <w:spacing w:after="0" w:line="276" w:lineRule="auto"/>
        <w:tabs>
          <w:tab w:leader="none" w:pos="1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6"/>
          <w:szCs w:val="16"/>
          <w:color w:val="auto"/>
        </w:rPr>
      </w:pPr>
    </w:p>
    <w:p>
      <w:pPr>
        <w:ind w:firstLine="8"/>
        <w:spacing w:after="0" w:line="261" w:lineRule="auto"/>
        <w:tabs>
          <w:tab w:leader="none" w:pos="1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6"/>
          <w:szCs w:val="16"/>
          <w:color w:val="auto"/>
        </w:rPr>
      </w:pPr>
    </w:p>
    <w:p>
      <w:pPr>
        <w:ind w:right="180" w:firstLine="517"/>
        <w:spacing w:after="0" w:line="261" w:lineRule="auto"/>
        <w:tabs>
          <w:tab w:leader="none" w:pos="752" w:val="left"/>
        </w:tabs>
        <w:numPr>
          <w:ilvl w:val="1"/>
          <w:numId w:val="7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6"/>
          <w:szCs w:val="16"/>
          <w:color w:val="auto"/>
        </w:rPr>
      </w:pPr>
    </w:p>
    <w:p>
      <w:pPr>
        <w:ind w:right="120" w:firstLine="517"/>
        <w:spacing w:after="0" w:line="261" w:lineRule="auto"/>
        <w:tabs>
          <w:tab w:leader="none" w:pos="752" w:val="left"/>
        </w:tabs>
        <w:numPr>
          <w:ilvl w:val="1"/>
          <w:numId w:val="7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6"/>
          <w:szCs w:val="16"/>
          <w:color w:val="auto"/>
        </w:rPr>
      </w:pPr>
    </w:p>
    <w:p>
      <w:pPr>
        <w:ind w:right="760" w:firstLine="517"/>
        <w:spacing w:after="0" w:line="276" w:lineRule="auto"/>
        <w:tabs>
          <w:tab w:leader="none" w:pos="743"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6"/>
          <w:szCs w:val="16"/>
          <w:color w:val="auto"/>
        </w:rPr>
      </w:pPr>
    </w:p>
    <w:p>
      <w:pPr>
        <w:ind w:right="140" w:firstLine="517"/>
        <w:spacing w:after="0" w:line="261" w:lineRule="auto"/>
        <w:tabs>
          <w:tab w:leader="none" w:pos="752" w:val="left"/>
        </w:tabs>
        <w:numPr>
          <w:ilvl w:val="1"/>
          <w:numId w:val="7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6"/>
          <w:szCs w:val="16"/>
          <w:color w:val="auto"/>
        </w:rPr>
      </w:pPr>
    </w:p>
    <w:p>
      <w:pPr>
        <w:ind w:right="460" w:firstLine="8"/>
        <w:spacing w:after="0" w:line="276" w:lineRule="auto"/>
        <w:tabs>
          <w:tab w:leader="none" w:pos="1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6"/>
          <w:szCs w:val="16"/>
          <w:color w:val="auto"/>
        </w:rPr>
      </w:pPr>
    </w:p>
    <w:p>
      <w:pPr>
        <w:ind w:right="360" w:firstLine="517"/>
        <w:spacing w:after="0" w:line="276" w:lineRule="auto"/>
        <w:tabs>
          <w:tab w:leader="none" w:pos="752" w:val="left"/>
        </w:tabs>
        <w:numPr>
          <w:ilvl w:val="1"/>
          <w:numId w:val="7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6"/>
          <w:szCs w:val="16"/>
          <w:color w:val="auto"/>
        </w:rPr>
      </w:pPr>
    </w:p>
    <w:p>
      <w:pPr>
        <w:ind w:right="280" w:firstLine="517"/>
        <w:spacing w:after="0" w:line="276" w:lineRule="auto"/>
        <w:tabs>
          <w:tab w:leader="none" w:pos="752" w:val="left"/>
        </w:tabs>
        <w:numPr>
          <w:ilvl w:val="1"/>
          <w:numId w:val="7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Aura Biosciences, Inc.</w:t>
      </w:r>
    </w:p>
    <w:p>
      <w:pPr>
        <w:spacing w:after="0" w:line="221" w:lineRule="exact"/>
        <w:rPr>
          <w:sz w:val="20"/>
          <w:szCs w:val="20"/>
          <w:color w:val="auto"/>
        </w:rPr>
      </w:pPr>
    </w:p>
    <w:p>
      <w:pPr>
        <w:ind w:left="80"/>
        <w:spacing w:after="0"/>
        <w:tabs>
          <w:tab w:leader="none" w:pos="620" w:val="left"/>
          <w:tab w:leader="none" w:pos="5900" w:val="left"/>
          <w:tab w:leader="none" w:pos="7900" w:val="left"/>
        </w:tabs>
        <w:rPr>
          <w:sz w:val="20"/>
          <w:szCs w:val="20"/>
          <w:color w:val="auto"/>
        </w:rPr>
      </w:pPr>
      <w:r>
        <w:rPr>
          <w:rFonts w:ascii="Arial" w:cs="Arial" w:eastAsia="Arial" w:hAnsi="Arial"/>
          <w:sz w:val="16"/>
          <w:szCs w:val="16"/>
          <w:color w:val="auto"/>
        </w:rPr>
        <w:t>Date:</w:t>
        <w:tab/>
        <w:t>November 9,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Elisabet de los Pinos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18415</wp:posOffset>
            </wp:positionV>
            <wp:extent cx="306006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16" w:lineRule="exact"/>
        <w:rPr>
          <w:sz w:val="20"/>
          <w:szCs w:val="20"/>
          <w:color w:val="auto"/>
        </w:rPr>
      </w:pPr>
    </w:p>
    <w:p>
      <w:pPr>
        <w:jc w:val="center"/>
        <w:ind w:left="6280"/>
        <w:spacing w:after="0"/>
        <w:rPr>
          <w:sz w:val="20"/>
          <w:szCs w:val="20"/>
          <w:color w:val="auto"/>
        </w:rPr>
      </w:pPr>
      <w:r>
        <w:rPr>
          <w:rFonts w:ascii="Arial" w:cs="Arial" w:eastAsia="Arial" w:hAnsi="Arial"/>
          <w:sz w:val="16"/>
          <w:szCs w:val="16"/>
          <w:b w:val="1"/>
          <w:bCs w:val="1"/>
          <w:color w:val="auto"/>
        </w:rPr>
        <w:t>Elisabet de los Pinos</w:t>
      </w:r>
    </w:p>
    <w:p>
      <w:pPr>
        <w:spacing w:after="0" w:line="26" w:lineRule="exact"/>
        <w:rPr>
          <w:sz w:val="20"/>
          <w:szCs w:val="20"/>
          <w:color w:val="auto"/>
        </w:rPr>
      </w:pPr>
    </w:p>
    <w:p>
      <w:pPr>
        <w:jc w:val="center"/>
        <w:ind w:left="628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709295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6"/>
          <w:szCs w:val="16"/>
          <w:b w:val="1"/>
          <w:bCs w:val="1"/>
          <w:color w:val="auto"/>
        </w:rPr>
        <w:t>Exhibit 31.2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 Julie Feder, certify that:</w:t>
      </w:r>
    </w:p>
    <w:p>
      <w:pPr>
        <w:spacing w:after="0" w:line="194" w:lineRule="exact"/>
        <w:rPr>
          <w:sz w:val="20"/>
          <w:szCs w:val="20"/>
          <w:color w:val="auto"/>
        </w:rPr>
      </w:pPr>
    </w:p>
    <w:p>
      <w:pPr>
        <w:ind w:left="180" w:hanging="172"/>
        <w:spacing w:after="0"/>
        <w:tabs>
          <w:tab w:leader="none" w:pos="1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Aura Biosciences, Inc;</w:t>
      </w:r>
    </w:p>
    <w:p>
      <w:pPr>
        <w:spacing w:after="0" w:line="194" w:lineRule="exact"/>
        <w:rPr>
          <w:rFonts w:ascii="Arial" w:cs="Arial" w:eastAsia="Arial" w:hAnsi="Arial"/>
          <w:sz w:val="16"/>
          <w:szCs w:val="16"/>
          <w:color w:val="auto"/>
        </w:rPr>
      </w:pPr>
    </w:p>
    <w:p>
      <w:pPr>
        <w:ind w:right="280" w:firstLine="8"/>
        <w:spacing w:after="0" w:line="276" w:lineRule="auto"/>
        <w:tabs>
          <w:tab w:leader="none" w:pos="1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6"/>
          <w:szCs w:val="16"/>
          <w:color w:val="auto"/>
        </w:rPr>
      </w:pPr>
    </w:p>
    <w:p>
      <w:pPr>
        <w:ind w:right="60" w:firstLine="8"/>
        <w:spacing w:after="0" w:line="276" w:lineRule="auto"/>
        <w:tabs>
          <w:tab w:leader="none" w:pos="1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6"/>
          <w:szCs w:val="16"/>
          <w:color w:val="auto"/>
        </w:rPr>
      </w:pPr>
    </w:p>
    <w:p>
      <w:pPr>
        <w:ind w:firstLine="8"/>
        <w:spacing w:after="0" w:line="261" w:lineRule="auto"/>
        <w:tabs>
          <w:tab w:leader="none" w:pos="1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6"/>
          <w:szCs w:val="16"/>
          <w:color w:val="auto"/>
        </w:rPr>
      </w:pPr>
    </w:p>
    <w:p>
      <w:pPr>
        <w:ind w:right="180" w:firstLine="517"/>
        <w:spacing w:after="0" w:line="261" w:lineRule="auto"/>
        <w:tabs>
          <w:tab w:leader="none" w:pos="752" w:val="left"/>
        </w:tabs>
        <w:numPr>
          <w:ilvl w:val="1"/>
          <w:numId w:val="7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6"/>
          <w:szCs w:val="16"/>
          <w:color w:val="auto"/>
        </w:rPr>
      </w:pPr>
    </w:p>
    <w:p>
      <w:pPr>
        <w:ind w:right="120" w:firstLine="517"/>
        <w:spacing w:after="0" w:line="261" w:lineRule="auto"/>
        <w:tabs>
          <w:tab w:leader="none" w:pos="752" w:val="left"/>
        </w:tabs>
        <w:numPr>
          <w:ilvl w:val="1"/>
          <w:numId w:val="7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6"/>
          <w:szCs w:val="16"/>
          <w:color w:val="auto"/>
        </w:rPr>
      </w:pPr>
    </w:p>
    <w:p>
      <w:pPr>
        <w:ind w:right="760" w:firstLine="517"/>
        <w:spacing w:after="0" w:line="276" w:lineRule="auto"/>
        <w:tabs>
          <w:tab w:leader="none" w:pos="743" w:val="left"/>
        </w:tabs>
        <w:numPr>
          <w:ilvl w:val="1"/>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6"/>
          <w:szCs w:val="16"/>
          <w:color w:val="auto"/>
        </w:rPr>
      </w:pPr>
    </w:p>
    <w:p>
      <w:pPr>
        <w:ind w:right="140" w:firstLine="517"/>
        <w:spacing w:after="0" w:line="261" w:lineRule="auto"/>
        <w:tabs>
          <w:tab w:leader="none" w:pos="752" w:val="left"/>
        </w:tabs>
        <w:numPr>
          <w:ilvl w:val="1"/>
          <w:numId w:val="7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6"/>
          <w:szCs w:val="16"/>
          <w:color w:val="auto"/>
        </w:rPr>
      </w:pPr>
    </w:p>
    <w:p>
      <w:pPr>
        <w:ind w:right="460" w:firstLine="8"/>
        <w:spacing w:after="0" w:line="276" w:lineRule="auto"/>
        <w:tabs>
          <w:tab w:leader="none" w:pos="1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6"/>
          <w:szCs w:val="16"/>
          <w:color w:val="auto"/>
        </w:rPr>
      </w:pPr>
    </w:p>
    <w:p>
      <w:pPr>
        <w:ind w:right="360" w:firstLine="517"/>
        <w:spacing w:after="0" w:line="276" w:lineRule="auto"/>
        <w:tabs>
          <w:tab w:leader="none" w:pos="752" w:val="left"/>
        </w:tabs>
        <w:numPr>
          <w:ilvl w:val="1"/>
          <w:numId w:val="7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6"/>
          <w:szCs w:val="16"/>
          <w:color w:val="auto"/>
        </w:rPr>
      </w:pPr>
    </w:p>
    <w:p>
      <w:pPr>
        <w:ind w:right="280" w:firstLine="517"/>
        <w:spacing w:after="0" w:line="276" w:lineRule="auto"/>
        <w:tabs>
          <w:tab w:leader="none" w:pos="752" w:val="left"/>
        </w:tabs>
        <w:numPr>
          <w:ilvl w:val="1"/>
          <w:numId w:val="7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Aura Biosciences, Inc.</w:t>
      </w:r>
    </w:p>
    <w:p>
      <w:pPr>
        <w:spacing w:after="0" w:line="221" w:lineRule="exact"/>
        <w:rPr>
          <w:sz w:val="20"/>
          <w:szCs w:val="20"/>
          <w:color w:val="auto"/>
        </w:rPr>
      </w:pPr>
    </w:p>
    <w:p>
      <w:pPr>
        <w:ind w:left="80"/>
        <w:spacing w:after="0"/>
        <w:tabs>
          <w:tab w:leader="none" w:pos="680" w:val="left"/>
          <w:tab w:leader="none" w:pos="5900" w:val="left"/>
          <w:tab w:leader="none" w:pos="8240" w:val="left"/>
        </w:tabs>
        <w:rPr>
          <w:sz w:val="20"/>
          <w:szCs w:val="20"/>
          <w:color w:val="auto"/>
        </w:rPr>
      </w:pPr>
      <w:r>
        <w:rPr>
          <w:rFonts w:ascii="Arial" w:cs="Arial" w:eastAsia="Arial" w:hAnsi="Arial"/>
          <w:sz w:val="16"/>
          <w:szCs w:val="16"/>
          <w:color w:val="auto"/>
        </w:rPr>
        <w:t>Date:</w:t>
        <w:tab/>
        <w:t>November 9,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Julie Feder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18415</wp:posOffset>
            </wp:positionV>
            <wp:extent cx="306006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16" w:lineRule="exact"/>
        <w:rPr>
          <w:sz w:val="20"/>
          <w:szCs w:val="20"/>
          <w:color w:val="auto"/>
        </w:rPr>
      </w:pPr>
    </w:p>
    <w:p>
      <w:pPr>
        <w:jc w:val="center"/>
        <w:ind w:left="6280"/>
        <w:spacing w:after="0"/>
        <w:rPr>
          <w:sz w:val="20"/>
          <w:szCs w:val="20"/>
          <w:color w:val="auto"/>
        </w:rPr>
      </w:pPr>
      <w:r>
        <w:rPr>
          <w:rFonts w:ascii="Arial" w:cs="Arial" w:eastAsia="Arial" w:hAnsi="Arial"/>
          <w:sz w:val="16"/>
          <w:szCs w:val="16"/>
          <w:b w:val="1"/>
          <w:bCs w:val="1"/>
          <w:color w:val="auto"/>
        </w:rPr>
        <w:t>Julie Feder</w:t>
      </w:r>
    </w:p>
    <w:p>
      <w:pPr>
        <w:spacing w:after="0" w:line="26" w:lineRule="exact"/>
        <w:rPr>
          <w:sz w:val="20"/>
          <w:szCs w:val="20"/>
          <w:color w:val="auto"/>
        </w:rPr>
      </w:pPr>
    </w:p>
    <w:p>
      <w:pPr>
        <w:jc w:val="center"/>
        <w:ind w:left="6280"/>
        <w:spacing w:after="0"/>
        <w:rPr>
          <w:sz w:val="20"/>
          <w:szCs w:val="20"/>
          <w:color w:val="auto"/>
        </w:rPr>
      </w:pPr>
      <w:r>
        <w:rPr>
          <w:rFonts w:ascii="Arial" w:cs="Arial" w:eastAsia="Arial" w:hAnsi="Arial"/>
          <w:sz w:val="16"/>
          <w:szCs w:val="16"/>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709295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6"/>
          <w:szCs w:val="16"/>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5"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9"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In connection with the Quarterly Report on Form 10-Q of Aura Biosciences, Inc. (the “Company”) for the period ended September 30, 2023 as filed with the Securities and Exchange Commission on the date hereof (the “Report”), each of the undersigned certifies, pursuant to 18 U.S.C. §1350, as adopted pursuant to §906 of the Sarbanes-Oxley Act of 2002, that, to the best of her knowledge:</w:t>
      </w:r>
    </w:p>
    <w:p>
      <w:pPr>
        <w:spacing w:after="0" w:line="385" w:lineRule="exact"/>
        <w:rPr>
          <w:sz w:val="20"/>
          <w:szCs w:val="20"/>
          <w:color w:val="auto"/>
        </w:rPr>
      </w:pPr>
    </w:p>
    <w:p>
      <w:pPr>
        <w:ind w:left="760" w:hanging="378"/>
        <w:spacing w:after="0"/>
        <w:tabs>
          <w:tab w:leader="none" w:pos="760" w:val="left"/>
        </w:tabs>
        <w:numPr>
          <w:ilvl w:val="0"/>
          <w:numId w:val="79"/>
        </w:numPr>
        <w:rPr>
          <w:rFonts w:ascii="Arial" w:cs="Arial" w:eastAsia="Arial" w:hAnsi="Arial"/>
          <w:sz w:val="18"/>
          <w:szCs w:val="18"/>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84" w:lineRule="exact"/>
        <w:rPr>
          <w:rFonts w:ascii="Arial" w:cs="Arial" w:eastAsia="Arial" w:hAnsi="Arial"/>
          <w:sz w:val="18"/>
          <w:szCs w:val="18"/>
          <w:color w:val="auto"/>
        </w:rPr>
      </w:pPr>
    </w:p>
    <w:p>
      <w:pPr>
        <w:ind w:left="5880" w:right="200" w:hanging="5498"/>
        <w:spacing w:after="0" w:line="505" w:lineRule="auto"/>
        <w:tabs>
          <w:tab w:leader="none" w:pos="763" w:val="left"/>
        </w:tabs>
        <w:numPr>
          <w:ilvl w:val="0"/>
          <w:numId w:val="79"/>
        </w:numPr>
        <w:rPr>
          <w:rFonts w:ascii="Arial" w:cs="Arial" w:eastAsia="Arial" w:hAnsi="Arial"/>
          <w:sz w:val="18"/>
          <w:szCs w:val="18"/>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Aura Biosciences, Inc.</w:t>
      </w:r>
    </w:p>
    <w:p>
      <w:pPr>
        <w:spacing w:after="0" w:line="1" w:lineRule="exact"/>
        <w:rPr>
          <w:sz w:val="20"/>
          <w:szCs w:val="20"/>
          <w:color w:val="auto"/>
        </w:rPr>
      </w:pPr>
    </w:p>
    <w:p>
      <w:pPr>
        <w:ind w:left="80"/>
        <w:spacing w:after="0"/>
        <w:tabs>
          <w:tab w:leader="none" w:pos="680" w:val="left"/>
          <w:tab w:leader="none" w:pos="5860" w:val="left"/>
          <w:tab w:leader="none" w:pos="7800" w:val="left"/>
        </w:tabs>
        <w:rPr>
          <w:sz w:val="20"/>
          <w:szCs w:val="20"/>
          <w:color w:val="auto"/>
        </w:rPr>
      </w:pPr>
      <w:r>
        <w:rPr>
          <w:rFonts w:ascii="Arial" w:cs="Arial" w:eastAsia="Arial" w:hAnsi="Arial"/>
          <w:sz w:val="16"/>
          <w:szCs w:val="16"/>
          <w:color w:val="auto"/>
        </w:rPr>
        <w:t>Date:</w:t>
        <w:tab/>
        <w:t>November 9,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Elisabet de los Pinos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18415</wp:posOffset>
            </wp:positionV>
            <wp:extent cx="31629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8" w:lineRule="exact"/>
        <w:rPr>
          <w:sz w:val="20"/>
          <w:szCs w:val="20"/>
          <w:color w:val="auto"/>
        </w:rPr>
      </w:pPr>
    </w:p>
    <w:p>
      <w:pPr>
        <w:jc w:val="center"/>
        <w:ind w:left="6120"/>
        <w:spacing w:after="0"/>
        <w:rPr>
          <w:sz w:val="20"/>
          <w:szCs w:val="20"/>
          <w:color w:val="auto"/>
        </w:rPr>
      </w:pPr>
      <w:r>
        <w:rPr>
          <w:rFonts w:ascii="Arial" w:cs="Arial" w:eastAsia="Arial" w:hAnsi="Arial"/>
          <w:sz w:val="16"/>
          <w:szCs w:val="16"/>
          <w:b w:val="1"/>
          <w:bCs w:val="1"/>
          <w:color w:val="auto"/>
        </w:rPr>
        <w:t>Elisabet de los Pinos</w:t>
      </w:r>
    </w:p>
    <w:p>
      <w:pPr>
        <w:spacing w:after="0" w:line="43" w:lineRule="exact"/>
        <w:rPr>
          <w:sz w:val="20"/>
          <w:szCs w:val="20"/>
          <w:color w:val="auto"/>
        </w:rPr>
      </w:pPr>
    </w:p>
    <w:p>
      <w:pPr>
        <w:jc w:val="center"/>
        <w:ind w:left="612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00" w:lineRule="exact"/>
        <w:rPr>
          <w:sz w:val="20"/>
          <w:szCs w:val="20"/>
          <w:color w:val="auto"/>
        </w:rPr>
      </w:pPr>
    </w:p>
    <w:p>
      <w:pPr>
        <w:spacing w:after="0" w:line="234" w:lineRule="exact"/>
        <w:rPr>
          <w:sz w:val="20"/>
          <w:szCs w:val="20"/>
          <w:color w:val="auto"/>
        </w:rPr>
      </w:pPr>
    </w:p>
    <w:p>
      <w:pPr>
        <w:ind w:left="80"/>
        <w:spacing w:after="0"/>
        <w:tabs>
          <w:tab w:leader="none" w:pos="680" w:val="left"/>
          <w:tab w:leader="none" w:pos="5860" w:val="left"/>
          <w:tab w:leader="none" w:pos="8160" w:val="left"/>
        </w:tabs>
        <w:rPr>
          <w:sz w:val="20"/>
          <w:szCs w:val="20"/>
          <w:color w:val="auto"/>
        </w:rPr>
      </w:pPr>
      <w:r>
        <w:rPr>
          <w:rFonts w:ascii="Arial" w:cs="Arial" w:eastAsia="Arial" w:hAnsi="Arial"/>
          <w:sz w:val="16"/>
          <w:szCs w:val="16"/>
          <w:color w:val="auto"/>
        </w:rPr>
        <w:t>Date:</w:t>
        <w:tab/>
        <w:t>November 9,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Julie Feder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18415</wp:posOffset>
            </wp:positionV>
            <wp:extent cx="31629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8" w:lineRule="exact"/>
        <w:rPr>
          <w:sz w:val="20"/>
          <w:szCs w:val="20"/>
          <w:color w:val="auto"/>
        </w:rPr>
      </w:pPr>
    </w:p>
    <w:p>
      <w:pPr>
        <w:jc w:val="center"/>
        <w:ind w:left="6120"/>
        <w:spacing w:after="0"/>
        <w:rPr>
          <w:sz w:val="20"/>
          <w:szCs w:val="20"/>
          <w:color w:val="auto"/>
        </w:rPr>
      </w:pPr>
      <w:r>
        <w:rPr>
          <w:rFonts w:ascii="Arial" w:cs="Arial" w:eastAsia="Arial" w:hAnsi="Arial"/>
          <w:sz w:val="16"/>
          <w:szCs w:val="16"/>
          <w:b w:val="1"/>
          <w:bCs w:val="1"/>
          <w:color w:val="auto"/>
        </w:rPr>
        <w:t>Julie Feder</w:t>
      </w:r>
    </w:p>
    <w:p>
      <w:pPr>
        <w:spacing w:after="0" w:line="43" w:lineRule="exact"/>
        <w:rPr>
          <w:sz w:val="20"/>
          <w:szCs w:val="20"/>
          <w:color w:val="auto"/>
        </w:rPr>
      </w:pPr>
    </w:p>
    <w:p>
      <w:pPr>
        <w:jc w:val="center"/>
        <w:ind w:left="6120"/>
        <w:spacing w:after="0"/>
        <w:rPr>
          <w:sz w:val="20"/>
          <w:szCs w:val="20"/>
          <w:color w:val="auto"/>
        </w:rPr>
      </w:pPr>
      <w:r>
        <w:rPr>
          <w:rFonts w:ascii="Arial" w:cs="Arial" w:eastAsia="Arial" w:hAnsi="Arial"/>
          <w:sz w:val="16"/>
          <w:szCs w:val="16"/>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7" w:name="page108"/>
    <w:bookmarkEnd w:id="10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1)"/>
      <w:numFmt w:val="decimal"/>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1)"/>
      <w:numFmt w:val="decimal"/>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1)"/>
      <w:numFmt w:val="lowerLetter"/>
      <w:start w:val="1"/>
    </w:lvl>
  </w:abstractNum>
  <w:abstractNum w:abstractNumId="38">
    <w:nsid w:val="354FE9F9"/>
    <w:multiLevelType w:val="hybridMultilevel"/>
    <w:lvl w:ilvl="0">
      <w:lvlJc w:val="left"/>
      <w:lvlText w:val="*"/>
      <w:numFmt w:val="bullet"/>
      <w:start w:val="1"/>
    </w:lvl>
    <w:lvl w:ilvl="1">
      <w:lvlJc w:val="left"/>
      <w:lvlText w:val="%2"/>
      <w:numFmt w:val="decimal"/>
      <w:start w:val="104"/>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1."/>
      <w:numFmt w:val="decimal"/>
      <w:start w:val="1"/>
    </w:lvl>
    <w:lvl w:ilvl="1">
      <w:lvlJc w:val="left"/>
      <w:lvlText w:val="(%2)"/>
      <w:numFmt w:val="lowerLetter"/>
      <w:start w:val="1"/>
    </w:lvl>
  </w:abstractNum>
  <w:abstractNum w:abstractNumId="41">
    <w:nsid w:val="D34B6A8"/>
    <w:multiLevelType w:val="hybridMultilevel"/>
    <w:lvl w:ilvl="0">
      <w:lvlJc w:val="left"/>
      <w:lvlText w:val="(%1)"/>
      <w:numFmt w:val="lowerRoman"/>
      <w:start w:val="1"/>
    </w:lvl>
  </w:abstractNum>
  <w:abstractNum w:abstractNumId="42">
    <w:nsid w:val="10233C99"/>
    <w:multiLevelType w:val="hybridMultilevel"/>
    <w:lvl w:ilvl="0">
      <w:lvlJc w:val="left"/>
      <w:lvlText w:val="%1."/>
      <w:numFmt w:val="decimal"/>
      <w:start w:val="4"/>
    </w:lvl>
  </w:abstractNum>
  <w:abstractNum w:abstractNumId="43">
    <w:nsid w:val="3F6AB60F"/>
    <w:multiLevelType w:val="hybridMultilevel"/>
    <w:lvl w:ilvl="0">
      <w:lvlJc w:val="left"/>
      <w:lvlText w:val="%1."/>
      <w:numFmt w:val="decimal"/>
      <w:start w:val="5"/>
    </w:lvl>
  </w:abstractNum>
  <w:abstractNum w:abstractNumId="44">
    <w:nsid w:val="61574095"/>
    <w:multiLevelType w:val="hybridMultilevel"/>
    <w:lvl w:ilvl="0">
      <w:lvlJc w:val="left"/>
      <w:lvlText w:val="%1."/>
      <w:numFmt w:val="decimal"/>
      <w:start w:val="1"/>
    </w:lvl>
  </w:abstractNum>
  <w:abstractNum w:abstractNumId="45">
    <w:nsid w:val="7E0C57B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46">
    <w:nsid w:val="77AE35E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47">
    <w:nsid w:val="579BE4F1"/>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5"/>
    </w:lvl>
    <w:lvl w:ilvl="3">
      <w:lvlJc w:val="left"/>
      <w:lvlText w:val="%4"/>
      <w:numFmt w:val="lowerLetter"/>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1."/>
      <w:numFmt w:val="decimal"/>
      <w:start w:val="1"/>
    </w:lvl>
    <w:lvl w:ilvl="1">
      <w:lvlJc w:val="left"/>
      <w:lvlText w:val="%2."/>
      <w:numFmt w:val="lowerLetter"/>
      <w:start w:val="1"/>
    </w:lvl>
  </w:abstractNum>
  <w:abstractNum w:abstractNumId="51">
    <w:nsid w:val="25A70BF7"/>
    <w:multiLevelType w:val="hybridMultilevel"/>
    <w:lvl w:ilvl="0">
      <w:lvlJc w:val="left"/>
      <w:lvlText w:val="%1."/>
      <w:numFmt w:val="decimal"/>
      <w:start w:val="3"/>
    </w:lvl>
  </w:abstractNum>
  <w:abstractNum w:abstractNumId="52">
    <w:nsid w:val="1DBABF00"/>
    <w:multiLevelType w:val="hybridMultilevel"/>
    <w:lvl w:ilvl="0">
      <w:lvlJc w:val="left"/>
      <w:lvlText w:val="%1."/>
      <w:numFmt w:val="decimal"/>
      <w:start w:val="4"/>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1."/>
      <w:numFmt w:val="decimal"/>
      <w:start w:val="5"/>
    </w:lvl>
  </w:abstractNum>
  <w:abstractNum w:abstractNumId="56">
    <w:nsid w:val="5DB70AE5"/>
    <w:multiLevelType w:val="hybridMultilevel"/>
    <w:lvl w:ilvl="0">
      <w:lvlJc w:val="left"/>
      <w:lvlText w:val="%1."/>
      <w:numFmt w:val="decimal"/>
      <w:start w:val="6"/>
    </w:lvl>
  </w:abstractNum>
  <w:abstractNum w:abstractNumId="57">
    <w:nsid w:val="100F8FCA"/>
    <w:multiLevelType w:val="hybridMultilevel"/>
    <w:lvl w:ilvl="0">
      <w:lvlJc w:val="left"/>
      <w:lvlText w:val="%1."/>
      <w:numFmt w:val="decimal"/>
      <w:start w:val="7"/>
    </w:lvl>
  </w:abstractNum>
  <w:abstractNum w:abstractNumId="58">
    <w:nsid w:val="6590700B"/>
    <w:multiLevelType w:val="hybridMultilevel"/>
    <w:lvl w:ilvl="0">
      <w:lvlJc w:val="left"/>
      <w:lvlText w:val="%1."/>
      <w:numFmt w:val="decimal"/>
      <w:start w:val="8"/>
    </w:lvl>
  </w:abstractNum>
  <w:abstractNum w:abstractNumId="59">
    <w:nsid w:val="15014ACB"/>
    <w:multiLevelType w:val="hybridMultilevel"/>
    <w:lvl w:ilvl="0">
      <w:lvlJc w:val="left"/>
      <w:lvlText w:val="%1."/>
      <w:numFmt w:val="decimal"/>
      <w:start w:val="9"/>
    </w:lvl>
  </w:abstractNum>
  <w:abstractNum w:abstractNumId="60">
    <w:nsid w:val="5F5E7FD0"/>
    <w:multiLevelType w:val="hybridMultilevel"/>
    <w:lvl w:ilvl="0">
      <w:lvlJc w:val="left"/>
      <w:lvlText w:val="%1."/>
      <w:numFmt w:val="decimal"/>
      <w:start w:val="10"/>
    </w:lvl>
  </w:abstractNum>
  <w:abstractNum w:abstractNumId="61">
    <w:nsid w:val="98A3148"/>
    <w:multiLevelType w:val="hybridMultilevel"/>
    <w:lvl w:ilvl="0">
      <w:lvlJc w:val="left"/>
      <w:lvlText w:val="(%1)"/>
      <w:numFmt w:val="lowerRoman"/>
      <w:start w:val="1"/>
    </w:lvl>
  </w:abstractNum>
  <w:abstractNum w:abstractNumId="62">
    <w:nsid w:val="799D0247"/>
    <w:multiLevelType w:val="hybridMultilevel"/>
    <w:lvl w:ilvl="0">
      <w:lvlJc w:val="left"/>
      <w:lvlText w:val="•"/>
      <w:numFmt w:val="bullet"/>
      <w:start w:val="1"/>
    </w:lvl>
  </w:abstractNum>
  <w:abstractNum w:abstractNumId="63">
    <w:nsid w:val="6B94764"/>
    <w:multiLevelType w:val="hybridMultilevel"/>
    <w:lvl w:ilvl="0">
      <w:lvlJc w:val="left"/>
      <w:lvlText w:val="•"/>
      <w:numFmt w:val="bullet"/>
      <w:start w:val="1"/>
    </w:lvl>
  </w:abstractNum>
  <w:abstractNum w:abstractNumId="64">
    <w:nsid w:val="42C296BD"/>
    <w:multiLevelType w:val="hybridMultilevel"/>
    <w:lvl w:ilvl="0">
      <w:lvlJc w:val="left"/>
      <w:lvlText w:val="%1."/>
      <w:numFmt w:val="decimal"/>
      <w:start w:val="1"/>
    </w:lvl>
    <w:lvl w:ilvl="1">
      <w:lvlJc w:val="left"/>
      <w:lvlText w:val="%2."/>
      <w:numFmt w:val="lowerLetter"/>
      <w:start w:val="1"/>
    </w:lvl>
  </w:abstractNum>
  <w:abstractNum w:abstractNumId="65">
    <w:nsid w:val="168E121F"/>
    <w:multiLevelType w:val="hybridMultilevel"/>
    <w:lvl w:ilvl="0">
      <w:lvlJc w:val="left"/>
      <w:lvlText w:val="%1."/>
      <w:numFmt w:val="decimal"/>
      <w:start w:val="2"/>
    </w:lvl>
  </w:abstractNum>
  <w:abstractNum w:abstractNumId="66">
    <w:nsid w:val="1EBA5D23"/>
    <w:multiLevelType w:val="hybridMultilevel"/>
    <w:lvl w:ilvl="0">
      <w:lvlJc w:val="left"/>
      <w:lvlText w:val="%1."/>
      <w:numFmt w:val="lowerLetter"/>
      <w:start w:val="1"/>
    </w:lvl>
  </w:abstractNum>
  <w:abstractNum w:abstractNumId="67">
    <w:nsid w:val="661E3F1E"/>
    <w:multiLevelType w:val="hybridMultilevel"/>
    <w:lvl w:ilvl="0">
      <w:lvlJc w:val="left"/>
      <w:lvlText w:val="%1."/>
      <w:numFmt w:val="decimal"/>
      <w:start w:val="3"/>
    </w:lvl>
  </w:abstractNum>
  <w:abstractNum w:abstractNumId="68">
    <w:nsid w:val="5DC79EA8"/>
    <w:multiLevelType w:val="hybridMultilevel"/>
    <w:lvl w:ilvl="0">
      <w:lvlJc w:val="left"/>
      <w:lvlText w:val="%1."/>
      <w:numFmt w:val="decimal"/>
      <w:start w:val="4"/>
    </w:lvl>
  </w:abstractNum>
  <w:abstractNum w:abstractNumId="69">
    <w:nsid w:val="540A471C"/>
    <w:multiLevelType w:val="hybridMultilevel"/>
    <w:lvl w:ilvl="0">
      <w:lvlJc w:val="left"/>
      <w:lvlText w:val="•"/>
      <w:numFmt w:val="bullet"/>
      <w:start w:val="1"/>
    </w:lvl>
  </w:abstractNum>
  <w:abstractNum w:abstractNumId="70">
    <w:nsid w:val="7BD3EE7B"/>
    <w:multiLevelType w:val="hybridMultilevel"/>
    <w:lvl w:ilvl="0">
      <w:lvlJc w:val="left"/>
      <w:lvlText w:val="%1."/>
      <w:numFmt w:val="decimal"/>
      <w:start w:val="5"/>
    </w:lvl>
  </w:abstractNum>
  <w:abstractNum w:abstractNumId="71">
    <w:nsid w:val="51D9C564"/>
    <w:multiLevelType w:val="hybridMultilevel"/>
    <w:lvl w:ilvl="0">
      <w:lvlJc w:val="left"/>
      <w:lvlText w:val="%1."/>
      <w:numFmt w:val="decimal"/>
      <w:start w:val="6"/>
    </w:lvl>
  </w:abstractNum>
  <w:abstractNum w:abstractNumId="72">
    <w:nsid w:val="613EFDC5"/>
    <w:multiLevelType w:val="hybridMultilevel"/>
    <w:lvl w:ilvl="0">
      <w:lvlJc w:val="left"/>
      <w:lvlText w:val="%1."/>
      <w:numFmt w:val="decimal"/>
      <w:start w:val="7"/>
    </w:lvl>
  </w:abstractNum>
  <w:abstractNum w:abstractNumId="73">
    <w:nsid w:val="BF72B14"/>
    <w:multiLevelType w:val="hybridMultilevel"/>
    <w:lvl w:ilvl="0">
      <w:lvlJc w:val="left"/>
      <w:lvlText w:val="%1."/>
      <w:numFmt w:val="decimal"/>
      <w:start w:val="8"/>
    </w:lvl>
  </w:abstractNum>
  <w:abstractNum w:abstractNumId="74">
    <w:nsid w:val="11447B73"/>
    <w:multiLevelType w:val="hybridMultilevel"/>
    <w:lvl w:ilvl="0">
      <w:lvlJc w:val="left"/>
      <w:lvlText w:val="%1."/>
      <w:numFmt w:val="decimal"/>
      <w:start w:val="9"/>
    </w:lvl>
  </w:abstractNum>
  <w:abstractNum w:abstractNumId="75">
    <w:nsid w:val="42963E5A"/>
    <w:multiLevelType w:val="hybridMultilevel"/>
    <w:lvl w:ilvl="0">
      <w:lvlJc w:val="left"/>
      <w:lvlText w:val="%1."/>
      <w:numFmt w:val="decimal"/>
      <w:start w:val="10"/>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lvl w:ilvl="1">
      <w:lvlJc w:val="left"/>
      <w:lvlText w:val="(%2)"/>
      <w:numFmt w:val="lowerLetter"/>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jpe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258" Type="http://schemas.openxmlformats.org/officeDocument/2006/relationships/hyperlink" Target="https://www.sec.gov/Archives/edgar/data/1501796/000095017022004425/aura-ex3_1.htm" TargetMode="External"/><Relationship Id="rId259" Type="http://schemas.openxmlformats.org/officeDocument/2006/relationships/hyperlink" Target="https://www.sec.gov/Archives/edgar/data/1501796/000095017022004425/aura-ex3_2.htm" TargetMode="External"/><Relationship Id="rId260" Type="http://schemas.openxmlformats.org/officeDocument/2006/relationships/hyperlink" Target="https://www.sec.gov/Archives/edgar/data/1501796/000119312521295543/d209588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2023-11-09T15:39:51Z</dcterms:created>
  <dcterms:modified xsi:type="dcterms:W3CDTF">2023-11-09T15:39:51Z</dcterms:modified>
</cp:coreProperties>
</file>