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7" w:lineRule="exact"/>
        <w:rPr>
          <w:sz w:val="24"/>
          <w:szCs w:val="24"/>
          <w:color w:val="auto"/>
        </w:rPr>
      </w:pPr>
    </w:p>
    <w:p>
      <w:pPr>
        <w:ind w:left="4020" w:right="3200" w:hanging="3999"/>
        <w:spacing w:after="0" w:line="298" w:lineRule="auto"/>
        <w:tabs>
          <w:tab w:leader="none" w:pos="486"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5"/>
          <w:szCs w:val="15"/>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5"/>
          <w:szCs w:val="15"/>
          <w:b w:val="1"/>
          <w:bCs w:val="1"/>
          <w:color w:val="auto"/>
        </w:rPr>
        <w:t>OR</w:t>
      </w:r>
    </w:p>
    <w:p>
      <w:pPr>
        <w:spacing w:after="0" w:line="57" w:lineRule="exact"/>
        <w:rPr>
          <w:sz w:val="24"/>
          <w:szCs w:val="24"/>
          <w:color w:val="auto"/>
        </w:rPr>
      </w:pPr>
    </w:p>
    <w:p>
      <w:pPr>
        <w:ind w:left="480" w:right="20" w:hanging="459"/>
        <w:spacing w:after="0" w:line="268" w:lineRule="auto"/>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5"/>
          <w:szCs w:val="15"/>
          <w:b w:val="1"/>
          <w:bCs w:val="1"/>
          <w:color w:val="auto"/>
        </w:rPr>
        <w:t>TRANSITION REPORT PURSUANT TO SECTION 13 OR 15(d) OF THE SECURITIES EXCHANGE ACT OF 1934 FOR THE TRANSITION PERIOD FROM TO</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001-40971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AURA BIOSCIENCES, INC.</w:t>
      </w:r>
    </w:p>
    <w:p>
      <w:pPr>
        <w:sectPr>
          <w:pgSz w:w="11900" w:h="16838" w:orient="portrait"/>
          <w:cols w:equalWidth="0" w:num="1">
            <w:col w:w="11240"/>
          </w:cols>
          <w:pgMar w:left="320" w:top="1055" w:right="339" w:bottom="1440" w:gutter="0" w:footer="0" w:header="0"/>
        </w:sectPr>
      </w:pPr>
    </w:p>
    <w:p>
      <w:pPr>
        <w:spacing w:after="0" w:line="37"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38100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Delaware</w:t>
      </w:r>
    </w:p>
    <w:p>
      <w:pPr>
        <w:spacing w:after="0" w:line="21"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(State or other jurisdiction of</w:t>
      </w:r>
    </w:p>
    <w:p>
      <w:pPr>
        <w:spacing w:after="0" w:line="5"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incorporation or organization)</w:t>
      </w:r>
    </w:p>
    <w:p>
      <w:pPr>
        <w:spacing w:after="0" w:line="57"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80 Guest Street</w:t>
      </w:r>
    </w:p>
    <w:p>
      <w:pPr>
        <w:spacing w:after="0" w:line="35"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32-0271970</w:t>
      </w:r>
    </w:p>
    <w:p>
      <w:pPr>
        <w:spacing w:after="0" w:line="35"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(I.R.S. Employer</w:t>
      </w:r>
    </w:p>
    <w:p>
      <w:pPr>
        <w:spacing w:after="0" w:line="5"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Identification No.)</w:t>
      </w:r>
    </w:p>
    <w:p>
      <w:pPr>
        <w:spacing w:after="0" w:line="259"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02135</w:t>
      </w:r>
    </w:p>
    <w:p>
      <w:pPr>
        <w:spacing w:after="0" w:line="13" w:lineRule="exact"/>
        <w:rPr>
          <w:sz w:val="24"/>
          <w:szCs w:val="24"/>
          <w:color w:val="auto"/>
        </w:rPr>
      </w:pPr>
    </w:p>
    <w:p>
      <w:pPr>
        <w:sectPr>
          <w:pgSz w:w="11900" w:h="16838" w:orient="portrait"/>
          <w:cols w:equalWidth="0" w:num="2">
            <w:col w:w="7540" w:space="200"/>
            <w:col w:w="3500"/>
          </w:cols>
          <w:pgMar w:left="320" w:top="1055" w:right="339" w:bottom="1440" w:gutter="0" w:footer="0" w:header="0"/>
          <w:type w:val="continuous"/>
        </w:sectPr>
      </w:pP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(617) 500-8864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4280" w:type="dxa"/>
            <w:vAlign w:val="bottom"/>
            <w:vMerge w:val="restart"/>
          </w:tcPr>
          <w:p>
            <w:pPr>
              <w:ind w:left="1560"/>
              <w:spacing w:after="0"/>
              <w:rPr>
                <w:sz w:val="20"/>
                <w:szCs w:val="20"/>
                <w:color w:val="auto"/>
              </w:rPr>
            </w:pPr>
            <w:r>
              <w:rPr>
                <w:rFonts w:ascii="Arial" w:cs="Arial" w:eastAsia="Arial" w:hAnsi="Arial"/>
                <w:sz w:val="13"/>
                <w:szCs w:val="13"/>
                <w:b w:val="1"/>
                <w:bCs w:val="1"/>
                <w:color w:val="auto"/>
              </w:rPr>
              <w:t>Title of each class</w:t>
            </w:r>
          </w:p>
        </w:tc>
        <w:tc>
          <w:tcPr>
            <w:tcW w:w="120" w:type="dxa"/>
            <w:vAlign w:val="bottom"/>
          </w:tcPr>
          <w:p>
            <w:pPr>
              <w:spacing w:after="0"/>
              <w:rPr>
                <w:sz w:val="23"/>
                <w:szCs w:val="23"/>
                <w:color w:val="auto"/>
              </w:rPr>
            </w:pPr>
          </w:p>
        </w:tc>
        <w:tc>
          <w:tcPr>
            <w:tcW w:w="2820" w:type="dxa"/>
            <w:vAlign w:val="bottom"/>
            <w:gridSpan w:val="3"/>
          </w:tcPr>
          <w:p>
            <w:pPr>
              <w:jc w:val="center"/>
              <w:ind w:right="1120"/>
              <w:spacing w:after="0"/>
              <w:rPr>
                <w:sz w:val="20"/>
                <w:szCs w:val="20"/>
                <w:color w:val="auto"/>
              </w:rPr>
            </w:pPr>
            <w:r>
              <w:rPr>
                <w:rFonts w:ascii="Arial" w:cs="Arial" w:eastAsia="Arial" w:hAnsi="Arial"/>
                <w:sz w:val="13"/>
                <w:szCs w:val="13"/>
                <w:b w:val="1"/>
                <w:bCs w:val="1"/>
                <w:color w:val="auto"/>
              </w:rPr>
              <w:t>Trading</w:t>
            </w:r>
          </w:p>
        </w:tc>
        <w:tc>
          <w:tcPr>
            <w:tcW w:w="4020" w:type="dxa"/>
            <w:vAlign w:val="bottom"/>
            <w:vMerge w:val="restart"/>
          </w:tcPr>
          <w:p>
            <w:pPr>
              <w:jc w:val="center"/>
              <w:ind w:right="953"/>
              <w:spacing w:after="0"/>
              <w:rPr>
                <w:sz w:val="20"/>
                <w:szCs w:val="20"/>
                <w:color w:val="auto"/>
              </w:rPr>
            </w:pPr>
            <w:r>
              <w:rPr>
                <w:rFonts w:ascii="Arial" w:cs="Arial" w:eastAsia="Arial" w:hAnsi="Arial"/>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3"/>
          </w:tcPr>
          <w:p>
            <w:pPr>
              <w:jc w:val="center"/>
              <w:ind w:right="1120"/>
              <w:spacing w:after="0"/>
              <w:rPr>
                <w:sz w:val="20"/>
                <w:szCs w:val="20"/>
                <w:color w:val="auto"/>
              </w:rPr>
            </w:pPr>
            <w:r>
              <w:rPr>
                <w:rFonts w:ascii="Arial" w:cs="Arial" w:eastAsia="Arial" w:hAnsi="Arial"/>
                <w:sz w:val="13"/>
                <w:szCs w:val="13"/>
                <w:b w:val="1"/>
                <w:bCs w:val="1"/>
                <w:color w:val="auto"/>
              </w:rPr>
              <w:t>Symbol(s)</w:t>
            </w:r>
          </w:p>
        </w:tc>
        <w:tc>
          <w:tcPr>
            <w:tcW w:w="4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Common Stock, par value $0.00001 per share</w:t>
            </w:r>
          </w:p>
        </w:tc>
        <w:tc>
          <w:tcPr>
            <w:tcW w:w="120" w:type="dxa"/>
            <w:vAlign w:val="bottom"/>
          </w:tcPr>
          <w:p>
            <w:pPr>
              <w:spacing w:after="0"/>
              <w:rPr>
                <w:sz w:val="14"/>
                <w:szCs w:val="14"/>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AURA</w:t>
            </w: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020" w:type="dxa"/>
            <w:vAlign w:val="bottom"/>
            <w:tcBorders>
              <w:top w:val="single" w:sz="8" w:color="auto"/>
            </w:tcBorders>
          </w:tcPr>
          <w:p>
            <w:pPr>
              <w:jc w:val="center"/>
              <w:ind w:right="973"/>
              <w:spacing w:after="0"/>
              <w:rPr>
                <w:sz w:val="20"/>
                <w:szCs w:val="20"/>
                <w:color w:val="auto"/>
              </w:rPr>
            </w:pPr>
            <w:r>
              <w:rPr>
                <w:rFonts w:ascii="Arial" w:cs="Arial" w:eastAsia="Arial" w:hAnsi="Arial"/>
                <w:sz w:val="13"/>
                <w:szCs w:val="13"/>
                <w:color w:val="auto"/>
              </w:rPr>
              <w:t>Nasdaq Global Market LLC</w:t>
            </w:r>
          </w:p>
        </w:tc>
        <w:tc>
          <w:tcPr>
            <w:tcW w:w="0" w:type="dxa"/>
            <w:vAlign w:val="bottom"/>
          </w:tcPr>
          <w:p>
            <w:pPr>
              <w:spacing w:after="0"/>
              <w:rPr>
                <w:sz w:val="1"/>
                <w:szCs w:val="1"/>
                <w:color w:val="auto"/>
              </w:rPr>
            </w:pPr>
          </w:p>
        </w:tc>
      </w:tr>
      <w:tr>
        <w:trPr>
          <w:trHeight w:val="160"/>
        </w:trPr>
        <w:tc>
          <w:tcPr>
            <w:tcW w:w="4280" w:type="dxa"/>
            <w:vAlign w:val="bottom"/>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240" w:type="dxa"/>
            <w:vAlign w:val="bottom"/>
            <w:gridSpan w:val="6"/>
          </w:tcPr>
          <w:p>
            <w:pPr>
              <w:spacing w:after="0" w:line="17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r>
        <w:trPr>
          <w:trHeight w:val="227"/>
        </w:trPr>
        <w:tc>
          <w:tcPr>
            <w:tcW w:w="7220" w:type="dxa"/>
            <w:vAlign w:val="bottom"/>
            <w:gridSpan w:val="5"/>
          </w:tcPr>
          <w:p>
            <w:pPr>
              <w:spacing w:after="0" w:line="175"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15(d) of the Act. YES </w:t>
            </w:r>
            <w:r>
              <w:rPr>
                <w:rFonts w:ascii="Arial Unicode MS" w:cs="Arial Unicode MS" w:eastAsia="Arial Unicode MS" w:hAnsi="Arial Unicode MS"/>
                <w:sz w:val="13"/>
                <w:szCs w:val="13"/>
                <w:color w:val="auto"/>
              </w:rPr>
              <w:t>☐</w:t>
            </w:r>
          </w:p>
        </w:tc>
        <w:tc>
          <w:tcPr>
            <w:tcW w:w="4020" w:type="dxa"/>
            <w:vAlign w:val="bottom"/>
          </w:tcPr>
          <w:p>
            <w:pPr>
              <w:ind w:left="100"/>
              <w:spacing w:after="0" w:line="175" w:lineRule="exact"/>
              <w:rPr>
                <w:sz w:val="20"/>
                <w:szCs w:val="20"/>
                <w:color w:val="auto"/>
              </w:rPr>
            </w:pP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bl>
    <w:p>
      <w:pPr>
        <w:jc w:val="both"/>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jc w:val="both"/>
        <w:spacing w:after="0" w:line="16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jc w:val="both"/>
        <w:spacing w:after="0" w:line="26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7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720" w:type="dxa"/>
            <w:vAlign w:val="bottom"/>
          </w:tcPr>
          <w:p>
            <w:pPr>
              <w:ind w:left="4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12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00" w:type="dxa"/>
            <w:vAlign w:val="bottom"/>
          </w:tcPr>
          <w:p>
            <w:pPr>
              <w:ind w:left="38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48"/>
        </w:trPr>
        <w:tc>
          <w:tcPr>
            <w:tcW w:w="1780" w:type="dxa"/>
            <w:vAlign w:val="bottom"/>
          </w:tcPr>
          <w:p>
            <w:pPr>
              <w:spacing w:after="0"/>
              <w:rPr>
                <w:sz w:val="20"/>
                <w:szCs w:val="20"/>
                <w:color w:val="auto"/>
              </w:rPr>
            </w:pPr>
            <w:r>
              <w:rPr>
                <w:rFonts w:ascii="Arial" w:cs="Arial" w:eastAsia="Arial" w:hAnsi="Arial"/>
                <w:sz w:val="13"/>
                <w:szCs w:val="13"/>
                <w:color w:val="auto"/>
              </w:rPr>
              <w:t>Non-accelerated filer</w:t>
            </w:r>
          </w:p>
        </w:tc>
        <w:tc>
          <w:tcPr>
            <w:tcW w:w="3720" w:type="dxa"/>
            <w:vAlign w:val="bottom"/>
          </w:tcPr>
          <w:p>
            <w:pPr>
              <w:ind w:left="460"/>
              <w:spacing w:after="0" w:line="149" w:lineRule="exact"/>
              <w:rPr>
                <w:sz w:val="20"/>
                <w:szCs w:val="20"/>
                <w:color w:val="auto"/>
              </w:rPr>
            </w:pPr>
            <w:r>
              <w:rPr>
                <w:rFonts w:ascii="Arial Unicode MS" w:cs="Arial Unicode MS" w:eastAsia="Arial Unicode MS" w:hAnsi="Arial Unicode MS"/>
                <w:sz w:val="13"/>
                <w:szCs w:val="13"/>
                <w:color w:val="auto"/>
              </w:rPr>
              <w:t>☒</w:t>
            </w:r>
          </w:p>
        </w:tc>
        <w:tc>
          <w:tcPr>
            <w:tcW w:w="512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00" w:type="dxa"/>
            <w:vAlign w:val="bottom"/>
          </w:tcPr>
          <w:p>
            <w:pPr>
              <w:ind w:left="380"/>
              <w:spacing w:after="0" w:line="149" w:lineRule="exact"/>
              <w:rPr>
                <w:sz w:val="20"/>
                <w:szCs w:val="20"/>
                <w:color w:val="auto"/>
              </w:rPr>
            </w:pPr>
            <w:r>
              <w:rPr>
                <w:rFonts w:ascii="Arial Unicode MS" w:cs="Arial Unicode MS" w:eastAsia="Arial Unicode MS" w:hAnsi="Arial Unicode MS"/>
                <w:sz w:val="13"/>
                <w:szCs w:val="13"/>
                <w:color w:val="auto"/>
              </w:rPr>
              <w:t>☒</w:t>
            </w:r>
          </w:p>
        </w:tc>
      </w:tr>
      <w:tr>
        <w:trPr>
          <w:trHeight w:val="227"/>
        </w:trPr>
        <w:tc>
          <w:tcPr>
            <w:tcW w:w="17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120" w:type="dxa"/>
            <w:vAlign w:val="bottom"/>
          </w:tcPr>
          <w:p>
            <w:pPr>
              <w:ind w:left="3140"/>
              <w:spacing w:after="0"/>
              <w:rPr>
                <w:sz w:val="20"/>
                <w:szCs w:val="20"/>
                <w:color w:val="auto"/>
              </w:rPr>
            </w:pPr>
            <w:r>
              <w:rPr>
                <w:rFonts w:ascii="Arial" w:cs="Arial" w:eastAsia="Arial" w:hAnsi="Arial"/>
                <w:sz w:val="13"/>
                <w:szCs w:val="13"/>
                <w:color w:val="auto"/>
              </w:rPr>
              <w:t>Emerging growth company</w:t>
            </w:r>
          </w:p>
        </w:tc>
        <w:tc>
          <w:tcPr>
            <w:tcW w:w="500" w:type="dxa"/>
            <w:vAlign w:val="bottom"/>
          </w:tcPr>
          <w:p>
            <w:pPr>
              <w:ind w:left="38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84" w:lineRule="exact"/>
        <w:rPr>
          <w:sz w:val="24"/>
          <w:szCs w:val="24"/>
          <w:color w:val="auto"/>
        </w:rPr>
      </w:pPr>
    </w:p>
    <w:p>
      <w:pPr>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7" w:lineRule="exact"/>
        <w:rPr>
          <w:sz w:val="24"/>
          <w:szCs w:val="24"/>
          <w:color w:val="auto"/>
        </w:rPr>
      </w:pPr>
    </w:p>
    <w:p>
      <w:pPr>
        <w:ind w:right="20"/>
        <w:spacing w:after="0" w:line="17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7" w:lineRule="exact"/>
        <w:rPr>
          <w:sz w:val="24"/>
          <w:szCs w:val="24"/>
          <w:color w:val="auto"/>
        </w:rPr>
      </w:pPr>
    </w:p>
    <w:p>
      <w:pPr>
        <w:spacing w:after="0" w:line="17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7" w:lineRule="exact"/>
        <w:rPr>
          <w:sz w:val="24"/>
          <w:szCs w:val="24"/>
          <w:color w:val="auto"/>
        </w:rPr>
      </w:pPr>
    </w:p>
    <w:p>
      <w:pPr>
        <w:spacing w:after="0" w:line="172"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Arial" w:cs="Arial" w:eastAsia="Arial" w:hAnsi="Arial"/>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spacing w:after="0" w:line="175" w:lineRule="exact"/>
        <w:tabs>
          <w:tab w:leader="none" w:pos="748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ab/>
        <w:t xml:space="preserve">NO </w:t>
      </w:r>
      <w:r>
        <w:rPr>
          <w:rFonts w:ascii="Arial Unicode MS" w:cs="Arial Unicode MS" w:eastAsia="Arial Unicode MS" w:hAnsi="Arial Unicode MS"/>
          <w:sz w:val="13"/>
          <w:szCs w:val="13"/>
          <w:color w:val="auto"/>
        </w:rPr>
        <w:t>☒</w:t>
      </w:r>
    </w:p>
    <w:p>
      <w:pPr>
        <w:spacing w:after="0" w:line="35" w:lineRule="exact"/>
        <w:rPr>
          <w:sz w:val="24"/>
          <w:szCs w:val="24"/>
          <w:color w:val="auto"/>
        </w:rPr>
      </w:pPr>
    </w:p>
    <w:p>
      <w:pPr>
        <w:spacing w:after="0" w:line="281" w:lineRule="auto"/>
        <w:rPr>
          <w:sz w:val="20"/>
          <w:szCs w:val="20"/>
          <w:color w:val="auto"/>
        </w:rPr>
      </w:pPr>
      <w:r>
        <w:rPr>
          <w:rFonts w:ascii="Arial" w:cs="Arial" w:eastAsia="Arial" w:hAnsi="Arial"/>
          <w:sz w:val="13"/>
          <w:szCs w:val="13"/>
          <w:color w:val="auto"/>
        </w:rPr>
        <w:t>As of June 30, 2025 (the last business day of the Registrant’s most recently completed second fiscal quarter), the Registrant's aggregate market value of its voting common equity held by non-affiliates was $321.0 million based on the closing sale price of $6.26 per share as reported on the Nasdaq Global Market on that date.</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March 24, 2026 was 64,150,468.</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55" w:lineRule="exact"/>
        <w:rPr>
          <w:sz w:val="24"/>
          <w:szCs w:val="24"/>
          <w:color w:val="auto"/>
        </w:rPr>
      </w:pPr>
    </w:p>
    <w:p>
      <w:pPr>
        <w:spacing w:after="0" w:line="281" w:lineRule="auto"/>
        <w:rPr>
          <w:sz w:val="20"/>
          <w:szCs w:val="20"/>
          <w:color w:val="auto"/>
        </w:rPr>
      </w:pPr>
      <w:r>
        <w:rPr>
          <w:rFonts w:ascii="Arial" w:cs="Arial" w:eastAsia="Arial" w:hAnsi="Arial"/>
          <w:sz w:val="13"/>
          <w:szCs w:val="13"/>
          <w:color w:val="auto"/>
        </w:rPr>
        <w:t>Portions of the Registrant’s proxy statement for the 2026 annual meeting of stockholders to be filed pursuant to Regulation 14A within 120 days after the registrant’s fiscal year ended December 31, 2025,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0" w:type="dxa"/>
            <w:vAlign w:val="bottom"/>
            <w:gridSpan w:val="11"/>
          </w:tcPr>
          <w:p>
            <w:pPr>
              <w:ind w:left="4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1240" w:type="dxa"/>
            <w:vAlign w:val="bottom"/>
            <w:gridSpan w:val="5"/>
            <w:vMerge w:val="restart"/>
          </w:tcPr>
          <w:p>
            <w:pPr>
              <w:spacing w:after="0"/>
              <w:rPr>
                <w:sz w:val="20"/>
                <w:szCs w:val="20"/>
                <w:color w:val="auto"/>
              </w:rPr>
            </w:pPr>
            <w:r>
              <w:rPr>
                <w:rFonts w:ascii="Arial" w:cs="Arial" w:eastAsia="Arial" w:hAnsi="Arial"/>
                <w:sz w:val="18"/>
                <w:szCs w:val="18"/>
                <w:b w:val="1"/>
                <w:bCs w:val="1"/>
                <w:color w:val="0000FF"/>
              </w:rPr>
              <w:t>PART I</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240" w:type="dxa"/>
            <w:vAlign w:val="bottom"/>
            <w:gridSpan w:val="5"/>
            <w:vMerge w:val="continue"/>
          </w:tcPr>
          <w:p>
            <w:pPr>
              <w:spacing w:after="0"/>
              <w:rPr>
                <w:sz w:val="14"/>
                <w:szCs w:val="14"/>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5"/>
              </w:rPr>
              <w:t>Business</w:t>
            </w:r>
          </w:p>
        </w:tc>
        <w:tc>
          <w:tcPr>
            <w:tcW w:w="8480" w:type="dxa"/>
            <w:vAlign w:val="bottom"/>
            <w:gridSpan w:val="24"/>
            <w:vMerge w:val="restart"/>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8"/>
        </w:trPr>
        <w:tc>
          <w:tcPr>
            <w:tcW w:w="600" w:type="dxa"/>
            <w:vAlign w:val="bottom"/>
            <w:tcBorders>
              <w:top w:val="single" w:sz="8" w:color="0000FF"/>
            </w:tcBorders>
          </w:tcPr>
          <w:p>
            <w:pPr>
              <w:ind w:left="20"/>
              <w:spacing w:after="0" w:line="182" w:lineRule="exact"/>
              <w:rPr>
                <w:sz w:val="20"/>
                <w:szCs w:val="20"/>
                <w:color w:val="auto"/>
              </w:rPr>
            </w:pPr>
            <w:r>
              <w:rPr>
                <w:rFonts w:ascii="Arial" w:cs="Arial" w:eastAsia="Arial" w:hAnsi="Arial"/>
                <w:sz w:val="18"/>
                <w:szCs w:val="18"/>
                <w:color w:val="auto"/>
              </w:rPr>
              <w:t>Item 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Borders>
              <w:bottom w:val="single" w:sz="8" w:color="0000FF"/>
            </w:tcBorders>
            <w:gridSpan w:val="2"/>
            <w:vMerge w:val="continue"/>
          </w:tcPr>
          <w:p>
            <w:pPr>
              <w:spacing w:after="0"/>
              <w:rPr>
                <w:sz w:val="15"/>
                <w:szCs w:val="15"/>
                <w:color w:val="auto"/>
              </w:rPr>
            </w:pPr>
          </w:p>
        </w:tc>
        <w:tc>
          <w:tcPr>
            <w:tcW w:w="8480" w:type="dxa"/>
            <w:vAlign w:val="bottom"/>
            <w:gridSpan w:val="2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Item 1A.</w:t>
            </w:r>
          </w:p>
        </w:tc>
        <w:tc>
          <w:tcPr>
            <w:tcW w:w="9220" w:type="dxa"/>
            <w:vAlign w:val="bottom"/>
            <w:gridSpan w:val="26"/>
          </w:tcPr>
          <w:p>
            <w:pPr>
              <w:ind w:left="20"/>
              <w:spacing w:after="0" w:line="182"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124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Item 1B.</w:t>
            </w:r>
          </w:p>
        </w:tc>
        <w:tc>
          <w:tcPr>
            <w:tcW w:w="1000" w:type="dxa"/>
            <w:vAlign w:val="bottom"/>
            <w:tcBorders>
              <w:top w:val="single" w:sz="8" w:color="0000FF"/>
            </w:tcBorders>
            <w:gridSpan w:val="5"/>
          </w:tcPr>
          <w:p>
            <w:pPr>
              <w:ind w:left="20"/>
              <w:spacing w:after="0" w:line="182" w:lineRule="exact"/>
              <w:rPr>
                <w:sz w:val="20"/>
                <w:szCs w:val="20"/>
                <w:color w:val="auto"/>
              </w:rPr>
            </w:pPr>
            <w:r>
              <w:rPr>
                <w:rFonts w:ascii="Arial" w:cs="Arial" w:eastAsia="Arial" w:hAnsi="Arial"/>
                <w:sz w:val="18"/>
                <w:szCs w:val="18"/>
                <w:color w:val="0000FF"/>
              </w:rPr>
              <w:t>Unresolved</w:t>
            </w:r>
          </w:p>
        </w:tc>
        <w:tc>
          <w:tcPr>
            <w:tcW w:w="20" w:type="dxa"/>
            <w:vAlign w:val="bottom"/>
            <w:tcBorders>
              <w:top w:val="single" w:sz="8" w:color="0000EE"/>
            </w:tcBorders>
          </w:tcPr>
          <w:p>
            <w:pPr>
              <w:spacing w:after="0"/>
              <w:rPr>
                <w:sz w:val="15"/>
                <w:szCs w:val="15"/>
                <w:color w:val="auto"/>
              </w:rPr>
            </w:pPr>
          </w:p>
        </w:tc>
        <w:tc>
          <w:tcPr>
            <w:tcW w:w="8200" w:type="dxa"/>
            <w:vAlign w:val="bottom"/>
            <w:gridSpan w:val="20"/>
          </w:tcPr>
          <w:p>
            <w:pPr>
              <w:spacing w:after="0" w:line="182" w:lineRule="exact"/>
              <w:rPr>
                <w:sz w:val="20"/>
                <w:szCs w:val="20"/>
                <w:color w:val="auto"/>
              </w:rPr>
            </w:pPr>
            <w:r>
              <w:rPr>
                <w:rFonts w:ascii="Arial" w:cs="Arial" w:eastAsia="Arial" w:hAnsi="Arial"/>
                <w:sz w:val="18"/>
                <w:szCs w:val="18"/>
                <w:color w:val="0000FF"/>
              </w:rPr>
              <w:t>Staff Comments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83"/>
        </w:trPr>
        <w:tc>
          <w:tcPr>
            <w:tcW w:w="124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Item 1C.</w:t>
            </w:r>
          </w:p>
        </w:tc>
        <w:tc>
          <w:tcPr>
            <w:tcW w:w="2260" w:type="dxa"/>
            <w:vAlign w:val="bottom"/>
            <w:tcBorders>
              <w:top w:val="single" w:sz="8" w:color="0000FF"/>
            </w:tcBorders>
            <w:gridSpan w:val="13"/>
          </w:tcPr>
          <w:p>
            <w:pPr>
              <w:ind w:left="20"/>
              <w:spacing w:after="0" w:line="182" w:lineRule="exact"/>
              <w:rPr>
                <w:sz w:val="20"/>
                <w:szCs w:val="20"/>
                <w:color w:val="auto"/>
              </w:rPr>
            </w:pPr>
            <w:r>
              <w:rPr>
                <w:rFonts w:ascii="Arial" w:cs="Arial" w:eastAsia="Arial" w:hAnsi="Arial"/>
                <w:sz w:val="18"/>
                <w:szCs w:val="18"/>
                <w:color w:val="0000FF"/>
              </w:rPr>
              <w:t>Cybersecurity</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83"/>
        </w:trPr>
        <w:tc>
          <w:tcPr>
            <w:tcW w:w="124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Item 2.</w:t>
            </w:r>
          </w:p>
        </w:tc>
        <w:tc>
          <w:tcPr>
            <w:tcW w:w="1100" w:type="dxa"/>
            <w:vAlign w:val="bottom"/>
            <w:tcBorders>
              <w:top w:val="single" w:sz="8" w:color="0000FF"/>
            </w:tcBorders>
            <w:gridSpan w:val="7"/>
          </w:tcPr>
          <w:p>
            <w:pPr>
              <w:ind w:left="20"/>
              <w:spacing w:after="0" w:line="182" w:lineRule="exact"/>
              <w:rPr>
                <w:sz w:val="20"/>
                <w:szCs w:val="20"/>
                <w:color w:val="auto"/>
              </w:rPr>
            </w:pPr>
            <w:r>
              <w:rPr>
                <w:rFonts w:ascii="Arial" w:cs="Arial" w:eastAsia="Arial" w:hAnsi="Arial"/>
                <w:sz w:val="18"/>
                <w:szCs w:val="18"/>
                <w:color w:val="0000FF"/>
              </w:rPr>
              <w:t>Properties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1240" w:type="dxa"/>
            <w:vAlign w:val="bottom"/>
            <w:gridSpan w:val="5"/>
            <w:vMerge w:val="restart"/>
          </w:tcPr>
          <w:p>
            <w:pPr>
              <w:ind w:left="20"/>
              <w:spacing w:after="0" w:line="202" w:lineRule="exact"/>
              <w:rPr>
                <w:sz w:val="20"/>
                <w:szCs w:val="20"/>
                <w:color w:val="auto"/>
              </w:rPr>
            </w:pPr>
            <w:r>
              <w:rPr>
                <w:rFonts w:ascii="Arial" w:cs="Arial" w:eastAsia="Arial" w:hAnsi="Arial"/>
                <w:sz w:val="18"/>
                <w:szCs w:val="18"/>
                <w:color w:val="auto"/>
              </w:rPr>
              <w:t>Item 3.</w:t>
            </w:r>
          </w:p>
        </w:tc>
        <w:tc>
          <w:tcPr>
            <w:tcW w:w="6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line="20" w:lineRule="exact"/>
              <w:rPr>
                <w:sz w:val="1"/>
                <w:szCs w:val="1"/>
                <w:color w:val="auto"/>
              </w:rPr>
            </w:pPr>
          </w:p>
        </w:tc>
      </w:tr>
      <w:tr>
        <w:trPr>
          <w:trHeight w:val="183"/>
        </w:trPr>
        <w:tc>
          <w:tcPr>
            <w:tcW w:w="1240" w:type="dxa"/>
            <w:vAlign w:val="bottom"/>
            <w:gridSpan w:val="5"/>
            <w:vMerge w:val="continue"/>
          </w:tcPr>
          <w:p>
            <w:pPr>
              <w:spacing w:after="0"/>
              <w:rPr>
                <w:sz w:val="15"/>
                <w:szCs w:val="15"/>
                <w:color w:val="auto"/>
              </w:rPr>
            </w:pPr>
          </w:p>
        </w:tc>
        <w:tc>
          <w:tcPr>
            <w:tcW w:w="9220" w:type="dxa"/>
            <w:vAlign w:val="bottom"/>
            <w:gridSpan w:val="26"/>
          </w:tcPr>
          <w:p>
            <w:pPr>
              <w:ind w:left="20"/>
              <w:spacing w:after="0" w:line="182" w:lineRule="exact"/>
              <w:rPr>
                <w:sz w:val="20"/>
                <w:szCs w:val="20"/>
                <w:color w:val="auto"/>
              </w:rPr>
            </w:pPr>
            <w:r>
              <w:rPr>
                <w:rFonts w:ascii="Arial" w:cs="Arial" w:eastAsia="Arial" w:hAnsi="Arial"/>
                <w:sz w:val="18"/>
                <w:szCs w:val="18"/>
                <w:color w:val="0000FF"/>
              </w:rPr>
              <w:t>Legal Proceedings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gridSpan w:val="5"/>
            <w:vMerge w:val="restart"/>
          </w:tcPr>
          <w:p>
            <w:pPr>
              <w:ind w:left="20"/>
              <w:spacing w:after="0" w:line="202" w:lineRule="exact"/>
              <w:rPr>
                <w:sz w:val="20"/>
                <w:szCs w:val="20"/>
                <w:color w:val="auto"/>
              </w:rPr>
            </w:pPr>
            <w:r>
              <w:rPr>
                <w:rFonts w:ascii="Arial" w:cs="Arial" w:eastAsia="Arial" w:hAnsi="Arial"/>
                <w:sz w:val="18"/>
                <w:szCs w:val="18"/>
                <w:color w:val="auto"/>
              </w:rPr>
              <w:t>Item 4.</w:t>
            </w:r>
          </w:p>
        </w:tc>
        <w:tc>
          <w:tcPr>
            <w:tcW w:w="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line="20" w:lineRule="exact"/>
              <w:rPr>
                <w:sz w:val="1"/>
                <w:szCs w:val="1"/>
                <w:color w:val="auto"/>
              </w:rPr>
            </w:pPr>
          </w:p>
        </w:tc>
      </w:tr>
      <w:tr>
        <w:trPr>
          <w:trHeight w:val="183"/>
        </w:trPr>
        <w:tc>
          <w:tcPr>
            <w:tcW w:w="1240" w:type="dxa"/>
            <w:vAlign w:val="bottom"/>
            <w:gridSpan w:val="5"/>
            <w:vMerge w:val="continue"/>
          </w:tcPr>
          <w:p>
            <w:pPr>
              <w:spacing w:after="0"/>
              <w:rPr>
                <w:sz w:val="15"/>
                <w:szCs w:val="15"/>
                <w:color w:val="auto"/>
              </w:rPr>
            </w:pPr>
          </w:p>
        </w:tc>
        <w:tc>
          <w:tcPr>
            <w:tcW w:w="1940" w:type="dxa"/>
            <w:vAlign w:val="bottom"/>
            <w:tcBorders>
              <w:bottom w:val="single" w:sz="8" w:color="0000FF"/>
            </w:tcBorders>
            <w:gridSpan w:val="11"/>
          </w:tcPr>
          <w:p>
            <w:pPr>
              <w:ind w:left="20"/>
              <w:spacing w:after="0" w:line="182" w:lineRule="exact"/>
              <w:rPr>
                <w:sz w:val="20"/>
                <w:szCs w:val="20"/>
                <w:color w:val="auto"/>
              </w:rPr>
            </w:pPr>
            <w:r>
              <w:rPr>
                <w:rFonts w:ascii="Arial" w:cs="Arial" w:eastAsia="Arial" w:hAnsi="Arial"/>
                <w:sz w:val="18"/>
                <w:szCs w:val="18"/>
                <w:color w:val="0000FF"/>
                <w:w w:val="98"/>
              </w:rPr>
              <w:t>Mine Safety Disclosures</w:t>
            </w:r>
          </w:p>
        </w:tc>
        <w:tc>
          <w:tcPr>
            <w:tcW w:w="7280" w:type="dxa"/>
            <w:vAlign w:val="bottom"/>
            <w:gridSpan w:val="15"/>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4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9220" w:type="dxa"/>
            <w:vAlign w:val="bottom"/>
            <w:gridSpan w:val="26"/>
            <w:vMerge w:val="restart"/>
          </w:tcPr>
          <w:p>
            <w:pPr>
              <w:ind w:left="20"/>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3"/>
        </w:trPr>
        <w:tc>
          <w:tcPr>
            <w:tcW w:w="640" w:type="dxa"/>
            <w:vAlign w:val="bottom"/>
            <w:tcBorders>
              <w:top w:val="single" w:sz="8" w:color="0000FF"/>
            </w:tcBorders>
            <w:gridSpan w:val="2"/>
          </w:tcPr>
          <w:p>
            <w:pPr>
              <w:ind w:left="20"/>
              <w:spacing w:after="0" w:line="182" w:lineRule="exact"/>
              <w:rPr>
                <w:sz w:val="20"/>
                <w:szCs w:val="20"/>
                <w:color w:val="auto"/>
              </w:rPr>
            </w:pPr>
            <w:r>
              <w:rPr>
                <w:rFonts w:ascii="Arial" w:cs="Arial" w:eastAsia="Arial" w:hAnsi="Arial"/>
                <w:sz w:val="18"/>
                <w:szCs w:val="18"/>
                <w:color w:val="auto"/>
              </w:rPr>
              <w:t>Item 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20" w:type="dxa"/>
            <w:vAlign w:val="bottom"/>
            <w:gridSpan w:val="2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Item 6.</w:t>
            </w:r>
          </w:p>
        </w:tc>
        <w:tc>
          <w:tcPr>
            <w:tcW w:w="8900" w:type="dxa"/>
            <w:vAlign w:val="bottom"/>
            <w:tcBorders>
              <w:top w:val="single" w:sz="8" w:color="0000FF"/>
            </w:tcBorders>
            <w:gridSpan w:val="25"/>
          </w:tcPr>
          <w:p>
            <w:pPr>
              <w:ind w:left="20"/>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Reserved]</w:t>
            </w:r>
          </w:p>
        </w:tc>
        <w:tc>
          <w:tcPr>
            <w:tcW w:w="3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1240" w:type="dxa"/>
            <w:vAlign w:val="bottom"/>
            <w:gridSpan w:val="5"/>
            <w:vMerge w:val="restart"/>
          </w:tcPr>
          <w:p>
            <w:pPr>
              <w:ind w:left="20"/>
              <w:spacing w:after="0" w:line="202" w:lineRule="exact"/>
              <w:rPr>
                <w:sz w:val="20"/>
                <w:szCs w:val="20"/>
                <w:color w:val="auto"/>
              </w:rPr>
            </w:pPr>
            <w:r>
              <w:rPr>
                <w:rFonts w:ascii="Arial" w:cs="Arial" w:eastAsia="Arial" w:hAnsi="Arial"/>
                <w:sz w:val="18"/>
                <w:szCs w:val="18"/>
                <w:color w:val="auto"/>
              </w:rPr>
              <w:t>Item 7.</w:t>
            </w:r>
          </w:p>
        </w:tc>
        <w:tc>
          <w:tcPr>
            <w:tcW w:w="60" w:type="dxa"/>
            <w:vAlign w:val="bottom"/>
            <w:vMerge w:val="restart"/>
          </w:tcPr>
          <w:p>
            <w:pPr>
              <w:spacing w:after="0" w:line="20" w:lineRule="exact"/>
              <w:rPr>
                <w:sz w:val="1"/>
                <w:szCs w:val="1"/>
                <w:color w:val="auto"/>
              </w:rPr>
            </w:pPr>
          </w:p>
        </w:tc>
        <w:tc>
          <w:tcPr>
            <w:tcW w:w="82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line="20" w:lineRule="exact"/>
              <w:rPr>
                <w:sz w:val="1"/>
                <w:szCs w:val="1"/>
                <w:color w:val="auto"/>
              </w:rPr>
            </w:pPr>
          </w:p>
        </w:tc>
      </w:tr>
      <w:tr>
        <w:trPr>
          <w:trHeight w:val="183"/>
        </w:trPr>
        <w:tc>
          <w:tcPr>
            <w:tcW w:w="1240" w:type="dxa"/>
            <w:vAlign w:val="bottom"/>
            <w:gridSpan w:val="5"/>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9160" w:type="dxa"/>
            <w:vAlign w:val="bottom"/>
            <w:gridSpan w:val="25"/>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Item 7A.</w:t>
            </w:r>
          </w:p>
        </w:tc>
        <w:tc>
          <w:tcPr>
            <w:tcW w:w="7100" w:type="dxa"/>
            <w:vAlign w:val="bottom"/>
            <w:tcBorders>
              <w:top w:val="single" w:sz="8" w:color="0000FF"/>
            </w:tcBorders>
            <w:gridSpan w:val="22"/>
          </w:tcPr>
          <w:p>
            <w:pPr>
              <w:ind w:left="20"/>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3"/>
        </w:trPr>
        <w:tc>
          <w:tcPr>
            <w:tcW w:w="124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Item 8.</w:t>
            </w:r>
          </w:p>
        </w:tc>
        <w:tc>
          <w:tcPr>
            <w:tcW w:w="3740" w:type="dxa"/>
            <w:vAlign w:val="bottom"/>
            <w:tcBorders>
              <w:top w:val="single" w:sz="8" w:color="0000FF"/>
              <w:bottom w:val="single" w:sz="8" w:color="0000FF"/>
            </w:tcBorders>
            <w:gridSpan w:val="16"/>
          </w:tcPr>
          <w:p>
            <w:pPr>
              <w:ind w:left="20"/>
              <w:spacing w:after="0" w:line="182" w:lineRule="exact"/>
              <w:rPr>
                <w:sz w:val="20"/>
                <w:szCs w:val="20"/>
                <w:color w:val="auto"/>
              </w:rPr>
            </w:pPr>
            <w:r>
              <w:rPr>
                <w:rFonts w:ascii="Arial" w:cs="Arial" w:eastAsia="Arial" w:hAnsi="Arial"/>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5"/>
                <w:szCs w:val="15"/>
                <w:color w:val="auto"/>
              </w:rPr>
            </w:pPr>
          </w:p>
        </w:tc>
        <w:tc>
          <w:tcPr>
            <w:tcW w:w="960" w:type="dxa"/>
            <w:vAlign w:val="bottom"/>
            <w:tcBorders>
              <w:top w:val="single" w:sz="8" w:color="0000FF"/>
            </w:tcBorders>
            <w:gridSpan w:val="2"/>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3"/>
        </w:trPr>
        <w:tc>
          <w:tcPr>
            <w:tcW w:w="124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Item 9.</w:t>
            </w:r>
          </w:p>
        </w:tc>
        <w:tc>
          <w:tcPr>
            <w:tcW w:w="3760" w:type="dxa"/>
            <w:vAlign w:val="bottom"/>
            <w:gridSpan w:val="17"/>
          </w:tcPr>
          <w:p>
            <w:pPr>
              <w:ind w:left="20"/>
              <w:spacing w:after="0" w:line="182" w:lineRule="exact"/>
              <w:rPr>
                <w:sz w:val="20"/>
                <w:szCs w:val="20"/>
                <w:color w:val="auto"/>
              </w:rPr>
            </w:pPr>
            <w:r>
              <w:rPr>
                <w:rFonts w:ascii="Arial" w:cs="Arial" w:eastAsia="Arial" w:hAnsi="Arial"/>
                <w:sz w:val="18"/>
                <w:szCs w:val="18"/>
                <w:color w:val="0000FF"/>
                <w:w w:val="94"/>
              </w:rPr>
              <w:t>Changes in and Disagreements with Accountants</w:t>
            </w:r>
          </w:p>
        </w:tc>
        <w:tc>
          <w:tcPr>
            <w:tcW w:w="5460" w:type="dxa"/>
            <w:vAlign w:val="bottom"/>
            <w:gridSpan w:val="9"/>
          </w:tcPr>
          <w:p>
            <w:pPr>
              <w:ind w:left="240"/>
              <w:spacing w:after="0" w:line="182" w:lineRule="exact"/>
              <w:rPr>
                <w:sz w:val="20"/>
                <w:szCs w:val="20"/>
                <w:color w:val="auto"/>
              </w:rPr>
            </w:pPr>
            <w:r>
              <w:rPr>
                <w:rFonts w:ascii="Arial" w:cs="Arial" w:eastAsia="Arial" w:hAnsi="Arial"/>
                <w:sz w:val="18"/>
                <w:szCs w:val="18"/>
                <w:color w:val="0000FF"/>
              </w:rPr>
              <w:t>on Accounting and Financial Disclosure</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3"/>
        </w:trPr>
        <w:tc>
          <w:tcPr>
            <w:tcW w:w="124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Item 9A.</w:t>
            </w:r>
          </w:p>
        </w:tc>
        <w:tc>
          <w:tcPr>
            <w:tcW w:w="7140" w:type="dxa"/>
            <w:vAlign w:val="bottom"/>
            <w:tcBorders>
              <w:top w:val="single" w:sz="8" w:color="0000FF"/>
            </w:tcBorders>
            <w:gridSpan w:val="23"/>
          </w:tcPr>
          <w:p>
            <w:pPr>
              <w:ind w:left="20"/>
              <w:spacing w:after="0" w:line="182" w:lineRule="exact"/>
              <w:rPr>
                <w:sz w:val="20"/>
                <w:szCs w:val="20"/>
                <w:color w:val="auto"/>
              </w:rPr>
            </w:pPr>
            <w:r>
              <w:rPr>
                <w:rFonts w:ascii="Arial" w:cs="Arial" w:eastAsia="Arial" w:hAnsi="Arial"/>
                <w:sz w:val="18"/>
                <w:szCs w:val="18"/>
                <w:color w:val="0000FF"/>
              </w:rPr>
              <w:t>Controls and Procedures</w:t>
            </w:r>
          </w:p>
        </w:tc>
        <w:tc>
          <w:tcPr>
            <w:tcW w:w="88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3"/>
        </w:trPr>
        <w:tc>
          <w:tcPr>
            <w:tcW w:w="124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Item 9B.</w:t>
            </w:r>
          </w:p>
        </w:tc>
        <w:tc>
          <w:tcPr>
            <w:tcW w:w="2020" w:type="dxa"/>
            <w:vAlign w:val="bottom"/>
            <w:tcBorders>
              <w:top w:val="single" w:sz="8" w:color="0000FF"/>
            </w:tcBorders>
            <w:gridSpan w:val="12"/>
          </w:tcPr>
          <w:p>
            <w:pPr>
              <w:ind w:left="20"/>
              <w:spacing w:after="0" w:line="182" w:lineRule="exact"/>
              <w:rPr>
                <w:sz w:val="20"/>
                <w:szCs w:val="20"/>
                <w:color w:val="auto"/>
              </w:rPr>
            </w:pPr>
            <w:r>
              <w:rPr>
                <w:rFonts w:ascii="Arial" w:cs="Arial" w:eastAsia="Arial" w:hAnsi="Arial"/>
                <w:sz w:val="18"/>
                <w:szCs w:val="18"/>
                <w:color w:val="0000FF"/>
              </w:rPr>
              <w:t>Other Information</w:t>
            </w:r>
          </w:p>
        </w:tc>
        <w:tc>
          <w:tcPr>
            <w:tcW w:w="1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3"/>
          </w:tcPr>
          <w:p>
            <w:pPr>
              <w:spacing w:after="0"/>
              <w:rPr>
                <w:sz w:val="15"/>
                <w:szCs w:val="15"/>
                <w:color w:val="auto"/>
              </w:rPr>
            </w:pPr>
          </w:p>
        </w:tc>
        <w:tc>
          <w:tcPr>
            <w:tcW w:w="90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920" w:type="dxa"/>
            <w:vAlign w:val="bottom"/>
            <w:gridSpan w:val="3"/>
          </w:tcPr>
          <w:p>
            <w:pPr>
              <w:spacing w:after="0"/>
              <w:rPr>
                <w:sz w:val="15"/>
                <w:szCs w:val="15"/>
                <w:color w:val="auto"/>
              </w:rPr>
            </w:pPr>
          </w:p>
        </w:tc>
        <w:tc>
          <w:tcPr>
            <w:tcW w:w="12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1240" w:type="dxa"/>
            <w:vAlign w:val="bottom"/>
            <w:gridSpan w:val="5"/>
            <w:vMerge w:val="restart"/>
          </w:tcPr>
          <w:p>
            <w:pPr>
              <w:ind w:left="20"/>
              <w:spacing w:after="0" w:line="202" w:lineRule="exact"/>
              <w:rPr>
                <w:sz w:val="20"/>
                <w:szCs w:val="20"/>
                <w:color w:val="auto"/>
              </w:rPr>
            </w:pPr>
            <w:r>
              <w:rPr>
                <w:rFonts w:ascii="Arial" w:cs="Arial" w:eastAsia="Arial" w:hAnsi="Arial"/>
                <w:sz w:val="18"/>
                <w:szCs w:val="18"/>
                <w:color w:val="auto"/>
              </w:rPr>
              <w:t>Item 9C.</w:t>
            </w: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line="20" w:lineRule="exact"/>
              <w:rPr>
                <w:sz w:val="1"/>
                <w:szCs w:val="1"/>
                <w:color w:val="auto"/>
              </w:rPr>
            </w:pPr>
          </w:p>
        </w:tc>
      </w:tr>
      <w:tr>
        <w:trPr>
          <w:trHeight w:val="182"/>
        </w:trPr>
        <w:tc>
          <w:tcPr>
            <w:tcW w:w="1240" w:type="dxa"/>
            <w:vAlign w:val="bottom"/>
            <w:gridSpan w:val="5"/>
            <w:vMerge w:val="continue"/>
          </w:tcPr>
          <w:p>
            <w:pPr>
              <w:spacing w:after="0"/>
              <w:rPr>
                <w:sz w:val="15"/>
                <w:szCs w:val="15"/>
                <w:color w:val="auto"/>
              </w:rPr>
            </w:pPr>
          </w:p>
        </w:tc>
        <w:tc>
          <w:tcPr>
            <w:tcW w:w="5420" w:type="dxa"/>
            <w:vAlign w:val="bottom"/>
            <w:tcBorders>
              <w:bottom w:val="single" w:sz="8" w:color="0000FF"/>
            </w:tcBorders>
            <w:gridSpan w:val="20"/>
          </w:tcPr>
          <w:p>
            <w:pPr>
              <w:ind w:left="20"/>
              <w:spacing w:after="0" w:line="182" w:lineRule="exact"/>
              <w:rPr>
                <w:sz w:val="20"/>
                <w:szCs w:val="20"/>
                <w:color w:val="auto"/>
              </w:rPr>
            </w:pPr>
            <w:r>
              <w:rPr>
                <w:rFonts w:ascii="Arial" w:cs="Arial" w:eastAsia="Arial" w:hAnsi="Arial"/>
                <w:sz w:val="18"/>
                <w:szCs w:val="18"/>
                <w:color w:val="0000FF"/>
                <w:w w:val="99"/>
              </w:rPr>
              <w:t>Disclosure Regarding Foreign Jurisdictions that Prevent Inspections</w:t>
            </w:r>
          </w:p>
        </w:tc>
        <w:tc>
          <w:tcPr>
            <w:tcW w:w="3800" w:type="dxa"/>
            <w:vAlign w:val="bottom"/>
            <w:gridSpan w:val="6"/>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40" w:type="dxa"/>
            <w:vAlign w:val="bottom"/>
            <w:gridSpan w:val="5"/>
          </w:tcPr>
          <w:p>
            <w:pPr>
              <w:spacing w:after="0"/>
              <w:rPr>
                <w:sz w:val="20"/>
                <w:szCs w:val="20"/>
                <w:color w:val="auto"/>
              </w:rPr>
            </w:pPr>
            <w:r>
              <w:rPr>
                <w:rFonts w:ascii="Arial" w:cs="Arial" w:eastAsia="Arial" w:hAnsi="Arial"/>
                <w:sz w:val="18"/>
                <w:szCs w:val="18"/>
                <w:b w:val="1"/>
                <w:bCs w:val="1"/>
                <w:color w:val="0000FF"/>
              </w:rPr>
              <w:t>PART III</w:t>
            </w:r>
          </w:p>
        </w:tc>
        <w:tc>
          <w:tcPr>
            <w:tcW w:w="9220" w:type="dxa"/>
            <w:vAlign w:val="bottom"/>
            <w:gridSpan w:val="26"/>
            <w:vMerge w:val="restart"/>
          </w:tcPr>
          <w:p>
            <w:pPr>
              <w:ind w:left="20"/>
              <w:spacing w:after="0"/>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83"/>
        </w:trPr>
        <w:tc>
          <w:tcPr>
            <w:tcW w:w="700" w:type="dxa"/>
            <w:vAlign w:val="bottom"/>
            <w:tcBorders>
              <w:top w:val="single" w:sz="8" w:color="0000FF"/>
            </w:tcBorders>
            <w:gridSpan w:val="3"/>
          </w:tcPr>
          <w:p>
            <w:pPr>
              <w:ind w:left="20"/>
              <w:spacing w:after="0" w:line="182" w:lineRule="exact"/>
              <w:rPr>
                <w:sz w:val="20"/>
                <w:szCs w:val="20"/>
                <w:color w:val="auto"/>
              </w:rPr>
            </w:pPr>
            <w:r>
              <w:rPr>
                <w:rFonts w:ascii="Arial" w:cs="Arial" w:eastAsia="Arial" w:hAnsi="Arial"/>
                <w:sz w:val="18"/>
                <w:szCs w:val="18"/>
                <w:color w:val="auto"/>
              </w:rPr>
              <w:t>Item 10.</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20" w:type="dxa"/>
            <w:vAlign w:val="bottom"/>
            <w:gridSpan w:val="2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Item 11.</w:t>
            </w:r>
          </w:p>
        </w:tc>
        <w:tc>
          <w:tcPr>
            <w:tcW w:w="4520" w:type="dxa"/>
            <w:vAlign w:val="bottom"/>
            <w:tcBorders>
              <w:top w:val="single" w:sz="8" w:color="0000FF"/>
            </w:tcBorders>
            <w:gridSpan w:val="18"/>
          </w:tcPr>
          <w:p>
            <w:pPr>
              <w:ind w:left="20"/>
              <w:spacing w:after="0" w:line="182" w:lineRule="exact"/>
              <w:rPr>
                <w:sz w:val="20"/>
                <w:szCs w:val="20"/>
                <w:color w:val="auto"/>
              </w:rPr>
            </w:pPr>
            <w:r>
              <w:rPr>
                <w:rFonts w:ascii="Arial" w:cs="Arial" w:eastAsia="Arial" w:hAnsi="Arial"/>
                <w:sz w:val="18"/>
                <w:szCs w:val="18"/>
                <w:color w:val="0000FF"/>
              </w:rPr>
              <w:t>Executive Compensation</w:t>
            </w:r>
          </w:p>
        </w:tc>
        <w:tc>
          <w:tcPr>
            <w:tcW w:w="1580" w:type="dxa"/>
            <w:vAlign w:val="bottom"/>
            <w:gridSpan w:val="3"/>
          </w:tcPr>
          <w:p>
            <w:pPr>
              <w:spacing w:after="0"/>
              <w:rPr>
                <w:sz w:val="15"/>
                <w:szCs w:val="15"/>
                <w:color w:val="auto"/>
              </w:rPr>
            </w:pPr>
          </w:p>
        </w:tc>
        <w:tc>
          <w:tcPr>
            <w:tcW w:w="1920" w:type="dxa"/>
            <w:vAlign w:val="bottom"/>
            <w:gridSpan w:val="3"/>
          </w:tcPr>
          <w:p>
            <w:pPr>
              <w:spacing w:after="0"/>
              <w:rPr>
                <w:sz w:val="15"/>
                <w:szCs w:val="15"/>
                <w:color w:val="auto"/>
              </w:rPr>
            </w:pPr>
          </w:p>
        </w:tc>
        <w:tc>
          <w:tcPr>
            <w:tcW w:w="12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1240" w:type="dxa"/>
            <w:vAlign w:val="bottom"/>
            <w:gridSpan w:val="5"/>
            <w:vMerge w:val="restart"/>
          </w:tcPr>
          <w:p>
            <w:pPr>
              <w:ind w:left="20"/>
              <w:spacing w:after="0" w:line="202" w:lineRule="exact"/>
              <w:rPr>
                <w:sz w:val="20"/>
                <w:szCs w:val="20"/>
                <w:color w:val="auto"/>
              </w:rPr>
            </w:pPr>
            <w:r>
              <w:rPr>
                <w:rFonts w:ascii="Arial" w:cs="Arial" w:eastAsia="Arial" w:hAnsi="Arial"/>
                <w:sz w:val="18"/>
                <w:szCs w:val="18"/>
                <w:color w:val="auto"/>
              </w:rPr>
              <w:t>Item 12.</w:t>
            </w: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line="20" w:lineRule="exact"/>
              <w:rPr>
                <w:sz w:val="1"/>
                <w:szCs w:val="1"/>
                <w:color w:val="auto"/>
              </w:rPr>
            </w:pPr>
          </w:p>
        </w:tc>
      </w:tr>
      <w:tr>
        <w:trPr>
          <w:trHeight w:val="183"/>
        </w:trPr>
        <w:tc>
          <w:tcPr>
            <w:tcW w:w="1240" w:type="dxa"/>
            <w:vAlign w:val="bottom"/>
            <w:gridSpan w:val="5"/>
            <w:vMerge w:val="continue"/>
          </w:tcPr>
          <w:p>
            <w:pPr>
              <w:spacing w:after="0"/>
              <w:rPr>
                <w:sz w:val="15"/>
                <w:szCs w:val="15"/>
                <w:color w:val="auto"/>
              </w:rPr>
            </w:pPr>
          </w:p>
        </w:tc>
        <w:tc>
          <w:tcPr>
            <w:tcW w:w="9220" w:type="dxa"/>
            <w:vAlign w:val="bottom"/>
            <w:gridSpan w:val="26"/>
          </w:tcPr>
          <w:p>
            <w:pPr>
              <w:ind w:left="20"/>
              <w:spacing w:after="0" w:line="182"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Item 13.</w:t>
            </w:r>
          </w:p>
        </w:tc>
        <w:tc>
          <w:tcPr>
            <w:tcW w:w="8020" w:type="dxa"/>
            <w:vAlign w:val="bottom"/>
            <w:tcBorders>
              <w:top w:val="single" w:sz="8" w:color="0000FF"/>
            </w:tcBorders>
            <w:gridSpan w:val="24"/>
          </w:tcPr>
          <w:p>
            <w:pPr>
              <w:ind w:left="20"/>
              <w:spacing w:after="0" w:line="18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2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83"/>
        </w:trPr>
        <w:tc>
          <w:tcPr>
            <w:tcW w:w="124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Item 14.</w:t>
            </w:r>
          </w:p>
        </w:tc>
        <w:tc>
          <w:tcPr>
            <w:tcW w:w="6100" w:type="dxa"/>
            <w:vAlign w:val="bottom"/>
            <w:tcBorders>
              <w:top w:val="single" w:sz="8" w:color="0000FF"/>
            </w:tcBorders>
            <w:gridSpan w:val="21"/>
          </w:tcPr>
          <w:p>
            <w:pPr>
              <w:ind w:left="20"/>
              <w:spacing w:after="0" w:line="182" w:lineRule="exact"/>
              <w:rPr>
                <w:sz w:val="20"/>
                <w:szCs w:val="20"/>
                <w:color w:val="auto"/>
              </w:rPr>
            </w:pPr>
            <w:r>
              <w:rPr>
                <w:rFonts w:ascii="Arial" w:cs="Arial" w:eastAsia="Arial" w:hAnsi="Arial"/>
                <w:sz w:val="18"/>
                <w:szCs w:val="18"/>
                <w:color w:val="0000FF"/>
              </w:rPr>
              <w:t>Principal Accounting Fees and Services</w:t>
            </w:r>
          </w:p>
        </w:tc>
        <w:tc>
          <w:tcPr>
            <w:tcW w:w="312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1240" w:type="dxa"/>
            <w:vAlign w:val="bottom"/>
            <w:gridSpan w:val="5"/>
            <w:vMerge w:val="restart"/>
          </w:tcPr>
          <w:p>
            <w:pPr>
              <w:spacing w:after="0"/>
              <w:rPr>
                <w:sz w:val="20"/>
                <w:szCs w:val="20"/>
                <w:color w:val="auto"/>
              </w:rPr>
            </w:pPr>
            <w:r>
              <w:rPr>
                <w:rFonts w:ascii="Arial" w:cs="Arial" w:eastAsia="Arial" w:hAnsi="Arial"/>
                <w:sz w:val="18"/>
                <w:szCs w:val="18"/>
                <w:b w:val="1"/>
                <w:bCs w:val="1"/>
                <w:color w:val="0000FF"/>
              </w:rPr>
              <w:t>PART IV</w:t>
            </w: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40" w:type="dxa"/>
            <w:vAlign w:val="bottom"/>
            <w:gridSpan w:val="5"/>
            <w:vMerge w:val="continue"/>
          </w:tcPr>
          <w:p>
            <w:pPr>
              <w:spacing w:after="0"/>
              <w:rPr>
                <w:sz w:val="24"/>
                <w:szCs w:val="24"/>
                <w:color w:val="auto"/>
              </w:rPr>
            </w:pPr>
          </w:p>
        </w:tc>
        <w:tc>
          <w:tcPr>
            <w:tcW w:w="9220" w:type="dxa"/>
            <w:vAlign w:val="bottom"/>
            <w:gridSpan w:val="26"/>
            <w:vMerge w:val="restart"/>
          </w:tcPr>
          <w:p>
            <w:pPr>
              <w:ind w:left="20"/>
              <w:spacing w:after="0"/>
              <w:rPr>
                <w:sz w:val="20"/>
                <w:szCs w:val="20"/>
                <w:color w:val="auto"/>
              </w:rPr>
            </w:pPr>
            <w:r>
              <w:rPr>
                <w:rFonts w:ascii="Arial" w:cs="Arial" w:eastAsia="Arial" w:hAnsi="Arial"/>
                <w:sz w:val="18"/>
                <w:szCs w:val="18"/>
                <w:color w:val="0000FF"/>
              </w:rPr>
              <w:t>Exhibits, Financial Statement Schedules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83"/>
        </w:trPr>
        <w:tc>
          <w:tcPr>
            <w:tcW w:w="720" w:type="dxa"/>
            <w:vAlign w:val="bottom"/>
            <w:tcBorders>
              <w:top w:val="single" w:sz="8" w:color="0000FF"/>
            </w:tcBorders>
            <w:gridSpan w:val="4"/>
          </w:tcPr>
          <w:p>
            <w:pPr>
              <w:ind w:left="20"/>
              <w:spacing w:after="0" w:line="182" w:lineRule="exact"/>
              <w:rPr>
                <w:sz w:val="20"/>
                <w:szCs w:val="20"/>
                <w:color w:val="auto"/>
              </w:rPr>
            </w:pPr>
            <w:r>
              <w:rPr>
                <w:rFonts w:ascii="Arial" w:cs="Arial" w:eastAsia="Arial" w:hAnsi="Arial"/>
                <w:sz w:val="18"/>
                <w:szCs w:val="18"/>
                <w:color w:val="auto"/>
              </w:rPr>
              <w:t>Item 15.</w:t>
            </w:r>
          </w:p>
        </w:tc>
        <w:tc>
          <w:tcPr>
            <w:tcW w:w="520" w:type="dxa"/>
            <w:vAlign w:val="bottom"/>
          </w:tcPr>
          <w:p>
            <w:pPr>
              <w:spacing w:after="0"/>
              <w:rPr>
                <w:sz w:val="15"/>
                <w:szCs w:val="15"/>
                <w:color w:val="auto"/>
              </w:rPr>
            </w:pPr>
          </w:p>
        </w:tc>
        <w:tc>
          <w:tcPr>
            <w:tcW w:w="9220" w:type="dxa"/>
            <w:vAlign w:val="bottom"/>
            <w:gridSpan w:val="2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gridSpan w:val="5"/>
          </w:tcPr>
          <w:p>
            <w:pPr>
              <w:ind w:left="20"/>
              <w:spacing w:after="0" w:line="182" w:lineRule="exact"/>
              <w:rPr>
                <w:sz w:val="20"/>
                <w:szCs w:val="20"/>
                <w:color w:val="auto"/>
              </w:rPr>
            </w:pPr>
            <w:r>
              <w:rPr>
                <w:rFonts w:ascii="Arial" w:cs="Arial" w:eastAsia="Arial" w:hAnsi="Arial"/>
                <w:sz w:val="18"/>
                <w:szCs w:val="18"/>
                <w:color w:val="auto"/>
              </w:rPr>
              <w:t>Item 16.</w:t>
            </w:r>
          </w:p>
        </w:tc>
        <w:tc>
          <w:tcPr>
            <w:tcW w:w="3220" w:type="dxa"/>
            <w:vAlign w:val="bottom"/>
            <w:tcBorders>
              <w:top w:val="single" w:sz="8" w:color="0000FF"/>
            </w:tcBorders>
            <w:gridSpan w:val="15"/>
          </w:tcPr>
          <w:p>
            <w:pPr>
              <w:ind w:left="20"/>
              <w:spacing w:after="0" w:line="182" w:lineRule="exact"/>
              <w:rPr>
                <w:sz w:val="20"/>
                <w:szCs w:val="20"/>
                <w:color w:val="auto"/>
              </w:rPr>
            </w:pPr>
            <w:r>
              <w:rPr>
                <w:rFonts w:ascii="Arial" w:cs="Arial" w:eastAsia="Arial" w:hAnsi="Arial"/>
                <w:sz w:val="18"/>
                <w:szCs w:val="18"/>
                <w:color w:val="0000FF"/>
              </w:rPr>
              <w:t>Form 10-K Summary</w:t>
            </w:r>
          </w:p>
        </w:tc>
        <w:tc>
          <w:tcPr>
            <w:tcW w:w="600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tcBorders>
              <w:top w:val="single" w:sz="8" w:color="0000FF"/>
            </w:tcBorders>
            <w:gridSpan w:val="10"/>
          </w:tcPr>
          <w:p>
            <w:pPr>
              <w:ind w:left="20"/>
              <w:spacing w:after="0" w:line="182" w:lineRule="exact"/>
              <w:rPr>
                <w:sz w:val="20"/>
                <w:szCs w:val="20"/>
                <w:color w:val="auto"/>
              </w:rPr>
            </w:pPr>
            <w:r>
              <w:rPr>
                <w:rFonts w:ascii="Arial" w:cs="Arial" w:eastAsia="Arial" w:hAnsi="Arial"/>
                <w:sz w:val="18"/>
                <w:szCs w:val="18"/>
                <w:color w:val="0000FF"/>
              </w:rPr>
              <w:t>Signatures</w:t>
            </w:r>
          </w:p>
        </w:tc>
        <w:tc>
          <w:tcPr>
            <w:tcW w:w="7540" w:type="dxa"/>
            <w:vAlign w:val="bottom"/>
            <w:gridSpan w:val="16"/>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7"/>
        </w:trPr>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Form 10-K, or Annual Report, contains forward-looking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Annual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Annual Report include, but are not limited to, statements about:</w:t>
      </w:r>
    </w:p>
    <w:p>
      <w:pPr>
        <w:spacing w:after="0" w:line="9" w:lineRule="exact"/>
        <w:rPr>
          <w:sz w:val="20"/>
          <w:szCs w:val="20"/>
          <w:color w:val="auto"/>
        </w:rPr>
      </w:pPr>
    </w:p>
    <w:p>
      <w:pPr>
        <w:jc w:val="both"/>
        <w:ind w:left="1020" w:hanging="368"/>
        <w:spacing w:after="0" w:line="24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timing, progress, results and cost of our research and development programs and our current and future nonclinical,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efficiently develop our existing product candidates and discover new product candidates;</w:t>
      </w:r>
    </w:p>
    <w:p>
      <w:pPr>
        <w:spacing w:after="0" w:line="39"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manufacture our drug substances and product candidates for preclinical use, for clinical trials and on a larger scale for commercial use, if approved;</w:t>
      </w:r>
    </w:p>
    <w:p>
      <w:pPr>
        <w:spacing w:after="0" w:line="1" w:lineRule="exact"/>
        <w:rPr>
          <w:rFonts w:ascii="Times New Roman" w:cs="Times New Roman" w:eastAsia="Times New Roman" w:hAnsi="Times New Roman"/>
          <w:sz w:val="18"/>
          <w:szCs w:val="18"/>
          <w:color w:val="auto"/>
        </w:rPr>
      </w:pPr>
    </w:p>
    <w:p>
      <w:pPr>
        <w:ind w:left="1020" w:hanging="368"/>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ind w:left="1020" w:hanging="368"/>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commercialize our products, if approved;</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reimbursement of our product candidates, if approved;</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4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 w:lineRule="exact"/>
        <w:rPr>
          <w:rFonts w:ascii="Times New Roman" w:cs="Times New Roman" w:eastAsia="Times New Roman" w:hAnsi="Times New Roman"/>
          <w:sz w:val="18"/>
          <w:szCs w:val="18"/>
          <w:color w:val="auto"/>
        </w:rPr>
      </w:pPr>
    </w:p>
    <w:p>
      <w:pPr>
        <w:ind w:left="1020" w:right="20" w:hanging="368"/>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future agreements with third parties in connection with the commercialization of product candidates and any other approved product;</w:t>
      </w: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3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product candidates;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foreign countries;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scientific or management personnel;</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continue as a going concern;</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laws and regulations;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w:t>
      </w:r>
    </w:p>
    <w:p>
      <w:pPr>
        <w:spacing w:after="0" w:line="48" w:lineRule="exact"/>
        <w:rPr>
          <w:rFonts w:ascii="Times New Roman" w:cs="Times New Roman" w:eastAsia="Times New Roman" w:hAnsi="Times New Roman"/>
          <w:sz w:val="18"/>
          <w:szCs w:val="18"/>
          <w:color w:val="auto"/>
        </w:rPr>
      </w:pPr>
    </w:p>
    <w:p>
      <w:pPr>
        <w:jc w:val="both"/>
        <w:ind w:left="1020" w:hanging="368"/>
        <w:spacing w:after="0" w:line="248"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macroeconomic conditions, including rising interest rates, inflation, capital market disruptions, changes in governmental agencies, government shutdowns, international tariffs, trade protection measures, economic sanctions and economic slowdowns or recessions, on our business operations; and</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79"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i w:val="1"/>
          <w:iCs w:val="1"/>
          <w:color w:val="auto"/>
        </w:rPr>
        <w:t>Our business is subject to numerous material and other risks and uncertainties that you should be aware of in evaluating our business. These risks are described more fully in Part II, “Item 1A—Risk Factors,” in this Annual Report on Form 10-K and include, but are not limited to, the following:</w:t>
      </w:r>
    </w:p>
    <w:p>
      <w:pPr>
        <w:spacing w:after="0" w:line="2" w:lineRule="exact"/>
        <w:rPr>
          <w:sz w:val="20"/>
          <w:szCs w:val="20"/>
          <w:color w:val="auto"/>
        </w:rPr>
      </w:pPr>
    </w:p>
    <w:p>
      <w:pPr>
        <w:ind w:left="1020" w:hanging="368"/>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net losses since our inception and anticipate that we will continue to incur losses for the foreseeable future, which raises a risk regarding our ability to continue as a going concern.</w:t>
      </w:r>
    </w:p>
    <w:p>
      <w:pPr>
        <w:ind w:left="1020" w:hanging="368"/>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auditors have issued a “going concern” audit opinion.</w:t>
      </w:r>
    </w:p>
    <w:p>
      <w:pPr>
        <w:spacing w:after="0" w:line="39"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proprietary rights to our technologies or product candidates.</w:t>
      </w:r>
    </w:p>
    <w:p>
      <w:pPr>
        <w:spacing w:after="0" w:line="1" w:lineRule="exact"/>
        <w:rPr>
          <w:rFonts w:ascii="Times New Roman" w:cs="Times New Roman" w:eastAsia="Times New Roman" w:hAnsi="Times New Roman"/>
          <w:sz w:val="18"/>
          <w:szCs w:val="18"/>
          <w:color w:val="auto"/>
        </w:rPr>
      </w:pPr>
    </w:p>
    <w:p>
      <w:pPr>
        <w:ind w:left="1020" w:hanging="368"/>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profitability depends significantly on our ability to achieve our objectives relating to the discovery, development, regulatory approval and commercialization of our product candidates.</w:t>
      </w:r>
    </w:p>
    <w:p>
      <w:pPr>
        <w:ind w:left="1020" w:hanging="368"/>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heavily dependent on the success of belzupacap sarotalocan, or bel-sar, our only product candidate to date.</w:t>
      </w:r>
    </w:p>
    <w:p>
      <w:pPr>
        <w:spacing w:after="0" w:line="39" w:lineRule="exact"/>
        <w:rPr>
          <w:rFonts w:ascii="Times New Roman" w:cs="Times New Roman" w:eastAsia="Times New Roman" w:hAnsi="Times New Roman"/>
          <w:sz w:val="18"/>
          <w:szCs w:val="18"/>
          <w:color w:val="auto"/>
        </w:rPr>
      </w:pPr>
    </w:p>
    <w:p>
      <w:pPr>
        <w:jc w:val="both"/>
        <w:ind w:left="1020" w:hanging="368"/>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ind w:left="1020" w:right="20" w:hanging="368"/>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initiated but not yet completed a pivotal clinical trial nor have we commercialized any pharmaceutical products, which may make it difficult to evaluate our future prospects.</w:t>
      </w:r>
    </w:p>
    <w:p>
      <w:pPr>
        <w:ind w:left="1020" w:hanging="368"/>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develop additional product candidates, or obtain additional indications of our first product candidate our commercial opportunity could be limited.</w:t>
      </w:r>
    </w:p>
    <w:p>
      <w:pPr>
        <w:jc w:val="both"/>
        <w:ind w:left="1020" w:right="20" w:hanging="368"/>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U.S. Food and Drug Administration’s agreement to a Special Protocol Assessment with respect to the study design of our global Phase 3 trial of bel-sar for the treatment of early choroidal melanoma does not guarantee any particular outcome from regulatory review, including ultimate approval, and may not lead to a successful review or approval process.</w:t>
      </w:r>
    </w:p>
    <w:p>
      <w:pPr>
        <w:jc w:val="both"/>
        <w:ind w:left="1020" w:hanging="368"/>
        <w:spacing w:after="0" w:line="248"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p>
    <w:p>
      <w:pPr>
        <w:spacing w:after="0" w:line="1" w:lineRule="exact"/>
        <w:rPr>
          <w:rFonts w:ascii="Times New Roman" w:cs="Times New Roman" w:eastAsia="Times New Roman" w:hAnsi="Times New Roman"/>
          <w:sz w:val="18"/>
          <w:szCs w:val="18"/>
          <w:color w:val="auto"/>
        </w:rPr>
      </w:pPr>
    </w:p>
    <w:p>
      <w:pPr>
        <w:jc w:val="both"/>
        <w:ind w:left="1020" w:hanging="368"/>
        <w:spacing w:after="0" w:line="241"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rely on third-party contract development and manufacturing organizations, or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3"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bel-sar or any future product candidates do not achieve broad market acceptance, the revenue that we generate from their sales may be limited, and we may never become profitable.</w:t>
      </w:r>
    </w:p>
    <w:p>
      <w:pPr>
        <w:spacing w:after="0" w:line="1" w:lineRule="exact"/>
        <w:rPr>
          <w:rFonts w:ascii="Times New Roman" w:cs="Times New Roman" w:eastAsia="Times New Roman" w:hAnsi="Times New Roman"/>
          <w:sz w:val="18"/>
          <w:szCs w:val="18"/>
          <w:color w:val="auto"/>
        </w:rPr>
      </w:pPr>
    </w:p>
    <w:p>
      <w:pPr>
        <w:jc w:val="both"/>
        <w:ind w:left="1020" w:hanging="368"/>
        <w:spacing w:after="0" w:line="248"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1" w:lineRule="exact"/>
        <w:rPr>
          <w:rFonts w:ascii="Times New Roman" w:cs="Times New Roman" w:eastAsia="Times New Roman" w:hAnsi="Times New Roman"/>
          <w:sz w:val="18"/>
          <w:szCs w:val="18"/>
          <w:color w:val="auto"/>
        </w:rPr>
      </w:pPr>
    </w:p>
    <w:p>
      <w:pPr>
        <w:ind w:left="1020" w:hanging="368"/>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compete may decline if we do not adequately protect our proprietary rights, and our proprietary rights do not necessarily address all potential threats to our competitive advantage.</w:t>
      </w:r>
    </w:p>
    <w:p>
      <w:pPr>
        <w:jc w:val="both"/>
        <w:ind w:left="1020" w:hanging="368"/>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key management personnel, or if we fail to recruit additional highly skilled personnel, our ability to pursue our business strategy and continue as a going concern will be impaired, could result in loss of markets or market share and could make us less competitive.</w:t>
      </w:r>
    </w:p>
    <w:p>
      <w:pPr>
        <w:ind w:left="1020" w:hanging="368"/>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Artificial intelligence presents risks and challenges that can impact our business including by posing security risks to our confidential information, proprietary information, and personal data.</w:t>
      </w:r>
    </w:p>
    <w:p>
      <w:pPr>
        <w:ind w:left="1020" w:hanging="368"/>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Business disruptions could seriously harm our future revenue and financial condition and increase our costs and expenses.</w:t>
      </w:r>
    </w:p>
    <w:p>
      <w:pPr>
        <w:spacing w:after="0" w:line="3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influence over matters subject to stockholder approval.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a clinical-stage biotechnology company developing precision therapies to treat solid tumors designed to preserve organ function. Our lead candidate bel-sar is in late-stage clinical development for the treatment of patients with early choroidal melanoma (defined as small choroidal melanoma and/or indeterminate lesions) and is also in clinical development for other ocular oncology indications and bladder cancer.</w:t>
      </w:r>
    </w:p>
    <w:p>
      <w:pPr>
        <w:spacing w:after="0" w:line="1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There is significant unmet need for novel treatments for patients with choroidal melanoma, given the limitations of the current standard of care, or SoC, and patient reluctance to undergo radiotherapy in the form of either plaque brachytherapy or proton beam therapy, both highly-invasive therapies that result in significant vision loss, and potential legal blindness in the treated eye. Enucleation, or surgical removal of the affected eye, is another treatment option for patients with choroidal melanoma, in which patients lose all vision without the possibility of vision restoration. We are evaluating the safety and efficacy of bel-sar as a potential vision-sparing therapy in our ongoing global Phase 3 CoMpass trial for the first-line treatment of adult patients with early choroidal melanoma. Moreover, we intend to assess the safety and efficacy of bel-sar in treating a range of other solid tumors, beginning with metastases to the choroid and bladder cancer where bel-sar is in clinical development, as well as in cancers of the ocular surface. We believe bel-sar, if approved, has the potential to change the current treatment paradigm for patients with ocular and urologic cancers and other solid tumors.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Bel-sar has shown clinical benefit and has been generally well-tolerated in clinical trials to date. In a Phase 2 study (ClinicalTrials.gov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 NCT04417530) evaluating suprachoroidal, or SC, administration of bel-sar for the first-line treatment of early choroidal melanoma,</w:t>
      </w:r>
    </w:p>
    <w:p>
      <w:pPr>
        <w:spacing w:after="0" w:line="234" w:lineRule="auto"/>
        <w:rPr>
          <w:sz w:val="20"/>
          <w:szCs w:val="20"/>
          <w:color w:val="auto"/>
        </w:rPr>
      </w:pPr>
      <w:r>
        <w:rPr>
          <w:rFonts w:ascii="Arial" w:cs="Arial" w:eastAsia="Arial" w:hAnsi="Arial"/>
          <w:sz w:val="18"/>
          <w:szCs w:val="18"/>
          <w:color w:val="auto"/>
        </w:rPr>
        <w:t>patients were closely monitored over a twelve-month follow-up period to assess tumor control, visual acuity preservation, and tumor growth</w:t>
      </w:r>
    </w:p>
    <w:p>
      <w:pPr>
        <w:spacing w:after="0" w:line="235" w:lineRule="auto"/>
        <w:rPr>
          <w:sz w:val="20"/>
          <w:szCs w:val="20"/>
          <w:color w:val="auto"/>
        </w:rPr>
      </w:pPr>
      <w:r>
        <w:rPr>
          <w:rFonts w:ascii="Arial" w:cs="Arial" w:eastAsia="Arial" w:hAnsi="Arial"/>
          <w:sz w:val="18"/>
          <w:szCs w:val="18"/>
          <w:color w:val="auto"/>
        </w:rPr>
        <w:t>rate. A total of 22 patients were enrolled in the study. Bel-sar achieved an 80% tumor control rate (n=8/10) among Phase 3-eligible patients</w:t>
      </w:r>
    </w:p>
    <w:p>
      <w:pPr>
        <w:spacing w:after="0" w:line="235" w:lineRule="auto"/>
        <w:rPr>
          <w:sz w:val="20"/>
          <w:szCs w:val="20"/>
          <w:color w:val="auto"/>
        </w:rPr>
      </w:pPr>
      <w:r>
        <w:rPr>
          <w:rFonts w:ascii="Arial" w:cs="Arial" w:eastAsia="Arial" w:hAnsi="Arial"/>
          <w:sz w:val="18"/>
          <w:szCs w:val="18"/>
          <w:color w:val="auto"/>
        </w:rPr>
        <w:t>who received the therapeutic regimen, with complete cessation of growth following treatment among responders (post-treatment average</w:t>
      </w:r>
    </w:p>
    <w:p>
      <w:pPr>
        <w:spacing w:after="0" w:line="235" w:lineRule="auto"/>
        <w:rPr>
          <w:sz w:val="20"/>
          <w:szCs w:val="20"/>
          <w:color w:val="auto"/>
        </w:rPr>
      </w:pPr>
      <w:r>
        <w:rPr>
          <w:rFonts w:ascii="Arial" w:cs="Arial" w:eastAsia="Arial" w:hAnsi="Arial"/>
          <w:sz w:val="18"/>
          <w:szCs w:val="18"/>
          <w:color w:val="auto"/>
        </w:rPr>
        <w:t>growth rate of 0.011 mm/yr among responders compared to 0.351 mm/yr prior to study entry; p&lt;0.0001). Visual acuity preservation was</w:t>
      </w:r>
    </w:p>
    <w:p>
      <w:pPr>
        <w:spacing w:after="0" w:line="235" w:lineRule="auto"/>
        <w:rPr>
          <w:sz w:val="20"/>
          <w:szCs w:val="20"/>
          <w:color w:val="auto"/>
        </w:rPr>
      </w:pPr>
      <w:r>
        <w:rPr>
          <w:rFonts w:ascii="Arial" w:cs="Arial" w:eastAsia="Arial" w:hAnsi="Arial"/>
          <w:sz w:val="18"/>
          <w:szCs w:val="18"/>
          <w:color w:val="auto"/>
        </w:rPr>
        <w:t>achieved in 90% of these ten patients. Importantly, 80% of these ten patients were at high risk for vision loss with tumors close to the fovea</w:t>
      </w:r>
    </w:p>
    <w:p>
      <w:pPr>
        <w:spacing w:after="0" w:line="234" w:lineRule="auto"/>
        <w:rPr>
          <w:sz w:val="20"/>
          <w:szCs w:val="20"/>
          <w:color w:val="auto"/>
        </w:rPr>
      </w:pPr>
      <w:r>
        <w:rPr>
          <w:rFonts w:ascii="Arial" w:cs="Arial" w:eastAsia="Arial" w:hAnsi="Arial"/>
          <w:sz w:val="18"/>
          <w:szCs w:val="18"/>
          <w:color w:val="auto"/>
        </w:rPr>
        <w:t>or optic disc, highlighting the potential for vision preservation with this novel class of drugs. The safety profile of bel-sar was highly favorable</w:t>
      </w:r>
    </w:p>
    <w:p>
      <w:pPr>
        <w:spacing w:after="0" w:line="235" w:lineRule="auto"/>
        <w:rPr>
          <w:sz w:val="20"/>
          <w:szCs w:val="20"/>
          <w:color w:val="auto"/>
        </w:rPr>
      </w:pPr>
      <w:r>
        <w:rPr>
          <w:rFonts w:ascii="Arial" w:cs="Arial" w:eastAsia="Arial" w:hAnsi="Arial"/>
          <w:sz w:val="18"/>
          <w:szCs w:val="18"/>
          <w:color w:val="auto"/>
        </w:rPr>
        <w:t>in all participants regardless of dose. We believe the Phase 2 results are a significant achievement considering the typically poor prognosis</w:t>
      </w:r>
    </w:p>
    <w:p>
      <w:pPr>
        <w:spacing w:after="0" w:line="235" w:lineRule="auto"/>
        <w:rPr>
          <w:sz w:val="20"/>
          <w:szCs w:val="20"/>
          <w:color w:val="auto"/>
        </w:rPr>
      </w:pPr>
      <w:r>
        <w:rPr>
          <w:rFonts w:ascii="Arial" w:cs="Arial" w:eastAsia="Arial" w:hAnsi="Arial"/>
          <w:sz w:val="18"/>
          <w:szCs w:val="18"/>
          <w:color w:val="auto"/>
        </w:rPr>
        <w:t>associated with choroidal melanoma, a rare and life-threatening ocular cancer, where there are no approved vision-preserving therapies to</w:t>
      </w:r>
    </w:p>
    <w:p>
      <w:pPr>
        <w:spacing w:after="0" w:line="235" w:lineRule="auto"/>
        <w:rPr>
          <w:sz w:val="20"/>
          <w:szCs w:val="20"/>
          <w:color w:val="auto"/>
        </w:rPr>
      </w:pPr>
      <w:r>
        <w:rPr>
          <w:rFonts w:ascii="Arial" w:cs="Arial" w:eastAsia="Arial" w:hAnsi="Arial"/>
          <w:sz w:val="18"/>
          <w:szCs w:val="18"/>
          <w:color w:val="auto"/>
        </w:rPr>
        <w:t>date. We believe bel-sar has the possibility to transform the field of ocular oncology beyond choroidal melanoma and we are expanding</w:t>
      </w:r>
    </w:p>
    <w:p>
      <w:pPr>
        <w:spacing w:after="0" w:line="235" w:lineRule="auto"/>
        <w:rPr>
          <w:sz w:val="20"/>
          <w:szCs w:val="20"/>
          <w:color w:val="auto"/>
        </w:rPr>
      </w:pPr>
      <w:r>
        <w:rPr>
          <w:rFonts w:ascii="Arial" w:cs="Arial" w:eastAsia="Arial" w:hAnsi="Arial"/>
          <w:sz w:val="18"/>
          <w:szCs w:val="18"/>
          <w:color w:val="auto"/>
        </w:rPr>
        <w:t>clinical development in two additional indications: metastases to the choroid and cancers of the ocular surface. We continue to enroll patients</w:t>
      </w:r>
    </w:p>
    <w:p>
      <w:pPr>
        <w:spacing w:after="0" w:line="234" w:lineRule="auto"/>
        <w:rPr>
          <w:sz w:val="20"/>
          <w:szCs w:val="20"/>
          <w:color w:val="auto"/>
        </w:rPr>
      </w:pPr>
      <w:r>
        <w:rPr>
          <w:rFonts w:ascii="Arial" w:cs="Arial" w:eastAsia="Arial" w:hAnsi="Arial"/>
          <w:sz w:val="18"/>
          <w:szCs w:val="18"/>
          <w:color w:val="auto"/>
        </w:rPr>
        <w:t>in an ongoing Phase 2 clinical trial in metastases to the choroid and we are initiating a Phase 1 proof-of-concept trial in cancers of the ocular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surface.</w:t>
      </w:r>
    </w:p>
    <w:p>
      <w:pPr>
        <w:spacing w:after="0" w:line="19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Virus-like drug conjugates, or VDCs, are a novel class of drugs with a dual mechanism of action that promote cancer cell death by both the delivery of the cytotoxic payload to generate acute necrosis and activation of a secondary immune mediated response. Bel-sar, our lead VDC candidate, consists of modified capsid proteins of the human papilloma virus, or HPV, conjugated to hundreds of light-activated molecules.</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Light activation of bel-sar is designed to result in precise tumor cell killing with minimal damage to surrounding healthy tissues. In the absence of bel-sar activation or binding to the tumor cell membrane, there is no cytotoxic effect. Multiple light activations, following a single dose of bel-sar, increase antitumor activity because of the reoxygenation of the tumor and the photostability of bel-sar. Finally, acute necrosis triggers immunogenic cell death leading to the generation of an adaptive, long-term antitumor immune response. The tumor targeting specificity of VDCs is driven by the selective binding of the virus-like particles, or VLPs, to a subset of modified tumor associated glycosaminoglycans, or GAGs, that are part of the heparan sulphate chain of heparan sulfate proteoglycans or HSPGs, expressed on the tumor cell membrane. This targeting mechanism enables the delivery of multiple types of cytotoxic payloads directly to a wide range of solid tumors.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jc w:val="both"/>
        <w:ind w:firstLine="509"/>
        <w:spacing w:after="0" w:line="242" w:lineRule="auto"/>
        <w:rPr>
          <w:sz w:val="20"/>
          <w:szCs w:val="20"/>
          <w:color w:val="auto"/>
        </w:rPr>
      </w:pPr>
      <w:r>
        <w:rPr>
          <w:rFonts w:ascii="Arial" w:cs="Arial" w:eastAsia="Arial" w:hAnsi="Arial"/>
          <w:sz w:val="18"/>
          <w:szCs w:val="18"/>
          <w:color w:val="auto"/>
        </w:rPr>
        <w:t>Beyond ocular cancers, bel-sar is in clinical development in bladder cancer. Bladder cancer is the ninth most common cancer worldwide and the majority of cases are diagnosed early as non-muscle invasive bladder cancer, or NMIBC, with a prevalence of approximately 80,000 cases per year in the United States. Despite the early diagnosis, patients with NMIBC have a high risk of recurrence and progression with current SoC treatments. In 2025, we announced positive data from our Phase 1 trial in NMIBC (</w:t>
      </w:r>
      <w:r>
        <w:rPr>
          <w:rFonts w:ascii="Arial" w:cs="Arial" w:eastAsia="Arial" w:hAnsi="Arial"/>
          <w:sz w:val="18"/>
          <w:szCs w:val="18"/>
          <w:u w:val="single" w:color="auto"/>
          <w:color w:val="0000FF"/>
        </w:rPr>
        <w:t>NCT05483868</w:t>
      </w:r>
      <w:r>
        <w:rPr>
          <w:rFonts w:ascii="Arial" w:cs="Arial" w:eastAsia="Arial" w:hAnsi="Arial"/>
          <w:sz w:val="18"/>
          <w:szCs w:val="18"/>
          <w:color w:val="auto"/>
        </w:rPr>
        <w:t>). Based on the positive results from the completed Phase 1 trial, we are advancing the clinical development of bel-sar in NMIBC. We have an ongoing Phase 1b/2 trial in NMIBC evaluating additional doses and cycles in intermediate and high-risk NMIBC patients.</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vision is to innovate the future of cancer care to cure patients and preserve organ function. We are developing bel-sar in several indications in ocular oncology, with the goal of treating tumors, preserving vision and preventing blindness in patients. Our lead indication is a potential multi-billion dollar addressable market opportunity. We are also evaluating bel-sar in urologic oncology indications, initially in bladder cancer, which is one of the most expensive cancers to treat on a per patient basis. The global market for bladder cancer is expected to be greater than $8.0 billion by 2032.</w:t>
      </w:r>
    </w:p>
    <w:p>
      <w:pPr>
        <w:spacing w:after="0" w:line="28"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Our initial focus is in ocular and urologic oncology, both areas of high unmet medical need where local targeted therapies may enable early intervention, as shown in our pipeline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100965</wp:posOffset>
            </wp:positionV>
            <wp:extent cx="5100955" cy="1979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0095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4"/>
          <w:szCs w:val="14"/>
          <w:i w:val="1"/>
          <w:iCs w:val="1"/>
          <w:color w:val="auto"/>
        </w:rPr>
        <w:t>a. Virus-like drug conjugates (VDCs) bind to a subset of modified tumor associated glycosaminoglycans (GAGs) that are part of the heparan sulphate chain of heparan sulfate</w:t>
      </w:r>
    </w:p>
    <w:p>
      <w:pPr>
        <w:jc w:val="center"/>
        <w:spacing w:after="0" w:line="194" w:lineRule="auto"/>
        <w:rPr>
          <w:sz w:val="20"/>
          <w:szCs w:val="20"/>
          <w:color w:val="auto"/>
        </w:rPr>
      </w:pPr>
      <w:r>
        <w:rPr>
          <w:rFonts w:ascii="Arial" w:cs="Arial" w:eastAsia="Arial" w:hAnsi="Arial"/>
          <w:sz w:val="14"/>
          <w:szCs w:val="14"/>
          <w:i w:val="1"/>
          <w:iCs w:val="1"/>
          <w:color w:val="auto"/>
        </w:rPr>
        <w:t>proteoglycans (HSPGs).</w:t>
      </w:r>
      <w:r>
        <w:rPr>
          <w:rFonts w:ascii="Arial" w:cs="Arial" w:eastAsia="Arial" w:hAnsi="Arial"/>
          <w:sz w:val="19"/>
          <w:szCs w:val="19"/>
          <w:i w:val="1"/>
          <w:i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1</w:t>
      </w:r>
      <w:r>
        <w:rPr>
          <w:rFonts w:ascii="Arial" w:cs="Arial" w:eastAsia="Arial" w:hAnsi="Arial"/>
          <w:sz w:val="14"/>
          <w:szCs w:val="14"/>
          <w:i w:val="1"/>
          <w:iCs w:val="1"/>
          <w:color w:val="auto"/>
        </w:rPr>
        <w:t>. Kines RC, and Schiller JT. Viruses. 2022;14(8):1656.</w:t>
      </w:r>
      <w:r>
        <w:rPr>
          <w:rFonts w:ascii="Arial" w:cs="Arial" w:eastAsia="Arial" w:hAnsi="Arial"/>
          <w:sz w:val="14"/>
          <w:szCs w:val="14"/>
          <w:b w:val="1"/>
          <w:bCs w:val="1"/>
          <w:i w:val="1"/>
          <w:iCs w:val="1"/>
          <w:color w:val="auto"/>
        </w:rPr>
        <w:t xml:space="preserve"> mHSPG</w:t>
      </w:r>
      <w:r>
        <w:rPr>
          <w:rFonts w:ascii="Arial" w:cs="Arial" w:eastAsia="Arial" w:hAnsi="Arial"/>
          <w:sz w:val="14"/>
          <w:szCs w:val="14"/>
          <w:i w:val="1"/>
          <w:iCs w:val="1"/>
          <w:color w:val="auto"/>
        </w:rPr>
        <w:t>, modified heparan sulphate proteoglycan;</w:t>
      </w:r>
      <w:r>
        <w:rPr>
          <w:rFonts w:ascii="Arial" w:cs="Arial" w:eastAsia="Arial" w:hAnsi="Arial"/>
          <w:sz w:val="14"/>
          <w:szCs w:val="14"/>
          <w:b w:val="1"/>
          <w:bCs w:val="1"/>
          <w:i w:val="1"/>
          <w:iCs w:val="1"/>
          <w:color w:val="auto"/>
        </w:rPr>
        <w:t xml:space="preserve"> NMIBC</w:t>
      </w:r>
      <w:r>
        <w:rPr>
          <w:rFonts w:ascii="Arial" w:cs="Arial" w:eastAsia="Arial" w:hAnsi="Arial"/>
          <w:sz w:val="14"/>
          <w:szCs w:val="14"/>
          <w:i w:val="1"/>
          <w:iCs w:val="1"/>
          <w:color w:val="auto"/>
        </w:rPr>
        <w:t>, non-muscle-invasive bladder cancer;</w:t>
      </w:r>
      <w:r>
        <w:rPr>
          <w:rFonts w:ascii="Arial" w:cs="Arial" w:eastAsia="Arial" w:hAnsi="Arial"/>
          <w:sz w:val="14"/>
          <w:szCs w:val="14"/>
          <w:b w:val="1"/>
          <w:bCs w:val="1"/>
          <w:i w:val="1"/>
          <w:iCs w:val="1"/>
          <w:color w:val="auto"/>
        </w:rPr>
        <w:t xml:space="preserve"> PoC</w:t>
      </w:r>
      <w:r>
        <w:rPr>
          <w:rFonts w:ascii="Arial" w:cs="Arial" w:eastAsia="Arial" w:hAnsi="Arial"/>
          <w:sz w:val="14"/>
          <w:szCs w:val="14"/>
          <w:i w:val="1"/>
          <w:iCs w:val="1"/>
          <w:color w:val="auto"/>
        </w:rPr>
        <w:t>, proof of concept.</w:t>
      </w:r>
      <w:r>
        <w:rPr>
          <w:rFonts w:ascii="Arial" w:cs="Arial" w:eastAsia="Arial" w:hAnsi="Arial"/>
          <w:sz w:val="19"/>
          <w:szCs w:val="19"/>
          <w:i w:val="1"/>
          <w:iCs w:val="1"/>
          <w:color w:val="auto"/>
          <w:vertAlign w:val="superscript"/>
        </w:rPr>
        <w: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envision the potential for development of other oncology therapeutic areas in addition to ocular and urologic cancers.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Our Team</w:t>
      </w:r>
    </w:p>
    <w:p>
      <w:pPr>
        <w:spacing w:after="0" w:line="6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management team includes industry executives with extensive biopharmaceutical experience in developing and commercializing drugs in oncology and ophthalmology. Elisabet de los Pinos, Ph.D., our Chief Executive Officer, led the marketing strategy and European commercialization of Alimta® for the treatment of lung cancer at Eli Lilly and Company. Our Chief Medical Officer and President of Research</w:t>
      </w:r>
    </w:p>
    <w:p>
      <w:pPr>
        <w:spacing w:after="0" w:line="2" w:lineRule="exact"/>
        <w:rPr>
          <w:sz w:val="20"/>
          <w:szCs w:val="20"/>
          <w:color w:val="auto"/>
        </w:rPr>
      </w:pPr>
    </w:p>
    <w:p>
      <w:pPr>
        <w:jc w:val="both"/>
        <w:ind w:firstLine="8"/>
        <w:spacing w:after="0" w:line="235" w:lineRule="auto"/>
        <w:tabs>
          <w:tab w:leader="none" w:pos="184"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J. Jill Hopkins, M.D., is an ophthalmologist and retinal specialist with more than 30 years of experience in ophthalmology, including serving as Senior Vice President, Global Head of Ophthalmology and Exploratory Development at Novartis AG, or Novartis, and Chief Executive Officer of Gyroscope Therapeutics, a Novartis company, where she was responsible for the global ophthalmic pipeline. Anthony Gibney, our Chief Financial and Business Officer, is an experienced biotechnology leader and former investment banker who brings over 30 years of experience dedicated to leading and advising biotechnology companies across their businesses, including corporate strategy, business development, finance and investor relations, among others. Following his investment banking career, he has worked as Chief Business Officer at Achillion Pharmaceuticals, Inc. and Iveric Bio, Inc. and as Chief Business and Financial Officer at Fog Pharmaceuticals, Inc. Conor Kilroy, our Chief Legal Officer and Secretary, served as general counsel and secretary at Neurogastrx, Inc. from September 2021 to May 2023. Mr. Kilroy also served in roles of increasing responsibility at Ironwood Pharmaceuticals, Inc. (Nasdaq: IRWD) from June 2013 to February 2021, serving as senior vice president, general counsel and secretary beginning in April 2020 and vice president, general counsel and secretary beginning in April 2019. Earlier in his career, Mr. Kilroy held roles at Boston Scientific Corporation and in the business law department of Goodwin Procter LLP. Mark Plavsic, Ph.D. is our Chief Technology Officer and brings 30 years of global biopharmaceutical experience including end-to-end technical operations in the United States, Europe, and Australasia and successful translation and scale-up of complex biologics from preclinical development through commercial launch and distribution. He previously served as Chief Technology Officer at Fate Therapeutics, Inc. and at Lysogene. We believe the breadth and depth of experience amongst our management team will enable us to advance the clinical and development strategy for bel-sar and, if approved, its commercialization. Our Chairman of the Board of Directors, David Johnson, is a biopharmaceutical industry veteran with more than 25 years of experience in drug development. Mr. Johnson is currently Chief Executive Officer and founder of Solve Therapeutics, Inc., a biotechnology company developing next-generation mAb-based oncology therapeutics. Prior to founding Solve Therapeutics, he was Chief Executive Officer of VelosBio Inc., an oncology company acquired by Merck &amp; Co. for $2.75 billion in 2020. He was also Chief Executive Officer at Acerta Pharma, which was acquired by AstraZeneca for $7 billion. Mr. Johnson has extensive experience leading the development of first-in-class cancer therapies and has made significant contributions to drugs which ultimately garnered regulatory approvals, including bortezomib (Velcade®), romidepsin (Istodax®), idelalisib (Zydelig®), and acalabrutinib (Calquence®).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77"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At Aura Biosciences, our vision is to innovate the future of cancer care to cure patients and preserve organ function, with an initial focus on ocular and urologic oncology. Key elements of our strategy to accomplish this objective include:</w:t>
      </w:r>
    </w:p>
    <w:p>
      <w:pPr>
        <w:spacing w:after="0" w:line="46" w:lineRule="exact"/>
        <w:rPr>
          <w:sz w:val="20"/>
          <w:szCs w:val="20"/>
          <w:color w:val="auto"/>
        </w:rPr>
      </w:pPr>
    </w:p>
    <w:p>
      <w:pPr>
        <w:jc w:val="both"/>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Complete the ongoing global Phase 3 CoMpass trial of bel-sar as a first-line treatment of early choroidal melanoma and pursue U.S. Food and Drug Administration, or FDA, approval. </w:t>
      </w:r>
      <w:r>
        <w:rPr>
          <w:rFonts w:ascii="Arial" w:cs="Arial" w:eastAsia="Arial" w:hAnsi="Arial"/>
          <w:sz w:val="18"/>
          <w:szCs w:val="18"/>
          <w:color w:val="auto"/>
        </w:rPr>
        <w:t>If approved, this would represent the first therapy for early</w:t>
      </w:r>
      <w:r>
        <w:rPr>
          <w:rFonts w:ascii="Arial" w:cs="Arial" w:eastAsia="Arial" w:hAnsi="Arial"/>
          <w:sz w:val="18"/>
          <w:szCs w:val="18"/>
          <w:b w:val="1"/>
          <w:bCs w:val="1"/>
          <w:color w:val="auto"/>
        </w:rPr>
        <w:t xml:space="preserve"> </w:t>
      </w:r>
      <w:r>
        <w:rPr>
          <w:rFonts w:ascii="Arial" w:cs="Arial" w:eastAsia="Arial" w:hAnsi="Arial"/>
          <w:sz w:val="18"/>
          <w:szCs w:val="18"/>
          <w:color w:val="auto"/>
        </w:rPr>
        <w:t>choroidal melanoma as a potential first-line treatment option, reserving radiotherapy for a second-line treatment option. If approved, we see the potential to independently commercialize bel-sar in choroidal melanoma, which has an incidence of 11,000 patients diagnosed per year in the United States and Europe. There are approximately 50 ocular oncologists in the United States and approximately 50 ocular oncologists in Europe, representing a focused call point and providing an opportunity for our company to capture the value of the market with a focused sales team globally.</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39"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Expand the development of bel-sar in additional ocular oncology indications, including metastases to the choroid and cancers of the ocular surface</w:t>
      </w:r>
      <w:r>
        <w:rPr>
          <w:rFonts w:ascii="Arial" w:cs="Arial" w:eastAsia="Arial" w:hAnsi="Arial"/>
          <w:sz w:val="18"/>
          <w:szCs w:val="18"/>
          <w:color w:val="auto"/>
        </w:rPr>
        <w:t>. We believe bel-sar's dual mechanism of action has potential to treat tumors while preserving</w:t>
      </w:r>
      <w:r>
        <w:rPr>
          <w:rFonts w:ascii="Arial" w:cs="Arial" w:eastAsia="Arial" w:hAnsi="Arial"/>
          <w:sz w:val="18"/>
          <w:szCs w:val="18"/>
          <w:b w:val="1"/>
          <w:bCs w:val="1"/>
          <w:color w:val="auto"/>
        </w:rPr>
        <w:t xml:space="preserve"> </w:t>
      </w:r>
      <w:r>
        <w:rPr>
          <w:rFonts w:ascii="Arial" w:cs="Arial" w:eastAsia="Arial" w:hAnsi="Arial"/>
          <w:sz w:val="18"/>
          <w:szCs w:val="18"/>
          <w:color w:val="auto"/>
        </w:rPr>
        <w:t>key ocular structures, in other ocular cancers that affect a large number of patients. We continue to enroll patients in the ongoing Phase 2 clinical trial in metastases to the choroid. Metastases to the choroid has an annual incidence rate of 20,000 patients in the United States and Europe. In addition, we plan to conduct a Phase 1 proof-of-concept trial of bel-sar for cancers of the ocular surface, including both melanomas and squamous cell carcinomas, that has an incidence rate of 35,000 patients a year in the United States and Europe, based on strong interest from the ocular oncology community to develop better treatment options for patients.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7" w:name="page8"/>
    <w:bookmarkEnd w:id="7"/>
    <w:p>
      <w:pPr>
        <w:jc w:val="both"/>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Advance the development of bel-sar in NMIBC. </w:t>
      </w:r>
      <w:r>
        <w:rPr>
          <w:rFonts w:ascii="Arial" w:cs="Arial" w:eastAsia="Arial" w:hAnsi="Arial"/>
          <w:sz w:val="18"/>
          <w:szCs w:val="18"/>
          <w:color w:val="auto"/>
        </w:rPr>
        <w:t>We believe that bel-sar has the opportunity to become a front-line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option with a paradigm shifting approach driven by its unique dual mechanism of action and the possibility to generate a robust cell mediated immune response against the tumor to prevent recurrence and progression of the disease. As such, we are currently evaluating two different front-line interventions in the ongoing Phase 1b/2 trial: neoadjuvant treatment prior to transurethral resection of bladder tumor, or TURBT, and immune-ablative treatment (without TURBT), with the opportunity to not only evaluate the dose and treatment regimen but also to assess durability of response for up to 12 months in patients with intermediate and high-risk NMIBC. Bel-sar has received FDA Fast Track Designation in NMIBC.</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Continue to evaluate bel-sar, to potentially further enhance its clinical utility across additional solid cancers based on its mechanism of action. </w:t>
      </w:r>
      <w:r>
        <w:rPr>
          <w:rFonts w:ascii="Arial" w:cs="Arial" w:eastAsia="Arial" w:hAnsi="Arial"/>
          <w:sz w:val="18"/>
          <w:szCs w:val="18"/>
          <w:color w:val="auto"/>
        </w:rPr>
        <w:t>Due to our preclinical data and robust publications in collaboration with our scientific founder at the</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Institutes of Health, or NIH, demonstrating the binding of our proprietary VLPs to tumor associated GAGs across a wide range of solid tumors, we plan to expand our clinical pipeline across multiple solid cancer indications.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Build our operational capabilities to successfully commercialize bel-sar (if approved) in ocular oncology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5490210</wp:posOffset>
            </wp:positionH>
            <wp:positionV relativeFrom="paragraph">
              <wp:posOffset>-839470</wp:posOffset>
            </wp:positionV>
            <wp:extent cx="3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 in Ocular Oncology</w:t>
      </w:r>
    </w:p>
    <w:p>
      <w:pPr>
        <w:spacing w:after="0" w:line="63"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Bel-sar is in development in multiple indications in ocular oncology: early choroidal melanoma, metastases to the choroid, and cancers of the ocular surface. We believe bel-sar has several strengths that support our goal of developing bel-sar as a potential vision-sparing therapy in ocular oncology, including:</w:t>
      </w:r>
    </w:p>
    <w:p>
      <w:pPr>
        <w:spacing w:after="0" w:line="61" w:lineRule="exact"/>
        <w:rPr>
          <w:sz w:val="20"/>
          <w:szCs w:val="20"/>
          <w:color w:val="auto"/>
        </w:rPr>
      </w:pPr>
    </w:p>
    <w:p>
      <w:pPr>
        <w:ind w:left="102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Demonstrated clinical utility in choroidal melanoma, with Phase 2 end of study results in patients at twelve months of follow-up who received three cycles of therapy in Cohorts 5 and 6, and who match the criteria for our ongoing global Phase 3 trial.</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Tumor control rate of 80% (8/10) and visual acuity preservation rate of 90% (9/10), with the majority of patients being at high-risk for vision loss with tumors close to the fovea or optic disc.</w:t>
      </w:r>
    </w:p>
    <w:p>
      <w:pPr>
        <w:spacing w:after="0" w:line="46" w:lineRule="exact"/>
        <w:rPr>
          <w:rFonts w:ascii="Times New Roman" w:cs="Times New Roman" w:eastAsia="Times New Roman" w:hAnsi="Times New Roman"/>
          <w:sz w:val="18"/>
          <w:szCs w:val="18"/>
          <w:color w:val="auto"/>
        </w:rPr>
      </w:pPr>
    </w:p>
    <w:p>
      <w:pPr>
        <w:ind w:left="1020" w:hanging="503"/>
        <w:spacing w:after="0" w:line="28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Favorable safety profile, with no posterior inflammation, treatment-related serious adverse events or grade three to five treatment-related adverse events reported</w:t>
      </w:r>
      <w:r>
        <w:rPr>
          <w:rFonts w:ascii="Arial" w:cs="Arial" w:eastAsia="Arial" w:hAnsi="Arial"/>
          <w:sz w:val="18"/>
          <w:szCs w:val="18"/>
          <w:b w:val="1"/>
          <w:bCs w:val="1"/>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Choroidal Melanoma</w:t>
      </w:r>
    </w:p>
    <w:p>
      <w:pPr>
        <w:spacing w:after="0" w:line="6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Early choroidal melanoma is our most advanced clinical program, with an ongoing global Phase 3 trial. We have received Orphan Drug Designation, or ODD, for the treatment of early choroidal (also referred to as uveal) melanoma from the FDA and the European Medicines Agency, or EMA, and Fast Track Designation from the FDA for the treatment of early choroidal melanoma. SC administration of bel-sar in a completed Phase 2 trial, provided data which supported this SC route of administration in the Phase 3 trial.</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have received written agreement from the FDA under a Special Protocol Assessment, or SPA, for the design and planned analysis of the global Phase 3 trial indicating concurrence by the FDA with the adequacy of the study, if successful, to address the objectives necessary to support our planned biologics license application, or BLA, submission. Disease state overview and the clinical development plan with key findings and updates from each stage of development are found below.</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Choroidal Melanoma Overview</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Choroidal melanoma is the most common primary malignant intraocular tumor and the second most common type of primary malignant melanoma in the body. More than 11,000 patients are diagnosed annually in the United States and Europe. This comprises approximately 90% of all cases of uveal melanoma, consisting of melanomas in the choroid, ciliary body and iris, which are collectively referred to as the uvea. Most choroidal melanomas result from transformation of a benign choroidal nevus. In early-stage lesions, most of the tumor is composed of benign nevus cells with a small cluster of malignant melanoma cells. Benign choroidal nevi are found in approximately 5% of adults in the United States 40 years or older. Most cases are found in adults with a median age of 55, light eye color and fair skin. It is often discovered in patients who are asymptomatic, although some patients report decreased vision or non-specific visual symptoms such as flashes, floaters, blurry or distorted vision or visual field defects and are referred to the ocular oncologist.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jc w:val="both"/>
        <w:ind w:firstLine="509"/>
        <w:spacing w:after="0"/>
        <w:rPr>
          <w:sz w:val="20"/>
          <w:szCs w:val="20"/>
          <w:color w:val="auto"/>
        </w:rPr>
      </w:pPr>
      <w:r>
        <w:rPr>
          <w:rFonts w:ascii="Arial" w:cs="Arial" w:eastAsia="Arial" w:hAnsi="Arial"/>
          <w:sz w:val="18"/>
          <w:szCs w:val="18"/>
          <w:color w:val="auto"/>
        </w:rPr>
        <w:t>Most patients with choroidal melanoma are diagnosed with early-stage disease localized to the eye with no evidence of metastatic disease. It is estimated that 96% of patients are diagnosed without clinical evidence of metastatic disease. These patients are not treated immediately as there are no effective targeted therapies that can preserve vision. Early choroidal melanoma patients are defined as patients with small choroidal melanoma and/or indeterminate lesions representing approximately 8,000 patients in the United States and Europe. The only current treatment option for patients with primary choroidal melanoma is radiotherapy which leaves patients with vision loss and other comorbidities. Approximately 2,300 patients are diagnosed with medium to large tumors and are treated with radiotherapy or enucleation, or full surgical removal of the eye, which results in total vision loss and is irreversible.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120650</wp:posOffset>
            </wp:positionV>
            <wp:extent cx="5683250" cy="625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8325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vertAlign w:val="superscript"/>
        </w:rPr>
        <w:t>a</w:t>
      </w:r>
      <w:r>
        <w:rPr>
          <w:rFonts w:ascii="Arial" w:cs="Arial" w:eastAsia="Arial" w:hAnsi="Arial"/>
          <w:sz w:val="14"/>
          <w:szCs w:val="14"/>
          <w:i w:val="1"/>
          <w:iCs w:val="1"/>
          <w:color w:val="auto"/>
        </w:rPr>
        <w:t>Each figure represents approximately 250 persons.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 Distribution of Stages of Choroidal Melanoma Cases</w:t>
      </w:r>
    </w:p>
    <w:p>
      <w:pPr>
        <w:spacing w:after="0" w:line="21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developing bel-sar as a potential first line vision-sparing treatment option for intervention in early choroidal melanoma, avoiding the need for radiotherapy and potentially reducing the risk of metastasis for these patients with early therapeutic intervention. Earlier diagnosis and treatment intervention of lesions in the eye has the potential to dramatically improve outcomes for patients and reduce the risk of blindness caused by radiotherapy.</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u w:val="single" w:color="auto"/>
          <w:color w:val="auto"/>
        </w:rPr>
        <w:t>Current Treatment Options for Primary Choroidal Melanoma</w:t>
      </w:r>
    </w:p>
    <w:p>
      <w:pPr>
        <w:spacing w:after="0" w:line="75"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There are no FDA-approved therapies for primary choroidal melanoma. There are three common treatments routinely used as SoC for local control of choroidal melanoma: plaque brachytherapy; proton beam irradiation; and enucleation, or removal of the affected eye, each of which represent invasive surgical procedures and are associated with significant vision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110490</wp:posOffset>
            </wp:positionV>
            <wp:extent cx="5229225" cy="1834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2922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2. Three Treatment Options for Primary Choroidal Melanoma</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There are limited treatment options to treat primary choroidal melanoma, which pose a challenge to clinicians and patients. The current treatments are invasive procedures and are associated with irreversible loss of visual acuity and other side effects. Lesions that are detected early are often monitored without treatment since the current SoC is invasive and causes vision loss and is therefore typically reserved for medium to large or growing lesions. As choroidal melanoma tends to metastasize early, even with radical treatments such as enucleation, metastatic disease still occurs, which results in a high degree of mortality. There is an urgent unmet medical need for an effective, vision-sparing therapy and the availability of such a therapy may encourage treatment of early choroidal melanoma at the time of early detection. This could subsequently increase the awareness of the importance of early diagnosis and intervention for this life-threatening disease and increase the number of patients treated annually.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9" w:name="page10"/>
    <w:bookmarkEnd w:id="9"/>
    <w:p>
      <w:pPr>
        <w:ind w:left="1020"/>
        <w:spacing w:after="0"/>
        <w:rPr>
          <w:sz w:val="20"/>
          <w:szCs w:val="20"/>
          <w:color w:val="auto"/>
        </w:rPr>
      </w:pPr>
      <w:r>
        <w:rPr>
          <w:rFonts w:ascii="Arial" w:cs="Arial" w:eastAsia="Arial" w:hAnsi="Arial"/>
          <w:sz w:val="18"/>
          <w:szCs w:val="18"/>
          <w:i w:val="1"/>
          <w:iCs w:val="1"/>
          <w:u w:val="single" w:color="auto"/>
          <w:color w:val="auto"/>
        </w:rPr>
        <w:t>Bel-sar in Early Choroidal Melanoma</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Bel-sar is a VDC consisting of an HPV-derived VLP and a phthalocyanine dye, a light activated cytotoxic payload. Our VLP was created using the capsid proteins of HPV that have been genetically modified to avoid cross-reactivity with pre-existing immunity against the virus and bind with high affinity to modified tumor associated GAGs that are part of the heparan sulphate chain of HSPGs expressed on the surface of tumors cells, including ocular melanoma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250825</wp:posOffset>
            </wp:positionV>
            <wp:extent cx="4800600" cy="19716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0060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Figure 3. Bel-sar, Administered by Intraocular Injection, Binds to Tumor Cells. Activation Using an Ophthalmic Laser Leads to Rupture of the Tumor Cell Membrane, Acute Necrosis and a Secondary Immune Activation Leading to Long Term Antitumor Immunity.</w:t>
      </w:r>
    </w:p>
    <w:p>
      <w:pPr>
        <w:spacing w:after="0" w:line="200" w:lineRule="exact"/>
        <w:rPr>
          <w:sz w:val="20"/>
          <w:szCs w:val="20"/>
          <w:color w:val="auto"/>
        </w:rPr>
      </w:pPr>
    </w:p>
    <w:p>
      <w:pPr>
        <w:spacing w:after="0" w:line="379" w:lineRule="exact"/>
        <w:rPr>
          <w:sz w:val="20"/>
          <w:szCs w:val="20"/>
          <w:color w:val="auto"/>
        </w:rPr>
      </w:pPr>
    </w:p>
    <w:p>
      <w:pPr>
        <w:ind w:left="1020"/>
        <w:spacing w:after="0"/>
        <w:rPr>
          <w:sz w:val="20"/>
          <w:szCs w:val="20"/>
          <w:color w:val="auto"/>
        </w:rPr>
      </w:pPr>
      <w:r>
        <w:rPr>
          <w:rFonts w:ascii="Arial" w:cs="Arial" w:eastAsia="Arial" w:hAnsi="Arial"/>
          <w:sz w:val="18"/>
          <w:szCs w:val="18"/>
          <w:i w:val="1"/>
          <w:iCs w:val="1"/>
          <w:u w:val="single" w:color="auto"/>
          <w:color w:val="auto"/>
        </w:rPr>
        <w:t>Goal of Treatment with Bel-sar</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ocular oncology, early detection, and timely local intervention has the goal of achieving a local complete response, or CR, which in ocular oncology is described as tumor control. This involves completely halting tumor growth while safeguarding critical ocular structures, such as the retina, essential for maintaining visual function. Early treatment is believed to reduce the risk of metastasis. After treatment, if tumors do not have an increase in thickness by ultrasound or an increase in diameter as evaluated with digital photography, it is believed that the malignant cells have been killed, and a local complete response has been achieved, and the treatment is considered equivalent to a local cure. Ocular oncologists measure the antitumor activity after plaque brachytherapy by evaluating tumor control as well as systemic disease to detect the presence of metastasis.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1279525</wp:posOffset>
            </wp:positionH>
            <wp:positionV relativeFrom="page">
              <wp:posOffset>835025</wp:posOffset>
            </wp:positionV>
            <wp:extent cx="4989195" cy="19627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498919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Figure 4. Goal of Treatment with Bel-sar is a Local Complete Response Achieving Tumor Control with Targeted Killing of Melanoma Cells and Preservation of Key Ocular Structures.</w:t>
      </w:r>
    </w:p>
    <w:p>
      <w:pPr>
        <w:spacing w:after="0" w:line="13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believe that patients with early choroidal melanoma would gain the most advantage from bel-sar treatment. These tumors are not only the most likely to respond to our therapy but, based on historic data, these patients also have the lowest risk of having developed life-threatening metastatic disease, and as such, bel-sar has the potential to confer the greatest long-term benefit.</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u w:val="single" w:color="auto"/>
          <w:color w:val="auto"/>
        </w:rPr>
        <w:t>Clinical Development Plan in Early Choroidal Melanoma:</w:t>
      </w:r>
    </w:p>
    <w:p>
      <w:pPr>
        <w:spacing w:after="0" w:line="6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b w:val="1"/>
          <w:bCs w:val="1"/>
          <w:color w:val="auto"/>
        </w:rPr>
        <w:t xml:space="preserve">Phase 1b/2 Intravitreal Study: </w:t>
      </w:r>
      <w:r>
        <w:rPr>
          <w:rFonts w:ascii="Arial" w:cs="Arial" w:eastAsia="Arial" w:hAnsi="Arial"/>
          <w:sz w:val="18"/>
          <w:szCs w:val="18"/>
          <w:color w:val="auto"/>
        </w:rPr>
        <w:t>This study evaluated the safety and efficacy of bel-sar delivered via intravitreal, or IVT, 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followed by light activation in a dose escalation design in 56 patients. The majority of patients treated at the therapeutic regimen with two cycles of therapy at the highest dose achieved a local complete response showing a tumor control rate of 70% at 12 months. Visual acuity preservation was demonstrated in &gt;70% including a high percentage of patients with tumors close to the fovea or optic disc considered at high risk for vision loss when treated with radiotherapy. Treatment with bel-sar was generally well-tolerated at all doses including the highest treatment regimen with two cycles of therapy. Adverse events were generally mild or moderate, transient and manageable with SoC treatments in most patients. Adverse events of vitreous inflammation, anterior chamber inflammation and increased intraocular pressure were manageable with steroid treatment and ocular antihypertensives. There were only two drug-related serious adverse events of vision loss related to pigmentary changes around the edge of the tumor.</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b w:val="1"/>
          <w:bCs w:val="1"/>
          <w:color w:val="auto"/>
        </w:rPr>
        <w:t xml:space="preserve">Phase 2 Suprachoroidal Study: </w:t>
      </w:r>
      <w:r>
        <w:rPr>
          <w:rFonts w:ascii="Arial" w:cs="Arial" w:eastAsia="Arial" w:hAnsi="Arial"/>
          <w:sz w:val="18"/>
          <w:szCs w:val="18"/>
          <w:color w:val="auto"/>
        </w:rPr>
        <w:t>We also evaluated and developed the SC route of administration to optimize the delivery of bel-sar</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to the choroid where the tumor is located. The suprachoroidal space, or SCS, is a potential space bound between the external surface of the choroid and the internal surface of the sclera and encompasses the full circumference of the posterior segment of the eye. The Phase 2 study was an open-label, ascending single and repeat dose escalation trial in patients with early choroidal melanoma designed to evaluate the safety, tolerability and efficacy of up to three cycles of bel-sar treatment. (ClinicalTrials.gov ID: NCT04417530)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2633980</wp:posOffset>
            </wp:positionH>
            <wp:positionV relativeFrom="page">
              <wp:posOffset>835025</wp:posOffset>
            </wp:positionV>
            <wp:extent cx="2280285" cy="2125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28028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5. SC Administration with SCS Microinjector</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w:t>
      </w:r>
    </w:p>
    <w:p>
      <w:pPr>
        <w:spacing w:after="0" w:line="15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trial included both single and multiple ascending dose cohorts, with a total of 22 patients enrolled. Patients were closely monitored over a twelve-month follow-up period to assess tumor control, visual acuity preservation and tumor growth rate. The Phase 2 end of study results demonstrated that bel-sar achieved an 80% tumor control rate (n=8/10) among Phase 3-eligible patients who received the therapeutic regimen, with complete cessation of growth following treatment among responders (post-treatment average growth rate of 0.011 mm/yr among responders compared to 0.351 mm/yr prior to study entry; p&lt;0.0001). Visual acuity preservation was achieved in 90% of these ten patients. Importantly, 80% of these ten patients were at high risk for vision loss with tumors close to the fovea or optic disc, highlighting the potential for vision preservation with this novel class of drugs. Of note, the current standard of care is radiotherapy, which leads to visual acuity of &lt;20/200 (the cutoff for legal blindness) in the treated eye in up to 87% of patients. The safety profile of bel-sar was highly favorable in all participants regardless of dose. There were no treatment-related serious adverse events reported. Ocular treatment-related adverse events were mild (Grade 1), included anterior chamber inflammation (18%) or cell (9%) and resolved without sequelae. The vast majority (~70%) of the anterior chamber inflammation/cell events were self-limited, requiring no treatment, and resolved in a median of six days. For those events that did require treatment, topical steroid eye drops, administered for a median of six days, achieved complete resolution of the inflammation. Eye pain occurred in 9% of patients and was mild (Grade 1). Importantly, no treatment-related posterior inflammation events (no vitritis, choroiditis, retinitis, retinal pigment epithelium changes or vasculitis) were reported. We believe the Phase 2 results are a significant achievement considering the typically poor prognosis associated with choroidal melanoma, a rare and life-threatening ocular cancer, where there are no approved vision-preserving therapies to date.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1254125</wp:posOffset>
            </wp:positionH>
            <wp:positionV relativeFrom="page">
              <wp:posOffset>706120</wp:posOffset>
            </wp:positionV>
            <wp:extent cx="5048885" cy="33858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048885"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6. Adverse Events among the 22 Patients Enrolled in the Phase 2 SC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137795</wp:posOffset>
            </wp:positionV>
            <wp:extent cx="4886325" cy="2691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8632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Figure 7. Dose Response and Tumor Control Rates Demonstrate Meaningful Clinical Benefit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1288415</wp:posOffset>
            </wp:positionH>
            <wp:positionV relativeFrom="page">
              <wp:posOffset>808990</wp:posOffset>
            </wp:positionV>
            <wp:extent cx="4980305" cy="3531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4980305"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8. High Vision Preservation Rates with 12 Months of Follow Up.</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b w:val="1"/>
          <w:bCs w:val="1"/>
          <w:color w:val="auto"/>
        </w:rPr>
        <w:t xml:space="preserve">Phase 3 Randomized Controlled Trial: </w:t>
      </w:r>
      <w:r>
        <w:rPr>
          <w:rFonts w:ascii="Arial" w:cs="Arial" w:eastAsia="Arial" w:hAnsi="Arial"/>
          <w:sz w:val="18"/>
          <w:szCs w:val="18"/>
          <w:color w:val="auto"/>
        </w:rPr>
        <w:t>The Phase 3 trial is designed as a superiority trial comparing bel-sar versus sham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via SC injection followed by laser light activation. The trial is a global, randomized, multi-center, masked study. It is intended to enroll approximately 100 patients randomized 2:1:2 to receive the high dose regimen of bel-sar, low dose regimen of bel-sar, or a sham control. The primary endpoint is time to tumor progression, and the first key secondary endpoint is a composite time to event analysis. Endpoints will only compare the bel-sar high dose regimen to sham when the last patient completes 15 months of follow up. The trial is powered at greater than 90%. We expect to complete enrollment for this Phase 3 trial by mid-2026, with topline data for the 15-month primary endpoint anticipated in the second half of 2027. (ClinicalTrials.gov ID: NCT06007690)</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design of the trial and the endpoints utilized have been agreed upon through an SPA with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137795</wp:posOffset>
            </wp:positionV>
            <wp:extent cx="5391785" cy="1602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91785"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9. Global Phase 3 Trial Design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both"/>
        <w:ind w:firstLine="509"/>
        <w:spacing w:after="0" w:line="244" w:lineRule="auto"/>
        <w:rPr>
          <w:sz w:val="20"/>
          <w:szCs w:val="20"/>
          <w:color w:val="auto"/>
        </w:rPr>
      </w:pPr>
      <w:r>
        <w:rPr>
          <w:rFonts w:ascii="Arial" w:cs="Arial" w:eastAsia="Arial" w:hAnsi="Arial"/>
          <w:sz w:val="18"/>
          <w:szCs w:val="18"/>
          <w:color w:val="auto"/>
        </w:rPr>
        <w:t>The trial is patient, assessor (VA examiners and Independent Reading Center, or IRC, readers) and sponsor masked. Masked readers at the IRC will assess the imaging data-based efficacy assessments including tumor thickness and largest basal diameter, or LBD, during the trial. Best corrected visual acuity will be assessed using the ETDRS protocol by masked, certified, VA examiners. All measures will be taken to mask the patients during their trial participation period including the use of sham SC injections and sham laser on assigned treatment days.</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Any patient in the trial who meets the tumor progression definition will be treated with SoC therapies as rescue treatment per Investigator judgment. SoC therapies will include, but are not limited to, brachytherapy and proton beam therapy. This will ensure that no patient has a delayed treatment if the tumor is progressing, and importantly, that all of the sham patients receive their SoC treatment in a timely manner and no later than in regular clinical practice.</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trial is powered at greater than 90%. Since there is no drug approved for the treatment of choroidal melanoma, we have aligned with FDA that a statistically significant difference on the primary endpoint will provide support from a regulatory perspective to meet the requirement of clinical effectiveness. Based on the SPA, the FDA has agreed that the design and planned analysis of the study can adequately address objectives in support of a regulatory submission.</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If warranted by the data, we plan to submit the results of the Phase 3 trial to support approval of bel-sar for the treatment of early choroidal melanoma. Based on the results of the Phase 3 trial, if positive, and a lack of therapies approved for the treatment of this rare disease, with the current SoC with radiotherapy causing patients irreversible vision loss, the FDA and EMA may agree to grant approval based on a single Phase 3 trial. However, the FDA and/or EMA may require two Phase 3 trials for approval, which will be addressed subsequent to reviewing the data from the Phase 3 trial with the regulators.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Registry Study</w:t>
      </w:r>
    </w:p>
    <w:p>
      <w:pPr>
        <w:spacing w:after="0" w:line="6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Based on discussions with the FDA and EMA, we will monitor patients in a long-term registry study, for a total of five years after start of dosing in the parent study. All 57 patients enrolled in the Phase 1b/2 trial (AU-011-101) with intravitreal administration completed the trial and 45/57 elected to enter the registry study. In addition, 18/22 patients from the Phase 2 trial (AU-011-202) with SC administration also elected to enter the registry study. The data collected in the registry study is intended to assess the long-term (5 total years) safety, rate of metastatic disease, and mortality from bel-sar treatment.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Retrospective natural history study to evaluate long-term visual acuity benefit versus plaque brachytherapy</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ability to demonstrate tumor control with long-term visual acuity preservation supports the potential of bel-sar to become the SoC for the first-line treatment of patients with early choroidal melanoma compared to an invasive radiotherapy procedure that leaves most patients with irreversible vision loss and other long-term comorbidities. To demonstrate the long-term visual decline that patients (who would otherwise have been eligible for our clinical trials) experienced by undergoing radiotherapy, we have conducted a retrospective natural history study to evaluate the visual acuity of patients treated with plaque brachytherapy who were matched to actual patients in our Phase 1b/2 study with IVT administration to provide an estimate of the vision benefit of bel-sar. This study is discussed below.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 w:name="page16"/>
    <w:bookmarkEnd w:id="15"/>
    <w:p>
      <w:pPr>
        <w:jc w:val="both"/>
        <w:ind w:firstLine="509"/>
        <w:spacing w:after="0" w:line="239" w:lineRule="auto"/>
        <w:rPr>
          <w:sz w:val="20"/>
          <w:szCs w:val="20"/>
          <w:color w:val="auto"/>
        </w:rPr>
      </w:pPr>
      <w:r>
        <w:rPr>
          <w:rFonts w:ascii="Arial" w:cs="Arial" w:eastAsia="Arial" w:hAnsi="Arial"/>
          <w:sz w:val="18"/>
          <w:szCs w:val="18"/>
          <w:color w:val="auto"/>
        </w:rPr>
        <w:t>We conducted a retrospective natural history study comparing a group of historic patients that underwent radiotherapy, who were matched to the 43 patients in our Phase 1b/2 trial with IVT administration, in terms of patient and tumor factors such as tumor size and location. Like the patients in our Phase 1b/2 study, tumors in the matched patients were at high risk for vision loss due to their locations close to the fovea or optic disc. The matched patients had all been previously treated with brachytherapy at the Wills Eye Hospital Ocular Oncology Service led by Dr. Carol Shields, and had long-term follow-up. This study matched patients up to 5:1 using the key baseline characteristics that impact long-term visual acuity – tumor location, tumor size and baseline visual acuity – to determine the visual acuity after radiation treatment for small tumors that might otherwise have been considered for bel-sar treatment in a clinical trial. As shown in Figure 10, matched patients who underwent radiotherapy demonstrated progressive vision loss. At five years post-treatment, mean visual acuity was &lt;20/200 (20/200 is the definition of “legal blindness”), with a mean loss in vision of almost 50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128270</wp:posOffset>
            </wp:positionV>
            <wp:extent cx="4783455" cy="131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8345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Figure 10. A) Vision Loss, and B) Visual Acuity Outcomes, after Treatment with Brachytherapy</w:t>
      </w:r>
    </w:p>
    <w:p>
      <w:pPr>
        <w:spacing w:after="0" w:line="21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believe that the results of this retrospective study validate and strengthen our data supporting that treatment with bel-sar provides an important advantage in terms of vision preservation compared to brachytherapy, as a first line treatment option for early-stage disease.</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to these data, we have initiated a long-term follow up study to assess long-term safety and efficacy outcomes from participants in the Phase 3 trial.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Metastases to the Choroid</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Metastases to the choroid, where different types of primary cancers from elsewhere in the body (e.g., breast and lung cancer) metastasize to the eye, is an even more common cause of intraocular malignancy than primary (i.e., originating within the eye) choroidal melanoma. There is a high unmet need in these patients, as current therapy consists primarily of external radiotherapy, which is typically given daily for four weeks, which comes with a very high treatment burden and with ocular morbidity. As such, an easier-to-apply treatment that preserves vision is needed. These patients are treated by the same ocular oncologists that treat choroidal melanoma. We have an open IND in the United States and have received Fast Track Designation from the FDA’s Division of Oncology in metastases to the choroid. We continue to enroll patients in the ongoing Phase 2 clinical trial in metastases to the choroid and we expect early proof-of-concept data from this trial in 2026.</w:t>
      </w:r>
    </w:p>
    <w:p>
      <w:pPr>
        <w:spacing w:after="0" w:line="31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Phase 2 trial is expected to enroll approximately 12-24 patients with unilateral/unifocal metastasis to the choroid, arising from any primary solid tumor. The goal of the study is to evaluate safety and early efficacy, including tumor shrinkage and visual acuity, to establish the dose and the dosing regimen for future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205105</wp:posOffset>
            </wp:positionV>
            <wp:extent cx="5357495" cy="668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5749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11. Metastases to the choroid Phase 2 Trial Design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Cancers of the Ocular Surface</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212121"/>
        </w:rPr>
        <w:t>We are also evaluating the development of bel-sar in cancers of the ocular surface. Ocular surface tumors are tumors that start in the conjunctiva and are treated by the same ocular oncologists that treat choroidal melanoma and metastases to the choroid. These tumors are diagnosed early, when they are not yet metastatic, not unlike choroidal melanoma. However, they remain life-threatening – despite early diagnosis and therapeutic options including disfiguring surgeries, 5-year mortality for conjunctival melanoma remains approximately 25%. Ocular surface tumors are known to be immunologically ‘hot’, that is, susceptible to control through normal immune mechanisms and immune-modulating therapies. This could allow us to benefit from the immune activation that is part of our mechanism of action, as we have demonstrated with bladder tumors (see below).</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242424"/>
        </w:rPr>
        <w:t>There are currently no drugs approved for cancers of the ocular surface, and patients are treated with surgery, off-label chemotherapy, and radiation. The readily accessible location of these tumors, on the surface of the eye, would be expected to facilitate local treatment with bel-sar in clinic. We are initiating a Phase 1 proof-of-concept trial in Australia to assess safety, feasibility, and tumor response through histopathological evaluation at a 2-4 week time point. Development activities for this program are ongoing, with early proof-of-concept data from the Phase 1 trial expected in 2026.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Urologic Oncology</w:t>
      </w:r>
    </w:p>
    <w:p>
      <w:pPr>
        <w:spacing w:after="0" w:line="7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are actively leveraging our precision oncology platform to advance the development of bel-sar in urologic oncology, with ongoing clinical development. We believe bel-sar has the potential, if approved, to serve as an immune-based, function-preserving and organ-sparing treatment approach, offering a novel therapeutic option for patients.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Bladder Cancer Overview</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Bladder cancer is the most common malignancy of the urinary system and remains a significant global health concern, with over 600,000 new cases diagnosed annually, making it the ninth most diagnosed cancer worldwide. In the United States, it ranks as the eighth leading cause of cancer-related deaths in men. The disease primarily affects men and individuals over the age of 65. The primary risk factor is smoking, responsible for approximately half of all cases, followed by occupational exposure to certain chemicals, chronic infections, and genetic predispositions. Most patients are diagnosed at a localized stage; within this group, about 75% have NMIBC, while 25% present with muscle-invasive bladder cancer, or MIBC. Early detection and reducing exposure to known carcinogens, particularly tobacco, are crucial for prevention and improved outcomes.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Current Treatment Options for Bladder Cancer</w:t>
      </w:r>
    </w:p>
    <w:p>
      <w:pPr>
        <w:spacing w:after="0" w:line="21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Although several adjuvant intravesical therapies are utilized for patients with NMIBC, there are limited FDA-approved treatment options specifically indicated for low-grade, intermediate-risk NMIBC. In high-risk NMIBC, various intravesical therapies, including BCG, are approved and commonly used as adjuvant treatments following surgical resection. However, their efficacy is limited by several factors, including BCG shortages and treatment-related adverse events that often lead to early discontinuation, ultimately leaving patients at a substantial risk of recurrence, disease progression, and long-term bladder function impairment.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732155</wp:posOffset>
            </wp:positionV>
            <wp:extent cx="5246370" cy="21431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24637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400"/>
        <w:spacing w:after="0"/>
        <w:rPr>
          <w:sz w:val="20"/>
          <w:szCs w:val="20"/>
          <w:color w:val="auto"/>
        </w:rPr>
      </w:pPr>
      <w:r>
        <w:rPr>
          <w:rFonts w:ascii="Arial" w:cs="Arial" w:eastAsia="Arial" w:hAnsi="Arial"/>
          <w:sz w:val="19"/>
          <w:szCs w:val="19"/>
          <w:b w:val="1"/>
          <w:bCs w:val="1"/>
          <w:i w:val="1"/>
          <w:iCs w:val="1"/>
          <w:color w:val="auto"/>
          <w:vertAlign w:val="superscript"/>
        </w:rPr>
        <w:t>a</w:t>
      </w:r>
      <w:r>
        <w:rPr>
          <w:rFonts w:ascii="Arial" w:cs="Arial" w:eastAsia="Arial" w:hAnsi="Arial"/>
          <w:sz w:val="14"/>
          <w:szCs w:val="14"/>
          <w:i w:val="1"/>
          <w:iCs w:val="1"/>
          <w:color w:val="auto"/>
        </w:rPr>
        <w:t>42-84% of low-grade intermediate-risk patient develop recurrence</w:t>
      </w:r>
      <w:r>
        <w:rPr>
          <w:rFonts w:ascii="Arial" w:cs="Arial" w:eastAsia="Arial" w:hAnsi="Arial"/>
          <w:sz w:val="14"/>
          <w:szCs w:val="14"/>
          <w:b w:val="1"/>
          <w:bCs w:val="1"/>
          <w:i w:val="1"/>
          <w:iCs w:val="1"/>
          <w:color w:val="auto"/>
        </w:rPr>
        <w:t>.</w:t>
      </w:r>
      <w:r>
        <w:rPr>
          <w:rFonts w:ascii="Arial" w:cs="Arial" w:eastAsia="Arial" w:hAnsi="Arial"/>
          <w:sz w:val="19"/>
          <w:szCs w:val="19"/>
          <w:b w:val="1"/>
          <w:bCs w:val="1"/>
          <w:i w:val="1"/>
          <w:iCs w:val="1"/>
          <w:color w:val="auto"/>
          <w:vertAlign w:val="superscript"/>
        </w:rPr>
        <w:t>4,5</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4"/>
          <w:szCs w:val="14"/>
          <w:b w:val="1"/>
          <w:bCs w:val="1"/>
          <w:i w:val="1"/>
          <w:iCs w:val="1"/>
          <w:color w:val="auto"/>
        </w:rPr>
        <w:t>1</w:t>
      </w:r>
      <w:r>
        <w:rPr>
          <w:rFonts w:ascii="Arial" w:cs="Arial" w:eastAsia="Arial" w:hAnsi="Arial"/>
          <w:sz w:val="14"/>
          <w:szCs w:val="14"/>
          <w:i w:val="1"/>
          <w:iCs w:val="1"/>
          <w:color w:val="auto"/>
        </w:rPr>
        <w:t>. Holzbeierlein JM et al. J Urol. 2024;212(1):3–10.</w:t>
      </w:r>
      <w:r>
        <w:rPr>
          <w:rFonts w:ascii="Arial" w:cs="Arial" w:eastAsia="Arial" w:hAnsi="Arial"/>
          <w:sz w:val="14"/>
          <w:szCs w:val="14"/>
          <w:b w:val="1"/>
          <w:bCs w:val="1"/>
          <w:i w:val="1"/>
          <w:iCs w:val="1"/>
          <w:color w:val="auto"/>
        </w:rPr>
        <w:t xml:space="preserve"> 2</w:t>
      </w:r>
      <w:r>
        <w:rPr>
          <w:rFonts w:ascii="Arial" w:cs="Arial" w:eastAsia="Arial" w:hAnsi="Arial"/>
          <w:sz w:val="14"/>
          <w:szCs w:val="14"/>
          <w:i w:val="1"/>
          <w:iCs w:val="1"/>
          <w:color w:val="auto"/>
        </w:rPr>
        <w:t>. Holzbeierlein JM et al. J Urol. 2024 Apr;211(4):533-538.</w:t>
      </w:r>
      <w:r>
        <w:rPr>
          <w:rFonts w:ascii="Arial" w:cs="Arial" w:eastAsia="Arial" w:hAnsi="Arial"/>
          <w:sz w:val="14"/>
          <w:szCs w:val="14"/>
          <w:b w:val="1"/>
          <w:bCs w:val="1"/>
          <w:i w:val="1"/>
          <w:iCs w:val="1"/>
          <w:color w:val="auto"/>
        </w:rPr>
        <w:t xml:space="preserve"> 3</w:t>
      </w:r>
      <w:r>
        <w:rPr>
          <w:rFonts w:ascii="Arial" w:cs="Arial" w:eastAsia="Arial" w:hAnsi="Arial"/>
          <w:sz w:val="14"/>
          <w:szCs w:val="14"/>
          <w:i w:val="1"/>
          <w:iCs w:val="1"/>
          <w:color w:val="auto"/>
        </w:rPr>
        <w:t>. Internal Aura epidemiology of market size; data on file.</w:t>
      </w:r>
      <w:r>
        <w:rPr>
          <w:rFonts w:ascii="Arial" w:cs="Arial" w:eastAsia="Arial" w:hAnsi="Arial"/>
          <w:sz w:val="14"/>
          <w:szCs w:val="14"/>
          <w:b w:val="1"/>
          <w:bCs w:val="1"/>
          <w:i w:val="1"/>
          <w:iCs w:val="1"/>
          <w:color w:val="auto"/>
        </w:rPr>
        <w:t xml:space="preserve"> 4</w:t>
      </w:r>
      <w:r>
        <w:rPr>
          <w:rFonts w:ascii="Arial" w:cs="Arial" w:eastAsia="Arial" w:hAnsi="Arial"/>
          <w:sz w:val="14"/>
          <w:szCs w:val="14"/>
          <w:i w:val="1"/>
          <w:iCs w:val="1"/>
          <w:color w:val="auto"/>
        </w:rPr>
        <w:t>.</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i w:val="1"/>
          <w:iCs w:val="1"/>
          <w:color w:val="auto"/>
        </w:rPr>
        <w:t xml:space="preserve">Shalata AT, et al. Cancers (Basel). 2022;14(20):5019. </w:t>
      </w:r>
      <w:r>
        <w:rPr>
          <w:rFonts w:ascii="Arial" w:cs="Arial" w:eastAsia="Arial" w:hAnsi="Arial"/>
          <w:sz w:val="14"/>
          <w:szCs w:val="14"/>
          <w:b w:val="1"/>
          <w:bCs w:val="1"/>
          <w:i w:val="1"/>
          <w:iCs w:val="1"/>
          <w:color w:val="auto"/>
        </w:rPr>
        <w:t>5</w:t>
      </w:r>
      <w:r>
        <w:rPr>
          <w:rFonts w:ascii="Arial" w:cs="Arial" w:eastAsia="Arial" w:hAnsi="Arial"/>
          <w:sz w:val="14"/>
          <w:szCs w:val="14"/>
          <w:i w:val="1"/>
          <w:iCs w:val="1"/>
          <w:color w:val="auto"/>
        </w:rPr>
        <w:t>. van Rhijn BWG, et al. Eur Urol. 2009;56(3):430–42.</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i w:val="1"/>
          <w:iCs w:val="1"/>
          <w:color w:val="auto"/>
        </w:rPr>
        <w:t>BCG</w:t>
      </w:r>
      <w:r>
        <w:rPr>
          <w:rFonts w:ascii="Arial" w:cs="Arial" w:eastAsia="Arial" w:hAnsi="Arial"/>
          <w:sz w:val="14"/>
          <w:szCs w:val="14"/>
          <w:i w:val="1"/>
          <w:iCs w:val="1"/>
          <w:color w:val="auto"/>
        </w:rPr>
        <w:t>, Bacillus Calmette-Guérin;</w:t>
      </w:r>
      <w:r>
        <w:rPr>
          <w:rFonts w:ascii="Arial" w:cs="Arial" w:eastAsia="Arial" w:hAnsi="Arial"/>
          <w:sz w:val="14"/>
          <w:szCs w:val="14"/>
          <w:b w:val="1"/>
          <w:bCs w:val="1"/>
          <w:i w:val="1"/>
          <w:iCs w:val="1"/>
          <w:color w:val="auto"/>
        </w:rPr>
        <w:t xml:space="preserve"> CIS</w:t>
      </w:r>
      <w:r>
        <w:rPr>
          <w:rFonts w:ascii="Arial" w:cs="Arial" w:eastAsia="Arial" w:hAnsi="Arial"/>
          <w:sz w:val="14"/>
          <w:szCs w:val="14"/>
          <w:i w:val="1"/>
          <w:iCs w:val="1"/>
          <w:color w:val="auto"/>
        </w:rPr>
        <w:t>, carcinoma in situ;</w:t>
      </w:r>
      <w:r>
        <w:rPr>
          <w:rFonts w:ascii="Arial" w:cs="Arial" w:eastAsia="Arial" w:hAnsi="Arial"/>
          <w:sz w:val="14"/>
          <w:szCs w:val="14"/>
          <w:b w:val="1"/>
          <w:bCs w:val="1"/>
          <w:i w:val="1"/>
          <w:iCs w:val="1"/>
          <w:color w:val="auto"/>
        </w:rPr>
        <w:t xml:space="preserve"> IR</w:t>
      </w:r>
      <w:r>
        <w:rPr>
          <w:rFonts w:ascii="Arial" w:cs="Arial" w:eastAsia="Arial" w:hAnsi="Arial"/>
          <w:sz w:val="14"/>
          <w:szCs w:val="14"/>
          <w:i w:val="1"/>
          <w:iCs w:val="1"/>
          <w:color w:val="auto"/>
        </w:rPr>
        <w:t>, intermediate risk;</w:t>
      </w:r>
      <w:r>
        <w:rPr>
          <w:rFonts w:ascii="Arial" w:cs="Arial" w:eastAsia="Arial" w:hAnsi="Arial"/>
          <w:sz w:val="14"/>
          <w:szCs w:val="14"/>
          <w:b w:val="1"/>
          <w:bCs w:val="1"/>
          <w:i w:val="1"/>
          <w:iCs w:val="1"/>
          <w:color w:val="auto"/>
        </w:rPr>
        <w:t xml:space="preserve"> NMIBC</w:t>
      </w:r>
      <w:r>
        <w:rPr>
          <w:rFonts w:ascii="Arial" w:cs="Arial" w:eastAsia="Arial" w:hAnsi="Arial"/>
          <w:sz w:val="14"/>
          <w:szCs w:val="14"/>
          <w:i w:val="1"/>
          <w:iCs w:val="1"/>
          <w:color w:val="auto"/>
        </w:rPr>
        <w:t>, non-muscle-invasive bladder cancer;</w:t>
      </w:r>
      <w:r>
        <w:rPr>
          <w:rFonts w:ascii="Arial" w:cs="Arial" w:eastAsia="Arial" w:hAnsi="Arial"/>
          <w:sz w:val="14"/>
          <w:szCs w:val="14"/>
          <w:b w:val="1"/>
          <w:bCs w:val="1"/>
          <w:i w:val="1"/>
          <w:iCs w:val="1"/>
          <w:color w:val="auto"/>
        </w:rPr>
        <w:t xml:space="preserve"> TURBT</w:t>
      </w:r>
      <w:r>
        <w:rPr>
          <w:rFonts w:ascii="Arial" w:cs="Arial" w:eastAsia="Arial" w:hAnsi="Arial"/>
          <w:sz w:val="14"/>
          <w:szCs w:val="14"/>
          <w:i w:val="1"/>
          <w:iCs w:val="1"/>
          <w:color w:val="auto"/>
        </w:rPr>
        <w:t>, transurethral resection of bladder tumor</w:t>
      </w:r>
      <w:r>
        <w:rPr>
          <w:rFonts w:ascii="Arial" w:cs="Arial" w:eastAsia="Arial" w:hAnsi="Arial"/>
          <w:sz w:val="14"/>
          <w:szCs w:val="14"/>
          <w:b w:val="1"/>
          <w:bCs w:val="1"/>
          <w:color w:val="auto"/>
        </w:rPr>
        <w:t>.</w:t>
      </w: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Figure 12. Distribution of Risk Categories and Associated Treatments of NMIBC</w:t>
      </w:r>
    </w:p>
    <w:p>
      <w:pPr>
        <w:spacing w:after="0" w:line="21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For MIBC, the current standard of care consists of neoadjuvant systemic therapy followed by radical cystectomy and/or adjuvant systemic treatment post-cystectomy. Despite available therapies, there remains a significant unmet medical need in both NMIBC and MIBC for safe and effective function- and organ-sparing treatment options.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Bel-sar in Bladder Cancer</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nonclinical in vivo data support bel-sar’s dual mechanism of action, demonstrating its potential to induce cytotoxicity and promote long-term antitumor immunity, which may help reduce the risk of recurrence and progression. Additionally, we have shown in preclinical studies that bel-sar exhibits strong synergy with checkpoint inhibitors, which are approved for a subset of patients with NMIBC, further enhancing its therapeutic potential. Given the well-documented sensitivity of bladder cancer to immune activation, we believe this immune response can play a critical role in improving treatment outcomes. We have announced positive data from our Phase 1 clinical trial of bel-sar in patients with NMIBC and have an ongoing Phase 1b/2 trial evaluating additional doses and cycles in intermediate and high-risk NMIBC patients. We anticipate initial three-month clinical data from this Phase 1b/2 trial in mid-2026. We received Fast Track Designation from the FDA for bel-sar for the treatment of NMIBC in June 2022.</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believe the immune response induced by bel-sar could play an even greater role in improving outcomes, given the well-documented immune sensitivity of bladder cancer. The immune sensitivity is further supported by the effectiveness of immune-modulating therapies such as BCG. In nonclinical studies, bel-sar effectively targeted bladder cancer cells in both in vitro and in vivo tumor models. Light activation of bel-sar resulted in selective cytotoxicity, eliminating bladder tumor cells while sparing normal surrounding tissue. This targeted cell killing triggered a pro-immunogenic antitumor response, leading to complete and durable tumor regressions in mouse xenograft models and preventing tumor re-implantation. These preclinical findings highlight bel-sar’s potential to generate lasting antitumor immunity and prevent tumor recurrence. Additionally, nonclinical data indicate that bel-sar exhibits strong synergy with checkpoint inhibitors, including those with mechanisms of action similar to already approved and emerging immunotherapies for bladder cancer patients.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835025</wp:posOffset>
            </wp:positionV>
            <wp:extent cx="5760720" cy="3197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Figure 13. Overview of Bel-sar’s Dual Mechanism of Action with Acute Tumor Cell Necrosis and Secondary Antitumor Immunity.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in Bladder Cancer</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Phase 1 Window of Opportunity Study: </w:t>
      </w:r>
      <w:r>
        <w:rPr>
          <w:rFonts w:ascii="Arial" w:cs="Arial" w:eastAsia="Arial" w:hAnsi="Arial"/>
          <w:sz w:val="18"/>
          <w:szCs w:val="18"/>
          <w:color w:val="auto"/>
        </w:rPr>
        <w:t>The Phase 1 multi-center, open-label clinical trial was designed to evaluate the safety and</w:t>
      </w:r>
      <w:r>
        <w:rPr>
          <w:rFonts w:ascii="Arial" w:cs="Arial" w:eastAsia="Arial" w:hAnsi="Arial"/>
          <w:sz w:val="18"/>
          <w:szCs w:val="18"/>
          <w:b w:val="1"/>
          <w:bCs w:val="1"/>
          <w:color w:val="auto"/>
        </w:rPr>
        <w:t xml:space="preserve"> </w:t>
      </w:r>
      <w:r>
        <w:rPr>
          <w:rFonts w:ascii="Arial" w:cs="Arial" w:eastAsia="Arial" w:hAnsi="Arial"/>
          <w:sz w:val="18"/>
          <w:szCs w:val="18"/>
          <w:color w:val="auto"/>
        </w:rPr>
        <w:t>feasibility of bel-sar as a monotherapy. The study treatment was administered seven to 12 days before the scheduled TURBT, the standard of care procedure. The participants were followed for safety monitoring over a 56-day period. The trial also evaluated bel-sar’s biological activity with histopathological evaluation of tissue samples collected at the time of TURBT (regardless of tumor response) with evaluation of focal necrosis and immune changes in the tumor microenvironment as secondary endpoints.</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Part 1 of the study (n=5), patients received a single dose of bel-sar without light activation to evaluate its safety profile. Part 2 of the study (n=12) was designed to evaluate three different cohorts of patients with a confirmed tumor at time of treatment, who received either 100ug or 200ug of bel-sar as a single dose.</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announced initial data from this trial in October 2024 and provided additional data in March 2025. Ten of the patients enrolled in part 2 of the study were evaluable for biological activity. Among these ten patients, five had intermediate-risk NMIBC and five had high-risk NMIBC. Eight of these ten patients had a history of recurrent bladder cancer and had undergone multiple TURBTs and adjuvant treatments such as BCG, mitomycin, gemcitabine, cetrelimab and tamoxifen prior to trial enrollment.</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Bel-sar was well-tolerated, with less than 10% of patients reporting Grade 1 drug-related adverse events and no reports of Grade 2 or higher drug-related adverse events. No serious adverse events were reported, and no significant differences between the light-activated and non-light activated cohorts were observed.</w:t>
      </w:r>
    </w:p>
    <w:p>
      <w:pPr>
        <w:spacing w:after="0" w:line="16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Part 2, the ten patients who received bel-sar with light activation showed clinical activity detectable as soon as seven days after a single low dose of bel-sar with light activation. This was demonstrated by histopathological evidence of clinical complete response, necrosis, immune activation, or visual tumor shrinkage observed on cystoscopy. In contrast, no clinical activity was seen in the five patients receiving bel-sar with no light activation. For this analysis, a “clinical complete response” was defined as the absence of tumor cells on histopathologic evaluation, with results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both"/>
        <w:ind w:left="102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Intermediate-risk NMIBC: </w:t>
      </w:r>
      <w:r>
        <w:rPr>
          <w:rFonts w:ascii="Arial" w:cs="Arial" w:eastAsia="Arial" w:hAnsi="Arial"/>
          <w:sz w:val="18"/>
          <w:szCs w:val="18"/>
          <w:color w:val="auto"/>
        </w:rPr>
        <w:t>Four out of five patients exhibited a clinical complete response, with no tumor cells detected in</w:t>
      </w:r>
      <w:r>
        <w:rPr>
          <w:rFonts w:ascii="Arial" w:cs="Arial" w:eastAsia="Arial" w:hAnsi="Arial"/>
          <w:sz w:val="18"/>
          <w:szCs w:val="18"/>
          <w:b w:val="1"/>
          <w:bCs w:val="1"/>
          <w:color w:val="auto"/>
        </w:rPr>
        <w:t xml:space="preserve"> </w:t>
      </w:r>
      <w:r>
        <w:rPr>
          <w:rFonts w:ascii="Arial" w:cs="Arial" w:eastAsia="Arial" w:hAnsi="Arial"/>
          <w:sz w:val="18"/>
          <w:szCs w:val="18"/>
          <w:color w:val="auto"/>
        </w:rPr>
        <w:t>histopathological evaluation post-treatment in the target and several non-target bladder tumors and necrosis was observed in three out of five patients. In addition, visual tumor shrinkage was observed in several non-target tumors on cystoscopy.</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High-risk NMIBC: </w:t>
      </w:r>
      <w:r>
        <w:rPr>
          <w:rFonts w:ascii="Arial" w:cs="Arial" w:eastAsia="Arial" w:hAnsi="Arial"/>
          <w:sz w:val="18"/>
          <w:szCs w:val="18"/>
          <w:color w:val="auto"/>
        </w:rPr>
        <w:t>One of the patients with high-risk disease (based on BCG failure) had a clinical complete response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target lesion and in one of three non-target lesions. Visual tumor shrinkage was observed in three of five patients on cystoscopy, while tumor cells were still present on histopathological evaluation.</w:t>
      </w:r>
    </w:p>
    <w:p>
      <w:pPr>
        <w:spacing w:after="0" w:line="17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Additionally, immune activation was noted in all ten patients in both target and non-target bladder tumors. Furthermore, four out of seven patients with multiple tumors (57%) demonstrated a clinical complete response in at least one non-target lesion with infiltration of effector CD8+ and CD4+ T-cells. This data provides evidence of a bladder urothelial field effect with a single low-dose of bel-sar with light activation, potentially indicating a broader immune response and immune surveillance in the bladder beyond the target tumor in these patients.</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To evaluate the local immune response after the treatment with bel-sar in the tumor microenvironment, or TME, multiplex immunofluorescence staining for key immune cell types was performed on tumor biopsies from the Phase 1 trial. These data (n=5 patients from the Phase 1 trial) revealed that a single focal administration of bel-sar induced adaptive immune memory through generation of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mature tertiary lymphoid structures, or TLS, in three of five participants evaluated. Bel-sar also generated innate and adaptive effectors regardless of immune environment and converted immune-cold or exhausted lesions into active, immune-hot microenvironments. In treated lesions, natural killer cell density increased up to 40x, CD4+ cytolytic T cell density increased up to 7x, and CD4+ and CD8+ memory T cells were observed after bel-sar treatment. We believe this biological activity profile reinforces bel-sar's potential as a frontline therapy designed to treat the tumor, activate durable anti-tumor immunity, and reduce recurrence risk across the bladder cancer spectrum.</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b w:val="1"/>
          <w:bCs w:val="1"/>
          <w:color w:val="auto"/>
        </w:rPr>
        <w:t xml:space="preserve">Phase 1b/2 Trial: </w:t>
      </w:r>
      <w:r>
        <w:rPr>
          <w:rFonts w:ascii="Arial" w:cs="Arial" w:eastAsia="Arial" w:hAnsi="Arial"/>
          <w:sz w:val="18"/>
          <w:szCs w:val="18"/>
          <w:color w:val="auto"/>
        </w:rPr>
        <w:t>We are advancing the development of bel-sar in bladder cancer, with an initial focus on intermediate risk and high</w:t>
      </w:r>
      <w:r>
        <w:rPr>
          <w:rFonts w:ascii="Arial" w:cs="Arial" w:eastAsia="Arial" w:hAnsi="Arial"/>
          <w:sz w:val="18"/>
          <w:szCs w:val="18"/>
          <w:b w:val="1"/>
          <w:bCs w:val="1"/>
          <w:color w:val="auto"/>
        </w:rPr>
        <w:t xml:space="preserve"> </w:t>
      </w:r>
      <w:r>
        <w:rPr>
          <w:rFonts w:ascii="Arial" w:cs="Arial" w:eastAsia="Arial" w:hAnsi="Arial"/>
          <w:sz w:val="18"/>
          <w:szCs w:val="18"/>
          <w:color w:val="auto"/>
        </w:rPr>
        <w:t>risk NMIBC patients through a Phase 1b/2 trial. This study is designed to evaluate safety and additional doses and treatment regimens, allowing for the assessment of clinical response at three months and durability of response at up to 12 months. The Phase 1b/2 trial is ongoing in patients with NMIBC, with initial three-month clinical data expected in mid-2026. Additionally, we are planning further regulatory discussions focused on defining a registrational strategy to guide clinical development. The Phase 1b/2 study design is illustrated in Figure 14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382905</wp:posOffset>
            </wp:positionV>
            <wp:extent cx="5349240" cy="1560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Figure 14. Phase 1b/2 Trial in Intermediate and High Risk NMIBC Patients.</w:t>
      </w:r>
    </w:p>
    <w:p>
      <w:pPr>
        <w:spacing w:after="0" w:line="200" w:lineRule="exact"/>
        <w:rPr>
          <w:sz w:val="20"/>
          <w:szCs w:val="20"/>
          <w:color w:val="auto"/>
        </w:rPr>
      </w:pPr>
    </w:p>
    <w:p>
      <w:pPr>
        <w:spacing w:after="0" w:line="214"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Our goal is to establish bel-sar, if approved, as an immune-based frontline treatment, either as an immune-ablative approach that eliminates the need for TURBT or as a neoadjuvant therapy prior to TURBT in NMIBC patients. We also plan to evaluate bel-sar’s efficacy in patients with MIBC.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Other mHSPG-Expressing Tumors</w:t>
      </w:r>
    </w:p>
    <w:p>
      <w:pPr>
        <w:spacing w:after="0" w:line="6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HPV-derived VLPs have a unique tropism towards cancer cells based on their multivalent binding to modified HSPGs that are specifically found in tumor cells. In vitro, we have observed our VLPs bind to multiple cancer cell lines. In vivo</w:t>
      </w:r>
      <w:r>
        <w:rPr>
          <w:rFonts w:ascii="Arial" w:cs="Arial" w:eastAsia="Arial" w:hAnsi="Arial"/>
          <w:sz w:val="18"/>
          <w:szCs w:val="18"/>
          <w:i w:val="1"/>
          <w:iCs w:val="1"/>
          <w:color w:val="auto"/>
        </w:rPr>
        <w:t>,</w:t>
      </w:r>
      <w:r>
        <w:rPr>
          <w:rFonts w:ascii="Arial" w:cs="Arial" w:eastAsia="Arial" w:hAnsi="Arial"/>
          <w:sz w:val="18"/>
          <w:szCs w:val="18"/>
          <w:color w:val="auto"/>
        </w:rPr>
        <w:t xml:space="preserve"> we have also observed binding using our HPV-derived VLPs using xenografts of human tumor cell lines and allografts of murine tumor cell lines, like lung, ovarian, bladder, melanoma and colon. These results help to corroborate the thesis that multiple tumors appear to consistently express and specifically modify HSPGs. Accordingly, we believe we may be able treat a broad spectrum of solid tumors.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biotechnology and pharmaceutical industries are characterized by rapid innovation of new technologies, fierce competition and a strong defense of intellectual property. While we believe that bel-sar’s mechanism of action provides the opportunity and competitive advantage for an early intervention approach in cancer indications that do not have existing approved therapies, we may face competition from major pharmaceutical and biotechnology companies, academic institutions, governmental agencies and public and private research institutions, among others.</w:t>
      </w:r>
    </w:p>
    <w:p>
      <w:pPr>
        <w:spacing w:after="0" w:line="17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compete in the segments of the pharmaceutical, biotechnology, and companies focusing on developing oncology therapies . These companies include divisions of large pharmaceutical companies and biotechnology companies of various sizes. Any product candidates that we successfully develop and commercialize will compete with currently approved therapies and new therapies that may become available in the future from segments of the pharmaceutical, biotechnology and other related markets that pursue oncology therapeutics. Key product features that would affect our ability to effectively compete with other therapeutics include the efficacy, safety and convenience of our products.</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bel-sar and any future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Ocular Oncology</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Currently we are not aware of any other company that has a drug in clinical development for intervention in early choroidal melanoma, or for the local treatment of metastases to the choroid. The SoC as a first line treatment for patients is radiotherapy – plaque brachytherapy or proton beam irradiation for choroidal melanoma and external beam photon radiotherapy or proton beam irradiation for metastases to the choroid. Verteporfin (Visudyne) is currently used off label in some cases of small metastases to the choroid, but is generally not utilized for melanomas. Transpupillary thermotherapy is generally used as an adjunct to previous radiotherapy for melanoma, but in most cases is no longer used as a standalone treatment modality. All types of radiotherapy used for choroidal melanoma and metastases to the choroid, whether plaque, protons, or external photon irradiation, can be associated with vision loss and other ocular morbidities. It is possible that there may be other companies with compounds in preclinical development but we are not aware of any data that has been published or presented at any conference. Given our stage of development, we believe we are the furthest along in development. Our focus in ocular oncology is the early treatment of the primary cancer in the eye before it metastasizes. Immunocore Holdings PLC, or Immunocore, received FDA approval for KIMMTRAK® (tebentafusp-tebn) injection for metastatic uveal melanoma. Immunocore’s drug is indicated for the treatment of HLA-A*02:01-positive adult patients with unresectable or metastatic uveal melanoma and has not been developed to treat early-stage disease in the eye. Ideaya Biosciences is in Phase 2/3 clinical development to treat metastatic uveal melanoma. In addition, they have an ongoing Phase 2/3 study with neoadjuvant treatment in patients with large melanomas that are selected to receive enucleation, or neoadjuvant treatment in patients with medium-to-large tumors that are scheduled to receive radiotherapy, with the goal of preventing enucleation for large tumors or reducing the dose of radiotherapy for medium tumors. Neither of those drugs and the patient population they target overlap with our development plan and path to approval.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1" w:name="page22"/>
    <w:bookmarkEnd w:id="21"/>
    <w:p>
      <w:pPr>
        <w:ind w:left="1020"/>
        <w:spacing w:after="0"/>
        <w:rPr>
          <w:sz w:val="20"/>
          <w:szCs w:val="20"/>
          <w:color w:val="auto"/>
        </w:rPr>
      </w:pPr>
      <w:r>
        <w:rPr>
          <w:rFonts w:ascii="Arial" w:cs="Arial" w:eastAsia="Arial" w:hAnsi="Arial"/>
          <w:sz w:val="18"/>
          <w:szCs w:val="18"/>
          <w:i w:val="1"/>
          <w:iCs w:val="1"/>
          <w:color w:val="auto"/>
        </w:rPr>
        <w:t>Urologic Oncology</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There are multiple companies that have drugs on market and in clinical development for the treatment of NMIBC and MIBC. Pembrolizumab has been approved for the treatment of high-risk, or HR BCG-unresponsive NMIBC with carcinoma in situ, or CIS, (with or without papillary tumors) for patients who are unfit or unwilling to undergo radical cystectomy. Ferring Pharmaceuticals has obtained FDA approval for ADSTILADRIN for the treatment of adult patients with HR BCG-unresponsive NMIBC with CIS, with or without papillary tumors. ImmunityBio, Inc. has an approved drug, Anktiva, in combination with BCG in patients with HR BCG-unresponsive NMIBC. CG Oncology’s cretostimogene grenadenorepvec, or CG0070, has presented data in a global Phase 3 clinical trial as a monotherapy for the treatment of HR BCG-unresponsive NMIBC and has received breakthrough therapy designation and Fast Track Designation. The same drug is being studied as monotherapy for intermediate risk, or IR, NMIBC, in combination with KEYTRUDA for HR BCG-unresponsive NMIBC, and in combination with Nivolumab in MIBC. Inlexo, formerly TAR-200 (from Johnson &amp; Johnson Innovative Medicine), has received FDA approval for the treatment of adult patients with BCG-unresponsive HR NMIBC with CIS, with or without papillary tumors, and continues to be studied in multiple trials in HR NMIBC and MIBC. UroGen Pharma Ltd., or UroGen, has a drug, Jelmyto, which is a gel reformulation of mitomycin that is currently approved to treat low grade upper tract urothelial cancer. In addition, UroGen has obtained FDA approval for Zusduri, a mitomycin gel formulation, for the ablative treatment of recurrent low-grade IR NMIBC. In addition, there are several additional immune checkpoint inhibitors, or ICIs, in development as a monotherapy or in combination with intravesical treatments in an effort to improve efficacy and durability of response. In addition, there are several early-stage treatments in clinical development such as Protara Therapeutics, Inc.’s TARA-002, Asieris Pharmaceuticals’ APL-1202, and Trya Biosciences' Dabogratinib. While there are multiple drugs in development, we believe our competitive advantage as an early intervention approach may help reduce the risk of recurrence and metastasis, with a potentially reduced treatment burden for patients. In addition, the utilization of bel-sar may be synergistic with other approved therapies like checkpoint inhibitors.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License Agreements</w:t>
      </w:r>
    </w:p>
    <w:p>
      <w:pPr>
        <w:spacing w:after="0" w:line="79"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NIH Patent License Agreement</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September 2013, we entered into an exclusive patent license agreement, or the NIH License Agreement, with the NIH for certain intellectual property rights, which was amended in September 2015, August 2018 and April 2019. Under the NIH License Agreement, NIH granted us a worldwide, exclusive, sublicensable license to certain patent rights related to VLPs and papilloma pseudovirus for our development and use in combination with our proprietary nanoparticle encapsulation technology both (1) for the treatment, diagnosis and imaging of cancer tumors and metastases as well as their respective pre-cursor dysplasia states and (2) conjugated with light activated drugs for the diagnosis and treatment of cancer tumors and metastases as well as their respective pre-cursor dysplasia states.</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Pursuant to the NIH License Agreement, we are required to use commercially reasonable efforts to develop the licensed products using the licensed processes to make the licensed products available to the United States public on reasonable terms, including by adhering to a commercial development plan and meeting specified benchmarks with regards to specified deadlines for regulatory filings, initiation of clinical trials, and gaining regulatory approval for the licensed products.</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consideration of the rights granted under the NIH License Agreement, we paid NIH a one-time upfront payment of $0.1 million. We are required to make low single-digit percentage royalty payments based on specified levels of annual net sales of licensed products subject to certain specified reductions. We are required to make development and regulatory milestone payments up to $0.7 million in the aggregate and sales milestone payments up to $0.6 million in the aggregate. We are also required to pay NIH a mid-single to low teen-digit percentage of any sublicensing revenue we receive. Additionally, our payment obligations to NIH are subject to an annual minimum royalty payment of low five figures. We recognized milestones related to this agreement and related amendments of $0.04 million and $0.03 million for the years ended December 31, 2025 and 2024, respectively. In addition to milestones under the agreement, we reimburse NIH for any patent prosecution on costs incurred.</w:t>
      </w:r>
    </w:p>
    <w:p>
      <w:pPr>
        <w:spacing w:after="0" w:line="18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NIH License Agreement will terminate upon the last expiration of the patent rights, or we may terminate the entirety of the agreement upon written notice thereof to NIH. The expiry of the last to expire patent licensed under the agreement is September 2034.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b w:val="1"/>
          <w:bCs w:val="1"/>
          <w:i w:val="1"/>
          <w:iCs w:val="1"/>
          <w:color w:val="auto"/>
        </w:rPr>
        <w:t>Rakuten License and Supply Agreement</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As of April 16, 2024, LI-COR, Inc., or LI-COR, assigned, and Rakuten Medical, Inc., or Rakuten, assumed, the 2014 Exclusive Agreement and the 2014 Non-Exclusive Agreement relating to IRDye 700DX, each originally entered into by and between us and LI-COR. The 2014 Exclusive Agreement and 2014 Non-Exclusive Agreement were not otherwise modified by this assignment and assumption and remain in effect.</w:t>
      </w:r>
    </w:p>
    <w:p>
      <w:pPr>
        <w:spacing w:after="0" w:line="3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January 2014, we entered into an Exclusive License and Supply Agreement, or the 2014 Exclusive Agreement, with LI-COR for the license of IRDye 700DX and a related licensed patent (now expired) for the treatment and diagnosis of ocular cancers, ocular pre-cancer and indeterminate lesions in humans, as amended in January 2016, July 2017, April 2018 and April 2019. The 2014 Exclusive Agreement required a one-time upfront license issue fee of $0.1 million and requires aggregate milestone payments of up to $0.2 million upon certain regulatory and development milestones. We are also required to pay Rakuten low-single digit royalties on net sales.</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term of the 2014 Exclusive Agreement expires on a country-by-country basis, until the longer of (i) ten years from the first commercial sale of a licensed product in such country and (ii) the last to expire valid claim in such country.</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Clearside License Agreement</w:t>
      </w:r>
    </w:p>
    <w:p>
      <w:pPr>
        <w:spacing w:after="0" w:line="6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July 2019, we entered into a license agreement, as amended, or the Clearside License Agreement, with Clearside Biomedical, Inc., or Clearside Biomedical, for the license of Clearside’s SC microinjector technology. The Clearside License Agreement was subsequently assigned by Clearside Biomedical to Clearside Royalty LLC, or Clearside. Upon execution of the Clearside License Agreement, we paid Clearside Biomedical a one-time upfront payment of $ 0.1 million. Pursuant to an amendment to the Clearside License Agreement in March 2026, we paid Clearside an upfront payment of $ 1.0 million, and we are required to make a one-time payment of $1.5 million upon the occurrence of a specified regulatory achievement. Under the Clearside License Agreement, we are also required to pay milestones up to $21.0 million in the aggregate to Clearside upon the achievement of specified regulatory and development milestones, and upon the achievement of certain commercial sales milestones. We are also required to pay low to mid-single digit royalties on net sales. If we sublicense a product for which royalties are payable, then we are required to pay the greater of 20% received or low single digit royalties on net sales.</w:t>
      </w:r>
    </w:p>
    <w:p>
      <w:pPr>
        <w:spacing w:after="0" w:line="180"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Clearside License Agreement expires on a country-by-country basis upon the later of the last to expire patent or ten years from the date of the first commercial sale of a product. The expiry of the last to expire patent licensed under the agreement is August 2034.</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recognize any expenses related to this agreement and related amendments for the years ended December 31, 2025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success depends in part on our abilities to (1) obtain and maintain proprietary protection for our lead virus-like drug conjugate product candidate bel-sar, (2) defend and enforce our intellectual property rights, in particular, our patent rights, (3) preserve the confidentiality of our know-how relating to, for example, certain manufacturing steps, material components and characteristics of our formulations, and (4) operate without infringing valid and enforceable intellectual property rights of others. We seek to protect our proprietary position by, among other things, exclusively licensing United States and certain foreign patents and patent applications and filing United States and certain foreign patent applications related to bel-sar, where patent protection is available. We also rely on know-how, continuing technological innovation and confidential information as well as pursue licensing opportunities to develop and maintain our proprietary position and protect aspects of our business that are not amenable to, or that we do not consider appropriate for, patent protection. We seek to protect our proprietary technology, in part, by confidentiality agreements and invention assignment agreements with our employees, consultants, scientific advisors, contractors and others who may have access to proprietary information, under which they are bound to assign to us inventions made during the term of their employment or term of service. We also seek to preserve the integrity and confidentiality of our data by maintaining physical security of our premises and physical and electronic security of our information technology systems.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23" w:name="page24"/>
    <w:bookmarkEnd w:id="23"/>
    <w:p>
      <w:pPr>
        <w:jc w:val="both"/>
        <w:ind w:firstLine="509"/>
        <w:spacing w:after="0" w:line="244" w:lineRule="auto"/>
        <w:rPr>
          <w:sz w:val="20"/>
          <w:szCs w:val="20"/>
          <w:color w:val="auto"/>
        </w:rPr>
      </w:pPr>
      <w:r>
        <w:rPr>
          <w:rFonts w:ascii="Arial" w:cs="Arial" w:eastAsia="Arial" w:hAnsi="Arial"/>
          <w:sz w:val="18"/>
          <w:szCs w:val="18"/>
          <w:color w:val="auto"/>
        </w:rPr>
        <w:t>We cannot be sure that patents will be granted with respect to any patent applications we have licensed or filed or may license or file in the future, and we cannot be sure that any patents we have licensed or which have been granted to us, or patents that may be licensed or granted to us in the future, will not be challenged, invalidated or circumvented or that such patents will be commercially useful in protecting our technology. For more information regarding the risks related to our intellectual property, see “</w:t>
      </w:r>
      <w:r>
        <w:rPr>
          <w:rFonts w:ascii="Arial" w:cs="Arial" w:eastAsia="Arial" w:hAnsi="Arial"/>
          <w:sz w:val="18"/>
          <w:szCs w:val="18"/>
          <w:i w:val="1"/>
          <w:iCs w:val="1"/>
          <w:color w:val="auto"/>
        </w:rPr>
        <w:t>Risk Factors—Risks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intellectual property</w:t>
      </w:r>
      <w:r>
        <w:rPr>
          <w:rFonts w:ascii="Arial" w:cs="Arial" w:eastAsia="Arial" w:hAnsi="Arial"/>
          <w:sz w:val="18"/>
          <w:szCs w:val="18"/>
          <w:color w:val="auto"/>
        </w:rPr>
        <w:t>.”</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patent portfolio includes a combination of issued patents and pending patent applications that are owned by us, co-owned by us or licensed by us from third parties. As of March 30, 2025, we have an exclusive license (with regard to ocular cancers) and a non-exclusive license (with regard to solid tumors in humans for a specific indication) from Rakuten under one United States patent, which expired December 19, 2023; an exclusive license from NIH under four issued United States patents and three issued foreign patents; an exclusive license from INSERM-TRANSFERT, or Inserm, under three issued United States patents, and six granted foreign patents; and exclusive rights under a Cooperative Research and Development Agreement, or CRADA, with the United States Department of Health and Human Services, or DHHS, as represented by the National Cancer Institute, and Institute, Center, or Division of the NIH, under six issued United States patents, six pending non-provisional United States patent applications, nineteen foreign patents, and sixteen pending foreign patent applications.</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as of March 30, 2026, we solely own four issued United States patents, three pending non-provisional United States patent applications, one pending provisional United States patent application, three granted foreign patents, six pending foreign patent applications, and one pending International Patent Cooperation Treaty, or PCT, application. We intend to pursue, when possible, additional patent protection, including composition of matter, method of use and process claims related to bel-sar.</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Families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license one patent family from Rakuten and one patent family from the NIH, co-own and license one patent family from Inserm, co-own two patent families with DHHS/NIH and have exclusive rights under a CRADA, and solely own four patent families, all of which are generally directed to the bel-sar product and related methods of use and production.</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first family, licensed from Rakuten, includes one United States patent, which expired December 19, 2023. This patent includes claims directed to (1) fluorescent phthalocyanine dyes and (2) processes for making the dyes (e.g., the IRDye 700DX® dye molecules used in bel-sar).</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second family, licensed from NIH, includes four issued United States patents, one issued European patent, and one issued patent in each of Australia and Canada. Patents in this family include claims directed to (1) methods for inhibiting the proliferation of and/or killing of cancer cells using a therapeutic agent formulated with a papilloma VLP, (2) methods that include administering to a patient (e.g., a patient having a melanoma) a papilloma VLP having a fluorescent dye and exposing the dye to an excitation wavelength of light, and (3) methods for detecting cancer cells using a papilloma VLP having a detectable label. The patents in this patent family have a standard expiration date of May 1, 2028, subject to potential extensions.</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third family, which we co-own with and license from Inserm, includes three issued United States patents, two issued European patents, an issued patent in each of Canada, Hong Kong, India and Japan. Patents in this family include claims directed to (1) a modified papillomavirus (HPV16) L1 protein having reduced immunogenicity relative to wild-type HPV16 L1 protein and an FG loop having the specific amino acid sequence that is present in bel-sar, (2) nanoparticles comprising the modified L1 protein, (3) methods of using the modified L1 protein to deliver therapeutic agents, and/or (4) methods of producing nanoparticles comprising the modified L1 protein. The patents in this patent family have a standard expiration date of July 24, 2029, subject to potential extensions.</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fourth patent family, which we own, includes four issued United States patents. Patents in this family include claims directed to (1) codon-optimized nucleic acids having the particular nucleotide sequence that encodes the modified papillomavirus (HPV16) L1 protein present in bel-sar, (2) methods of producing nanoparticles that include the modified HPV16 L1 protein encoded by the codon-optimized nucleic acids, and (3) methods of using the nanoparticles that include the modified HPV16 L1 protein encoded by the codon-optimized nucleic acids to deliver a therapeutic agent to a patient having cancer. The patents in this patent family have a standard expiration date of February 7, 2033, subject to potential extensions.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4" w:name="page25"/>
    <w:bookmarkEnd w:id="24"/>
    <w:p>
      <w:pPr>
        <w:jc w:val="both"/>
        <w:ind w:firstLine="509"/>
        <w:spacing w:after="0"/>
        <w:rPr>
          <w:sz w:val="20"/>
          <w:szCs w:val="20"/>
          <w:color w:val="auto"/>
        </w:rPr>
      </w:pPr>
      <w:r>
        <w:rPr>
          <w:rFonts w:ascii="Arial" w:cs="Arial" w:eastAsia="Arial" w:hAnsi="Arial"/>
          <w:sz w:val="18"/>
          <w:szCs w:val="18"/>
          <w:color w:val="auto"/>
        </w:rPr>
        <w:t>The fifth patent family, which we co -own with DHHS/NIH and have exclusive rights under a CRADA, includes five issued United States patents, three issued patents in Australia, two issued patents in each of Europe and Japan, an issued patent in each of Brazil, Canada, Hong Kong, Republic of Korea and Mexico, one pending patent application in the United States, and one pending patent application in each of China and Europe. Patents in this family include claims directed to (1) tumor-targeting papilloma VLPs containing near infrared phthalocyanine dye molecules that become toxic or produce a toxic molecule upon light activation, (2) methods that include delivering the papilloma VLPs to an ocular tumor, and/or (3) methods of producing tumor-targeting bioconjugates that include the papilloma VLPs and near infrared phthalocyanine dye molecules. The patents in this patent family have a standard expiration date of September 18, 2034, subject to potential extensions.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sixth patent family, which we co-own with DHHS/NIH and have exclusive rights under a CRADA, includes a granted patent in each of the United States, Australia, and Japan, two granted patents in Israel, a pending patent application in each of the United States, Australia, Brazil, Canada, China, and Europe, and two pending patent applications in Japan. Patent applications in this family include claims to a combination therapy that uses (1) tumor-targeting papillomavirus nanoparticles containing photosensitive molecules and (2) a checkpoint inhibitor. Patents issuing from this family would have a standard expiration date of April 11, 2038, subject to potential extensions.</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seventh patent family, which we own, includes a granted patent in each of Australia, Europe, and China, a pending patent application in each of Australia, Canada, Europe, and Republic of Korea, and two pending applications in each of the United States and Japan with claims directed to an ophthalmic composition that includes a near-isotonic solution of VLP drug conjugates in suspension. Patents issuing from national stage applications based on this international application would have a standard expiration date of March 25, 2040, subject to potential extensions.</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eighth patent family, which we own, includes a pending International PCT application and a pending patent application in the United States with claims directed to methods for treating a target tumor while simultaneously inducing a therapeutic field effect. Patents issuing from this family would have a standard expiration date of October 16, 2045, subject to potential extensions.</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ninth patent family, which we own, includes a pending provisional United States application with claims directed to VLP drug conjugate formulations for treating urologic tumors. Patents issuing from this family would have a standard expiration date of April 23, 2046, subject to potential extensions.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vendors, collaboration partners, contract research organizations, or CROs, and contract manufacturers, will be required to navigate the various preclinical, clinical, manufacturing and commercial approval requirements of the governing regulatory agencies of the countries in which we wish to conduct studies or seek approval of our product candidate. The process of obtaining regulatory approvals of drugs and ensuring subsequent compliance with appropriate federal, state, local and foreign statutes and regulations requires the expenditure of substantial time and financial resources.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the United States, where we have initially focused our product development, the FDA regulates biologics under the Federal Food, Drug, and Cosmetic Act, or FDCA, and the Public Health Service Act, or PHSA, and their implementing regulations. Biologics are also subject to other federal, state and local statutes and regulations. Our product candidate, bel-sar, has not been approved by the FDA for marketing in the United States.</w:t>
      </w:r>
    </w:p>
    <w:p>
      <w:pPr>
        <w:spacing w:after="0" w:line="174"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The process required by the FDA before any product candidates we develop are approved for therapeutic indications and may be marketed in the United States generally involves the following:</w:t>
      </w:r>
    </w:p>
    <w:p>
      <w:pPr>
        <w:ind w:left="1020" w:right="20" w:hanging="368"/>
        <w:spacing w:after="0" w:line="257"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or GLP, requirements;</w:t>
      </w:r>
    </w:p>
    <w:p>
      <w:pPr>
        <w:spacing w:after="0" w:line="1"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5" w:name="page26"/>
    <w:bookmarkEnd w:id="25"/>
    <w:p>
      <w:pPr>
        <w:ind w:left="1020" w:hanging="368"/>
        <w:spacing w:after="0" w:line="255"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Institutional Review Board, or IRB, or independent ethics committee at each clinical trial site before each trial may be initiated;</w:t>
      </w:r>
    </w:p>
    <w:p>
      <w:pPr>
        <w:jc w:val="both"/>
        <w:ind w:left="1020" w:hanging="368"/>
        <w:spacing w:after="0" w:line="246"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clinical trials in accordance with Good Clinical Practice, or GCP, requirements and other clinical trial-related regulations to establish the safety, purity and potency of the proposed biological product candidate for its intended purpose;</w:t>
      </w:r>
    </w:p>
    <w:p>
      <w:pPr>
        <w:spacing w:after="0" w:line="1"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preparation and submission to the FDA of a BLA after completion of all pivotal trials, accompanied by payment of FDA user fees;</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product will be produced to assess compliance with current Good Manufacturing Practice requirements, or cGMPs, to assure that the facilities, methods and controls are adequate to preserve the biological product’s continued safety, purity and potency;</w:t>
      </w: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FDA audit of the clinical trial sites that generated the data in support of the BLA; and</w:t>
      </w:r>
    </w:p>
    <w:p>
      <w:pPr>
        <w:spacing w:after="0" w:line="48"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BLA, including consideration of the views of any FDA advisory committee, prior to any commercial marketing or sale of the biologic in the United States.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Nonclinical Studies and Clinical Trials for Biologics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Before testing any drug or biologic in humans, the product candidate must undergo rigorous nonclinical testing. Nonclinical studies include laboratory evaluations of chemistry, formulation and stability, as well as in vitro and animal studies to assess safety and in some cases to establish the rationale for therapeutic use. The conduct of nonclinical studies is subject to federal and state regulations and requirements, including GLP requirements for safety and toxicology studies. The results of the nonclinical studies, together with manufacturing information and analytical data must be submitted to the FDA as part of an IND. An IND is a request for authorization from the FDA to administer an investigational product to humans, and it must become effective before clinical trials may begin. The central focus of an IND submission is on the protocol(s) for the initial clinical trial and the general investigational plan.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Some long-term preclinical testing may continue after the IND is submitted. Accordingly, submission of an IND may or may not result in FDA authorization to begin a trial. A separate protocol submission to an existing IND must also be made for each successive clinical trial conducted in the United States, each of which may begin following a 30 day period unless the FDA issues a clinical hold on the clinical trial.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6" w:name="page27"/>
    <w:bookmarkEnd w:id="26"/>
    <w:p>
      <w:pPr>
        <w:jc w:val="both"/>
        <w:ind w:firstLine="509"/>
        <w:spacing w:after="0" w:line="237" w:lineRule="auto"/>
        <w:rPr>
          <w:sz w:val="20"/>
          <w:szCs w:val="20"/>
          <w:color w:val="auto"/>
        </w:rPr>
      </w:pPr>
      <w:r>
        <w:rPr>
          <w:rFonts w:ascii="Arial" w:cs="Arial" w:eastAsia="Arial" w:hAnsi="Arial"/>
          <w:sz w:val="18"/>
          <w:szCs w:val="18"/>
          <w:color w:val="auto"/>
        </w:rPr>
        <w:t>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to be conducted in the United States, and any subsequent amendments to the protocol, must be submitted to the FDA as an amendment to the IND. Furthermore, each clinical trial must be reviewed and approved by an IRB for each institution at which the clinical trial will be conducted, or by a central IRB,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Information about applicable clinical trials, including clinical trials results, must be submitted within specific timeframes for publication on the www.clinicaltrials.gov website.</w:t>
      </w:r>
    </w:p>
    <w:p>
      <w:pPr>
        <w:spacing w:after="0" w:line="18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 sponsor who wishes to conduct a clinical trial outside of the United States under its IND may need to obtain waivers for certain regulatory compliance requirements such as those requiring IRB review and approval. However, the FDA does not require that all foreign clinical trials be conducted under United States INDs.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76"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Clinical trials to evaluate therapeutic indications to support BLAs for marketing approval are typically conducted in three sequential phases, which phases may overlap or be conducted in combination.</w:t>
      </w:r>
    </w:p>
    <w:p>
      <w:pPr>
        <w:jc w:val="both"/>
        <w:ind w:left="1020" w:hanging="368"/>
        <w:spacing w:after="0" w:line="245"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Phase 1—Phase 1 clinical trials involve initial introduction of the investigational product into healthy human volunteers or patients with the target disease or condition.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jc w:val="both"/>
        <w:ind w:left="1020" w:hanging="368"/>
        <w:spacing w:after="0" w:line="243"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Phase 2—Phase 2 clinical trials typically involve administration of the investigational product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2" w:lineRule="exact"/>
        <w:rPr>
          <w:rFonts w:ascii="Times New Roman" w:cs="Times New Roman" w:eastAsia="Times New Roman" w:hAnsi="Times New Roman"/>
          <w:sz w:val="18"/>
          <w:szCs w:val="18"/>
          <w:color w:val="auto"/>
        </w:rPr>
      </w:pPr>
    </w:p>
    <w:p>
      <w:pPr>
        <w:jc w:val="both"/>
        <w:ind w:left="1020" w:hanging="368"/>
        <w:spacing w:after="0" w:line="239"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Phase 3—Phase 3 clinical trials typically involve administration of the investigational product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clinical trials have been required by the FDA for approval of a BLA, although there are known exceptions, particularly for rare diseases. FDA leadership announced in February 2026 that the FDA will, going forward, adopt the default position that one adequate and well-controlled trial, combined with confirmatory evidence, can serve as the basis of approval for novel products.</w:t>
      </w:r>
    </w:p>
    <w:p>
      <w:pPr>
        <w:spacing w:after="0" w:line="18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 BLA.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7" w:name="page28"/>
    <w:bookmarkEnd w:id="27"/>
    <w:p>
      <w:pPr>
        <w:jc w:val="both"/>
        <w:ind w:firstLine="509"/>
        <w:spacing w:after="0"/>
        <w:rPr>
          <w:sz w:val="20"/>
          <w:szCs w:val="20"/>
          <w:color w:val="auto"/>
        </w:rPr>
      </w:pPr>
      <w:r>
        <w:rPr>
          <w:rFonts w:ascii="Arial" w:cs="Arial" w:eastAsia="Arial" w:hAnsi="Arial"/>
          <w:sz w:val="18"/>
          <w:szCs w:val="18"/>
          <w:color w:val="auto"/>
        </w:rPr>
        <w:t>Progress reports detailing the results of the clinical trials, among other information, must be submitted at least annually to the FDA and written IND safety reports must be submitted to the FDA and the investigators fifteen days after the trial sponsor determines the information qualifies for reporting for serious and unexpected suspected adverse events, findings from other studies or animal or in vitro testing that suggest a significant risk for human participants exposed to the biologic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biological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Expanded Access</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Expanded access, sometimes called “compassionate use,” is the use of investigational products outside of intended clinical development to treat patients with serious or immediately life-threatening diseases or conditions when there are no comparable or satisfactory alternative treatment options. FDA regulations allow access to investigational products under an IND by the company or the treating physician for treatment purposes for the following expanded access requests: individual patients (single-patient IND applications for treatment in emergency settings and non-emergency settings); intermediate-size patient populations; and larger populations for use of the investigational product under a treatment protocol or treatment IND application. There is no requirement for a company to provide expanded access to its investigational product.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7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intend to seek data exclusivity or market exclusivity for our product candidates. 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 BLA. A BLA is a request for approval to market a new biologic for one or more specified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purity and potency of the investigational product to the satisfaction of the FDA. FDA approval of a BLA must be obtained before a biologic may be marketed in the United States.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A sponsor who is planning to submit a marketing application for a biological product that includes a new clinically active component, new indication, new dosage form, new dosing regimen or new route of administration submit an initial Pediatric Study Plan, or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8" w:name="page29"/>
    <w:bookmarkEnd w:id="28"/>
    <w:p>
      <w:pPr>
        <w:jc w:val="both"/>
        <w:ind w:firstLine="509"/>
        <w:spacing w:after="0" w:line="239" w:lineRule="auto"/>
        <w:rPr>
          <w:sz w:val="20"/>
          <w:szCs w:val="20"/>
          <w:color w:val="auto"/>
        </w:rPr>
      </w:pPr>
      <w:r>
        <w:rPr>
          <w:rFonts w:ascii="Arial" w:cs="Arial" w:eastAsia="Arial" w:hAnsi="Arial"/>
          <w:sz w:val="18"/>
          <w:szCs w:val="18"/>
          <w:color w:val="auto"/>
        </w:rPr>
        <w:t>The FDA reviews all submitted BLAs before it accepts them for filing, and may request additional information rather than accepting the BLA for filing. The FDA must make a decision on accepting a BLA for filing within 60 days of receipt, and such decision could include a refusal to file by the FDA. Once the submission is accepted for filing, the FDA begins an in-depth substantive review of the BLA. The FDA reviews a BLA to determine, among other things, whether the product is safe, pure and potent and whether the facility in which it is manufactured, processed, packaged or held meets standards designed to assure the product’s continued safety, quality and purity. Under the goals and polices agreed to by the FDA under the PDUFA, the FDA targets ten months from the filing date in which to complete its initial review of an original BLA and respond to the applicant, and six months from the filing date of an original BLA filed for priority review. The FDA does not always meet its PDUFA goal dates for standard or priority BLAs, and the review process is often extended by FDA requests for additional information or clarification.</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 under PDUFA, as amended, each BLA must be accompanied by a user fee, and the sponsor of an approved BLA is also subject to an annual program fee. FDA adjusts the PDUFA user fees on an annual basis. Fee waivers or reductions may be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74" w:lineRule="exact"/>
        <w:rPr>
          <w:sz w:val="20"/>
          <w:szCs w:val="20"/>
          <w:color w:val="auto"/>
        </w:rPr>
      </w:pPr>
    </w:p>
    <w:p>
      <w:pPr>
        <w:jc w:val="both"/>
        <w:ind w:right="20" w:firstLine="509"/>
        <w:spacing w:after="0" w:line="244" w:lineRule="auto"/>
        <w:rPr>
          <w:sz w:val="20"/>
          <w:szCs w:val="20"/>
          <w:color w:val="auto"/>
        </w:rPr>
      </w:pPr>
      <w:r>
        <w:rPr>
          <w:rFonts w:ascii="Arial" w:cs="Arial" w:eastAsia="Arial" w:hAnsi="Arial"/>
          <w:sz w:val="18"/>
          <w:szCs w:val="18"/>
          <w:color w:val="auto"/>
        </w:rPr>
        <w:t>The FDA may refer an application for a biologic to an advisory committee. An advisory committee is a panel of independent experts, including clinicians and other scientific experts, which reviews, evaluates and provides a recommendation, for example, as to whether the biologic is sufficiently safe and efficacious in a given indication for a given population and under what conditions. The FDA is not bound by the recommendations of an advisory committee, but it considers such recommendations carefully when making marketing approval decisions.</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may inspect one or more clinical trial sites to assure compliance with GCP and other requirements and the integrity of the clinical data submitted to the FDA.</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 also may require submission of a Risk Evaluation and Mitigation Strategy, or REMS, as a condition for approving the BLA to ensure that the benefits of the product outweigh its risks. The REMS could include medication guides, physician communication plans, assessment plans, and/or elements to assure safe use, such as restricted distribution methods, patient registries, or other risk-minimization tools.</w:t>
      </w:r>
    </w:p>
    <w:p>
      <w:pPr>
        <w:spacing w:after="0" w:line="17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will usually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9" w:name="page30"/>
    <w:bookmarkEnd w:id="29"/>
    <w:p>
      <w:pPr>
        <w:jc w:val="both"/>
        <w:ind w:firstLine="509"/>
        <w:spacing w:after="0"/>
        <w:rPr>
          <w:sz w:val="20"/>
          <w:szCs w:val="20"/>
          <w:color w:val="auto"/>
        </w:rPr>
      </w:pPr>
      <w:r>
        <w:rPr>
          <w:rFonts w:ascii="Arial" w:cs="Arial" w:eastAsia="Arial" w:hAnsi="Arial"/>
          <w:sz w:val="18"/>
          <w:szCs w:val="18"/>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Expedited Development and Review Programs for Biologics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w:t>
      </w:r>
    </w:p>
    <w:p>
      <w:pPr>
        <w:spacing w:after="0" w:line="16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 new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meaning that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a new drug or biological product may be eligible for breakthrough therapy designation if it is intended to treat a serious or life-threatening disease or condition and preliminary clinical evidence indicates that the biologic, alone or in combination with one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and accelerated approval. A product is eligible for priority review if it is intended to treat a serious or life-threatening disease or condition, and if approved, would provide a significant improvement in safety or effectiveness. For original BLAs, priority review designation means the FDA’s goal is to take action on the marketing application within six months of the 60-day filing date (compared with ten months under standard review).</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 product intended to treat serious or life-threatening diseases or conditions may receive accelerated approval upon a determination that the product has an effect on a surrogate endpoint that is reasonably likely to predict clinical benefit, or on a clinical endpoint that can be measured earlier than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0" w:name="page31"/>
    <w:bookmarkEnd w:id="30"/>
    <w:p>
      <w:pPr>
        <w:jc w:val="both"/>
        <w:ind w:firstLine="509"/>
        <w:spacing w:after="0" w:line="238" w:lineRule="auto"/>
        <w:rPr>
          <w:sz w:val="20"/>
          <w:szCs w:val="20"/>
          <w:color w:val="auto"/>
        </w:rPr>
      </w:pPr>
      <w:r>
        <w:rPr>
          <w:rFonts w:ascii="Arial" w:cs="Arial" w:eastAsia="Arial" w:hAnsi="Arial"/>
          <w:sz w:val="18"/>
          <w:szCs w:val="18"/>
          <w:color w:val="auto"/>
        </w:rPr>
        <w:t>Accelerated approval is usually contingent on a sponsor’s agreement to conduct additional post-approval studies to verify and describe the product’s clinical benefit. Under the Food and Drug Omnibus Reform Act of 2022, or FDORA, the FDA is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Orphan Designation and Exclusivity</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Under the Orphan Drug Act, the FDA may grant ODD to a drug or biologic intended to treat a rare disease or condition, defined as a disease or condition with either a patient population of fewer than 200,000 individuals in the United States, or a patient population greater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 BLA. After the FDA grants ODD, the generic identity of the therapeutic agent and its potential orphan use are disclosed publicly by the FDA.</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If a product that has received ODD and subsequently receives the first FDA approval for the disease or condition for which it has such designation, the product is entitled to orphan drug exclusivity, which means that the FDA may not approve any other applications to market the same product for the same approved use or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b w:val="1"/>
          <w:bCs w:val="1"/>
          <w:i w:val="1"/>
          <w:iCs w:val="1"/>
          <w:color w:val="auto"/>
        </w:rPr>
        <w:t>Post-approval Requirements for Biologics</w:t>
      </w:r>
    </w:p>
    <w:p>
      <w:pPr>
        <w:spacing w:after="0" w:line="6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biologics must be submitted to the FDA in conjunction with their first use or first publication. Further, if there are any modifications to the product, including changes in indications, labeling or manufacturing processes or facilities, the applicant may be required to submit and obtain FDA approval of a new BLA or BLA supplement, which may require the development of additional data or preclinical studies and clinical trials.</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FDA may impose a number of post-approval requirements as a condition of approval of a BLA. For example, the FDA may require post-market testing, including Phase 4 clinical trials, and surveillance to further assess and monitor the product’s safety and effectiveness after commercialization.</w:t>
      </w:r>
    </w:p>
    <w:p>
      <w:pPr>
        <w:spacing w:after="0" w:line="16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addition, drug and biologics manufacturers and their subcontractors involved in the manufacture and distribution of approved products, including those supplying products, ingredients, and components of such products,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program fee for any marketed product.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6" w:lineRule="exact"/>
        <w:rPr>
          <w:sz w:val="20"/>
          <w:szCs w:val="20"/>
          <w:color w:val="auto"/>
        </w:rPr>
      </w:pPr>
    </w:p>
    <w:p>
      <w:pPr>
        <w:ind w:left="1020" w:hanging="368"/>
        <w:spacing w:after="0" w:line="257"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 w:lineRule="exact"/>
        <w:rPr>
          <w:rFonts w:ascii="Times New Roman" w:cs="Times New Roman" w:eastAsia="Times New Roman" w:hAnsi="Times New Roman"/>
          <w:sz w:val="18"/>
          <w:szCs w:val="18"/>
          <w:color w:val="auto"/>
        </w:rPr>
      </w:pPr>
    </w:p>
    <w:p>
      <w:pPr>
        <w:ind w:left="1020" w:right="20" w:hanging="368"/>
        <w:spacing w:after="0" w:line="255"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safety alerts, Dear Healthcare Provider letters, press releases or other communications containing warnings or other safety information about the product;</w:t>
      </w: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mandated modification of promotional materials and labeling and issuance of corrective information;</w:t>
      </w:r>
    </w:p>
    <w:p>
      <w:pPr>
        <w:spacing w:after="0" w:line="3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untitled letters;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holds on clinical trials;</w:t>
      </w:r>
    </w:p>
    <w:p>
      <w:pPr>
        <w:spacing w:after="0" w:line="35"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applications or supplements to approved applications, or suspension or revocation of product approvals;</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 and</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32" w:name="page33"/>
    <w:bookmarkEnd w:id="32"/>
    <w:p>
      <w:pPr>
        <w:jc w:val="both"/>
        <w:ind w:firstLine="509"/>
        <w:spacing w:after="0" w:line="247" w:lineRule="auto"/>
        <w:rPr>
          <w:sz w:val="20"/>
          <w:szCs w:val="20"/>
          <w:color w:val="auto"/>
        </w:rPr>
      </w:pPr>
      <w:r>
        <w:rPr>
          <w:rFonts w:ascii="Arial" w:cs="Arial" w:eastAsia="Arial" w:hAnsi="Arial"/>
          <w:sz w:val="18"/>
          <w:szCs w:val="18"/>
          <w:color w:val="auto"/>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 and policies are often revised or reinterpreted by the agency in ways that may significantly affect the manner in which pharmaceutical products are regulated and marketed.</w:t>
      </w:r>
    </w:p>
    <w:p>
      <w:pPr>
        <w:spacing w:after="0" w:line="3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6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Patent Protection and Affordable Care Act, as amended by the Health Care and Education Reconciliation Act, or collectively, the ACA,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for all formulations, dosage forms, and indications of the biologic. This six-month exclusivity, which runs from the end of other exclusivity protection,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BPCIA is complex and continues to be interpreted and implemented by the FDA. In addition, government proposals have sought to reduce the 12 -year reference product exclusivity period. Other aspects of the BPCIA, some of which may impact the BPCIA exclusivity provisions, have also been the subject of litigation. As a result, the ultimate impact, implementation, and regulatory interpretation of the BPCIA remain subject to significant uncertainty.</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Regulation of Combination Products in the United States</w:t>
      </w:r>
    </w:p>
    <w:p>
      <w:pPr>
        <w:spacing w:after="0" w:line="7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Certain products may be comprised of components, such as biologic components and device components, that would normally be regulated under different types of regulatory authorities, and by different centers at the FDA. These products are known as combination products. Specifically, under regulations issued by the FDA, a combination product may be:</w:t>
      </w:r>
    </w:p>
    <w:p>
      <w:pPr>
        <w:spacing w:after="0" w:line="2" w:lineRule="exact"/>
        <w:rPr>
          <w:sz w:val="20"/>
          <w:szCs w:val="20"/>
          <w:color w:val="auto"/>
        </w:rPr>
      </w:pPr>
    </w:p>
    <w:p>
      <w:pPr>
        <w:ind w:left="1020" w:hanging="368"/>
        <w:spacing w:after="0" w:line="25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ind w:left="1020" w:hanging="368"/>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3" w:name="page34"/>
    <w:bookmarkEnd w:id="33"/>
    <w:p>
      <w:pPr>
        <w:jc w:val="both"/>
        <w:ind w:left="1020" w:hanging="368"/>
        <w:spacing w:after="0" w:line="243"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 drug, or device, or biological product packaged separately that according to its investigational plan or proposed labeling is intended for use only with an approved individually specified drug,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jc w:val="both"/>
        <w:ind w:left="1020" w:hanging="368"/>
        <w:spacing w:after="0" w:line="247"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FDA. The determination of which center will be the lead center is based on the “primary mode of action” of the combination product. Thus, if the primary mode of action of a biologic-device combination product is attributable to the biologic product, the FDA center responsible for premarket review of the biologic product would have primary jurisdiction for the combination product. The FDA has also established an Office of Combination Products to address issues surrounding combination products and provide more certainty to the regulatory review process. That office is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 combination product with a biologic primary mode of action generally would be reviewed and approved pursuant to FDA’s biologic approval processes. In reviewing the BLA application for such a product, however, FDA reviewers in the biologics center could consult with their counterparts in the device center to ensure that the device component of the combination product met applicable requirements regarding safety, effectiveness, durability and performance. In addition, under FDA’s regulations, combination products are subject to applicable cGMP requirements for drugs, biologics and devices, including the Quality System regulations applicable to medical devices.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DHHS,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the DHHS. CMS decides whether and to what extent a new medicine will be covered and reimbursed under Medicare and private payors tend to follow CMS to a substantial degree.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color w:val="auto"/>
        </w:rPr>
        <w:t>Factors payors consider in determining reimbursement are based on whether the product is:</w:t>
      </w:r>
    </w:p>
    <w:p>
      <w:pPr>
        <w:spacing w:after="0" w:line="36" w:lineRule="exact"/>
        <w:rPr>
          <w:sz w:val="20"/>
          <w:szCs w:val="20"/>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Health Care Laws and Regulations</w:t>
      </w:r>
    </w:p>
    <w:p>
      <w:pPr>
        <w:spacing w:after="0" w:line="7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w:t>
      </w:r>
    </w:p>
    <w:p>
      <w:pPr>
        <w:spacing w:after="0" w:line="1" w:lineRule="exact"/>
        <w:rPr>
          <w:sz w:val="20"/>
          <w:szCs w:val="20"/>
          <w:color w:val="auto"/>
        </w:rPr>
      </w:pPr>
    </w:p>
    <w:p>
      <w:pPr>
        <w:jc w:val="both"/>
        <w:ind w:left="1020" w:hanging="368"/>
        <w:spacing w:after="0" w:line="238"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monetary penalties;</w:t>
      </w:r>
    </w:p>
    <w:p>
      <w:pPr>
        <w:spacing w:after="0" w:line="5" w:lineRule="exact"/>
        <w:rPr>
          <w:rFonts w:ascii="Times New Roman" w:cs="Times New Roman" w:eastAsia="Times New Roman" w:hAnsi="Times New Roman"/>
          <w:sz w:val="18"/>
          <w:szCs w:val="18"/>
          <w:color w:val="auto"/>
        </w:rPr>
      </w:pPr>
    </w:p>
    <w:p>
      <w:pPr>
        <w:jc w:val="both"/>
        <w:ind w:left="1020" w:hanging="368"/>
        <w:spacing w:after="0" w:line="239"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false claims and civil monetary penalties laws, including the False Claims Act, prohibit individuals or entities from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7"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among other things,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5" w:name="page36"/>
    <w:bookmarkEnd w:id="35"/>
    <w:p>
      <w:pPr>
        <w:jc w:val="both"/>
        <w:ind w:left="1020" w:hanging="368"/>
        <w:spacing w:after="0" w:line="241"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payment transparency requirements, sometimes referred to as the “Sunshine Act” under the ACA require certain manufacturers of drugs, devices, biologics and medical supplies that are reimbursable under Medicare, Medicaid or the Children’s Health Insurance Program to report to DHHS information related to payments and other transfers of value made to physician (defined to include doctors, dentists, optometrists, podiatrists and chiropractors), certain other licensed health care practitioners and teaching hospitals; as well as the ownership and investment interests of such physicians and their immediate family members;</w:t>
      </w:r>
    </w:p>
    <w:p>
      <w:pPr>
        <w:spacing w:after="0" w:line="3" w:lineRule="exact"/>
        <w:rPr>
          <w:rFonts w:ascii="Times New Roman" w:cs="Times New Roman" w:eastAsia="Times New Roman" w:hAnsi="Times New Roman"/>
          <w:sz w:val="18"/>
          <w:szCs w:val="18"/>
          <w:color w:val="auto"/>
        </w:rPr>
      </w:pPr>
    </w:p>
    <w:p>
      <w:pPr>
        <w:jc w:val="both"/>
        <w:ind w:left="1020" w:hanging="368"/>
        <w:spacing w:after="0" w:line="237"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9" w:lineRule="exact"/>
        <w:rPr>
          <w:rFonts w:ascii="Times New Roman" w:cs="Times New Roman" w:eastAsia="Times New Roman" w:hAnsi="Times New Roman"/>
          <w:sz w:val="18"/>
          <w:szCs w:val="18"/>
          <w:color w:val="auto"/>
        </w:rPr>
      </w:pPr>
    </w:p>
    <w:p>
      <w:pPr>
        <w:jc w:val="both"/>
        <w:ind w:left="1020" w:hanging="368"/>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1" w:lineRule="exact"/>
        <w:rPr>
          <w:rFonts w:ascii="Times New Roman" w:cs="Times New Roman" w:eastAsia="Times New Roman" w:hAnsi="Times New Roman"/>
          <w:sz w:val="18"/>
          <w:szCs w:val="18"/>
          <w:color w:val="auto"/>
        </w:rPr>
      </w:pPr>
    </w:p>
    <w:p>
      <w:pPr>
        <w:ind w:left="1020" w:hanging="368"/>
        <w:spacing w:after="0" w:line="255"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jc w:val="both"/>
        <w:ind w:left="1020" w:hanging="368"/>
        <w:spacing w:after="0" w:line="239"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and may be broader in scope than their federal equivalents;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8" w:lineRule="exact"/>
        <w:rPr>
          <w:rFonts w:ascii="Times New Roman" w:cs="Times New Roman" w:eastAsia="Times New Roman" w:hAnsi="Times New Roman"/>
          <w:sz w:val="18"/>
          <w:szCs w:val="18"/>
          <w:color w:val="auto"/>
        </w:rPr>
      </w:pPr>
    </w:p>
    <w:p>
      <w:pPr>
        <w:jc w:val="both"/>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state laws governing the privacy and security of health information in certain circumstances, many of which differ from each other in significant ways and often are not preempted by HIPAA, thus complicating compliance efforts, and analogous foreign laws and regulations. If our operations are found to be in violation of any of such laws or any other governmental regulations that apply, we may be subject to significant penalties, including, without limitation, administrative, civil and criminal penalties, damages, fines, disgorgement, the curtailment or restructuring of operations, integrity oversight and reporting obligations and exclusion from participation in federal and state healthcare programs, and responsible individuals may be subject to imprisonment.</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Health Care Reform &amp; Legislative Updates</w:t>
      </w:r>
    </w:p>
    <w:p>
      <w:pPr>
        <w:spacing w:after="0" w:line="6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In particular, in 2010, the ACA was enacted, which, among other things, subjected biologic products to potential competition by lower-cost biosimilars;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6" w:name="page37"/>
    <w:bookmarkEnd w:id="36"/>
    <w:p>
      <w:pPr>
        <w:jc w:val="both"/>
        <w:ind w:firstLine="509"/>
        <w:spacing w:after="0" w:line="239"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For example, the Budget Control Act of 2011, among other things, created measures for spending reductions by Congress that include aggregate reductions of Medicare payments to providers up to 2% per fiscal year, which remain in effect through fiscal year 2032. In addition, the Statutory Pay-As-You-Go Act of 2010, or PAYGO, generally requires that deficit-increasing legislation be offset by sequestrations, and the Office of Management and Budget records the budgetary effects of such legislation on PAYGO scorecards. If a debit remains for the budget year at the end of the Congressional session, a sequestration order may be required to eliminate that debit through across-the-board reductions to non-exempt mandatory spending programs, like Medicare. The Consolidated Appropriations Act, 2026 set the balances for PAYGO scorecards to zero, and the Office of Management and Budget reported that no statutory PAYGO sequestration order was required for the most recent Congressional cycle.</w:t>
      </w:r>
    </w:p>
    <w:p>
      <w:pPr>
        <w:spacing w:after="0" w:line="18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Inflation Reduction Act of 2022, or IRA, includes several provisions that may impact our business to varying degrees. This includes provisions that reduce the out-of-pocket cap for Medicare Part D beneficiaries to $2,000 starting in 2025; impose new manufacturer financial liability on certain drugs under Medicare Part D; and require companies to pay rebates to Medicare for certain drugs whose prices have increased faster than inflation. The IRA also allows DHHS to negotiate Medicare Part B and Part D price caps for certain high-cost drugs and biologics without generic or biosimilar competition. For a biological product to be selected for participation in the Medicare drug price negotiation program, at least 11 years must have elapsed since the biological product was licensed by FDA for its first indication. FDA approval of future indications or changes to a formulation of a product will not delay or halt this timing. Further, under the IRA, subject to an amendment under the One Big Beautiful Bill Act of 2025, or the OBBBA, orphan drugs are exempted from the Medicare drug price negotiation program, but only if they have one or more orphan designations and for which the only approved indications are for rare diseases or conditions. The implementation of the IRA is currently subject to ongoing litigation that challenges the constitutionality of the IRA’s drug price negotiation program provisions. The outcome of this litigation as well as the effects of the IRA on our business and the healthcare industry in general are not yet known.</w:t>
      </w:r>
    </w:p>
    <w:p>
      <w:pPr>
        <w:spacing w:after="0" w:line="1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Further, the OBBBA imposed significant reductions in Medicaid funding, additional work requirements for Medicaid recipients, and more frequent reenrollment requirements. These changes are expected to place substantial pressure on state Medicaid budgets, reduce enrollment, and limit covered services, which could decrease utilization of, and reimbursement for, our products, if approved.</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The Trump Administration has issued executive orders and supported proposed regulatory initiatives in 2025 that could have a significant impact on the prices that we, or any collaborators, may receive for any approved products.</w:t>
      </w:r>
    </w:p>
    <w:p>
      <w:pPr>
        <w:spacing w:after="0" w:line="17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On May 12, 2025, President Trump signed an executive order directing the Secretary of the DHHS to set and communicate most-favored-nation, or MFN, price targets to manufacturers and propose a rulemaking plan to impose MFN pricing if “significant progress” is not made, and also directing the federal government to support regulatory paths to allow direct-to-patient sales for companies that meet these targets. The executive order further states that the Trump Administration will take additional action (for example, examining whether marketing approvals should be modified or rescinded or considering individual drug importation waiver authorities) should manufacturers fail to offer American consumers the MFN lowest price. In July 2025, President Trump sent letters to certain pharmaceutical companies demanding that these companies extend MFN pricing to Medicaid and newly launched drugs as well as move to direct-to-consumer models priced at MFN pricing, and soliciting binding commitments by September 29, 2025. Since this time, multiple drug manufacturers have announced plans to, for certain of their drugs, lower prices to reflect similar pricing around the world, and to sell these reduced-price drugs on a direct-to-consumer purchasing platform developed by the federal government; however, it is not known what results will occur to the extent the recipients of these letters do not reduce their U.S. prices.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7" w:name="page38"/>
    <w:bookmarkEnd w:id="37"/>
    <w:p>
      <w:pPr>
        <w:jc w:val="both"/>
        <w:ind w:firstLine="509"/>
        <w:spacing w:after="0" w:line="238" w:lineRule="auto"/>
        <w:rPr>
          <w:sz w:val="20"/>
          <w:szCs w:val="20"/>
          <w:color w:val="auto"/>
        </w:rPr>
      </w:pPr>
      <w:r>
        <w:rPr>
          <w:rFonts w:ascii="Arial" w:cs="Arial" w:eastAsia="Arial" w:hAnsi="Arial"/>
          <w:sz w:val="18"/>
          <w:szCs w:val="18"/>
          <w:color w:val="auto"/>
        </w:rPr>
        <w:t>On December 19, 2025, CMS released two proposed rules that would incorporate MFN pricing principles into federal reimbursement for prescription drugs. The first proposal, the Global Benchmark for Efficient Drug Pricing Model, or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or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or GENEROUS, Model, a voluntary MFN framework for manufacturers participating in the Medicaid Drug Rebate Program. Although it is voluntary, the GENEROUS Model could also impact the drug pricing landscape for manufacturers.</w:t>
      </w:r>
    </w:p>
    <w:p>
      <w:pPr>
        <w:spacing w:after="0" w:line="18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Individual states have also been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We expect that additional state and federal healthcare reform measures will be adopted in the future, particularly in light of the current presidential administration, any of which could limit the amounts that federal and state governments will pay for healthcare products and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in the EU</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Similar to the United States, the various phases of preclinical and clinical research in the EU are subject to significant regulatory controls. In April 2014, the EU adopted a Clinical Trials Regulation (EU) No 536/2014, which replaced the Clinical Trials Directive 2001/20/EC on January 31, 2022. The Clinical Trials Regulation is directly applicable in all EU Member States (and so does not require national implementing legislation in each Member State), and aims at simplifying and streamlining the approval of clinical studies in the EU. For example, a single application is now made through the Clinical Trials Information System, or CTIS, for clinical trial authorization in up to 30 European Economic Area (i.e. the EU Member States plus Iceland, Liechtenstein and Norway), or EEA, countries at the same time and with a single set of documentation.</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reporting Member State. Part II is assessed separately by each Member State Concerned. The role of the relevant ethics committees in the assessment procedure continues to be governed by the national law of the Member States Concerned, however overall related timelines are defined by the Clinical Trials Regulation. The Clinical Trials Regulation also provides for simplified reporting procedures for clinical trial sponsors.</w:t>
      </w:r>
    </w:p>
    <w:p>
      <w:pPr>
        <w:spacing w:after="0" w:line="18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have an SME status with the EMA as a small and medium-sized enterprise. This enables us to continue to have access to administrative, regulatory and financial support, including fee reductions for scientific advice and regulatory procedures.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Drug Review and Approval</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EU, medicinal products can only be commercialized after obtaining a marketing authorization, or MA. There are two types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MAs.</w:t>
      </w:r>
    </w:p>
    <w:p>
      <w:pPr>
        <w:spacing w:after="0" w:line="14" w:lineRule="exact"/>
        <w:rPr>
          <w:sz w:val="20"/>
          <w:szCs w:val="20"/>
          <w:color w:val="auto"/>
        </w:rPr>
      </w:pPr>
    </w:p>
    <w:p>
      <w:pPr>
        <w:jc w:val="both"/>
        <w:ind w:left="1020" w:hanging="368"/>
        <w:spacing w:after="0" w:line="241"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centralized MA is issued by the European Commission through the centralized procedure,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 therapy medicinal products (gene-therapy, somatic cell-therapy or tissue-engineered medicines) and medicinal products containing a new active substance indicated for the treatment of HIV, AIDS, cancer,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8" w:name="page39"/>
    <w:bookmarkEnd w:id="38"/>
    <w:p>
      <w:pPr>
        <w:jc w:val="both"/>
        <w:ind w:left="1020"/>
        <w:spacing w:after="0" w:line="237" w:lineRule="auto"/>
        <w:rPr>
          <w:sz w:val="20"/>
          <w:szCs w:val="20"/>
          <w:color w:val="auto"/>
        </w:rPr>
      </w:pPr>
      <w:r>
        <w:rPr>
          <w:rFonts w:ascii="Arial" w:cs="Arial" w:eastAsia="Arial" w:hAnsi="Arial"/>
          <w:sz w:val="18"/>
          <w:szCs w:val="18"/>
          <w:color w:val="auto"/>
        </w:rPr>
        <w:t>neurodegenerative disorders, diabetes, auto-immune and other immune dysfunctions and viral diseases. We therefore consider our product candidates would fall within the mandatory scope of the centralized procedure. The centralized procedure is optional for products containing a new active substance not yet authorized in the EU, or for products that constitute a significant therapeutic, scientific or technical innovation or which are in the interest of public health in the EU. Under the centralized procedure, the maximum timeframe for the evaluation of an MA application by the EMA is 210 days, excluding clock stops, when additional written or oral information is to be provided by the applicant in response to questions asked by the CHMP. Clock stops may extend the timeframe of evaluation of an MA application considerably beyond 210 days. Where the CHMP gives a positive opinion, the EMA provides the opinion together with supporting documentation to the European Commission, who makes the final decision to grant an MA, which is issued within 67 days of receipt of the EMA’s recommendation. Accelerated assessment might be granted by the CHMP in exceptional cases, when a medicinal product is expected to be of a major public health interest, particularly from the point of view of therapeutic innovation. The timeframe for the evaluation of an MA application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10" w:lineRule="exact"/>
        <w:rPr>
          <w:sz w:val="20"/>
          <w:szCs w:val="20"/>
          <w:color w:val="auto"/>
        </w:rPr>
      </w:pPr>
    </w:p>
    <w:p>
      <w:pPr>
        <w:jc w:val="both"/>
        <w:ind w:left="1020" w:hanging="368"/>
        <w:spacing w:after="0" w:line="241"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As part of its marketing authorization process, the European Commission may grant MAs for certain categories of medicinal products on the basis of less complete data than is normally required, where the benefit of immediate availability of the medicine outweighs the risk inherent in the fact that additional data are still required or in the interests of public health. In such cases, it is possible for the CHMP to recommend the granting of an MA, subject to certain specific obligations to be reviewed annually, which is referred to as a conditional MA. This may apply to medicinal products for human use that fall under the jurisdiction of the EMA, including those that are aimed at the treatment, the prevention, or the medical diagnosis of seriously debilitating or life-threatening diseases.</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Regulation (EC) No 1901/2006 provides that prior to obtaining an MA in the EU, applicants have to demonstrate compliance with all measures included in an EMA-approved pediatric investigation plan, or PIP, covering all subsets of the pediatric population, unless the EMA has granted: (1) a product-specific waiver, (2) a class waiver or (3) a deferral for one or more of the measures included in the PIP.</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Data and Marketing Exclusivity</w:t>
      </w:r>
    </w:p>
    <w:p>
      <w:pPr>
        <w:spacing w:after="0" w:line="7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the EU, innovative medicinal products approved on the basis of a complete and independent data package qualify for eight years of data exclusivity upon the first grant of an MA in the EU and an additional two years of market exclusivity. The data exclusivity, if granted, prevents generic or biosimilar applicants from referencing the innovator’s preclinical and clinical trial data contained in the dossier of the reference product when applying for a generic or biosimilar MA, for a period of eight years from the date on which the reference product was first authorized in the EU. During the additional two-year period of market exclusivity, a generic or biosimilar MA application can be submitted and authorized, and the innovator’s data may be referenced, but no generic or biosimilar product can be placed on the EU market until the expiration of the market exclusivity period. The overall ten-year period will be extended to a maximum of 11 years if, during the first eight years of those ten years, the MA holder obtains an authorization for one or more new therapeutic indications which, during the scientific evaluation prior to their authorization, are determined to bring a significant clinical benefit in comparison with currently approved therapies. Even if an innovative medicinal product gains the prescribed period of data exclusivity, another company may market another version of the product if such company obtained an MA based on an application with a complete and independent data package of pharmaceutical tests, preclinical tests and clinical trials.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9" w:name="page40"/>
    <w:bookmarkEnd w:id="39"/>
    <w:p>
      <w:pPr>
        <w:ind w:left="520"/>
        <w:spacing w:after="0"/>
        <w:rPr>
          <w:sz w:val="20"/>
          <w:szCs w:val="20"/>
          <w:color w:val="auto"/>
        </w:rPr>
      </w:pPr>
      <w:r>
        <w:rPr>
          <w:rFonts w:ascii="Arial" w:cs="Arial" w:eastAsia="Arial" w:hAnsi="Arial"/>
          <w:sz w:val="18"/>
          <w:szCs w:val="18"/>
          <w:b w:val="1"/>
          <w:bCs w:val="1"/>
          <w:i w:val="1"/>
          <w:iCs w:val="1"/>
          <w:color w:val="auto"/>
        </w:rPr>
        <w:t>Orphan Designation and Exclusivity</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the EU, the European Commission grants an orphan designation in respect of a product if its sponsor can establish that the product is intended for the diagnosis, prevention or treatment of a life-threatening or chronically debilitating condition and either (i) such condition affects no more than 5 in 10,000 persons in the EU when the application is made, or (ii) without incentives, it is unlikely that the marketing of the medicine would generate sufficient return in the EU to justify the necessary investment in its development. In each case, there must be no satisfactory method of diagnosis, prevention or treatment of the condition which has been authorized (or, if such a method exists, the product in question would be of significant benefit to those affected by the applicable condition).</w:t>
      </w:r>
    </w:p>
    <w:p>
      <w:pPr>
        <w:spacing w:after="0" w:line="17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the EU, orphan designation entitles a party to financial incentives such as reduction of fees or fee waivers, and ten years of market exclusivity is granted following the grant of an MA for the orphan product by the European Commission. This period may be reduced to six years if, at the end of the fifth year, it is established that the orphan designation criteria are no longer met, including where it is shown that the product is sufficiently profitable not to justify maintenance of market exclusivity. During the period of market exclusivity, an MA may only be granted to a “similar medicinal product” for the same therapeutic indication as an authorized orphan product if: (i) a second applicant can establish that its product, although similar to the authorized product, is safer, more effective or otherwise clinically superior; (ii) the MA holder for the authorized product consents to a second medicinal product application; or (iii) the MA holder for the authorized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Orphan designation must be requested before submitting an application for an MA. Orphan designation does not convey any advantage in, or shorten the duration of, the regulatory review and approval process.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Similar to the United States, both MA holders and manufacturers of medicinal products are subject to comprehensive regulatory oversight by the EMA, the European Commission and/or the competent regulatory authorities of the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All new MA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conducting of additional clinical trials or post-authorization safety studies.</w:t>
      </w:r>
    </w:p>
    <w:p>
      <w:pPr>
        <w:spacing w:after="0" w:line="17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EU Member State and can differ from one country to another.</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Much like the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induce or reward improper performance generally is usually governed by the national anti-bribery laws of EU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0" w:name="page41"/>
    <w:bookmarkEnd w:id="40"/>
    <w:p>
      <w:pPr>
        <w:jc w:val="both"/>
        <w:ind w:firstLine="509"/>
        <w:spacing w:after="0" w:line="244"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Regulation of Combination Products</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EU regulates medical devices and medicinal products separately, through different legislative instruments, and the applicable requirements will vary depending on the type of drug-device combination product. EU guidance has been published to help manufacturers select the right regulatory framework. In the case of drug-delivery products intended to administer a medicinal product where the device and the medicinal product do not form a single integral product (i.e. where the medicinal product and the device do not form a single product which is intended exclusively for use in the given combination and which is not reusable), the medicinal product is regulated in accordance with the aforementioned rules while the device part is regulated as a medical device and will have to comply with all the requirements set forth by Regulation 2017/745, or the Medical Devices Regulation (which became applicable on May 26, 2021 and repealed the EU Council Directive 93/42/EEC, or the Medical Devices Directive). There is a transition period until December 31, 2028 at the latest during which certificates issued under the Medical Devices Directive remain valid, to ensure that there is sufficient time for devices to be re-certified subject to certain conditions (including compliance with requirements for market surveillance and quality management systems under the Medical Devices Regulation, and engagement with notified bodies).</w:t>
      </w:r>
    </w:p>
    <w:p>
      <w:pPr>
        <w:spacing w:after="0" w:line="18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characteristics of non-integral devices used for the administration of medicinal products may impact the quality, safety and efficacy profile of the medicinal products. To the extent that administration devices are co-packaged with the medicinal product or, in exceptional cases, where the use of a specific type of administration device is specifically provided for in the product information of the medicinal product, additional information may need to be provided in the MA application for the medicinal product on the characteristics of the medical device(s) that may impact on the quality, safety and/or efficacy of the medicinal product. The requirements regarding quality aspects for integral drug-device combination products, including devices that are co-packaged with medicinal products, are outlined in an EMA guideline which came into effect on January 1, 2022.</w:t>
      </w:r>
    </w:p>
    <w:p>
      <w:pPr>
        <w:spacing w:after="0" w:line="18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For a medical device to obtain a CE mark under the Medical Devices Regulation, the device must meet the relevant general safety and performance requirements laid down in Annex I of the Medical Devices Regulation. The most fundamental requirement is that a medical device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general safety and performance requirements laid down in Annex I to the Medical Devices Regulation, medical device manufacturers must undergo a conformity assessment procedure, which varies according to the type of medical device and its (risk) classification. Conformity assessment procedures require an assessment of available clinical evidence, literature data for the product, and post-market experience in respect of similar products already marketed. Except for low-risk medical devices (Class I non-sterile, non-measuring devices), where the manufacturer can self-declare the conformity of its products with the general safety and performance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1" w:name="page42"/>
    <w:bookmarkEnd w:id="41"/>
    <w:p>
      <w:pPr>
        <w:jc w:val="both"/>
        <w:ind w:firstLine="509"/>
        <w:spacing w:after="0" w:line="242" w:lineRule="auto"/>
        <w:rPr>
          <w:sz w:val="20"/>
          <w:szCs w:val="20"/>
          <w:color w:val="auto"/>
        </w:rPr>
      </w:pPr>
      <w:r>
        <w:rPr>
          <w:rFonts w:ascii="Arial" w:cs="Arial" w:eastAsia="Arial" w:hAnsi="Arial"/>
          <w:sz w:val="18"/>
          <w:szCs w:val="18"/>
          <w:color w:val="auto"/>
        </w:rPr>
        <w:t>As a general rule, demonstration of conformity of medical devices and their manufacturers with the general safety and performance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the aforementioned EU rules are generally applicable in the EEA.</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Reform of the Regulatory Framework in the European Union</w:t>
      </w:r>
    </w:p>
    <w:p>
      <w:pPr>
        <w:spacing w:after="0" w:line="6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European Commission introduced legislative proposals in April 2023 that will replace the current regulatory framework in the EU for all medicines (including those for rare diseases and for children). In April 2024, the European Parliament adopted its position on the legislative proposals and, in June 2025, the Council of the European Union adopted its position. A common position on the text was agreed upon on December 11, 2025 in the context of subsequent inter-institutional trilogue negotiations. The proposed revisions remain to be adopted, and are not expected to become applicable before 2028.</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EU, pricing and reimbursement schemes vary widely from country to country.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Some countries provide that products may be marketed only after a reimbursement price has been agreed. Some countries may require the completion of additional studies that compare the cost-effectiveness of a particular product candidate to currently available therapies (so-called health technology assessments) in order to obtain reimbursement or pricing approval.</w:t>
      </w:r>
    </w:p>
    <w:p>
      <w:pPr>
        <w:spacing w:after="0" w:line="18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EU provides options for its Member States to restrict the range of products for which their national health insurance systems provide reimbursement and to control the prices of medicinal products for human use. EU Member States may approve a specific price for a product or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EU Member States have increased the amount of discounts required on pharmaceuticals and these efforts could continue as countries attempt to manage healthcare expenditures, especially in light of the severe fiscal and debt crises experienced by many EU Member States.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Special pricing and reimbursement rules may apply to orphan medicinal products. Inclusion of orphan medicinal products in reimbursement systems tend to focus on the medical usefulness, need, quality and economic benefits to patients and the healthcare system as for any medicinal product. Acceptance of any medicinal product for reimbursement may come with cost, use and often volume restrictions, which again can vary by country. In addition, results-based rules of reimbursement may apply.</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European Data Collection</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collection, use, or other processing of personal data, including clinical trial data, regarding individuals in the EEA is governed by the EU General Data Protection Regulation, or GDPR, and similar processing of personal data regarding individuals in the UK, is governed by the UK General Data Protection Regulation, or UK GDPR, as well as national data protection laws in force in relevant EEA Member States and the UK (including the UK Data Protection Act 2018 and the UK Data (Use and Access) Act 2025. In this document, “GDPR” refers to both the EU GDPR and the UK GDPR, unless specified otherwise. The GDPR applies to any company established in the EEA/UK and to companies established outside the EEA/UK that process personal data in connection with the offering of goods or services to, or the monitoring of the behavior of data subjects in the EEA/UK. The GDPR enhances data protection obligations for companies processing personal data, including stringent requirements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2" w:name="page43"/>
    <w:bookmarkEnd w:id="42"/>
    <w:p>
      <w:pPr>
        <w:jc w:val="both"/>
        <w:spacing w:after="0" w:line="238" w:lineRule="auto"/>
        <w:rPr>
          <w:sz w:val="20"/>
          <w:szCs w:val="20"/>
          <w:color w:val="auto"/>
        </w:rPr>
      </w:pPr>
      <w:r>
        <w:rPr>
          <w:rFonts w:ascii="Arial" w:cs="Arial" w:eastAsia="Arial" w:hAnsi="Arial"/>
          <w:sz w:val="18"/>
          <w:szCs w:val="18"/>
          <w:color w:val="auto"/>
        </w:rPr>
        <w:t>relating to ensuring an appropriate legal basis applies to the processing of personal data, expanded disclosures about how personal data is used, requirements to conduct data protection impact assessments for “high risk” processing, limitations on retention of personal data, special provisions for “sensitive information” including health and genetic information of data subjects, mandatory data breach notification and “privacy by design” requirements and direct obligations on service providers acting as processors. The GDPR also imposes strict rules and restrictions on the transfer of personal data outside of the EEA/UK to countries that do not ensure an adequate level of protection, like the United States in certain circumstances. Failure to comply with the requirements of the GDPR and the related national data protection laws of the EEA Member States/UK may result in fines up to 20 million euros (£ 17.5 million under the UK GDPR) or 4% of a company’s global annual revenues for the preceding financial year, whichever is higher. The GDPR also confers a private right of action on data subjects and consumer associations to lodge complaints with supervisory authorities, seek judicial remedies, and obtain compensation for damages resulting from infringement of the GDPR. Following the UK’s decision to leave the EU on January 31, 2020, the UK’s data protection regime is independent from but aligned to the EU’s data protection regime. Future changes to UK data protection laws may alter the similarities between the UK and EEA data protection regimes.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in the UK</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Brexit and the Regulatory Framework in the UK</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UK formally left the EU on January 31, 2020.</w:t>
      </w:r>
    </w:p>
    <w:p>
      <w:pPr>
        <w:spacing w:after="0" w:line="21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Following the end of the Brexit transition period on January 1, 2021 and the implementation of the Windsor Framework on January 1, 2025, the United Kingdom, or UK, is not generally subject to EU laws in respect of medicines. The EU laws that have been transposed into UK law through secondary legislation remain applicable in the UK, however, new legislation such as the (EU) Clinical Trials Regulation is not applicable in the UK. As of January 1, 2021, the Medicines and Healthcare products Regulatory Agency, or MHRA, is the UK's standalone medicines and medical devices regulator. As a result of the Northern Ireland Protocol, different rules applied in Northern Ireland than in England, Wales, and Scotland (together, Great Britain or GB), which continued to follow the EU regulatory regime for a period after Brexit. However, on January 1, 2025, a new arrangement called the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medicines. In particular, the MHRA is now responsible for approving medicinal products placed on the UK market (i.e., Great Britain and Northern Ireland). A single UK-wide MA will be granted by the MHRA for medicinal products to be sold in the UK, enabling products to be sold in a single pack and under a single authorization throughout the UK. In addition, the new arrangements require, for packs placed on the UK market on or after January 1, 2025, a "UK Only" label, indicating they are not for sale in the EU. However, although separate authorization is now required to market medicinal products in the UK, since January 1, 2024, the MHRA may rely on the International Recognition Procedure, or IRP, when reviewing certain types of marketing authorization applications. Pursuant to the IRP, the MHRA will take into account the expertise and decision-making of trusted regulatory partners (e.g. the medicines regulatory authorities in Australia, Canada, Switzerland, Singapore, Japan, the United States and the EMA in the EU) when consideration an application for a UK MA.</w:t>
      </w:r>
    </w:p>
    <w:p>
      <w:pPr>
        <w:spacing w:after="0" w:line="18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There is no pre-MA orphan designation in the UK. Instead, the MHRA reviews applications for orphan designation at the same time as an application for an MA. The criteria are essentially the same, but have been tailored for the corresponding market, i.e., the prevalence of the condition in the application for a UK, rather than the EU, must be less than five in 10,000. Should an orphan designation be granted, the period of market exclusivity will be set from the date of first approval of the product in the UK.</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UK regulatory framework in relation to clinical trials is governed by the Medicines for Human Use (Clinical Trials) Regulations 2004, as amended, which is derived from the EU Clinical Trial Directive, as implemented into UK national law through secondary legislation. In April 2025, the UK introduced the Medicines for Human Use (Clinical Trials) (Amendment) Regulations. These changes, which will take full effect from April 2026, aim to create a streamlined, risk-proportionate system that accelerates approvals while maintaining robust safety standards.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U.S. Data Privacy and Security Laws and Regulations</w:t>
      </w:r>
    </w:p>
    <w:p>
      <w:pPr>
        <w:spacing w:after="0" w:line="6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collect, store, transmit and process sensitive and confidential data and information, including health information, and personal data. As we seek to expand our business, we are, and will increasingly become, subject to numerous state, federal and foreign laws, regulations, rules and government and industry standards relating to the collection, use, retention, security, disclosure, transfer and other processing of sensitive and personal information, including protected health information, in the jurisdictions in which we operate. The regulatory framework for data privacy, data security and data transfers worldwide is rapidly evolving, and there has been an increasing focus on privacy and data protection issues.</w:t>
      </w:r>
    </w:p>
    <w:p>
      <w:pPr>
        <w:spacing w:after="0" w:line="17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There are numerous U.S. federal and state laws and regulations related to the privacy and security of health information. HIPAA, as amended by HITECH, and their implementing regulations impose obligations on covered entities, such as health plans, healthcare clearinghouses and certain healthcare providers, as well as business associates that provide services involving the use or disclosure of personal health information to or on behalf of covered entities. These obligations, such as mandatory contractual terms, relate to safeguarding the privacy and security of protected health information. Many states also have laws governing the privacy and security of health information in certain circumstances, many of which differ from each other in significant ways and often are not preempted by HIPAA. For example, a small number of states have passed or are considering laws that are specifically focused upon health privacy, such as Washington’s My Health My Data Act. The My Health My Data Act imposes new state restrictions and requirements on the processing and sale of consumer health data and creates a private right of action, which further increases the relevant compliance risk. Connecticut and Nevada have also passed similar laws regulating consumer health data. The effects of state and federal privacy laws are potentially significant and may require us to modify our data processing practices and policies and to incur substantial costs and potential liability in an effort to comply with such legislation. In addition, foreign countries in which we operate have laws that protect the privacy and security of sensitive and personal information. Certain of these laws may be more stringent or broader in scope, or offer greater individual rights, with respect to sensitive and personal information, and such laws may differ from each other.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7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As of February 28, 2026, we had 113 full-time employees and no part-time employees, of which 29 have M.D. (or its equivalent), Ph.D. or J.D. degrees. Within our workforce, 88 employees are engaged in research and development and 25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stockholder value and the success of our company by motivating such individuals to perform to the best of their abilities and achieve our objectives.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6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Internet address is www.aurabiosciences.com. Our Annual Reports on Form 10-K, Quarterly Reports on Form 10-Q, Current Reports on Form 8-K, including exhibits, proxy and information statements and amendments to those reports filed or furnished pursuant to Sections 13(a), 14, and 15(d) of the Exchange Act are available through the “Investors &amp; Media” portion of our website free of charge as soon as reasonably practicable after we electronically file such material with, or furnish it to, the Securities and Exchange Commission, or SEC. Information on our website is not part of this Annual Report or any of our other securities filings unless specifically incorporated herein by reference. We have included our website address in this Annual Report solely as an inactive textual reference. Our filings with the SEC may be accessed through the SEC’s website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1A. Risk Factors.</w:t>
      </w:r>
    </w:p>
    <w:p>
      <w:pPr>
        <w:spacing w:after="0" w:line="6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read and consider all of the risks described below, as well as the other information in this Annual Report on Form 10-K, including our consolidated financial statements and related notes thereto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Additional Capital Needs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anticipate that we will continue to incur losses for the foreseeable future, which raises a risk regarding our ability to continue as a going concern.</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Investment in biotechnology product development is highly speculative because it entails substantial upfront capital expenditures and significant risk that a product candidate will fail to gain regulatory approval or fail to become commercially viable. Our net losses were $106.2 million and $86.9 million for the years ended December 31, 2025 and 2024, respectively. As of December 31, 2025, we had an accumulated deficit of $480.4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as we continue clinical development for bel-sar and continue to discover and develop additional product candidates. In addition, if we obtain regulatory approval for our product candidates, we will incur significant sales, marketing and manufacturing expenses. We incur costs, and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To date, we have not generated any revenue from any product sales. Our history of losses and no revenues creates a greater risk of our ability to continue as a going concern in the future. Our ability to become profitable depends upon our ability to generate revenue. We have no products approved for commercial sale and, therefore, have never generated any revenue from product sales, and we do not expect to in the foreseeable future. Further, we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p>
    <w:p>
      <w:pPr>
        <w:spacing w:after="0" w:line="10" w:lineRule="exact"/>
        <w:rPr>
          <w:sz w:val="20"/>
          <w:szCs w:val="20"/>
          <w:color w:val="auto"/>
        </w:rPr>
      </w:pPr>
    </w:p>
    <w:p>
      <w:pPr>
        <w:jc w:val="both"/>
        <w:ind w:left="900" w:hanging="383"/>
        <w:spacing w:after="0" w:line="248"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initiating and completing research regarding, and preclinical and clinical development of, bel-sar in early choroidal melanoma and additional oncology indications, including metastases to the choroid and bladder cancer as well as any other research programs from our VDC technology platform and any future product candidates;</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marketing approval for bel-sar and any future product candidates for which we complete clinical trials;</w:t>
      </w:r>
    </w:p>
    <w:p>
      <w:pPr>
        <w:spacing w:after="0" w:line="39"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transferring our manufacturing process to, and developing and maintaining it with, a CDMO for bel-sar and any future product candidates, including establishing and maintaining commercially viable supply and manufacturing relationships with third parties;</w:t>
      </w:r>
    </w:p>
    <w:p>
      <w:pPr>
        <w:spacing w:after="0" w:line="1"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launching and commercializing bel-sar and any future product candidates for which we obtain marketing approvals, either directly or with a collaborator or distributor;</w:t>
      </w: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 acceptance of bel-sar and any future product candidates as viable treatment options;</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technological and market developments;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acquiring and developing new product candidates from our VDC technology platform;</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48"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protecting, and expanding our portfolio of intellectual property rights, including patents, trade secrets, and know-how; and</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jc w:val="both"/>
        <w:ind w:firstLine="509"/>
        <w:spacing w:after="0" w:line="247" w:lineRule="auto"/>
        <w:rPr>
          <w:sz w:val="20"/>
          <w:szCs w:val="20"/>
          <w:color w:val="auto"/>
        </w:rPr>
      </w:pPr>
      <w:r>
        <w:rPr>
          <w:rFonts w:ascii="Arial" w:cs="Arial" w:eastAsia="Arial" w:hAnsi="Arial"/>
          <w:sz w:val="18"/>
          <w:szCs w:val="18"/>
          <w:color w:val="auto"/>
        </w:rPr>
        <w:t>Even if bel-sar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If we are successful in obtaining regulatory approvals to market bel-sar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bel-sar and any future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continue as a going concern, expand our business, maintain our development efforts, obtain product approvals, diversify our offerings or continue our operations. A decline in the value of our company could also cause you to lose all or part of your investment.</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our ability to continue as a going concern may be negatively impacted and we may be forced to delay, reduce or terminate one or more of our research and development programs, future commercialization efforts, product development or other operations.</w:t>
      </w:r>
    </w:p>
    <w:p>
      <w:pPr>
        <w:spacing w:after="0" w:line="1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complete clinical trials of, and seek marketing approval for bel-sar. Identifying and developing pharmaceutical products, including conducting preclinical studies and clinical trials, is a very time-consuming, expensive and uncertain process that takes years to complete. Even if one or more of bel-sar or any future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nonclinical studies in addition to those that we are currently conducting or anticipate. Other unanticipated costs may also arise. Because the design and outcome of our current and planned clinical trials are highly uncertain, we cannot reasonably estimate the actual amount of resources and funding that will be necessary to successfully complete the development and commercialization of bel-sar or any future product candidates that we develop. We also expect to incur additional costs associated with operating as a public company. Accordingly, we will need to obtain substantial additional funding in order to continue our operations.</w:t>
      </w:r>
    </w:p>
    <w:p>
      <w:pPr>
        <w:spacing w:after="0" w:line="18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Based on our current operating plan, we believe there is substantial doubt about our ability to continue as a going concern for at least twelve months following the filing of this Annual Report on Form 10-K, and we will need to obtain additional funding. Advancing the development of bel-sar and other research programs will require a significant amount of capital. As of December 31, 2025, we had cash and cash equivalents and marketable securities of $144.2 million. Our existing cash and cash equivalents and marketable securities will not be sufficient to fund bel-sar through regulatory approval, and we anticipate needing to raise additional capital to complete the development and commercialization of bel-sar. Our estimate as to how long we expect our existing cash and cash equivalents and marketable securities to fund our operations is based on assumptions that may prove to be wrong, and we could use our available capital resources sooner than we currently expect. Our financial statements do not include any adjustments that might result from the outcome of this uncertainty. Changing circumstances, some of which may be beyond our control, could cause us to consume capital significantly faster than we currently anticipate, and we may need to seek additional funds sooner than planned.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jc w:val="both"/>
        <w:ind w:firstLine="509"/>
        <w:spacing w:after="0" w:line="236" w:lineRule="auto"/>
        <w:rPr>
          <w:sz w:val="20"/>
          <w:szCs w:val="20"/>
          <w:color w:val="auto"/>
        </w:rPr>
      </w:pPr>
      <w:r>
        <w:rPr>
          <w:rFonts w:ascii="Arial" w:cs="Arial" w:eastAsia="Arial" w:hAnsi="Arial"/>
          <w:sz w:val="18"/>
          <w:szCs w:val="18"/>
          <w:color w:val="auto"/>
        </w:rPr>
        <w:t>To fund our future operations and remain as a going concern, 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If we are unable to obtain additional funds on a timely basis, there will continue to be substantial doubt about our ability to continue as a going concern. Any additional fundraising efforts may divert our management from their day-to-day activities, which may adversely affect our ability to develop and commercialize product candidates. Disruptions in financial markets due to unfavorable global economic conditions and inflationary pressures may make equity and debt financings more difficult to obtain and may have a material adverse effect on our ability to meet our fundraising needs. Future reports from our independent registered public accounting firm may also contain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if at all. To the extent that we raise additional capital through the sale of equity or convertible preferred stock, or through the exercise of the warrants that were issued in May 2025,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bel-sar if and when approved and develop our product candidates.</w:t>
      </w:r>
    </w:p>
    <w:p>
      <w:pPr>
        <w:spacing w:after="0" w:line="19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our ability to continue as a going concern and our ability to pursue our business strategy, and we may have to delay, reduce the scope of, suspend or eliminate one or more of our clinical trials, research and development programs, future commercialization efforts or other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auditors have issued a “going concern” audit opinion.</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Management has determined and our independent auditors have indicated in their report on our December 31, 2025 financial statements that there is substantial doubt about our ability to continue as a going concern. A “going concern” paragraph in an audit opinion means that there is substantial doubt that we can continue as an ongoing business for the twelve months from the date the consolidated financial statements are issued. If we are unable to continue as an ongoing business, we might have to liquidate our assets and the values we receive for our assets in liquidation or dissolution could be significantly lower than the values reflected in our financial statements. In addition, the inclusion of an explanatory paragraph regarding substantial doubt about our ability to continue as a going concern and our lack of cash resources may materially adversely affect our share price and our ability to raise new capital or to enter into critical contractual relations with third parties. There is no assurance that we will be able to adequately fund our operations in the future.</w:t>
      </w:r>
    </w:p>
    <w:p>
      <w:pPr>
        <w:spacing w:after="0" w:line="4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financial statements have been prepared assuming we will continue as a going concern and do not include any adjustments to reflect the possible future effects on the recoverability and classification of assets, or the amounts and classification of liabilities that may result if we do not continue as a going concern. Therefore, you should not rely on our consolidated balance sheet as an indication of the amount of proceeds that would be available to satisfy claims of creditors, and potentially be available for distribution to stockholders, in the event of liquidation.</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Recent volatility in capital markets may affect our ability to access new capital through sales of shares of our common stock or issuance of indebtedness.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1" w:lineRule="exact"/>
        <w:rPr>
          <w:sz w:val="20"/>
          <w:szCs w:val="20"/>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finance unanticipated working capital requirements;</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develop or enhance our technological infrastructure and our existing solutions;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pursue acquisitions or other strategic relationships;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respond to competitive pressures.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businesses.</w:t>
      </w:r>
    </w:p>
    <w:p>
      <w:pPr>
        <w:spacing w:after="0" w:line="182"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proprietary rights to our technologies or product candidates.</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or through the exercise of the warrants that were issued in May 2025, existing stockholder ownership interest will be diluted. In addition, any debt financing may subject us to fixed payment obligations and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commercial or development partners for our lead products or any future product candidate at an earlier stage than otherwise would be desirable or relinquish our rights to product candidates or technologies that we otherwise would seek to develop or commercialize ourselves.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our objectives relating to the discovery, development, regulatory approval and commercialization of our product candidates.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rely on our team’s expertise in drug discovery, translational research and patient-driven precision medicine to develop our product candidates. Our business depends significantly on the success of this engine and the development and commercialization of the product candidates that we discover with this engine. We have no products approved for commercial sale and do not anticipate generating any revenue from product sales in the near term, if ever. Our ability to generate revenue and achieve profitability depends significantly on our ability to achieve several objectives, including:</w:t>
      </w:r>
    </w:p>
    <w:p>
      <w:pPr>
        <w:spacing w:after="0" w:line="1" w:lineRule="exact"/>
        <w:rPr>
          <w:sz w:val="20"/>
          <w:szCs w:val="20"/>
          <w:color w:val="auto"/>
        </w:rPr>
      </w:pPr>
    </w:p>
    <w:p>
      <w:pPr>
        <w:jc w:val="both"/>
        <w:ind w:left="900" w:hanging="383"/>
        <w:spacing w:after="0" w:line="250"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preclinical and clinical development of bel-sar in small choroidal melanoma and indeterminate lesions and additional oncology indications, including but not limited to metastases to the choroid, and bladder cancer, other research programs from our VDC technology platform, and any other future programs;</w:t>
      </w:r>
    </w:p>
    <w:p>
      <w:pPr>
        <w:ind w:left="900" w:right="20" w:hanging="383"/>
        <w:spacing w:after="0" w:line="255"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relationships with CROs and clinical sites for the clinical development of bel-sar, other research programs from our VDC technology platform, and any other future programs;</w:t>
      </w:r>
    </w:p>
    <w:p>
      <w:pPr>
        <w:ind w:left="900" w:hanging="383"/>
        <w:spacing w:after="0" w:line="252"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ind w:left="900" w:hanging="383"/>
        <w:spacing w:after="0" w:line="257"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transferring our manufacturing process to, and developing or maintaining it with, a CDMO including obtaining finished products that are appropriately packaged for sale;</w:t>
      </w:r>
    </w:p>
    <w:p>
      <w:pPr>
        <w:spacing w:after="0" w:line="1" w:lineRule="exact"/>
        <w:rPr>
          <w:rFonts w:ascii="Times New Roman" w:cs="Times New Roman" w:eastAsia="Times New Roman" w:hAnsi="Times New Roman"/>
          <w:sz w:val="18"/>
          <w:szCs w:val="18"/>
          <w:color w:val="auto"/>
        </w:rPr>
      </w:pPr>
    </w:p>
    <w:p>
      <w:pPr>
        <w:jc w:val="both"/>
        <w:ind w:left="900" w:hanging="383"/>
        <w:spacing w:after="0" w:line="252" w:lineRule="auto"/>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48" w:name="page49"/>
    <w:bookmarkEnd w:id="48"/>
    <w:p>
      <w:pPr>
        <w:ind w:left="900" w:hanging="383"/>
        <w:spacing w:after="0" w:line="255" w:lineRule="auto"/>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new product candidates from our VDC technology platform;</w:t>
      </w:r>
    </w:p>
    <w:p>
      <w:pPr>
        <w:spacing w:after="0" w:line="48"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third-party interference or infringement claims, if any;</w:t>
      </w:r>
    </w:p>
    <w:p>
      <w:pPr>
        <w:spacing w:after="0" w:line="35"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continue as a going concern, maintain or further our research and development efforts, raise additional necessary capital, grow our business and continue our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heavily dependent on the success of bel-sar, our only product candidate to date.</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currently have no products that are approved for commercial sale and may never be able to develop marketable products. We expect that a substantial portion of our efforts and expenditures over the next several years will be devoted to development of bel-sar in multiple oncology indications, which is currently our only product candidate. Accordingly, our business currently depends heavily on the successful development, regulatory approval, and commercialization of bel-sar. We can provide no assurance that bel-sar will receive regulatory approval or be successfully commercialized even if we receive regulatory approval. If we were required to discontinue development of bel-sar or if bel-sar does not receive regulatory approval or fails to achieve significant market acceptance, we would be delayed by many years in our ability to achieve profitability, if ever.</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research, testing, manufacturing, safety, efficacy, recordkeeping, labeling, approval, licensure, sale, marketing, advertising, promotion and distribution of bel-sar is, and will remain, subject to comprehensive regulation by the FDA and foreign regulatory authorities. Failure to obtain regulatory approval for bel-sar in the United States, Europe and other major markets around the world will prevent us from commercializing and marketing bel-sar in such jurisdictions.</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Even if we were to successfully obtain approval from the FDA and foreign regulatory authorities for bel-sar, any approval might contain significant limitations related to use, including limitations on the stage or type of cancer bel-sar is approved to treat, as well as restrictions for specified age groups, warnings, precautions or contraindications, or requirement for a risk evaluation and mitigation strategy, or REMS. Any such limitations or restrictions could similarly impact any supplemental marketing approvals we may obtain for bel-sar. Furthermore, even if we obtain regulatory approval for bel-sar,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bel-sar, we may not be able to generate sufficient revenue to continue our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49" w:name="page50"/>
    <w:bookmarkEnd w:id="49"/>
    <w:p>
      <w:pPr>
        <w:jc w:val="both"/>
        <w:spacing w:after="0" w:line="256"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pacing w:after="0" w:line="1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 We utilize third-party CROs and/or regulatory consultants to assist us in the regulatory approval process globally and expect to continue to do so in the future.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and clinical sites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Premarket Approval, or PMA, or biologics license application, or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Because the activity of bel-sar in ocular melanoma requires a drug delivery device and activation by a laser, the regulatory complexity of the product candidate is greater than for products that do not utilize a device, which creates uncertainties in the requirements for regulatory approval. Our product candidates could be delayed in receiving, or fail to receive, regulatory approval for many reasons, including the following:</w:t>
      </w:r>
    </w:p>
    <w:p>
      <w:pPr>
        <w:spacing w:after="0" w:line="4"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48"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ind w:left="900" w:right="20" w:hanging="383"/>
        <w:spacing w:after="0" w:line="252"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48"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900" w:hanging="383"/>
        <w:spacing w:after="0" w:line="252"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BLA or other submission or to obtain regulatory approval in the United States or elsewhere;</w:t>
      </w:r>
    </w:p>
    <w:p>
      <w:pPr>
        <w:ind w:left="900" w:right="20" w:hanging="383"/>
        <w:spacing w:after="0" w:line="257"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fail to approve our manufacturing processes or facilities or those of third-party manufacturers with which we contract for clinical and commercial supplies; and</w:t>
      </w:r>
    </w:p>
    <w:p>
      <w:pPr>
        <w:spacing w:after="0" w:line="1" w:lineRule="exact"/>
        <w:rPr>
          <w:rFonts w:ascii="Times New Roman" w:cs="Times New Roman" w:eastAsia="Times New Roman" w:hAnsi="Times New Roman"/>
          <w:sz w:val="18"/>
          <w:szCs w:val="18"/>
          <w:color w:val="auto"/>
        </w:rPr>
      </w:pPr>
    </w:p>
    <w:p>
      <w:pPr>
        <w:ind w:left="900" w:hanging="383"/>
        <w:spacing w:after="0" w:line="270"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50" w:name="page51"/>
    <w:bookmarkEnd w:id="50"/>
    <w:p>
      <w:pPr>
        <w:jc w:val="both"/>
        <w:ind w:firstLine="509"/>
        <w:spacing w:after="0" w:line="253" w:lineRule="auto"/>
        <w:rPr>
          <w:sz w:val="20"/>
          <w:szCs w:val="20"/>
          <w:color w:val="auto"/>
        </w:rPr>
      </w:pPr>
      <w:r>
        <w:rPr>
          <w:rFonts w:ascii="Arial" w:cs="Arial" w:eastAsia="Arial" w:hAnsi="Arial"/>
          <w:sz w:val="18"/>
          <w:szCs w:val="18"/>
          <w:color w:val="auto"/>
        </w:rPr>
        <w:t>Our novel VDC product candidates are based on a technology that we are in the process of developing. We expect the novel nature of such product candidates to create further challenges in obtaining regulatory approval. As a result, our ability to develop product candidates and obtain regulatory approval may be significantly impacted.</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Additionally, the conduct of Advisory Committee meetings may be disrupted or delayed and the impact that may have on the overall timing of regulatory approvals is uncertain.</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initiated but not yet completed a pivotal clinical trial nor have we commercialized any pharmaceutical products, which may make it difficult to evaluate our future prospects.</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will need to successfully complete pivotal clinical trials in order to obtain the approval of the FDA, the EMA, or other regulatory agencies to market bel-sar or any future product candidate. Carrying out later-stage clinical trials is a complicated process. Our operations to date have been limited to financing and staffing our company, developing our technology and conducting preclinical research and Phase 1 and Phase 2 clinical trials for our product candidates, primarily related to our bel-sar program in small choroidal melanoma and indeterminate lesions. Although we have an ongoing global Phase 3 trial in small choroidal melanomas and indeterminate lesions, we have not yet demonstrated an ability to successfully complete pivotal clinical trials, obtain marketing approvals, manufacture a commercial-scale product or arrange for a third party to do so on our behalf, or conduct sales and marketing activities necessary for successful product commercialization. In order to complete later stage or pivotal trials, we are expanding our clinical operations, CMC and regulatory capabilities, and we may be unable to recruit and train qualified personnel or sign a contract with a global clinical research organization to conduct such trials on our behalf. Consequently, we may be unable to successfully and efficiently design, execute and complete necessary clinical trials in a way that leads to approval of bel-sar or future product candidates. We may require more time to enroll patients and incur greater costs than our competitors and may not succeed in obtaining global regulatory approvals of product candidates that we develop. Furthermore, we may conduct a pivotal trial based on an adaptive design, which could increase the time spent on or costs associated with this trial. We have transferred our manufacturing process to our external CDMO manufacturer, but transfers to additional CDMOs may occur in the future. Further, some modifications to our manufacturing process or a manufacturing facility change may be needed, including to ensure manufacturability and ability to scale-up the process to commercial batch sizes and to meet worldwide regulatory standards for commercial manufacture. We intend to perform an analytical comparability assessment between the current clinical process and the intended commercial process, however, if this analytical process comparability assessment is unsuccessful, clinical comparability or other studies may be required, which may result in delayed regulatory approval. We do not anticipate a change in our ocular formulation. However, failure to commence or complete, or delays in, our planned clinical trials, could prevent us from or delay us in commercializing our product candidates.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develop additional product candidates, or obtain additional indications of our first product candidate, our commercial opportunity could be limited.</w:t>
      </w:r>
    </w:p>
    <w:p>
      <w:pPr>
        <w:spacing w:after="0" w:line="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to focus our resources on the development of bel-sar in the near term. Developing, obtaining marketing approval for, and commercializing any future product candidates will require substantial additional funding and will be subject to the risks of failure inherent in drug product development. We cannot assure you that we will be able to successfully advance any future product candidates through the development process.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1" w:name="page52"/>
    <w:bookmarkEnd w:id="51"/>
    <w:p>
      <w:pPr>
        <w:jc w:val="both"/>
        <w:ind w:firstLine="509"/>
        <w:spacing w:after="0" w:line="244" w:lineRule="auto"/>
        <w:rPr>
          <w:sz w:val="20"/>
          <w:szCs w:val="20"/>
          <w:color w:val="auto"/>
        </w:rPr>
      </w:pPr>
      <w:r>
        <w:rPr>
          <w:rFonts w:ascii="Arial" w:cs="Arial" w:eastAsia="Arial" w:hAnsi="Arial"/>
          <w:sz w:val="18"/>
          <w:szCs w:val="18"/>
          <w:color w:val="auto"/>
        </w:rPr>
        <w:t>Even if we obtain approval from the FDA or comparable foreign regulatory authorities to market any future product candidates for any indication,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Bel-sar is a biologic that requires the use of multiple medical devices, which may result in additional regulatory risks.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Bel-sar is a novel biologic for which the intended use in ocular oncology requires delivery to the suprachoroidal space, or SCS, and activation by a laser. For ocular oncology indications, we use Clearside Biomedical Inc.’s SCS Microinjector®, or the SCS Microinjector, to deliver bel-sar into the SCS. In the United States, we plan to submit a single BLA for the review and approval of this combination of bel-sar with the SCS Microinjector and the laser(s) in our initial target indication of small choroidal melanoma and indeterminate lesions, but subsequent indications and delivery systems may require different or additional applications for marketing authorization. The SCS Microinjector was approved by FDA in October 2021 as a constituent of the drug/device combination product XIPERE® (triamcinolone acetonide injectable suspension). There may be additional regulatory risks for biologic-device combination products. We may experience delays in obtaining regulatory approval of bel-sar given the increased complexity of the review process when approval of the product and a medical device is sought under a single BLA. In the United States, each component of a combination product is subject to the requirements established by the FDA for that type of component, whether a drug, biologic or device. Devices are subject to the FDA design control device requirements which comprise among other things, design verification, design validation, and testing to assess performance, cleaning, and robustness. In the European Union, or EU, medical devices must bear a CE marking under the EU’s Medical Devices Regulation, which requires compliance with the general safety and performance requirements set forth in such legislation. Delays in or failure of the studies conducted by us, or failure of our company, our collaborators, if any, or our third-party providers or suppliers to maintain compliance with regulatory requirements could result in increased development costs, delays in or failure to obtain regulatory approval, and associated delays in bel-sar reaching the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may be altered along the way in an effort to optimize processes and results. Such changes to a product candidate carry the risk that they will not achieve the intended objectives of optimizing the performance of the candidate.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For example, the EMA required additional testing to support drug substance characterization which led to a later than anticipated authorization to commence enrolling patients in our Phase 3 clinical trial under the EU Clinical Trial Regulation process.</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our competitors may in the future commence clinical trials for product candidates that treat the same indications as our product candidates, and patients who would otherwise be eligible for our clinical trials may choose instead to enroll in clinical trials of our competitors.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2" w:name="page53"/>
    <w:bookmarkEnd w:id="52"/>
    <w:p>
      <w:pPr>
        <w:jc w:val="both"/>
        <w:spacing w:after="0" w:line="247" w:lineRule="auto"/>
        <w:rPr>
          <w:sz w:val="20"/>
          <w:szCs w:val="20"/>
          <w:color w:val="auto"/>
        </w:rPr>
      </w:pPr>
      <w:r>
        <w:rPr>
          <w:rFonts w:ascii="Arial" w:cs="Arial" w:eastAsia="Arial" w:hAnsi="Arial"/>
          <w:sz w:val="18"/>
          <w:szCs w:val="18"/>
          <w:color w:val="auto"/>
        </w:rPr>
        <w:t>patients, and the patient referral practices of physicians. If patients are unwilling to participate in our studies for any reason, the timeline for recruiting patients, conducting studies and obtaining regulatory approval of potential products may be delayed. Our lead indication of early choroidal melanoma is a rare disease and as such clinical trial recruitment estimates may be inaccurate and such recruitment may take longer than expected.</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36" w:lineRule="exact"/>
        <w:rPr>
          <w:sz w:val="20"/>
          <w:szCs w:val="20"/>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severity of the disease under investigation;</w:t>
      </w:r>
    </w:p>
    <w:p>
      <w:pPr>
        <w:spacing w:after="0" w:line="35" w:lineRule="exact"/>
        <w:rPr>
          <w:rFonts w:ascii="Times New Roman" w:cs="Times New Roman" w:eastAsia="Times New Roman" w:hAnsi="Times New Roman"/>
          <w:sz w:val="18"/>
          <w:szCs w:val="18"/>
          <w:color w:val="auto"/>
        </w:rPr>
      </w:pPr>
    </w:p>
    <w:p>
      <w:pPr>
        <w:ind w:left="900" w:right="20" w:hanging="383"/>
        <w:spacing w:after="0" w:line="257"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clinicians’ and patients’ awareness of, and perceptions as to the potential advantages and risks of bel-sar in relation to other available therapies, including any new drugs that may be approved for the indications we are investigating;</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monitor patients adequately during and after treatment;</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studies or trials with similar eligibility criteria;</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reporting of the preliminary results of any of our clinical trials; and</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factors we may not be able to control that may limit patients, principal investigators or staff or clinical site availability.</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conducting a clinical trial outside the United States, and we may in the future conduct additional clinical trials for current or future product candidates outside the United States, and the FDA and comparable foreign regulatory authorities may not accept data from such trials.</w:t>
      </w:r>
    </w:p>
    <w:p>
      <w:pPr>
        <w:spacing w:after="0" w:line="1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currently conducting a Phase 3 clinical trial and have, or anticipate to have, sites in the United States as well as in some or all of the following countries, among others: the UK, Canada, Australia, Austria, Italy, Israel, Germany, France, Spain, Denmark, Belgium, New Zealand, the Netherlands, and the Czech Republic. We also may in the future choose to conduct one or more additional clinical trials outside the United States, including in Europe.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the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Additionally, recent policy proposals in the United States, if enacted in the future, may make acceptance by the FDA or inclusion in a marketing application of foreign data more difficult or costly.</w:t>
      </w:r>
    </w:p>
    <w:p>
      <w:pPr>
        <w:spacing w:after="0" w:line="19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Even if we receive marketing approval for our current or future product candidates in the United States, we may never receive regulatory approval to market our current or future product candidates outside of the United States.</w:t>
      </w:r>
    </w:p>
    <w:p>
      <w:pPr>
        <w:spacing w:after="0" w:line="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plan to seek regulatory approval of our current or future product candidates outside of the United States. Obtaining and maintaining regulatory approval of our product candidates in one jurisdiction does not guarantee that we will be able to obtain or maintain regulatory approval in any other jurisdiction.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p>
      <w:pPr>
        <w:jc w:val="both"/>
        <w:ind w:firstLine="509"/>
        <w:spacing w:after="0" w:line="239" w:lineRule="auto"/>
        <w:rPr>
          <w:sz w:val="20"/>
          <w:szCs w:val="20"/>
          <w:color w:val="auto"/>
        </w:rPr>
      </w:pPr>
      <w:r>
        <w:rPr>
          <w:rFonts w:ascii="Arial" w:cs="Arial" w:eastAsia="Arial" w:hAnsi="Arial"/>
          <w:sz w:val="18"/>
          <w:szCs w:val="18"/>
          <w:color w:val="auto"/>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the FDA approval. The marketing approval processes in other countries generally implicate all of the risks detailed above regarding the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preclinical studies and early clinical trials may not be predictive of future results.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outcome of preclinical testing and early clinical trials may not be predictive of the success of later clinical trials. Bel-sar and any other product candidates we may develop may fail to show the desired safety and efficacy in clinical development despite positive results in preclinical studies or having successfully advanced through initial clinical trials. For example, bel-sar may not be effective at slowing or arresting tumor growth or may not preserve visual acuity in later stage trials. Even if bel-sar successfully slows or completely arrests tumor growth, this may not result in a reduction in the risk of metastasis. Additionally, any positive results generated in our ongoing clinical trials and preclinical studies would not ensure that we will achieve similar results in larger, pivotal clinical trials or in clinical trials of bel-sar in broader patient populations.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and efficacy in any clinical trial could negatively impact the perception of that product candidate in other indications or patient populations or any other product candidates then under development and/or cause the FDA or other regulatory authorities to require additional testing before approving such product candidate or any other product candidates.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Interim, “top-line,” and preliminary or early data from our clinical trials that we announce or publish from time to time may change as more patient data become available and are subject to audit and verification procedures that could result in material changes in the final data.</w:t>
      </w:r>
    </w:p>
    <w:p>
      <w:pPr>
        <w:spacing w:after="0" w:line="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From time to time, we may publicly disclose preliminary, early,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early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interim data and final data could materially affect our business, financial condition, results of operations and growth prospects.</w:t>
      </w:r>
    </w:p>
    <w:p>
      <w:pPr>
        <w:spacing w:after="0" w:line="18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jc w:val="both"/>
        <w:spacing w:after="0" w:line="239" w:lineRule="auto"/>
        <w:rPr>
          <w:sz w:val="20"/>
          <w:szCs w:val="20"/>
          <w:color w:val="auto"/>
        </w:rPr>
      </w:pPr>
      <w:r>
        <w:rPr>
          <w:rFonts w:ascii="Arial" w:cs="Arial" w:eastAsia="Arial" w:hAnsi="Arial"/>
          <w:sz w:val="18"/>
          <w:szCs w:val="18"/>
          <w:color w:val="auto"/>
        </w:rPr>
        <w:t>impact the value of the particular program, the approvability or commercialization of the particular product candidate and our company in general. Further, additional disclosure of interim data by us or by our potential competitors in the future could result in volatility in the price of our common stock.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materially affect our business, financial condition, results of operations and growth prospects.</w:t>
      </w:r>
    </w:p>
    <w:p>
      <w:pPr>
        <w:spacing w:after="0" w:line="18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Additionally, we may continue to utilize “open-label” trial designs or open-label extensions to our clinical trials in the future.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or extension may not be predictive of future clinical trial results with bel-sar or any future product candidates when studied in a controlled environment with a placebo or active control.</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Bel-sar or any future product candidates may cause or reveal significant adverse events, toxicities or other undesirable side effects which may delay or prevent marketing approval.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1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Adverse events or other undesirable side effects caused by or associated with treatment by bel-sar or our future product candidates could cause us or regulatory authorities to interrupt, delay or halt clinical trials and could result in a more restrictive label or the delay or denial of regulatory approval by the FDA, the EMA or other comparable foreign regulatory authorities. Although bel-sar has been evaluated in clinical trials, unexpected side effects may still arise in our ongoing or any future clinical trials. These side effects have included pigmentary changes around the tumor margin and vision loss.</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pivotal clinical trials or, in some cases, after they are made available to patients on a commercial scale after approval.</w:t>
      </w:r>
    </w:p>
    <w:p>
      <w:pPr>
        <w:spacing w:after="0" w:line="185"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 w:lineRule="exact"/>
        <w:rPr>
          <w:sz w:val="20"/>
          <w:szCs w:val="20"/>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withdraw approvals of such product or require additional warnings on the label;</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clinical trials or post-approval studies;</w:t>
      </w:r>
    </w:p>
    <w:p>
      <w:pPr>
        <w:spacing w:after="0" w:line="35"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1" w:lineRule="exact"/>
        <w:rPr>
          <w:rFonts w:ascii="Times New Roman" w:cs="Times New Roman" w:eastAsia="Times New Roman" w:hAnsi="Times New Roman"/>
          <w:sz w:val="18"/>
          <w:szCs w:val="18"/>
          <w:color w:val="auto"/>
        </w:rPr>
      </w:pPr>
    </w:p>
    <w:p>
      <w:pPr>
        <w:ind w:left="900" w:right="20" w:hanging="383"/>
        <w:spacing w:after="0" w:line="270"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or limitations in the labeling, such as a contraindication, limitation of use, or a boxed warning, or issue safety alerts, Dear Healthcare Provider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5" w:name="page56"/>
    <w:bookmarkEnd w:id="55"/>
    <w:p>
      <w:pPr>
        <w:ind w:left="900"/>
        <w:spacing w:after="0"/>
        <w:rPr>
          <w:sz w:val="20"/>
          <w:szCs w:val="20"/>
          <w:color w:val="auto"/>
        </w:rPr>
      </w:pPr>
      <w:r>
        <w:rPr>
          <w:rFonts w:ascii="Arial" w:cs="Arial" w:eastAsia="Arial" w:hAnsi="Arial"/>
          <w:sz w:val="18"/>
          <w:szCs w:val="18"/>
          <w:color w:val="auto"/>
        </w:rPr>
        <w:t>letters, press releases or other communications containing warnings or other safety information about the product;</w:t>
      </w:r>
    </w:p>
    <w:p>
      <w:pPr>
        <w:spacing w:after="0" w:line="32" w:lineRule="exact"/>
        <w:rPr>
          <w:sz w:val="20"/>
          <w:szCs w:val="20"/>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subject to regulatory investigations and government enforcement actions; and</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Moreover, if bel-sar or any of our future product candidates is associated with undesirable or unexpected side effects in clinical trials,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even if it is approved.</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materially affect our business, financial condition, results of operations, and growth prospects.</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patients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p>
    <w:p>
      <w:pPr>
        <w:spacing w:after="0" w:line="1" w:lineRule="exact"/>
        <w:rPr>
          <w:sz w:val="20"/>
          <w:szCs w:val="20"/>
          <w:color w:val="auto"/>
        </w:rPr>
      </w:pPr>
    </w:p>
    <w:p>
      <w:pPr>
        <w:ind w:left="900" w:hanging="383"/>
        <w:spacing w:after="0" w:line="257"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spacing w:after="0" w:line="1"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or institutional review board, or IRBs, or ethics committees may delay or may not authorize us or our investigators to commence a clinical trial or conduct a clinical trial at a prospective trial site;</w:t>
      </w:r>
    </w:p>
    <w:p>
      <w:pPr>
        <w:jc w:val="both"/>
        <w:ind w:left="900" w:hanging="383"/>
        <w:spacing w:after="0" w:line="267" w:lineRule="auto"/>
        <w:tabs>
          <w:tab w:leader="none" w:pos="90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jc w:val="both"/>
        <w:ind w:left="900" w:hanging="383"/>
        <w:spacing w:after="0" w:line="250"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ind w:left="900" w:hanging="383"/>
        <w:spacing w:after="0" w:line="255"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jc w:val="both"/>
        <w:ind w:left="900" w:hanging="383"/>
        <w:spacing w:after="0" w:line="246"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 w:lineRule="exact"/>
        <w:rPr>
          <w:rFonts w:ascii="Times New Roman" w:cs="Times New Roman" w:eastAsia="Times New Roman" w:hAnsi="Times New Roman"/>
          <w:sz w:val="18"/>
          <w:szCs w:val="18"/>
          <w:color w:val="auto"/>
        </w:rPr>
      </w:pPr>
    </w:p>
    <w:p>
      <w:pPr>
        <w:jc w:val="both"/>
        <w:ind w:left="900" w:hanging="383"/>
        <w:spacing w:after="0" w:line="246"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18"/>
          <w:szCs w:val="18"/>
          <w:color w:val="auto"/>
        </w:rPr>
      </w:pPr>
    </w:p>
    <w:p>
      <w:pPr>
        <w:jc w:val="both"/>
        <w:ind w:left="900" w:hanging="383"/>
        <w:spacing w:after="0" w:line="248"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39"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 w:lineRule="exact"/>
        <w:rPr>
          <w:rFonts w:ascii="Times New Roman" w:cs="Times New Roman" w:eastAsia="Times New Roman" w:hAnsi="Times New Roman"/>
          <w:sz w:val="18"/>
          <w:szCs w:val="18"/>
          <w:color w:val="auto"/>
        </w:rPr>
      </w:pPr>
    </w:p>
    <w:p>
      <w:pPr>
        <w:jc w:val="both"/>
        <w:ind w:left="900" w:hanging="383"/>
        <w:spacing w:after="0" w:line="248"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and</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56" w:name="page57"/>
    <w:bookmarkEnd w:id="56"/>
    <w:p>
      <w:pPr>
        <w:jc w:val="both"/>
        <w:ind w:firstLine="509"/>
        <w:spacing w:after="0" w:line="239"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at which such trials are being conducted, by the Data Safety Monitoring Board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Moreover, principal investigators for our trials involving bel-sar or any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expenses. Additionally, our product candidates, if approved, could be subject to post-marketing commitments/requirements,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2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compliance with applicable product tracking and tracing requirements, as well as continued compliance with current Good Manufacturing Practices, or cGMPs, and GCPs for any clinical trials that we conduct post-approval. Additionally, under the Food and Drug Omnibus Reform Act of 2022, or FDORA, sponsors of approved drugs and biologics must provide six months’ notice to the FDA of any changes in marketing status, such as the withdrawal of a drug, and failure to do so could result in the FDA issuing a letter citing such failure to comply and public posting of such letter and redacted company response, which could damage the company’s reputation.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0" w:lineRule="exact"/>
        <w:rPr>
          <w:sz w:val="20"/>
          <w:szCs w:val="20"/>
          <w:color w:val="auto"/>
        </w:rPr>
      </w:pPr>
    </w:p>
    <w:p>
      <w:pPr>
        <w:ind w:left="900" w:hanging="383"/>
        <w:spacing w:after="0" w:line="270" w:lineRule="auto"/>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7" w:name="page58"/>
    <w:bookmarkEnd w:id="57"/>
    <w:p>
      <w:pPr>
        <w:ind w:left="900" w:hanging="383"/>
        <w:spacing w:after="0" w:line="255"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ind w:left="900" w:hanging="383"/>
        <w:spacing w:after="0" w:line="252"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revisions to the labeling, including limitation on approved uses or the inclusion of additional warnings, contraindications or other safety information, including boxed warnings;</w:t>
      </w: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REMS which may include distribution or use restrictions;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holds;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other regulatory enforcement action;</w:t>
      </w:r>
    </w:p>
    <w:p>
      <w:pPr>
        <w:spacing w:after="0" w:line="48"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Additionally, 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FDA’s and other regulatory authorities’ policies and interpretations may change and additional government regulations may be enacted that could prevent, limit or delay regulatory approval of our product candidates. If we are slow or unable to adapt to changes in existing requirements or the adoption of new requirements, interpretations or policies, or if we are not able to maintain regulatory compliance, we may lose any regulatory approval that we may have obtained, which would adversely affect our business, prospects and ability to achieve or sustain profitability. Moreover,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be unable to obtain ODD for additional indications, or to maintain the benefits associated with orphan drug status, including market exclusivity, which may cause our revenue, if any, to be reduced.</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ODD must be requested before submitting an NDA or BLA. In the United States, ODD entitles a party to financial incentives such as opportunities for grant funding towards clinical trial costs, tax advantages and user-fee waivers. After the FDA grants ODD, the generic identity of the drug and its potential orphan use are disclosed publicly by the FDA. ODD does not convey any advantage in, or shorten the duration of, the regulatory review and approval process.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If a product that has ODD subsequently receives the first FDA approval for a particular active ingredient for the indication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58" w:name="page59"/>
    <w:bookmarkEnd w:id="58"/>
    <w:p>
      <w:pPr>
        <w:jc w:val="both"/>
        <w:spacing w:after="0" w:line="253" w:lineRule="auto"/>
        <w:rPr>
          <w:sz w:val="20"/>
          <w:szCs w:val="20"/>
          <w:color w:val="auto"/>
        </w:rPr>
      </w:pPr>
      <w:r>
        <w:rPr>
          <w:rFonts w:ascii="Arial" w:cs="Arial" w:eastAsia="Arial" w:hAnsi="Arial"/>
          <w:sz w:val="18"/>
          <w:szCs w:val="18"/>
          <w:color w:val="auto"/>
        </w:rPr>
        <w:t>which the drug was designated. As a result, even if our current product candidates and any future product candidates receive orphan exclusivity, the FDA can still approve other drugs that have a different active ingredient for use in treating the same approved use or condition. Furthermore, the FDA can waive orphan exclusivity if we are unable to manufacture sufficient supply of our product.</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obtained orphan designation for bel-sar for the treatment of uveal melanoma from the FDA and the European Commission, and we may seek additional ODDs for bel-sar or some or all of our future product candidates in orphan indications in which there is a medically plausible basis for the use of these products. Even if we obtain ODD,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69"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Similarly, in the EU, the European Commission grants an orphan designation in respect of a product after receiving the opinion of the EMA’s Committee for Orphan Medicinal Products on a designation application. Orphan designation in the EU is granted to products where the sponsor can establish that (1) such product is intended for the diagnosis, prevention or treatment of a life-threatening or chronically debilitating condition; (2) either (i) such condition affects no more than five in 10,000 persons in the EU when the application is made; or (ii) without incentives, it is unlikely that the marketing of the product would generate sufficient return in the EU to justify the necessary investment in its development; and (3) there exists no satisfactory method of diagnosis, prevention or treatment of such condition that has been authorized in the EU, or if such a method exists, the product in question would be of significant benefit to those affected by that condition. In the EU, orphan designation entitles a party to a number of incentives, such as protocol assistance and scientific advice specifically for designated orphan medicines, and potential fee reductions depending on the status of the sponsor. Generally, if a product with an orphan designation subsequently receives the first marketing approval for the indication for which it has such designation, the product is entitled to a ten-year period of marketing exclusivity, which precludes the EMA and competent authorities of the EU Member States from approving another marketing authorization application for a similar medicinal product in the same indication for that time period, except in limited circumstances. The EU exclusivity period can be reduced to six years if, at the end of the fifth year, a product no longer meets the criteria for orphan designation or if the product is sufficiently profitable such that market exclusivity is no longer justified. The European Commission introduced legislative proposals in April 2023 that, if implemented, will replace the current regulatory framework in the EU for all medicines (including those for rare diseases and for children). In April 2024, the European Parliament adopted its position on the legislative proposals and, in June 2025, the Council of the European Union adopted its position. A common position on the text was agreed upon on December 11, 2025, in the context of subsequent inter-institutional trilogue negotiations. The proposed revisions, which could reduce the current ten-year marketing exclusivity period in the EU for certain orphan medicines, remain to be adopted, and are not expected to become applicable before 2028.</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1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9" w:name="page60"/>
    <w:bookmarkEnd w:id="59"/>
    <w:p>
      <w:pPr>
        <w:jc w:val="both"/>
        <w:spacing w:after="0" w:line="247" w:lineRule="auto"/>
        <w:rPr>
          <w:sz w:val="20"/>
          <w:szCs w:val="20"/>
          <w:color w:val="auto"/>
        </w:rPr>
      </w:pPr>
      <w:r>
        <w:rPr>
          <w:rFonts w:ascii="Arial" w:cs="Arial" w:eastAsia="Arial" w:hAnsi="Arial"/>
          <w:sz w:val="18"/>
          <w:szCs w:val="18"/>
          <w:color w:val="auto"/>
        </w:rPr>
        <w:t>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obtained Fast Track designation for bel-sar for the treatment of choroidal melanoma, for the treatment of metastases to the choroid and for the treatment of NMIBC, and we may seek additional Fast Track designation for other product candidates we may develop.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Accelerated approval by the FDA, even if granted for bel-sar or any other future product candidates, may not lead to a faster development or regulatory review or approval process and it does not increase the likelihood that our product candidates will receive regulatory approval.</w:t>
      </w:r>
    </w:p>
    <w:p>
      <w:pPr>
        <w:spacing w:after="0" w:line="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FDA’s agreement to a Special Protocol Assessment, or SPA, with respect to the study design of our global Phase 3 trial of bel-sar for the treatment of early choroidal melanoma does not guarantee any particular outcome from regulatory review, including ultimate approval, and may not lead to a successful review or approval process.</w:t>
      </w:r>
    </w:p>
    <w:p>
      <w:pPr>
        <w:spacing w:after="0" w:line="1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obtained agreement from the FDA on the design and planned analysis of our global Phase 3 trial of bel-sar for the treatment of early choroidal melanoma through an SPA. An SPA agreement documents FDA’s agreement that the design and planned analysis of a study can adequately address objectives in support of a regulatory submission. However, final determinations for marketing application approval are made after complete review of a marketing application and are based on the entire data in the application.</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The FDA ultimately assesses whether specific elements of the protocol design of the trial, such as entry criteria, dose selection, endpoints and/or planned analyses, are acceptable to support a regulatory submission.</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60" w:name="page61"/>
    <w:bookmarkEnd w:id="60"/>
    <w:p>
      <w:pPr>
        <w:jc w:val="both"/>
        <w:spacing w:after="0" w:line="253" w:lineRule="auto"/>
        <w:rPr>
          <w:sz w:val="20"/>
          <w:szCs w:val="20"/>
          <w:color w:val="auto"/>
        </w:rPr>
      </w:pPr>
      <w:r>
        <w:rPr>
          <w:rFonts w:ascii="Arial" w:cs="Arial" w:eastAsia="Arial" w:hAnsi="Arial"/>
          <w:sz w:val="18"/>
          <w:szCs w:val="18"/>
          <w:color w:val="auto"/>
        </w:rPr>
        <w:t>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even after an SPA agreement is finalized, the SPA agreement may be modified, and such modification will be deemed binding by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Moreover, if the FDA revokes or alters its agreement under the SPA, or interprets the data collected from the clinical trial differently than we do, the FDA may not deem the data sufficient to support an application for regulatory approval of bel-sar for the treatment of small choroidal melanoma and indeterminate lesions.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p>
    <w:p>
      <w:pPr>
        <w:spacing w:after="0" w:line="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central reading centers, medical institutions and clinical investigators, to conduct some aspects of our research, preclinical testing and clinical trials. We are using a clinical CRO for the pivotal trial for bel-sar for the treatment of early choroidal melanoma. Any of these third parties may terminate their engagements with us or be unable to fulfill their contractual obligations. If we need to enter into alternative arrangements, our product development activities would be delayed.</w:t>
      </w:r>
    </w:p>
    <w:p>
      <w:pPr>
        <w:spacing w:after="0" w:line="1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as well as the applicable legal, regulatory and scientific standards.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are also required to register ongoing clinical trials and to post the results of completed clinical trials on a government-sponsored database within certain timeframes. Failure to do so can result in fines, adverse publicity and civil and criminal sanctions. Due to the rarity of ocular melanomas, we may engage clinical trial sites that have little experience in the conduct of clinical trials under GCPs. Even though we train the clinical trial sites, monitor the activities, and perform quality audits to assess and ensure compliance, we cannot ensure such compliance.</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for whom they may also be conducting clinical trials or other biological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1" w:name="page62"/>
    <w:bookmarkEnd w:id="61"/>
    <w:p>
      <w:pPr>
        <w:jc w:val="both"/>
        <w:spacing w:after="0" w:line="249" w:lineRule="auto"/>
        <w:rPr>
          <w:sz w:val="20"/>
          <w:szCs w:val="20"/>
          <w:color w:val="auto"/>
        </w:rPr>
      </w:pPr>
      <w:r>
        <w:rPr>
          <w:rFonts w:ascii="Arial" w:cs="Arial" w:eastAsia="Arial" w:hAnsi="Arial"/>
          <w:sz w:val="18"/>
          <w:szCs w:val="18"/>
          <w:b w:val="1"/>
          <w:bCs w:val="1"/>
          <w:i w:val="1"/>
          <w:iCs w:val="1"/>
          <w:color w:val="auto"/>
        </w:rPr>
        <w:t>We currently rely on third-party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1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currently do not have any manufacturing facilities and have no plans to build our own clinical or commercial scale manufacturing capabilities. Instead, we expect to rely on third parties for the manufacture of our product candidates and related raw materials for future preclinical and clinical development, as well as for commercial manufacture if any of our product candidates receive marketing approval. We are currently reliant on a single source for each of our regulatory starting materials, drug substance and drug product manufacturing for bel-sar.</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or our third-party suppliers or manufacturers may encounter shortages in the raw materials or active pharmaceutical ingredient, or API, necessary to produce bel-sar and future product candidates we may develop in the quantities needed for our clinical trials or, if bel-sar or any future product candidates we may develop are approved, in sufficient quantities for commercialization or to meet an increase in demand, as a result of capacity constraints or delays or disruptions in the market for the raw materials or APIs,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bel-sar or any future product candidates we may develop could delay, prevent or impair our development efforts and may have a material adverse effect on our business. To date, we have only encountered minor delays in our manufacturing process due to a supply chain constraint with one of our vendors.</w:t>
      </w:r>
    </w:p>
    <w:p>
      <w:pPr>
        <w:spacing w:after="0" w:line="18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Reliance on third-party manufacturers may expose us to different risks than if we were to manufacture clinical or commercial supply of our product candidates ourselves. The facilities used by third-party manufacturers to manufacture bel-sar or any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8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Any delays or disruptions in the operations of our existing CDMOs or third-party suppliers, or finding new CDMOs or third-party suppliers, would involve additional cost and require our management’s time and focus. In addition, there is typically a transition period when a new CDMO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Additionally, any changes implemented by an existing or new CDMO could delay completion of clinical trials, require the conduct of bridging clinical trials or studies, require the repetition of one or more clinical trials, increase clinical trial and commercial costs, delay approval of bel-sar and future product candidates and jeopardize our ability to commence product sales and generate revenue.</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part of their manufacture of our product candidates, our CDMOs and third-party suppliers are expected to comply with and respect the intellectual property and proprietary rights of others. If a CDMO or third-party supplier fails to acquire the proper licenses or otherwise infringes, misappropriates or otherwise violates the intellectual property or proprietary rights of others in the course of providing services to us, we may have to find alternative CDMOs or third-party suppliers or defend against applicable claims, either of which would significantly impact our ability to develop, obtain regulatory approval for or commercialize our product candidates, if approved.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62" w:name="page63"/>
    <w:bookmarkEnd w:id="62"/>
    <w:p>
      <w:pPr>
        <w:jc w:val="both"/>
        <w:ind w:firstLine="509"/>
        <w:spacing w:after="0" w:line="244" w:lineRule="auto"/>
        <w:rPr>
          <w:sz w:val="20"/>
          <w:szCs w:val="20"/>
          <w:color w:val="auto"/>
        </w:rPr>
      </w:pPr>
      <w:r>
        <w:rPr>
          <w:rFonts w:ascii="Arial" w:cs="Arial" w:eastAsia="Arial" w:hAnsi="Arial"/>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spacing w:after="0" w:line="176"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w:t>
      </w: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breach of the manufacturing agreement by the third-party manufacturers;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specifications;</w:t>
      </w:r>
    </w:p>
    <w:p>
      <w:pPr>
        <w:spacing w:after="0" w:line="48"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lack of qualified backup suppliers for those components or materials that are currently purchased from a sole or single source supplier;</w:t>
      </w: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schedule or at all;</w:t>
      </w:r>
    </w:p>
    <w:p>
      <w:pPr>
        <w:spacing w:after="0" w:line="39"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difficulties caused by unforeseen events that may delay the availability of one or more of the necessary raw materials or delay the manufacture of bel-sar or any future product candidates for use in clinical trials or for commercial supply;</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supply or service disruptions or increased costs that are beyond our control;</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misappropriation of our proprietary information, including our trade secrets and know-how;</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manufacturing costs or processes implemented by third-party manufacturers; and</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2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Bel-sar and any other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renegotiate agreements with existing third-party manufacturers on less attractive terms or replace such manufacturers, and we may be unable to replace them on a timely basis or on terms acceptable to us. Our current and anticipated future dependence upon others for the manufacture of bel-sar or any other future product candidates or products may adversely affect our future profit margins and our ability to commercialize any products that receive marketing approval on a timely and competitive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bel-sar or any future product candidates do not achieve broad market acceptance, the revenue that we generate from their sales may be limited, and we may never become profitable.</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have never commercialized a product candidate for any indication. Even if bel-sar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bel-sar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VDCs is unsafe, whether related to our or our competitors’ products, our products may not be accepted by the general public or the medical community. In addition, training clinicians to properly use bel-sar or any future product candidate that requires a similar laser and microinjector may create reluctance by clinicians to adopt our products, potentially adversely affecting our future sales and marketing efforts. Furthermore, such training increases our costs to generate sales associated with any such product. Future adverse events in targeted oncology or the biopharmaceutical industry could also result in greater governmental regulation, stricter labeling requirements and potential regulatory delays in the testing or approvals of our product candidates. In addition, the inclusion or exclusion of products from treatment guidelines established by various physician groups and the viewpoints of influential physicians can affect the willingness of other physicians to prescribe the treatment.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3" w:name="page64"/>
    <w:bookmarkEnd w:id="63"/>
    <w:p>
      <w:pPr>
        <w:jc w:val="both"/>
        <w:spacing w:after="0" w:line="271" w:lineRule="auto"/>
        <w:rPr>
          <w:sz w:val="20"/>
          <w:szCs w:val="20"/>
          <w:color w:val="auto"/>
        </w:rPr>
      </w:pPr>
      <w:r>
        <w:rPr>
          <w:rFonts w:ascii="Arial" w:cs="Arial" w:eastAsia="Arial" w:hAnsi="Arial"/>
          <w:sz w:val="18"/>
          <w:szCs w:val="18"/>
          <w:color w:val="auto"/>
        </w:rPr>
        <w:t>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5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Efforts to educate the medical community and third-party payors on the benefits of bel-sar and any future product candidates may require significant resources and may not be successful. If bel-sar or any future product candidates are approved but do not achieve an adequate level of market acceptance, we could be prevented from or significantly delayed in achieving profitability. The degree of market acceptance of any of bel-sar and any future product candidates will depend on a number of factors, including:</w:t>
      </w:r>
    </w:p>
    <w:p>
      <w:pPr>
        <w:spacing w:after="0" w:line="2" w:lineRule="exact"/>
        <w:rPr>
          <w:sz w:val="20"/>
          <w:szCs w:val="20"/>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of bel-sar and our VLP technology, and any future product candidates;</w:t>
      </w:r>
    </w:p>
    <w:p>
      <w:pPr>
        <w:spacing w:after="0" w:line="48"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adverse events associated with bel-sar and any future product candidates or those products with which they may be co-administered;</w:t>
      </w: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bel-sar are approved and the approved claims that we may make for the products;</w:t>
      </w:r>
    </w:p>
    <w:p>
      <w:pPr>
        <w:spacing w:after="0" w:line="39" w:lineRule="exact"/>
        <w:rPr>
          <w:rFonts w:ascii="Times New Roman" w:cs="Times New Roman" w:eastAsia="Times New Roman" w:hAnsi="Times New Roman"/>
          <w:sz w:val="18"/>
          <w:szCs w:val="18"/>
          <w:color w:val="auto"/>
        </w:rPr>
      </w:pPr>
    </w:p>
    <w:p>
      <w:pPr>
        <w:jc w:val="both"/>
        <w:ind w:left="900" w:hanging="383"/>
        <w:spacing w:after="0" w:line="250"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bel-sar and any future product candidates that may be more restrictive than other competitive products;</w:t>
      </w:r>
    </w:p>
    <w:p>
      <w:pPr>
        <w:jc w:val="both"/>
        <w:ind w:left="900" w:hanging="383"/>
        <w:spacing w:after="0" w:line="248"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SoC for the targeted indications for bel-sar and any future product candidates, which could reduce the marketing impact of any claims that we could make following FDA approval or approval by comparable foreign regulatory authorities, if obtained;</w:t>
      </w:r>
    </w:p>
    <w:p>
      <w:pPr>
        <w:spacing w:after="0" w:line="1" w:lineRule="exact"/>
        <w:rPr>
          <w:rFonts w:ascii="Times New Roman" w:cs="Times New Roman" w:eastAsia="Times New Roman" w:hAnsi="Times New Roman"/>
          <w:sz w:val="18"/>
          <w:szCs w:val="18"/>
          <w:color w:val="auto"/>
        </w:rPr>
      </w:pPr>
    </w:p>
    <w:p>
      <w:pPr>
        <w:ind w:left="900" w:hanging="383"/>
        <w:spacing w:after="0" w:line="252"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relative convenience and ease of administration of bel-sar and any future product candidates and any products with which they are co-administered;</w:t>
      </w: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48"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adequate coverage or reimbursement by third-party payors, including government healthcare programs such as Medicare and Medicaid and other healthcare payors;</w:t>
      </w: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price concessions required by third-party payors to obtain coverage;</w:t>
      </w:r>
    </w:p>
    <w:p>
      <w:pPr>
        <w:spacing w:after="0" w:line="39"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perception of physicians, patients, third-party payors and others in the medical community of the relative safety, efficacy, convenience, effect on quality of life and cost effectiveness of bel-sar compared to those of other available treatments;</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marketing and distribution of bel-sar and any future product candidates;</w:t>
      </w:r>
    </w:p>
    <w:p>
      <w:pPr>
        <w:spacing w:after="0" w:line="48" w:lineRule="exact"/>
        <w:rPr>
          <w:rFonts w:ascii="Times New Roman" w:cs="Times New Roman" w:eastAsia="Times New Roman" w:hAnsi="Times New Roman"/>
          <w:sz w:val="18"/>
          <w:szCs w:val="18"/>
          <w:color w:val="auto"/>
        </w:rPr>
      </w:pPr>
    </w:p>
    <w:p>
      <w:pPr>
        <w:ind w:left="900" w:right="20" w:hanging="383"/>
        <w:spacing w:after="0" w:line="257"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spacing w:after="0" w:line="1"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distribution and use restrictions imposed by the FDA or comparable foreign regulatory authorities with respect to bel-sar and any future product candidates or to which we agree as part of a REMS or voluntary risk management plan;</w:t>
      </w: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bel-sar and any future product candidates, as well as competitive products;</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offer bel-sar and any future product candidates for sale at competitive prices;</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third-party manufacturer and supplier support;</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publicity concerning our bel-sar or competing products and treatments;</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actions of companies that market any products with which bel-sar and any future product candidates may be co-administered;</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products;</w:t>
      </w:r>
    </w:p>
    <w:p>
      <w:pPr>
        <w:spacing w:after="0" w:line="48"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adverse publicity about bel-sar and any future product candidates or any products with which they are co-administered, or favorable publicity about competitive products; and</w:t>
      </w: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product liability claims.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64" w:name="page65"/>
    <w:bookmarkEnd w:id="64"/>
    <w:p>
      <w:pPr>
        <w:jc w:val="both"/>
        <w:spacing w:after="0" w:line="256"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we may not be able to generate product revenue.</w:t>
      </w:r>
    </w:p>
    <w:p>
      <w:pPr>
        <w:spacing w:after="0" w:line="1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have never commercialized a product candidate and we currently have no sales, marketing or distribution capabilities and have no experience in marketing products. Our operations to date have been limited to organizing and staffing our company, business planning, raising capital, acquiring the rights to our product candidate and undertaking preclinical studies and clinical trials of our product candidate.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We may not be successful in transitioning from a company with a development focus to a company capable of supporting commercial activities.</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to establishing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Further, if we enter into arrangements with third parties to perform sales and marketing services, our product revenues, if any, may be lower than if we were to market and sell any products that we develop ourselves.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Furthermore, developing a sales and marketing organization requires significant investment, is time-consuming and could delay the launch of our product candidate. We may not be able to build an effective sales and marketing organization in the United States, the EU or other key global markets. If we are unable to build our own distribution and marketing capabilities or to find suitable partners for the commercialization of our product candidate, we may have difficulties generating revenue from them.</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face competition, which may result in others discovering, developing or commercializing drugs before or more successfully than we do.</w:t>
      </w:r>
    </w:p>
    <w:p>
      <w:pPr>
        <w:spacing w:after="0" w:line="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biopharmaceutical industry is characterized by intense competition and rapid innovation. While we are not aware of anyone currently developing a treatment for early choroidal melanoma, in the future our competitors may be able to develop other compounds or drugs that are able to achieve similar or better results than us. There are multiple companies that have drugs in clinical development for the treatment of NMIBC, such as Johnson &amp; Johnson, UroGen Pharma Ltd., CG Oncology, Inc., ImmunityBio, Inc. and Ferring Pharmaceuticals. Our potential competitors include major multinational pharmaceutical companies, established biotechnology companies, specialty pharmaceutical companies and universities and other research institutions. Many of our potential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which may reduce or eliminate our commercial opportunity. We believe the key competitive factors that will affect the development and commercial success of our product candidates are efficacy, safety, tolerability, reliability, convenience of use, price and reimbursement.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65" w:name="page66"/>
    <w:bookmarkEnd w:id="65"/>
    <w:p>
      <w:pPr>
        <w:jc w:val="both"/>
        <w:ind w:firstLine="509"/>
        <w:spacing w:after="0" w:line="242" w:lineRule="auto"/>
        <w:rPr>
          <w:sz w:val="20"/>
          <w:szCs w:val="20"/>
          <w:color w:val="auto"/>
        </w:rPr>
      </w:pPr>
      <w:r>
        <w:rPr>
          <w:rFonts w:ascii="Arial" w:cs="Arial" w:eastAsia="Arial" w:hAnsi="Arial"/>
          <w:sz w:val="18"/>
          <w:szCs w:val="18"/>
          <w:color w:val="auto"/>
        </w:rPr>
        <w:t>Even if we obtain regulatory approval of our product candidates, the availability and price of our potential future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the section of our Annual Report on Form 10-K for the year ended December 31, 2025 titled “Business—Competition.”</w:t>
      </w:r>
    </w:p>
    <w:p>
      <w:pPr>
        <w:spacing w:after="0" w:line="181"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For more information, see the section of our Annual Report on Form 10-K for the year ended December 31, 2025 titled “Business—Government Regulation—Coverage and Reimbursement.”</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8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incidence and prevalence for target patient populations of bel-sar and any future product candidates has not been established with precision. Bel-sar is a VDC product candidate being developed for the first line treatment of early choroidal melanoma. Our projections of both the number of people who have choroidal melanoma, as well as additional ocular oncology and bladder cancer indications, are based on our estimates.</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total addressable market opportunity will ultimately depend upon, among other things, the patient criteria included in the final label, the indications for which bel-sar is approved for sale, acceptance by the medical community and patient access, product pricing and reimbursement. The number of patients with choroidal melanoma, metastases to the choroid, and bladder cancer for which bel-sar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Bel-sar is our only product candidate and therefore our business is dependent on the market opportunity for our product.</w:t>
      </w:r>
    </w:p>
    <w:p>
      <w:pPr>
        <w:spacing w:after="0" w:line="18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our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6" w:name="page67"/>
    <w:bookmarkEnd w:id="66"/>
    <w:p>
      <w:pPr>
        <w:jc w:val="both"/>
        <w:spacing w:after="0" w:line="271" w:lineRule="auto"/>
        <w:rPr>
          <w:sz w:val="20"/>
          <w:szCs w:val="20"/>
          <w:color w:val="auto"/>
        </w:rPr>
      </w:pPr>
      <w:r>
        <w:rPr>
          <w:rFonts w:ascii="Arial" w:cs="Arial" w:eastAsia="Arial" w:hAnsi="Arial"/>
          <w:sz w:val="18"/>
          <w:szCs w:val="18"/>
          <w:color w:val="auto"/>
        </w:rPr>
        <w:t>product candidates, if approved. For more information, see the section of our Annual Report on Form 10-K for the year ended December 31, 2025 titled “Business—Government Regulation—Health Care Laws and Regulations.”</w:t>
      </w:r>
    </w:p>
    <w:p>
      <w:pPr>
        <w:spacing w:after="0" w:line="15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Additionally, we are subject to state and foreign equivalents of each of the healthcare laws and regulations described above, among others, some of which may be broader in scope and may apply regardless of the payor. Many states in the United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General Data Protection Regulation, or GDPR, also govern the privacy and security of health information in some circumstances, many of which differ from each other in significant ways and often are not preempted by the Health Insurance Portability and Accountability Act, or HIPAA, thus complicating compliance efforts. There are ambiguities as to what is required to comply with these state requirements and if we fail to comply with an applicable state law requirement we could be subject to penalties.</w:t>
      </w:r>
    </w:p>
    <w:p>
      <w:pPr>
        <w:spacing w:after="0" w:line="18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Current and future healthcare legislative reform measures may have a material adverse effect on our business and results of operations.</w:t>
      </w:r>
    </w:p>
    <w:p>
      <w:pPr>
        <w:spacing w:after="0" w:line="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the section of our Annual Report on Form 10-K for the year ended December 31, 2025 titled “Business—Government Regulation—Health Care Reform &amp; Legislative Updates.”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67" w:name="page68"/>
    <w:bookmarkEnd w:id="67"/>
    <w:p>
      <w:pPr>
        <w:jc w:val="both"/>
        <w:ind w:firstLine="509"/>
        <w:spacing w:after="0"/>
        <w:rPr>
          <w:sz w:val="20"/>
          <w:szCs w:val="20"/>
          <w:color w:val="auto"/>
        </w:rPr>
      </w:pPr>
      <w:r>
        <w:rPr>
          <w:rFonts w:ascii="Arial" w:cs="Arial" w:eastAsia="Arial" w:hAnsi="Arial"/>
          <w:sz w:val="18"/>
          <w:szCs w:val="18"/>
          <w:color w:val="auto"/>
        </w:rPr>
        <w:t>In the United States, there have been, and continue to be, a significant number of legislative initiatives to contain healthcare costs. The United States has also sought to implement legislation at the state level, and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w:t>
      </w:r>
    </w:p>
    <w:p>
      <w:pPr>
        <w:spacing w:after="0" w:line="1" w:lineRule="exact"/>
        <w:rPr>
          <w:sz w:val="20"/>
          <w:szCs w:val="20"/>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set a price that we believe is fair for our products;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coverage and reimbursement approval for a product;</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2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6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 and our proprietary rights do not necessarily address all potential threats to our competitive advantage.</w:t>
      </w:r>
    </w:p>
    <w:p>
      <w:pPr>
        <w:spacing w:after="0" w:line="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commercial success depends upon obtaining and maintaining proprietary rights to our intellectual property estate, including rights relating to our technology platform using HPV-derived VLPs to target tumors and VDCs like bel-sar, as well as successfully defending these rights against third-party challenges and successfully enforcing these rights to prevent third-party infringement. We will only be able to protect bel-sar or a future product candidate derived from our platform from unauthorized use by third parties to the extent that valid and enforceable patents cover it. Our ability to maintain patent protection for bel-sar or a future product candidate is uncertain due to a number of factors, including that:</w:t>
      </w:r>
    </w:p>
    <w:p>
      <w:pPr>
        <w:spacing w:after="0" w:line="4" w:lineRule="exact"/>
        <w:rPr>
          <w:sz w:val="20"/>
          <w:szCs w:val="20"/>
          <w:color w:val="auto"/>
        </w:rPr>
      </w:pPr>
    </w:p>
    <w:p>
      <w:pPr>
        <w:ind w:left="900" w:hanging="383"/>
        <w:spacing w:after="0" w:line="252" w:lineRule="auto"/>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design around our patent claims to produce competitive technologies, products or methods that fall outside of the scope of our patents;</w:t>
      </w: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obtain patent protection in all jurisdictions that may eventually provide us a significant business opportunity; and</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any patents issued to us may be successfully challenged by third parties.</w:t>
      </w:r>
    </w:p>
    <w:p>
      <w:pPr>
        <w:spacing w:after="0" w:line="2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Even with our patents covering bel-sar, we may still not be able to make use or sell bel-sar or a future product candidate because of the patent rights of others. Others may have filed patent applications covering compositions, products or methods that are similar or identical to ours, which could materially affect our ability to successfully commercialize bel-sar or a future product candidate.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8" w:name="page69"/>
    <w:bookmarkEnd w:id="68"/>
    <w:p>
      <w:pPr>
        <w:jc w:val="both"/>
        <w:ind w:firstLine="509"/>
        <w:spacing w:after="0" w:line="242"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Furthermore, we employ reputable law firms and other professionals to help us comply with the various procedural, documentary, fee payment and other similar provisions we are subject to and, in many cases, an inadvertent lapse can be cured by payment of a late fee or by other means in accordance with the applicable rules.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bel-sar or any future product candidates. It may be necessary for us to use the patented or proprietary technology of third parties to commercialize bel-sar or any future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growth of our business may depend in part on our ability to acquire, in-license or use third-party proprietary rights. We may be unable to acquire or in-license any such proprietary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9" w:name="page70"/>
    <w:bookmarkEnd w:id="69"/>
    <w:p>
      <w:pPr>
        <w:jc w:val="both"/>
        <w:spacing w:after="0" w:line="249" w:lineRule="auto"/>
        <w:rPr>
          <w:sz w:val="20"/>
          <w:szCs w:val="20"/>
          <w:color w:val="auto"/>
        </w:rPr>
      </w:pPr>
      <w:r>
        <w:rPr>
          <w:rFonts w:ascii="Arial" w:cs="Arial" w:eastAsia="Arial" w:hAnsi="Arial"/>
          <w:sz w:val="18"/>
          <w:szCs w:val="18"/>
          <w:b w:val="1"/>
          <w:bCs w:val="1"/>
          <w:i w:val="1"/>
          <w:iCs w:val="1"/>
          <w:color w:val="auto"/>
        </w:rPr>
        <w:t>We rely on intellectual property licensed from third parties. We face risks with respect to such reliance, including the risk that,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a party to a number of intellectual property license agreements that are important to our business. Our existing license agreements impose on us various diligence, milestone payment, royalty and other obligations. If we fail to comply with any of our obligations under these agreements, or we are subject to a bankruptcy, our licensors may have the right to terminate the license, in which event we would not be able to market any products covered by the license.</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36" w:lineRule="exact"/>
        <w:rPr>
          <w:sz w:val="20"/>
          <w:szCs w:val="20"/>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and related obligations under the license agreement and other interpretation-related issues;</w:t>
      </w:r>
    </w:p>
    <w:p>
      <w:pPr>
        <w:spacing w:after="0" w:line="48" w:lineRule="exact"/>
        <w:rPr>
          <w:rFonts w:ascii="Times New Roman" w:cs="Times New Roman" w:eastAsia="Times New Roman" w:hAnsi="Times New Roman"/>
          <w:sz w:val="18"/>
          <w:szCs w:val="18"/>
          <w:color w:val="auto"/>
        </w:rPr>
      </w:pPr>
    </w:p>
    <w:p>
      <w:pPr>
        <w:ind w:left="900" w:right="20" w:hanging="383"/>
        <w:spacing w:after="0" w:line="255"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our licensor’s right to license or sublicense patent and other rights to us, and whether and the extent to which the right is retained by a third party;</w:t>
      </w:r>
    </w:p>
    <w:p>
      <w:pPr>
        <w:ind w:left="900" w:hanging="383"/>
        <w:spacing w:after="0" w:line="252"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technology infringes on intellectual property of the licensor that is not subject to the licensing agreement;</w:t>
      </w: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48"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bel-sar or any future product candidates, and what activities satisfy those diligence obligations; and</w:t>
      </w: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215"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from third parties prevent or impair our ability to maintain our licensing arrangements on acceptable terms, we or our collaborators may be unable to successfully manufacture and commercialize bel-sar or a future product candidate.</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we fail to comply with our obligations under the license agreements, our licensors may have the right to terminate these agreements, in which event we might not be able to manufacture or market bel-sar or a future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70" w:name="page71"/>
    <w:bookmarkEnd w:id="70"/>
    <w:p>
      <w:pPr>
        <w:jc w:val="both"/>
        <w:spacing w:after="0" w:line="256"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with respect to bel-sar or a future product candidate, thereby potentially extending the term of marketing exclusivity for such product, our business may be harmed.</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the FDA marketing approval of our product candidates, one or more of our owned, co-owned, or in-licensed U.S. patents may be eligible for limited patent term extension under the Drug Price Competition and Patent Term Restoration Act of 1984, or the Hatch-Waxman Act. The Hatch-Waxman Act permits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In the EU, bel-sar or a future product candidate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Patents and patent applications involve highly complex legal and factual questions, which, if determined adversely to us, could negatively impact our patent position.</w:t>
      </w:r>
    </w:p>
    <w:p>
      <w:pPr>
        <w:spacing w:after="0" w:line="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 Patent and Trademark Office, or the USPTO, and its foreign counterparts are sometimes uncertain and could change in the future. Consequently, the issuance and scope of patents cannot be predicted with certainty. Patents, if issued, may be challenged, invalidated or circumvented. The U.S. patents and patent applications may also be subject to interference or derivation proceedings, and the U.S. patents may be subject to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opposition proceedings may be costly. Accordingly, rights under any issued patents may not provide us with sufficient protection against competitive products or processes.</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Furthermore, even if not challenged, our patents and patent applications may not prevent others from designing their products to avoid being covered by our claims. If the breadth or strength of protection provided by the patent applications we hold with respect to bel-sar or a future product candidate is threatened, it could dissuade companies from collaborating with us to develop, and could threaten our or their ability to successfully commercialize, bel-sar or a future product candidate.</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changes in, or different interpretations of, patent laws in the United States and other countries may permit others to use our discoveries or to develop and commercialize our technology without providing any compensation to us and may limit the scope of patent protection that we are able to obtain. The laws of some countries do not protect intellectual property rights to the same extent as the U.S. laws, and those countries may lack adequate rules and procedures for defending our intellectual property rights.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71" w:name="page72"/>
    <w:bookmarkEnd w:id="71"/>
    <w:p>
      <w:pPr>
        <w:jc w:val="both"/>
        <w:spacing w:after="0" w:line="249" w:lineRule="auto"/>
        <w:rPr>
          <w:sz w:val="20"/>
          <w:szCs w:val="20"/>
          <w:color w:val="auto"/>
        </w:rPr>
      </w:pPr>
      <w:r>
        <w:rPr>
          <w:rFonts w:ascii="Arial" w:cs="Arial" w:eastAsia="Arial" w:hAnsi="Arial"/>
          <w:sz w:val="18"/>
          <w:szCs w:val="18"/>
          <w:b w:val="1"/>
          <w:bCs w:val="1"/>
          <w:i w:val="1"/>
          <w:iCs w:val="1"/>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p>
    <w:p>
      <w:pPr>
        <w:spacing w:after="0" w:line="1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Our commercial success depends upon our ability to develop, manufacture, market and sell bel-sar or a future product candidate without alleged or actual infringement, misappropriation or other violation of the patents and proprietary rights of third parties. Litigation relating to infringement or misappropriation of patent and other intellectual property rights in the biotechnology industry is common, including patent infringement lawsuits, interferences, oppositions,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As a result of any patent infringement claims, or in order to avoid any potential infringement claims, we may choose to seek, or be required to seek, a license from the third-party,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bel-sar or a future product candidate, or forced to modify bel-sar or a future product candidate, or to cease some aspect of our business operations, which could harm our business significantly. We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spacing w:after="0" w:line="1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Further, if a patent infringement suit is brought against us or our third-party service providers, our development, manufacturing or sales activities relating to bel-sar or a future product candidate that is the subject of the suit may be delayed or terminated. In addition, defending such claims may cause us to incur substantial expenses and, if successful, could cause us to pay substantial damages if we are found to be infringing a third-party’s patent rights. These damages potentially could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ability to further develop or commercialize bel-sar or a future product candidate unless we obtain a license under the applicable patents, or until such patents expire or are finally determined to be invalid or unenforceable.</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of the patent protection on bel-sar or a future product candidate.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72" w:name="page73"/>
    <w:bookmarkEnd w:id="72"/>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Filing, prosecuting and defending patents on bel-sar or a future product candidate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and have applied for patents in those countries where we intend to make, have made, use, offer for sale or sell products and where we assess the risk of infringement to justify the cost of seeking patent protection.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may develop, and our patents or other intellectual property rights may not be effective or sufficient to prevent such competition.</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chose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w:t>
      </w:r>
    </w:p>
    <w:p>
      <w:pPr>
        <w:spacing w:after="0" w:line="18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or our licensors are unable to protect the confidentiality of the proprietary information related to our product or process, our business and competitive position would be harmed.</w:t>
      </w:r>
    </w:p>
    <w:p>
      <w:pPr>
        <w:spacing w:after="0" w:line="4"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We and our licensors rely on confidentiality agreements to protect unpatented know-how, technology and other proprietary information related to our product and process, to maintain our competitive position. For example, our licensor Rakuten (previously LI-COR) maintains its manufacture of IRDye 700DX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dye molecules (used in bel-sar) as a trade secret.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73" w:name="page74"/>
    <w:bookmarkEnd w:id="73"/>
    <w:p>
      <w:pPr>
        <w:jc w:val="both"/>
        <w:ind w:firstLine="509"/>
        <w:spacing w:after="0"/>
        <w:rPr>
          <w:sz w:val="20"/>
          <w:szCs w:val="20"/>
          <w:color w:val="auto"/>
        </w:rPr>
      </w:pPr>
      <w:r>
        <w:rPr>
          <w:rFonts w:ascii="Arial" w:cs="Arial" w:eastAsia="Arial" w:hAnsi="Arial"/>
          <w:sz w:val="18"/>
          <w:szCs w:val="18"/>
          <w:color w:val="auto"/>
        </w:rPr>
        <w:t>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are unwilling to protect trade secrets.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bel-sar.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materially adverse effect on our business. Even if we are successful in defending against such claims, litigation could result in substantial costs and be a distraction to our management and other employees.</w:t>
      </w:r>
    </w:p>
    <w:p>
      <w:pPr>
        <w:spacing w:after="0" w:line="18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or subject to unauthorized access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cybersecurity incident or data breach. In addition, our confidential information may otherwise become known or be independently discovered by competitors, in which case we would have no right to prevent them, or those to whom they communicate it, from using that technology or information to compete with us, which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pursue our business strategy and continue as a going concern will be impaired, could result in loss of markets or market share and could make us less competitive.</w:t>
      </w:r>
    </w:p>
    <w:p>
      <w:pPr>
        <w:spacing w:after="0" w:line="2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ability to compete in the highly competitive biopharmaceutical industries depends upon our ability to attract, manage, motivate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for these individuals could harm our business.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In addition, concerns about our ability to continue as a going concern or raise sufficient capital to fund our clinical trials and other business activities could result in the departure of personnel that are critical to our operations. If we are unable to continue to attract and retain high quality personnel, our ability to pursue our growth strategy will be limited.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4" w:name="page75"/>
    <w:bookmarkEnd w:id="74"/>
    <w:p>
      <w:pPr>
        <w:jc w:val="both"/>
        <w:ind w:firstLine="509"/>
        <w:spacing w:after="0" w:line="238" w:lineRule="auto"/>
        <w:rPr>
          <w:sz w:val="20"/>
          <w:szCs w:val="20"/>
          <w:color w:val="auto"/>
        </w:rPr>
      </w:pPr>
      <w:r>
        <w:rPr>
          <w:rFonts w:ascii="Arial" w:cs="Arial" w:eastAsia="Arial" w:hAnsi="Arial"/>
          <w:sz w:val="18"/>
          <w:szCs w:val="18"/>
          <w:color w:val="auto"/>
        </w:rPr>
        <w:t>Competition for skilled personnel in our industry is intense and may limit our ability to hire and retain highly qualified personnel on acceptable terms, in a timely manner or at all. In particular, we have experienced a very competitive hiring environment in the Boston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our organization.</w:t>
      </w:r>
    </w:p>
    <w:p>
      <w:pPr>
        <w:spacing w:after="0" w:line="18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Changes in funding, leadership, personnel, policies or priorities of, or other disruptions at federal governmental agencies, including from government shut downs or layoffs of federal agency employees or other disruptions to these agencies’ operations, funding or staffing, could hinder their ability to hire and retain key leadership and other personnel, prevent, delay, or hinder the research, development or commercialization of new products and services or otherwise prevent those agencies from performing normal business functions on which the operation of our business may rely, which could negatively impact our business.</w:t>
      </w:r>
    </w:p>
    <w:p>
      <w:pPr>
        <w:spacing w:after="0" w:line="2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Disruptions in staffing, funding or operations at the FDA, SEC, NIH, USPTO and other government agencies, including leadership departures, personnel cuts, and potential or actual government shutdowns or any changes and/or additional policies or regulations relating to federal agencies as a result of the current U.S. presidential administration, may also prevent, delay or hinder the research, development or commercialization of new products, including review and/or approval of new products by necessary government agencies, any of which would adversely affect our business. Changes and cuts in FDA staffing have also been reported as resulting in delays in the FDA’s responsiveness or in its ability to review IND submissions or marketing applications.</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over the last several years, the U.S. government has shut down at times, including for a 43-day period that began on October 1, 2025, and certain federal agencies, such as the FDA, have had to furlough critical employees and stop critical activities. If a prolonged government shutdown occurs, including as a result of reaching the debt ceiling, it could significantly impact the ability of federal agencies to perform normal business functions on which the operation of our business may rely, including the FDA’s ability to timely review and process our regulatory submissions, any of which could have a material adverse effect on our business. Further, future government shutdowns or other disruption of the operations of federal agencies could impact our ability to access the public markets and obtain necessary capital in order to properly capitalize and continue our operations.</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5" w:name="page76"/>
    <w:bookmarkEnd w:id="75"/>
    <w:p>
      <w:pPr>
        <w:jc w:val="both"/>
        <w:ind w:firstLine="509"/>
        <w:spacing w:after="0" w:line="24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us or our investors.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including with respect to net operating losses and research and development tax credits, could adversely affect us or holders of our common stock. In recent years, many changes have been made and changes are likely to continue to occur in the future. For example, under Section 174 of the Internal Revenue Code of 1986, as amended, or the Code, in taxable years beginning after December 31, 2021, expenses that are incurred for research and development outside the United States will be capitalized and amortized, which may have an adverse effect on our cash flow. Additionally, on July 4, 2025, the One Big Beautiful Bill Act, or OBBBA, was signed into law and made significant changes to U.S. federal tax law. The OBBBA provides that for taxable years beginning after December 31, 2024, expenses that are incurred for research and development performed in the United States may, at the taxpayer’s election, be immediately deducted or capitalized and amortized. The OBBBA also provides that for taxable years beginning after December 31, 2021 and before January 1, 2025, certain eligible taxpayers generally may elect to retroactively deduct expenses for research and development performed in the United States in such taxable years by filing amended tax returns for such taxable years, and all other taxpayers that are not eligible to make such an election and that amortized expenses for research and development performed in the United States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w:t>
      </w:r>
    </w:p>
    <w:p>
      <w:pPr>
        <w:spacing w:after="0" w:line="18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Future changes in tax law could have a material adverse effect on our business, cash flow, financial condition or results of operations.</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contractors, consultants or others who process sensitive information on our behalf, may fail or suffer cybersecurity incidents or breaches, loss or leakage of data and other compromises, any of which could result in a material disruption of our product candidates’ development programs, compromise sensitive information related to our business or prevent us from accessing such information, expose us to liability or otherwise adversely affect our business.</w:t>
      </w:r>
    </w:p>
    <w:p>
      <w:pPr>
        <w:spacing w:after="0" w:line="3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the ordinary course of our business, we may collect, store and transmit confidential information, including intellectual property, proprietary business information and personal information (including health information). We have established safeguards to do so in a secure manner in an effort to maintain the confidentiality, integrity and availability of such information. We also have outsourced certain of our operations to third parties, and as a result, we manage a number of third parties who have access to our information. Despite the implementation of security measures, our internal computer systems and infrastructure, and those of our CROs and other third parties on which we rely, are vulnerable to damage from computer viruses, unauthorized access and misuse, cyberattacks by sophisticated nation-state and nation-state supported actors or by malicious third parties (including the deployment of harmful malware (such as malicious code, viruses and worms), natural disasters, global pandemics, fire, terrorism, war and telecommunication and electrical failures, fraudulent activity, as well as cybersecurity incidents or data breaches from inadvertent or intentional actions (such as error or theft) by our employees, contractors, consultants, business partners, and/or other third parties, ransomware, denial-of-service attacks, social engineering schemes (including phishing attacks), attacks enhanced or facilitated by artificial intelligence, or AI, and other means that affect service reliability and threaten the confidentiality, integrity and availability of information), which may compromise our system infrastructure as well as lead to unauthorized access, disclosure, misuse or acquisition of information. We and/or our service providers have from time to time and may in the future continue to experience threats, data breaches and cybersecurity incidents relating to our and our third-party vendors' information systems. Cyberattacks generally are increasing in their frequency, sophistication and intensity. The techniques used to sabotage or to obtain unauthorized access to our information technology systems or those upon whom we rely 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6" w:name="page77"/>
    <w:bookmarkEnd w:id="76"/>
    <w:p>
      <w:pPr>
        <w:jc w:val="both"/>
        <w:spacing w:after="0" w:line="244" w:lineRule="auto"/>
        <w:rPr>
          <w:sz w:val="20"/>
          <w:szCs w:val="20"/>
          <w:color w:val="auto"/>
        </w:rPr>
      </w:pPr>
      <w:r>
        <w:rPr>
          <w:rFonts w:ascii="Arial" w:cs="Arial" w:eastAsia="Arial" w:hAnsi="Arial"/>
          <w:sz w:val="18"/>
          <w:szCs w:val="18"/>
          <w:color w:val="auto"/>
        </w:rPr>
        <w:t>to process our information change frequently, and we may be unable to anticipate such techniques or implement adequate preventative measures or to stop or to adequately address cybersecurity incidents or breaches in all instances. The recovery systems, security protocols, network protection mechanisms and other security measures that we have integrated into our information technology systems, which are designed to protect against, detect and minimize cybersecurity incidents or breaches, may not be adequate to prevent or detect or adequately address service interruption, system failure or data loss.</w:t>
      </w:r>
    </w:p>
    <w:p>
      <w:pPr>
        <w:spacing w:after="0" w:line="1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Significant disruptions of our information technology systems or cybersecurity incidents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including health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Further, as a result of increased hybrid work, a significant number of our employees and partners are working remotely, which increases the risk of a cybersecurity incident or data breach or other data and cybersecurity issues. To the extent that any disruption or cybersecurity incident or data breach results in a loss of, or damage to, our data or applications, or inappropriate disclosure or misuse of or access to confidential or proprietary information, we could incur liability and the further development of our future product candidates could be delayed.</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may also be required to comply with laws, regulations, rules, industry standards, and other legal obligations that require us to maintain the security of personal data. We may also have contractual and other legal obligations to notify collaborators, our clinical trial participants, or other relevant stakeholders of cybersecurity incidents and breaches. Failure to prevent or mitigate cyberattacks could result in unauthorized access to data, including personal data. Most jurisdictions have enacted laws requiring companies to notify individuals, regulatory authorities, and others of cybersecurity incidents or breaches involving certain types of data. Such disclosures are costly, could lead to negative publicity, may cause our collaborators or other relevant stakeholders to lose confidence in the effectiveness of our security measures and require us to expend significant capital and other resources to respond to and/or alleviate problems caused by the actual or perceived cybersecurity incident or data breach.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cybersecurity incident or data breach. In addition, our efforts to contain or remediate a cybersecurity incident or any vulnerability exploited to cause an incident may be unsuccessful, and efforts and any related failures to contain or remediate them could result in interruptions, delays, harm to our reputation, and increases to our insurance coverage.</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litigation resulting from cybersecurity incidents or breaches may adversely affect our business. Unauthorized access to our information technology systems or infrastructure could result in litigation with our collaborators, our clinical trial participants,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cybersecurity incident or data breach were to occur and the confidentiality, integrity or availability of our data or the data of our collaborators were disrupted, we could incur significant liability, which could negatively affect our business and damage our reputation. Our contracts may or may not contain data protection requirements and/or limitations of liability, and where they do, there can be no assurance that such provisions will be sufficient to protect us from liabilities, damages, or claims related to our privacy and data security obligations or afford us sufficient rights to recover from third parties for their failures related to such obligations.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Furthermore, we may not have adequate insurance coverage or otherwise to protect us from, or adequately mitigate, liabilities or damages.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77" w:name="page78"/>
    <w:bookmarkEnd w:id="77"/>
    <w:p>
      <w:pPr>
        <w:jc w:val="both"/>
        <w:spacing w:after="0" w:line="242" w:lineRule="auto"/>
        <w:rPr>
          <w:sz w:val="20"/>
          <w:szCs w:val="20"/>
          <w:color w:val="auto"/>
        </w:rPr>
      </w:pPr>
      <w:r>
        <w:rPr>
          <w:rFonts w:ascii="Arial" w:cs="Arial" w:eastAsia="Arial" w:hAnsi="Arial"/>
          <w:sz w:val="18"/>
          <w:szCs w:val="18"/>
          <w:b w:val="1"/>
          <w:bCs w:val="1"/>
          <w:i w:val="1"/>
          <w:iCs w:val="1"/>
          <w:color w:val="auto"/>
        </w:rPr>
        <w:t>We are, or may become, subject to stringent and changing privacy and information security laws, regulations, standards, policies and contractual obligations related to data privacy and security. Our actual or perceived failure to comply with such data privacy and security obligations could lead to government enforcement actions (which could include civil or criminal fines or penalties), a disruption of our clinical trials or commercialization of our products, private litigation, changes to our business practices, increased costs of operations, and adverse publicity that could otherwise negatively affect our operating results and business. Compliance or the failure to comply with such obligations could increase the costs of our products, could limit their use or adoption, and could otherwise negatively affect our operating results and business.</w:t>
      </w:r>
    </w:p>
    <w:p>
      <w:pPr>
        <w:spacing w:after="0" w:line="2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Regulation of data (including personal and clinical trial data) is evolving, as federal, state, and foreign governments continue to adopt new, or modify existing, laws and regulations addressing data privacy and security, and the collection, processing, storage, transfer, and use of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collaborators’ ability to offer our products in certain locations, cause regulators to reject, limit or disrupt our clinical trial activities, result in increased expenses, reduce overall demand for our products, and make it more difficult to meet expectations of relevant stakeholders.</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and any potential collaborators may be subject to federal, state and foreign data protection laws and regulations including, without limitation, laws that regulate personal data such as health data. For example, in the United States, numerous federal and state laws and regulations, including federal health information privacy laws, state personal information laws (e.g., the California Consumer Privacy Act of 2018, or CCPA), state data breach notification laws,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personal data (including health information) from third parties (including research institutions from which we obtain clinical trial data) that are subject to privacy and security requirements under HIPAA, as amended by the Health Information Technology for Economic and Clinical Health Act. Depending on the facts and circumstances, we could be subject to significant penalties if we violate HIPAA. Additionally, we could be subject to criminal penalties if we knowingly obtain, use, or disclose individually identifiable health information maintained by a HIPAA-covered entity in a manner that is not authorized or permitted by HIPAA.</w:t>
      </w:r>
    </w:p>
    <w:p>
      <w:pPr>
        <w:spacing w:after="0" w:line="18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At the state level, the CCPA, as amended by the California Privacy Rights Act (CPRA), established a comprehensive privacy framework for covered businesses by creating an expanded definition of personal information, established new individual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The CCPA requires covered companies to provide certain disclosures to consumers about its data collection, use and sharing practices, and to provide affected California residents with ways to opt-out of certain sales or transfers of personal information. Although there are limited exemptions for protected health information covered under HIPAA and clinical trial data, the CCPA may increase our compliance costs and potential liability.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78" w:name="page79"/>
    <w:bookmarkEnd w:id="78"/>
    <w:p>
      <w:pPr>
        <w:jc w:val="both"/>
        <w:ind w:firstLine="509"/>
        <w:spacing w:after="0" w:line="237" w:lineRule="auto"/>
        <w:rPr>
          <w:sz w:val="20"/>
          <w:szCs w:val="20"/>
          <w:color w:val="auto"/>
        </w:rPr>
      </w:pPr>
      <w:r>
        <w:rPr>
          <w:rFonts w:ascii="Arial" w:cs="Arial" w:eastAsia="Arial" w:hAnsi="Arial"/>
          <w:sz w:val="18"/>
          <w:szCs w:val="18"/>
          <w:color w:val="auto"/>
        </w:rPr>
        <w:t>Similar comprehensive consumer privacy laws have been passed or proposed in numerous other states. Proposed privacy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 In addition, laws in all 50 U.S. states require businesses to provide notice to individuals if certain of their personal information has been disclosed as a result of a qualifying data breach or cybersecurity incident. There are also states that are specifically regulating health information. For example, Washington’s My Health My Data Act, which became effective on March 31, 2024, regulates the collection, processing and sale of consumer health information. The law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These various privacy and security laws may impact our business activities. In addition, state laws are changing rapidly and there is discussion in the U.S. Congress of a new comprehensive federal data privacy law to which we may likely become subject, if enacted. These laws demonstrate our vulnerability to the evolving regulatory environment related to personal data. As we expand our operations, these and similar laws may increase our compliance costs and potential liability.</w:t>
      </w:r>
    </w:p>
    <w:p>
      <w:pPr>
        <w:spacing w:after="0" w:line="18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Foreign data protection laws, such as, without limitation, the EU GDPR, the EU member state implementing legislation, and the UK GDPR, may also apply to health-related and other personal data that we process, including, without limitation, personal data relating to clinical trial participants. The GDPR imposes strict obligations on the ability to process health-related and other personal data, including in relation to security (which requires the adoption of administrative, physical and technical safeguards designed to protect such information), collection, use and transfer of personal data. These obligations include, without limitation, several transparency requirements relating to communications with data subjects regarding the processing of their personal data, ensuring an appropriate legal basis or conditions applies to the processing of personal data, limitations on the retention of personal data, increased requirements pertaining to health data, notification of data processing obligations or security incidents to the competent national data protection authorities and/or data subjects, the security and confidentiality of the personal data, various rights that data subjects may exercise with respect to their personal data, and strict rules and restrictions on the international transfer of personal data.</w:t>
      </w:r>
    </w:p>
    <w:p>
      <w:pPr>
        <w:spacing w:after="0" w:line="18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GDPR imposes strict rules on the transfer of personal data out of the EEA and UK to other regions outside the EEA/UK, or third countries, that have not been deemed to offer “adequate” privacy protections by the competent data protection authorities, including the United States in certain circumstances, unless a derogation exists or adequate international transfer safeguards (for example, the European Commission approved Standard Contractual Clauses, or the EU SCCs, and the UK International Data Transfer Agreement/Addendum, or the UK IDTA) are put in place. Where relying on the EU SCCs or UK IDTA for data transfers, we may also be required to carry out transfer impact assessments on the transfers made pursuant to the EU SCCs and UK IDTA, on a case-by-case basis, to ensure the law in the recipient country provides “essentially equivalent” protections to safeguard the transferred personal data as provided in the EEA and UK, and may be required to adopt supplementary measures if this standard is not met. Further, the EU and United States have adopted its adequacy decision for the EU-U.S. Data Privacy Framework, 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 and UK personal data is located and which service providers we can utilize for the processing of EEA and UK personal data. Any inability to process or transfer personal data from the EEA to the United States in compliance with data protection laws may impede our ability to conduct trials and may adversely affect our business and financial position.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9" w:name="page80"/>
    <w:bookmarkEnd w:id="79"/>
    <w:p>
      <w:pPr>
        <w:jc w:val="both"/>
        <w:ind w:firstLine="509"/>
        <w:spacing w:after="0" w:line="237" w:lineRule="auto"/>
        <w:rPr>
          <w:sz w:val="20"/>
          <w:szCs w:val="20"/>
          <w:color w:val="auto"/>
        </w:rPr>
      </w:pPr>
      <w:r>
        <w:rPr>
          <w:rFonts w:ascii="Arial" w:cs="Arial" w:eastAsia="Arial" w:hAnsi="Arial"/>
          <w:sz w:val="18"/>
          <w:szCs w:val="18"/>
          <w:color w:val="auto"/>
        </w:rPr>
        <w:t>Although the UK is regarded as one of the countries under the EU GDPR, the European Commission has adopted an adequacy decision in favor of the UK, enabling data transfers from EEA member states to the UK without additional safeguards. The UK government has confirmed that personal data transfers from the UK to the EEA remain free flowing. Despite Brexit, the UK and EEA data protection regimes remain largely aligned. However, going forward, there is increasing risk for divergence in application, interpretation and enforcement of the data protection laws as between the UK and EEA, creating additional regulatory uncertainty. For example, the UK Data (Use and Access) Act 2025, or the UK Act, now in force, further differentiates the UK’s data protection regime. In December 2025, the European Commission adopted a decision determining that the UK continues to provide a level of data protection that is “essentially equivalent” to the EU standards and extended the validity of the UK adequacy decision for six years, through December 2031. While this renewal reduces immediate adequacy concerns, uncertainty remains regarding how UK data protection laws will evolve in the medium to longer term.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 In addition, EEA Member States have adopted national laws to implement the GDPR that may partially deviate from the GDPR. Further, the competent authorities in the EEA Member States interpret GDPR obligations slightly differently from country to country (particularly in relation to the processing of health data) and therefore we do not expect to operate in a uniform legal landscape in the EEA.75.</w:t>
      </w:r>
    </w:p>
    <w:p>
      <w:pPr>
        <w:spacing w:after="0" w:line="18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increase of foreign privacy and security legal frameworks with which we must comply, increases our compliance burdens and exposure to substantial fines and penalties for non-compliance. For example, under the GDPR, entities that violate the GDPR can face fines of up to the greater of 20 million euros (£17.5 million under UK GDPR) or 4% of their worldwide annual turnover, or revenue. Additionally, regulators could prohibit our use of personal data subject to the GDPR. The GDPR also confers a private right of action on data subjects and consumer associations to lodge complaints with supervisory authorities, seek judicial remedies, and obtain compensation for damages resulting from infringement of the GDPR. The GDPR has increased our responsibility and potential liability in relation to personal data that we process, requiring us to put in place additional mechanisms to comply with the GDPR and other foreign data protection requirements.</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also publish privacy policies and other documentation regarding our collection, processing, use and disclosure of personal data and/or other confidential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p>
    <w:p>
      <w:pPr>
        <w:spacing w:after="0" w:line="1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Additionally in the EU, the NIS 2 Directive (NIS 2) is replacing the cybersecurity legal framework under the current NIS framework, aiming to ensure a high level of cybersecurity in the region. NIS 2 brings new medium and large organizations providing services in the EU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EU Member State. EU Member States had until 17 October 2024 to transpose NIS 2 into national legislation, although many countries have still not completed the transposition. As such, the cybersecurity regulatory landscape in the EU is currently fragmented and uncertain. To the extent we are subject to NIS 2, we will require additional investment of our resources in compliance programs and will potentially come under greater regulatory scrutiny. Under NIS 2 companies may be subject to administrative fines of up to the higher amount of €10 million or 2% of worldwide turnover.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0" w:name="page81"/>
    <w:bookmarkEnd w:id="80"/>
    <w:p>
      <w:pPr>
        <w:jc w:val="both"/>
        <w:ind w:firstLine="509"/>
        <w:spacing w:after="0"/>
        <w:rPr>
          <w:sz w:val="20"/>
          <w:szCs w:val="20"/>
          <w:color w:val="auto"/>
        </w:rPr>
      </w:pPr>
      <w:r>
        <w:rPr>
          <w:rFonts w:ascii="Arial" w:cs="Arial" w:eastAsia="Arial" w:hAnsi="Arial"/>
          <w:sz w:val="18"/>
          <w:szCs w:val="18"/>
          <w:color w:val="auto"/>
        </w:rPr>
        <w:t>Regulators and legislators in the United States are increasingly scrutinizing and restricting certain personal data transfers and transactions involving foreign countries. For example, the Department of Justice’s January 8, 2025 final rule on “Preventing Access to Americans’ Bulk Sensitive Personal Data and United States Government-Related Data by Countries of Concern”,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18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Compliance with U.S. federal and state as well as foreign data protection laws and regulations could require us to take on more onerous obligations in our contracts, restrict our ability to collect, use and disclose data, or in some cases, impact our ability to operate in certain jurisdictions.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Failure, or perceived failure, to comply with federal, state and foreign data protection laws and regulations could result in government enforcement actions (which could include civil or criminal penalties, fines or penalties), private litigation, a diversion of management attention, adverse publicity and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cybersecurity incidents or data breaches. Moreover, clinical trial participants or patients about whom we or our collaborators obtain information, as well as the providers who share this information with us, may limit our ability to use and disclose the information. Claims that we have violated individuals’ privacy rights, failed to comply with data protection laws, contracts or privacy notices or breached other obligations, even if we are not found liable, could be expensive and time consuming to defend and could result in adverse publicity that could harm our business. Compliance with data protection laws may be time consuming, require additional resources and could result in increased expenses, reduce overall demand for our products and make it more difficult to meet expectations of or commitments to our relevant stakeholders. Any of the foregoing could have a material adverse effect on our business, financial condition, results of operations and prospects.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AI presents risks and challenges that can impact our business including by posing security risks to our confidential information, proprietary information, and personal data.</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may use and integrate AI into our business processes both in our own development and implementation of AI and through the adoption of commercially available tools. Development, use, and deployment of these technologies could pose cybersecurity, data privacy, IT, intellectual property, regulatory, legal, operational, competitive, reputational, and other risks and challenges that could affect our business.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w:t>
      </w:r>
    </w:p>
    <w:p>
      <w:pPr>
        <w:spacing w:after="0" w:line="4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If we enable or offer solutions that draw controversy due to perceived or actual negative societal impact, we may experience brand or reputational harm, competitive harm or legal liability. Additionally, the use of certain AI technology can give rise to intellectual property risks, including by disclosing or otherwise compromising our confidential or proprietary intellectual property and intellectual property infringement, or by undermining our ability to assert or defend ownership rights in intellectual property created with the assistance of AI tools.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1" w:name="page82"/>
    <w:bookmarkEnd w:id="81"/>
    <w:p>
      <w:pPr>
        <w:jc w:val="both"/>
        <w:ind w:firstLine="509"/>
        <w:spacing w:after="0" w:line="239" w:lineRule="auto"/>
        <w:rPr>
          <w:sz w:val="20"/>
          <w:szCs w:val="20"/>
          <w:color w:val="auto"/>
        </w:rPr>
      </w:pPr>
      <w:r>
        <w:rPr>
          <w:rFonts w:ascii="Arial" w:cs="Arial" w:eastAsia="Arial" w:hAnsi="Arial"/>
          <w:sz w:val="18"/>
          <w:szCs w:val="18"/>
          <w:color w:val="auto"/>
        </w:rPr>
        <w:t>Moreover, a growing number of legislators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 began implementing the Artificial Intelligence Act, or the AI Act, on August 1, 2024, with a significant part of the law scheduled to come into effect in August 2026. As currently enacted, the AI Act, which may be amended as part of the EU’s Digital Omnibus, imposes significant obligations on providers and deployers of high-risk AI systems, and encourages providers and deployers of AI systems to account for EU ethical principles in their development and use of these systems. The scope of requirements depends on judicial interpretations and forthcoming legislative amendments, and non-compliance can lead to significant fines.</w:t>
      </w:r>
    </w:p>
    <w:p>
      <w:pPr>
        <w:spacing w:after="0" w:line="4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the U.S., the AI regulatory environment is complex and uncertain. Over the past year, states have advanced, and in some cases passed, dozens of laws focusing on AI governance and regulation, including on deployment of AI in healthcare settings. At the federal level, the FDA has advanced guidance and proposed frameworks for regulating AI in drug discovery, marketing submissions, and medical device development. At the same time,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If we develop or use AI systems that are governed by these laws or regulations, we will need to meet higher standards of data quality, transparency, and human oversight, and we would need to adhere to specific and potentially burdensome and costly ethical, accountability, and administrative requirements. We may also be subject to significant enforcement or litigation in the event of any perceived non-compliance.</w:t>
      </w:r>
    </w:p>
    <w:p>
      <w:pPr>
        <w:spacing w:after="0" w:line="3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Any of these effects could damage our reputation, result in the loss of valuable property and information, cause us to breach applicable laws and regulations, and adversely impact our business. Bad actors around the world also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8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Any future acquisitions, in-licensing or strategic partnerships may increase our capital requirements, dilute our stockholders, divert our management’s attention, cause us to incur debt or assume contingent liabilities and subject us to other risks.</w:t>
      </w:r>
    </w:p>
    <w:p>
      <w:pPr>
        <w:spacing w:after="0" w:line="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2" w:lineRule="exact"/>
        <w:rPr>
          <w:sz w:val="20"/>
          <w:szCs w:val="20"/>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indebtedness or contingent liabilities;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82" w:name="page83"/>
    <w:bookmarkEnd w:id="82"/>
    <w:p>
      <w:pPr>
        <w:ind w:left="900" w:hanging="383"/>
        <w:spacing w:after="0" w:line="255"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ind w:left="900" w:hanging="383"/>
        <w:spacing w:after="0" w:line="252"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spend substantial operational, financial and management resources in integrating new businesses, technologies and products;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35"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continue as a going concern; and</w:t>
      </w:r>
    </w:p>
    <w:p>
      <w:pPr>
        <w:spacing w:after="0" w:line="48" w:lineRule="exact"/>
        <w:rPr>
          <w:rFonts w:ascii="Times New Roman" w:cs="Times New Roman" w:eastAsia="Times New Roman" w:hAnsi="Times New Roman"/>
          <w:sz w:val="18"/>
          <w:szCs w:val="18"/>
          <w:color w:val="auto"/>
        </w:rPr>
      </w:pPr>
    </w:p>
    <w:p>
      <w:pPr>
        <w:ind w:left="900" w:hanging="383"/>
        <w:spacing w:after="0" w:line="270"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or the third parties upon whom we depend on may be adversely affected by natural disasters and our business continuity and disaster recovery plans may not adequately protect us from a serious disaster.</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p>
    <w:p>
      <w:pPr>
        <w:spacing w:after="0" w:line="1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Claims could also be asserted under the state consumer production acts. If we cannot successfully defend ourselves against claims that our current or future product candidates caused injuries, we could incur substantial liabilities. Regardless of merit or eventual outcome, liability claims may result in:</w:t>
      </w:r>
    </w:p>
    <w:p>
      <w:pPr>
        <w:spacing w:after="0" w:line="1" w:lineRule="exact"/>
        <w:rPr>
          <w:sz w:val="20"/>
          <w:szCs w:val="20"/>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any current or future product candidates that we may develop;</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 and significant negative media attention;</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costs to defend the related litigation;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83" w:name="page84"/>
    <w:bookmarkEnd w:id="83"/>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 diversion of management’s time and resources;</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trial participants or patients;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stock price; and</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current or future product candidates that we may develop.</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While we maintain product liability insurance, we anticipate that we will need to increase our insurance coverage as we conduct additional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the U.S. federal and state fraud and abuse laws, data privacy and security laws and other similar non-United States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United States federal healthcare programs or healthcare programs in other jurisdictions, integrity oversight and reporting obligations to resolve allegations of non -compliance,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84" w:name="page85"/>
    <w:bookmarkEnd w:id="84"/>
    <w:p>
      <w:pPr>
        <w:jc w:val="both"/>
        <w:spacing w:after="0" w:line="272"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Based on the beneficial ownership of our common stock as of December 31, 2025, our executive officers, directors, holders of 5% or more of our capital stock and their respective affiliates beneficially owned approximately 49.6% of our outstanding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7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Under Section 382 of the Code, if a corporation undergoes an “ownership change” (generally defined as a greater than 50 percentage point change (by value) in the ownership of its equity over a three year period), the corporation’s ability to use its pre-change net operating loss, or NOL, carryforwards and certain other pre-change tax attributes to offset its post-change income may be limited. We may have experienced such ownership changes in the past, and we may experience ownership changes in the future as a result of subsequent shifts in our stock ownership, some of which are outside our control. As of December 31, 2025, we had accumulated federal and state NOL carryforwards of approximately $318.9 million and $274.4 million, respectively. Furthermore, our ability to utilize our NOLs or credits is conditioned upon our attaining profitability and generating the U.S. federal and state taxable income. As a result, the amount of the NOL and tax credit carryforwards presented in our financial statements could be limited and may expire unutilized. Under current law, unused U.S. federal NOL carryforwards generated in taxable years beginning after December 31, 2017 are not subject to expiration and may be carried forward indefinitely. For taxable years beginning after December 31, 2020, however, the deductibility of such U.S. federal NOLs generated for tax years beginning after December 31, 2017 is limited to 80% of our taxable income in any future taxable year.</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2" w:lineRule="exact"/>
        <w:rPr>
          <w:sz w:val="20"/>
          <w:szCs w:val="20"/>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the level of expense related to the ongoing development of bel-sar or future development programs;</w:t>
      </w:r>
    </w:p>
    <w:p>
      <w:pPr>
        <w:spacing w:after="0" w:line="39" w:lineRule="exact"/>
        <w:rPr>
          <w:rFonts w:ascii="Times New Roman" w:cs="Times New Roman" w:eastAsia="Times New Roman" w:hAnsi="Times New Roman"/>
          <w:sz w:val="18"/>
          <w:szCs w:val="18"/>
          <w:color w:val="auto"/>
        </w:rPr>
      </w:pPr>
    </w:p>
    <w:p>
      <w:pPr>
        <w:ind w:left="900" w:right="20" w:hanging="383"/>
        <w:spacing w:after="0" w:line="257"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1" w:lineRule="exact"/>
        <w:rPr>
          <w:rFonts w:ascii="Times New Roman" w:cs="Times New Roman" w:eastAsia="Times New Roman" w:hAnsi="Times New Roman"/>
          <w:sz w:val="18"/>
          <w:szCs w:val="18"/>
          <w:color w:val="auto"/>
        </w:rPr>
      </w:pPr>
    </w:p>
    <w:p>
      <w:pPr>
        <w:ind w:left="900" w:hanging="383"/>
        <w:spacing w:after="0" w:line="270"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85" w:name="page86"/>
    <w:bookmarkEnd w:id="85"/>
    <w:p>
      <w:pPr>
        <w:ind w:left="900" w:hanging="383"/>
        <w:spacing w:after="0" w:line="255" w:lineRule="auto"/>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w:t>
      </w: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and departures of key personnel;</w:t>
      </w:r>
    </w:p>
    <w:p>
      <w:pPr>
        <w:spacing w:after="0" w:line="39"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1"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affecting our product candidates or those of our competitors;</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continue as a going concern; and</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market and economic conditions, including inflationary pressures.</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our amended and restated bylaws (including the interpretation, validity or enforceability thereof) or</w:t>
      </w:r>
    </w:p>
    <w:p>
      <w:pPr>
        <w:spacing w:after="0" w:line="4" w:lineRule="exact"/>
        <w:rPr>
          <w:sz w:val="20"/>
          <w:szCs w:val="20"/>
          <w:color w:val="auto"/>
        </w:rPr>
      </w:pPr>
    </w:p>
    <w:p>
      <w:pPr>
        <w:jc w:val="both"/>
        <w:ind w:firstLine="8"/>
        <w:spacing w:after="0" w:line="237" w:lineRule="auto"/>
        <w:tabs>
          <w:tab w:leader="none" w:pos="32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or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federal district courts of the United States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Delaware Forum Provision and the Federal Forum Provision in our amended and restated bylaws may impose additional litigation costs on stockholders in pursuing any such claims. Additionally, these forum selection clauses in our amended and restated bylaws may limit our stockholders’ ability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86" w:name="page87"/>
    <w:bookmarkEnd w:id="86"/>
    <w:p>
      <w:pPr>
        <w:jc w:val="both"/>
        <w:spacing w:after="0" w:line="249"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amended and restated bylaws and under Delaware law could make an acquisition of us, which may be beneficial to our stockholders, more difficult and may prevent attempts by our stockholders to replace or remove our current management and, therefore, decrease the trading price of our common stock.</w:t>
      </w:r>
    </w:p>
    <w:p>
      <w:pPr>
        <w:spacing w:after="0" w:line="17"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Our tenth amended and restated certificate of incorporation and amended and restated bylaws contain provisions that could delay or prevent a change of control of our company or changes in our board of directors, or Board, that our stockholders might consider favorable. Some of these provisions include:</w:t>
      </w:r>
    </w:p>
    <w:p>
      <w:pPr>
        <w:spacing w:after="0" w:line="1" w:lineRule="exact"/>
        <w:rPr>
          <w:sz w:val="20"/>
          <w:szCs w:val="20"/>
          <w:color w:val="auto"/>
        </w:rPr>
      </w:pPr>
    </w:p>
    <w:p>
      <w:pPr>
        <w:ind w:left="900" w:right="20" w:hanging="383"/>
        <w:spacing w:after="0" w:line="257"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 Board divided into three classes serving staggered three-year terms, such that not all members of the Board will be elected at one time;</w:t>
      </w:r>
    </w:p>
    <w:p>
      <w:pPr>
        <w:spacing w:after="0" w:line="1"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jc w:val="both"/>
        <w:ind w:left="900" w:hanging="383"/>
        <w:spacing w:after="0" w:line="246"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that special meetings of the stockholders may be called only by the Board acting pursuant to a resolution approved by the affirmative vote of a majority of the directors then in office, and special meetings of stockholders may not be called by any other person or persons;</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requirements for stockholder proposals and nominations for election to our Board;</w:t>
      </w:r>
    </w:p>
    <w:p>
      <w:pPr>
        <w:spacing w:after="0" w:line="48" w:lineRule="exact"/>
        <w:rPr>
          <w:rFonts w:ascii="Times New Roman" w:cs="Times New Roman" w:eastAsia="Times New Roman" w:hAnsi="Times New Roman"/>
          <w:sz w:val="18"/>
          <w:szCs w:val="18"/>
          <w:color w:val="auto"/>
        </w:rPr>
      </w:pPr>
    </w:p>
    <w:p>
      <w:pPr>
        <w:jc w:val="both"/>
        <w:ind w:left="900" w:hanging="383"/>
        <w:spacing w:after="0" w:line="248"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that no member of our Board may be removed from office by our stockholders except for cause and, in addition to any other vote required by law, upon the approval of not less than two-thirds (2/3) of all outstanding shares of our voting stock then entitled to vote in the election of directors;</w:t>
      </w:r>
    </w:p>
    <w:p>
      <w:pPr>
        <w:spacing w:after="0" w:line="1" w:lineRule="exact"/>
        <w:rPr>
          <w:rFonts w:ascii="Times New Roman" w:cs="Times New Roman" w:eastAsia="Times New Roman" w:hAnsi="Times New Roman"/>
          <w:sz w:val="18"/>
          <w:szCs w:val="18"/>
          <w:color w:val="auto"/>
        </w:rPr>
      </w:pPr>
    </w:p>
    <w:p>
      <w:pPr>
        <w:jc w:val="both"/>
        <w:ind w:left="900" w:hanging="383"/>
        <w:spacing w:after="0" w:line="246"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w:t>
      </w:r>
    </w:p>
    <w:p>
      <w:pPr>
        <w:spacing w:after="0" w:line="1" w:lineRule="exact"/>
        <w:rPr>
          <w:rFonts w:ascii="Times New Roman" w:cs="Times New Roman" w:eastAsia="Times New Roman" w:hAnsi="Times New Roman"/>
          <w:sz w:val="18"/>
          <w:szCs w:val="18"/>
          <w:color w:val="auto"/>
        </w:rPr>
      </w:pPr>
    </w:p>
    <w:p>
      <w:pPr>
        <w:ind w:left="900" w:hanging="383"/>
        <w:spacing w:after="0" w:line="270"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authority of the Board to issue preferred stock on terms determined by the Board without stockholder approval, which preferred stock may include rights superior to the rights of the holders of common stock.</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tenth amended and restated certificate of incorporation and amended and restated bylaws could make it more difficult for stockholders or potential acquirers to obtain control of our Board or initiate actions that are opposed by the then-current Board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could cause the market price of our common stock to decline.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acquire shares of our common stock, could result in additional dilution to the ownership of our stockholders and cause the market price of our common stock to decline significantly.</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be granted rights superior to our existing stockholders. In March 2024, we filed a registration statement on Form S-3 relating to the registration of our common stock, preferred stock, debt securities, warrants and units or any combination thereof. Concurrently with the filing of such registration statement, we filed an “at-the-market” offering prospectus supplement, which provides for the offering, issuance and sale by us of shares of our common stock from time to time for aggregate gross proceeds of up to $75 million in sales deemed to be “at-the-market offerings” as defined by the Securities Act. Any sale or issuance of securities pursuant to this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87" w:name="page88"/>
    <w:bookmarkEnd w:id="87"/>
    <w:p>
      <w:pPr>
        <w:jc w:val="both"/>
        <w:ind w:firstLine="509"/>
        <w:spacing w:after="0" w:line="238"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December 31, 2025, we have 63,587,777 shares of common stock outstanding. Significant portions of these shares are held by a small number of stockholders, including persons who were our stockholders prior to our IPO. Sales by our stockholders of a substantial number of shares, or the expectation that such sales may occur, could significantly reduce the market price of our common stock. Moreover, certain shares of our common stock have rights, subject to conditions, to require us to file registration statements covering their shares or to include their shares in registration statements that we may file for ourselves or other stockholders. We have also registered or intend to register all shares of common stock that we may issue under our equity compensation plans or that are issuable upon exercise of outstanding options. These shares can be freely sold in the public market upon issuance and once vested, subject to volume limitations applicable to affiliates. In addition, our directors, executive officers and certain affiliates may establish programmed selling plans under Rule 10b5-1 of the Exchange Act for the purpose of effecting sales of our common stock. If any of these events cause a large number of our shares to be sold, or if it is perceived that they will be sold, in the public market, the market price of our common stock could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6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Among other matters, the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company’s current and projected business operations and its financial condition and results of operations.</w:t>
      </w:r>
    </w:p>
    <w:p>
      <w:pPr>
        <w:spacing w:after="0" w:line="1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16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8" w:name="page89"/>
    <w:bookmarkEnd w:id="88"/>
    <w:p>
      <w:pPr>
        <w:jc w:val="both"/>
        <w:ind w:firstLine="509"/>
        <w:spacing w:after="0" w:line="239" w:lineRule="auto"/>
        <w:rPr>
          <w:sz w:val="20"/>
          <w:szCs w:val="20"/>
          <w:color w:val="auto"/>
        </w:rPr>
      </w:pPr>
      <w:r>
        <w:rPr>
          <w:rFonts w:ascii="Arial" w:cs="Arial" w:eastAsia="Arial" w:hAnsi="Arial"/>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83"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 w:lineRule="exact"/>
        <w:rPr>
          <w:sz w:val="20"/>
          <w:szCs w:val="20"/>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35"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loss of access to revolving existing credit facilities or other working capital sources and/or the inability to refund, roll over or extend the maturity of, or enter into new credit facilities or other working capital resources;</w:t>
      </w:r>
    </w:p>
    <w:p>
      <w:pPr>
        <w:spacing w:after="0" w:line="1"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breach of contractual obligations that require us to maintain letters of credit or other credit support arrangements;</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breach of financial covenants in our credit agreements or credit arrangements;</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cross-defaults in other credit agreements, credit arrangements or operating or financing agreements; or</w:t>
      </w:r>
    </w:p>
    <w:p>
      <w:pPr>
        <w:spacing w:after="0" w:line="48" w:lineRule="exact"/>
        <w:rPr>
          <w:rFonts w:ascii="Times New Roman" w:cs="Times New Roman" w:eastAsia="Times New Roman" w:hAnsi="Times New Roman"/>
          <w:sz w:val="18"/>
          <w:szCs w:val="18"/>
          <w:color w:val="auto"/>
        </w:rPr>
      </w:pPr>
    </w:p>
    <w:p>
      <w:pPr>
        <w:ind w:left="900" w:hanging="383"/>
        <w:spacing w:after="0" w:line="270" w:lineRule="auto"/>
        <w:tabs>
          <w:tab w:leader="none" w:pos="9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cash management arrangements and/or delays in accessing or actual loss of funds subject to cash management arrangements.</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our company,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material adverse impacts on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9" w:name="page90"/>
    <w:bookmarkEnd w:id="89"/>
    <w:p>
      <w:pPr>
        <w:jc w:val="both"/>
        <w:spacing w:after="0" w:line="272" w:lineRule="auto"/>
        <w:rPr>
          <w:sz w:val="20"/>
          <w:szCs w:val="20"/>
          <w:color w:val="auto"/>
        </w:rPr>
      </w:pPr>
      <w:r>
        <w:rPr>
          <w:rFonts w:ascii="Arial" w:cs="Arial" w:eastAsia="Arial" w:hAnsi="Arial"/>
          <w:sz w:val="18"/>
          <w:szCs w:val="18"/>
          <w:b w:val="1"/>
          <w:bCs w:val="1"/>
          <w:i w:val="1"/>
          <w:iCs w:val="1"/>
          <w:color w:val="auto"/>
        </w:rPr>
        <w:t>Our employees, independent contractors, consultants, academic collaborators, partners and vendors may engage in misconduct or other improper activities, including noncompliance with regulatory standards and requirements.</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exposed to the risk of employee fraud or other illegal activity by our employees, independent contractors, consultants, academic collaborators, partners and vendors. Misconduct by these parties could include intentional, reckless and/or negligent conduct that fails to comply with the laws of the FDA, the EMA and comparable foreign regulatory authorities, provide true, complete and accurate information to the FDA, the EMA and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the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We have adopted a code of business conduct and ethics, but it is not always possible to identify and deter misconduct by our employees, independent contractors, consultants, academic collaborators, partners and vendors, and the precautions we take to detect and prevent such activities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as amended, or Section 404,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IPO, (b) in which we have total annual gross revenue of at least $1.235 billion or (c) in which we are deemed to be a “large accelerated filer,” which requires the market value of our common stock that is held by non-affiliates to exceed $700.0 million as of the prior June 30, and (ii) the date on which we have issued more than $1.0 billion in non-convertible debt during the prior three-year period.</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90" w:name="page91"/>
    <w:bookmarkEnd w:id="90"/>
    <w:p>
      <w:pPr>
        <w:jc w:val="both"/>
        <w:ind w:firstLine="509"/>
        <w:spacing w:after="0"/>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until (i) the market value of our stock held by non-affiliates is less than $ 250.0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6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trading price of our common stock is highly volatile and subject to wide fluctuations in response to various factors, some of which we cannot control. As a result of this volatility, you may not be able to sell your common stock at or above the price you paid for your common stock. The market price for our common stock may be influenced by many factors, including the other risks described in the section of this Annual Report titled “Risk Factors” and the following:</w:t>
      </w:r>
    </w:p>
    <w:p>
      <w:pPr>
        <w:spacing w:after="0" w:line="2" w:lineRule="exact"/>
        <w:rPr>
          <w:sz w:val="20"/>
          <w:szCs w:val="20"/>
          <w:color w:val="auto"/>
        </w:rPr>
      </w:pPr>
    </w:p>
    <w:p>
      <w:pPr>
        <w:ind w:left="900" w:hanging="383"/>
        <w:spacing w:after="0" w:line="257"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preclinical studies and results or enrollment of clinical trials of bel-sar or our future product candidates, or those of our potential future competitors or our existing or future collaborators;</w:t>
      </w:r>
    </w:p>
    <w:p>
      <w:pPr>
        <w:spacing w:after="0" w:line="1" w:lineRule="exact"/>
        <w:rPr>
          <w:rFonts w:ascii="Times New Roman" w:cs="Times New Roman" w:eastAsia="Times New Roman" w:hAnsi="Times New Roman"/>
          <w:sz w:val="18"/>
          <w:szCs w:val="18"/>
          <w:color w:val="auto"/>
        </w:rPr>
      </w:pPr>
    </w:p>
    <w:p>
      <w:pPr>
        <w:ind w:left="900" w:right="20" w:hanging="383"/>
        <w:spacing w:after="0" w:line="255"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future competitive products or technologies;</w:t>
      </w:r>
    </w:p>
    <w:p>
      <w:pPr>
        <w:spacing w:after="0" w:line="39"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1" w:lineRule="exact"/>
        <w:rPr>
          <w:rFonts w:ascii="Times New Roman" w:cs="Times New Roman" w:eastAsia="Times New Roman" w:hAnsi="Times New Roman"/>
          <w:sz w:val="18"/>
          <w:szCs w:val="18"/>
          <w:color w:val="auto"/>
        </w:rPr>
      </w:pPr>
    </w:p>
    <w:p>
      <w:pPr>
        <w:ind w:left="900" w:right="20" w:hanging="383"/>
        <w:spacing w:after="0" w:line="255"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actions taken by regulatory agencies with respect to our products, clinical trials, manufacturing process or sales and marketing terms;</w:t>
      </w: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48" w:lineRule="exact"/>
        <w:rPr>
          <w:rFonts w:ascii="Times New Roman" w:cs="Times New Roman" w:eastAsia="Times New Roman" w:hAnsi="Times New Roman"/>
          <w:sz w:val="18"/>
          <w:szCs w:val="18"/>
          <w:color w:val="auto"/>
        </w:rPr>
      </w:pPr>
    </w:p>
    <w:p>
      <w:pPr>
        <w:ind w:left="900" w:right="20" w:hanging="383"/>
        <w:spacing w:after="0" w:line="255"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concerning any future collaborations, including but not limited to those with our sources of manufacturing supply and our commercialization partners;</w:t>
      </w: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39"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1"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bel-sar or our future product candidates and products;</w:t>
      </w: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35"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or the failure of our competitors to meet analysts’ projections or guidance that we or our competitors may give to the market;</w:t>
      </w: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continue as a going concern;</w:t>
      </w:r>
    </w:p>
    <w:p>
      <w:pPr>
        <w:spacing w:after="0" w:line="3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1" w:name="page92"/>
    <w:bookmarkEnd w:id="91"/>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and expectation of additional financing efforts;</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speculation in the press or investment community;</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trading volume of our common stock;</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or our stockholders;</w:t>
      </w:r>
    </w:p>
    <w:p>
      <w:pPr>
        <w:spacing w:after="0" w:line="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concentrated ownership of our common stock;</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principles;</w:t>
      </w:r>
    </w:p>
    <w:p>
      <w:pPr>
        <w:spacing w:after="0" w:line="4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pandemics and other calamities;</w:t>
      </w:r>
    </w:p>
    <w:p>
      <w:pPr>
        <w:spacing w:after="0" w:line="35" w:lineRule="exact"/>
        <w:rPr>
          <w:rFonts w:ascii="Times New Roman" w:cs="Times New Roman" w:eastAsia="Times New Roman" w:hAnsi="Times New Roman"/>
          <w:sz w:val="18"/>
          <w:szCs w:val="18"/>
          <w:color w:val="auto"/>
        </w:rPr>
      </w:pPr>
    </w:p>
    <w:p>
      <w:pPr>
        <w:ind w:left="900" w:right="20" w:hanging="383"/>
        <w:spacing w:after="0" w:line="257" w:lineRule="auto"/>
        <w:tabs>
          <w:tab w:leader="none" w:pos="9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acts of war or periods of widespread civil unrest, including the increasingly volatile global economic conditions resulting from the Russia-Ukraine conflict and the conflict in the Middle East; and</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including inflationary pressures.</w:t>
      </w:r>
    </w:p>
    <w:p>
      <w:pPr>
        <w:spacing w:after="0" w:line="2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devotes substantial time to compliance initiatives.</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In addition, the Sarbanes-Oxley Act of 2002, the Dodd-Frank Wall Street Reform and Consumer Protection Act and rules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92" w:name="page93"/>
    <w:bookmarkEnd w:id="92"/>
    <w:p>
      <w:pPr>
        <w:jc w:val="both"/>
        <w:ind w:firstLine="509"/>
        <w:spacing w:after="0" w:line="237" w:lineRule="auto"/>
        <w:rPr>
          <w:sz w:val="20"/>
          <w:szCs w:val="20"/>
          <w:color w:val="auto"/>
        </w:rPr>
      </w:pPr>
      <w:r>
        <w:rPr>
          <w:rFonts w:ascii="Arial" w:cs="Arial" w:eastAsia="Arial" w:hAnsi="Arial"/>
          <w:sz w:val="18"/>
          <w:szCs w:val="18"/>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of the Sarbanes-Oxley Act of 2002.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Global economic uncertainty and unfavorable global economic conditions caused by political instability, changes in trade agreements and conflicts, such as the Russia-Ukraine conflict and the conflict in the Middle East, could adversely affect our business, financial condition, results of operations or prospects.</w:t>
      </w:r>
    </w:p>
    <w:p>
      <w:pPr>
        <w:spacing w:after="0" w:line="2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business, financial condition, results of operations or prospects could be adversely affected by unstable economic and political conditions within the United States and foreign jurisdictions, including as a result of an economic downturn and geopolitical events, such as changes in U.S. federal policy that affect the geopolitical landscape.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For example, during the prior Trump administration, increased tariffs were implemented on goods imported into the United States, particularly from China, Canada, and Mexico. Additionally, on April 2, 2025, the United States imposed substantial tariffs on most countries throughout the world. Such tariffs were struck down in February 2026 by a U.S. Supreme Court ruling and new global tariffs were subsequently imposed. Although these new tariffs may be temporary and may be subject to legal challenge, the Trump administration has threatened to continue to broadly impose tariffs, which could lead to corresponding punitive actions by countries with which the United States trades. Historically, tariffs have led to increased trade and political tensions, between not only the United States and China, but also between the United States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3" w:name="page94"/>
    <w:bookmarkEnd w:id="93"/>
    <w:p>
      <w:pPr>
        <w:jc w:val="both"/>
        <w:ind w:firstLine="509"/>
        <w:spacing w:after="0" w:line="239" w:lineRule="auto"/>
        <w:rPr>
          <w:sz w:val="20"/>
          <w:szCs w:val="20"/>
          <w:color w:val="auto"/>
        </w:rPr>
      </w:pPr>
      <w:r>
        <w:rPr>
          <w:rFonts w:ascii="Arial" w:cs="Arial" w:eastAsia="Arial" w:hAnsi="Arial"/>
          <w:sz w:val="18"/>
          <w:szCs w:val="18"/>
          <w:color w:val="auto"/>
        </w:rPr>
        <w:t>In addition, the current military conflict between Russia and Ukraine, the armed conflict in Israel and the Gaza Strip, and the conflict in Venezuela could disrupt or otherwise adversely impact our operations and those of third parties upon which we rely. Related sanctions, export controls or other actions that may be initiated by nations including the United States, the EU or Russia (e.g., potential cyberattacks, disruption of energy flows, etc.), which could adversely affect our business and/or our supply chain, our CROs, CDMOs and other third parties with which we conduct business. A severe or prolonged economic downturn or political unrest could result in a variety of risks to our business, including but not limited to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political and economic climate and financial market conditions could adversely impact our business.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Risk Management and Strategy</w:t>
      </w:r>
    </w:p>
    <w:p>
      <w:pPr>
        <w:spacing w:after="0" w:line="19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have implemented cybersecurity risk management procedures, in accordance with our risk profile and business size, that are designed to identify, assess, and mitigate risks from current and emerging cybersecurity threats. Our cybersecurity procedures, which are informed by the National Institute of Standards and Technology cybersecurity framework, are supported by a third-party managed services provider that assists us in managing our information technology systems.</w:t>
      </w:r>
    </w:p>
    <w:p>
      <w:pPr>
        <w:spacing w:after="0" w:line="16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cybersecurity procedures are comprised of a variety of tools designed to protect our data and information technology systems, including but not limited to endpoint protection and network security measures, that are supported by our third-party service providers. We also have a process to require our employees to undergo cybersecurity awareness training. Further, we have a process to review risks to our company in connection with certain third-party providers and vendors, as appropriate.</w:t>
      </w:r>
    </w:p>
    <w:p>
      <w:pPr>
        <w:spacing w:after="0" w:line="16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To date, 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information technology service providers and vendors have from time to time experienced threats that could affect our information or systems. For more information, see, “</w:t>
      </w:r>
      <w:r>
        <w:rPr>
          <w:rFonts w:ascii="Arial" w:cs="Arial" w:eastAsia="Arial" w:hAnsi="Arial"/>
          <w:sz w:val="18"/>
          <w:szCs w:val="18"/>
          <w:i w:val="1"/>
          <w:iCs w:val="1"/>
          <w:color w:val="auto"/>
        </w:rPr>
        <w:t>Risk Factors</w:t>
      </w:r>
      <w:r>
        <w:rPr>
          <w:rFonts w:ascii="Arial" w:cs="Arial" w:eastAsia="Arial" w:hAnsi="Arial"/>
          <w:sz w:val="18"/>
          <w:szCs w:val="18"/>
          <w:color w:val="auto"/>
        </w:rPr>
        <w:t>,” in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19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cybersecurity program is managed and directed by our Head of Information Technology, or IT, who has nearly thirty years of experience in information technology and information systems management. Our Head of IT reports to our Chief Legal Officer and Secretary. Our Cybersecurity Governance Team, which is made up of representatives from across the organization, is responsible for oversight of cybersecurity risks and addressing potential cybersecurity risks to business programs, employees, clients, vendors and partners.</w:t>
      </w:r>
    </w:p>
    <w:p>
      <w:pPr>
        <w:spacing w:after="0" w:line="160"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Our Board has delegated oversight of our cybersecurity risk management program to our Audit Committee, per the Audit Committee charter. Our Head of IT provides periodic updates to the Audit Committee regarding our cybersecurity risk management program, including information about cybersecurity risk management governance, as well as status updates on plans intended to enhance the overall cybersecurity posture of our company, as applicable. In the event of a cybersecurity incident, we have established a process for escalation to the Audit Committee as well as our Board, as appropriate.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corporate headquarters are located in Boston, Massachusetts, where we lease and occupy approximately 29,836 square feet of office and laboratory space at 80 Guest Street, Boston, MA 02135. The current term of our Boston lease expires in August 2032.</w:t>
      </w:r>
    </w:p>
    <w:p>
      <w:pPr>
        <w:spacing w:after="0" w:line="15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believe that our facilities are adequate for our current needs and for the foreseeable future. To meet the future needs of our business, we may lease additional or alternate space. We believe that suitable additional or substitute space at commercially reasonable terms will be available as needed to accommodate any future expansion of our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3. Legal Proceedings.</w:t>
      </w:r>
    </w:p>
    <w:p>
      <w:pPr>
        <w:spacing w:after="0" w:line="6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December 31, 2025,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right="1000"/>
        <w:spacing w:after="0" w:line="399"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w:t>
      </w:r>
    </w:p>
    <w:p>
      <w:pPr>
        <w:ind w:right="600" w:firstLine="509"/>
        <w:spacing w:after="0" w:line="271" w:lineRule="auto"/>
        <w:rPr>
          <w:sz w:val="20"/>
          <w:szCs w:val="20"/>
          <w:color w:val="auto"/>
        </w:rPr>
      </w:pPr>
      <w:r>
        <w:rPr>
          <w:rFonts w:ascii="Arial" w:cs="Arial" w:eastAsia="Arial" w:hAnsi="Arial"/>
          <w:sz w:val="18"/>
          <w:szCs w:val="18"/>
          <w:color w:val="auto"/>
        </w:rPr>
        <w:t>Our common stock has been listed on the Nasdaq Global Market since November 3, 2021. Our common stock trades under the symbol “AURA”. Prior to this time, there was no public market for our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75"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As of March 24, 2026, we had approximately 46 stockholders of record for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6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have never declared or paid cash dividends on our capital stock. We anticipate that we will retain all available funds and any future earnings, if any, for use in the operation of our business and do not anticipate paying cash dividends in the foreseeable future.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6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12 of Part III of this Annual Report.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61"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a performance graph.</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6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The following discussion and analysis should be read in conjunction with the audited consolidated financial statements and related notes included elsewhere in this Annual Report. This discussion and analysis and other parts of this Annual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 Item 1A, “Risk Factors” and elsewhere in this Annual Report. You should carefully read the “Risk Factors” section of this Annual Report to gain an understanding of the important factors that could cause actual results to differ materially from our forward-looking statements. Please also see the section titled “Special Note Regarding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are a clinical-stage biotechnology company developing precision therapies to treat solid tumors designed to preserve organ function. Our lead candidate bel-sar is in late-stage clinical development for the treatment of patients with early choroidal melanoma and is also in clinical development for other ocular oncology indications and bladder cancer.</w:t>
      </w:r>
    </w:p>
    <w:p>
      <w:pPr>
        <w:spacing w:after="0" w:line="1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There is significant unmet need for novel treatments for patients with choroidal melanoma, given the limitations of the current standard of care, or SoC, and patient reluctance to undergo radiotherapy in the form of either plaque brachytherapy or proton beam therapy, both highly-invasive therapies that result in significant vision loss, and potential legal blindness in the treated eye. Enucleation, or surgical removal of the affected eye, is another treatment option for patients with choroidal melanoma, in which patients lose all vision without the possibility of vision restoration. We are evaluating the safety and efficacy of bel-sar as a potential vision-sparing therapy in our ongoing global Phase 3 CoMpass trial for the first-line treatment of adult patients with small choroidal melanoma and/or indeterminate lesions, or early choroidal melanoma. Moreover, we intend to assess the safety and efficacy of bel-sar in treating a range of other solid tumors, beginning with metastases to the choroid and bladder cancer where bel-sar is in clinical development as well as cancers of the ocular surface. We believe bel-sar, if approved, has the potential to change the current treatment paradigm for patients with ocular and urologic cancers and other solid tumors.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Bel-sar has shown clinical benefit and has been generally well-tolerated in clinical trials to date. In a Phase 2 study (ClinicalTrials.gov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 NCT04417530) evaluating suprachoroidal, or SC, administration of bel-sar for the first-line treatment of early choroidal melanoma,</w:t>
      </w:r>
    </w:p>
    <w:p>
      <w:pPr>
        <w:spacing w:after="0" w:line="234" w:lineRule="auto"/>
        <w:rPr>
          <w:sz w:val="20"/>
          <w:szCs w:val="20"/>
          <w:color w:val="auto"/>
        </w:rPr>
      </w:pPr>
      <w:r>
        <w:rPr>
          <w:rFonts w:ascii="Arial" w:cs="Arial" w:eastAsia="Arial" w:hAnsi="Arial"/>
          <w:sz w:val="18"/>
          <w:szCs w:val="18"/>
          <w:color w:val="auto"/>
        </w:rPr>
        <w:t>patients were closely monitored over a twelve-month follow-up period to assess tumor control, visual acuity preservation, and tumor growth</w:t>
      </w:r>
    </w:p>
    <w:p>
      <w:pPr>
        <w:spacing w:after="0" w:line="235" w:lineRule="auto"/>
        <w:rPr>
          <w:sz w:val="20"/>
          <w:szCs w:val="20"/>
          <w:color w:val="auto"/>
        </w:rPr>
      </w:pPr>
      <w:r>
        <w:rPr>
          <w:rFonts w:ascii="Arial" w:cs="Arial" w:eastAsia="Arial" w:hAnsi="Arial"/>
          <w:sz w:val="18"/>
          <w:szCs w:val="18"/>
          <w:color w:val="auto"/>
        </w:rPr>
        <w:t>rate. A total of 22 patients were enrolled in the study. Bel-sar achieved an 80% tumor control rate (n=8/10) among Phase 3-eligible patients</w:t>
      </w:r>
    </w:p>
    <w:p>
      <w:pPr>
        <w:spacing w:after="0" w:line="235" w:lineRule="auto"/>
        <w:rPr>
          <w:sz w:val="20"/>
          <w:szCs w:val="20"/>
          <w:color w:val="auto"/>
        </w:rPr>
      </w:pPr>
      <w:r>
        <w:rPr>
          <w:rFonts w:ascii="Arial" w:cs="Arial" w:eastAsia="Arial" w:hAnsi="Arial"/>
          <w:sz w:val="18"/>
          <w:szCs w:val="18"/>
          <w:color w:val="auto"/>
        </w:rPr>
        <w:t>who received the therapeutic regimen, with complete cessation of growth following treatment among responders (post-treatment average</w:t>
      </w:r>
    </w:p>
    <w:p>
      <w:pPr>
        <w:spacing w:after="0" w:line="235" w:lineRule="auto"/>
        <w:rPr>
          <w:sz w:val="20"/>
          <w:szCs w:val="20"/>
          <w:color w:val="auto"/>
        </w:rPr>
      </w:pPr>
      <w:r>
        <w:rPr>
          <w:rFonts w:ascii="Arial" w:cs="Arial" w:eastAsia="Arial" w:hAnsi="Arial"/>
          <w:sz w:val="18"/>
          <w:szCs w:val="18"/>
          <w:color w:val="auto"/>
        </w:rPr>
        <w:t>growth rate of 0.011 mm/yr among responders compared to 0.351 mm/yr prior to study entry; p&lt;0.0001). Visual acuity preservation was</w:t>
      </w:r>
    </w:p>
    <w:p>
      <w:pPr>
        <w:spacing w:after="0" w:line="235" w:lineRule="auto"/>
        <w:rPr>
          <w:sz w:val="20"/>
          <w:szCs w:val="20"/>
          <w:color w:val="auto"/>
        </w:rPr>
      </w:pPr>
      <w:r>
        <w:rPr>
          <w:rFonts w:ascii="Arial" w:cs="Arial" w:eastAsia="Arial" w:hAnsi="Arial"/>
          <w:sz w:val="18"/>
          <w:szCs w:val="18"/>
          <w:color w:val="auto"/>
        </w:rPr>
        <w:t>achieved in 90% of these ten patients. Importantly, 80% of these ten patients were at high risk for vision loss with tumors close to the fovea</w:t>
      </w:r>
    </w:p>
    <w:p>
      <w:pPr>
        <w:spacing w:after="0" w:line="234" w:lineRule="auto"/>
        <w:rPr>
          <w:sz w:val="20"/>
          <w:szCs w:val="20"/>
          <w:color w:val="auto"/>
        </w:rPr>
      </w:pPr>
      <w:r>
        <w:rPr>
          <w:rFonts w:ascii="Arial" w:cs="Arial" w:eastAsia="Arial" w:hAnsi="Arial"/>
          <w:sz w:val="18"/>
          <w:szCs w:val="18"/>
          <w:color w:val="auto"/>
        </w:rPr>
        <w:t>or optic disc, highlighting the potential for vision preservation with this novel class of drugs. The safety profile of bel-sar was highly favorable</w:t>
      </w:r>
    </w:p>
    <w:p>
      <w:pPr>
        <w:spacing w:after="0" w:line="235" w:lineRule="auto"/>
        <w:rPr>
          <w:sz w:val="20"/>
          <w:szCs w:val="20"/>
          <w:color w:val="auto"/>
        </w:rPr>
      </w:pPr>
      <w:r>
        <w:rPr>
          <w:rFonts w:ascii="Arial" w:cs="Arial" w:eastAsia="Arial" w:hAnsi="Arial"/>
          <w:sz w:val="18"/>
          <w:szCs w:val="18"/>
          <w:color w:val="auto"/>
        </w:rPr>
        <w:t>in all participants regardless of dose. We believe the Phase 2 results are a significant achievement considering the typically poor prognosis</w:t>
      </w:r>
    </w:p>
    <w:p>
      <w:pPr>
        <w:spacing w:after="0" w:line="235" w:lineRule="auto"/>
        <w:rPr>
          <w:sz w:val="20"/>
          <w:szCs w:val="20"/>
          <w:color w:val="auto"/>
        </w:rPr>
      </w:pPr>
      <w:r>
        <w:rPr>
          <w:rFonts w:ascii="Arial" w:cs="Arial" w:eastAsia="Arial" w:hAnsi="Arial"/>
          <w:sz w:val="18"/>
          <w:szCs w:val="18"/>
          <w:color w:val="auto"/>
        </w:rPr>
        <w:t>associated with choroidal melanoma, a rare and life-threatening ocular cancer, where there are no approved vision-preserving therapies to</w:t>
      </w:r>
    </w:p>
    <w:p>
      <w:pPr>
        <w:spacing w:after="0"/>
        <w:rPr>
          <w:sz w:val="20"/>
          <w:szCs w:val="20"/>
          <w:color w:val="auto"/>
        </w:rPr>
      </w:pPr>
      <w:r>
        <w:rPr>
          <w:rFonts w:ascii="Arial" w:cs="Arial" w:eastAsia="Arial" w:hAnsi="Arial"/>
          <w:sz w:val="18"/>
          <w:szCs w:val="18"/>
          <w:color w:val="auto"/>
        </w:rPr>
        <w:t>date.</w:t>
      </w:r>
    </w:p>
    <w:p>
      <w:pPr>
        <w:spacing w:after="0" w:line="19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believe bel-sar has the possibility to transform the field of ocular oncology beyond choroidal melanoma and we are expanding clinical development in two additional indications: metastases to the choroid and cancers of the ocular surface. We continue to enroll patients in an ongoing Phase 2 clinical trial in metastases to the choroid and are initiating a Phase 1 proof-of-concept trial in cancers of the ocular surface.</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Virus-like drug conjugates, or VDCs, are a novel class of drugs with a dual mechanism of action that promote cancer cell death by both the delivery of the cytotoxic payload to generate acute necrosis and activation of a secondary immune mediated response. Bel-sar, our lead VDC candidate, consists of modified capsid proteins of the human papilloma virus, or HPV, conjugated to hundreds of light-activated molecules.</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Light activation of bel-sar is designed to result in precise tumor cell killing with minimal damage to surrounding healthy tissues. In the absence of bel-sar activation or binding to the tumor cell membrane, there is no cytotoxic effect. Multiple light activations, following a single dose of bel-sar, increase antitumor activity because of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8" w:name="page99"/>
    <w:bookmarkEnd w:id="98"/>
    <w:p>
      <w:pPr>
        <w:jc w:val="both"/>
        <w:spacing w:after="0" w:line="244" w:lineRule="auto"/>
        <w:rPr>
          <w:sz w:val="20"/>
          <w:szCs w:val="20"/>
          <w:color w:val="auto"/>
        </w:rPr>
      </w:pPr>
      <w:r>
        <w:rPr>
          <w:rFonts w:ascii="Arial" w:cs="Arial" w:eastAsia="Arial" w:hAnsi="Arial"/>
          <w:sz w:val="18"/>
          <w:szCs w:val="18"/>
          <w:color w:val="auto"/>
        </w:rPr>
        <w:t>reoxygenation of the tumor and the photostability of bel -sar. Finally, acute necrosis triggers immunogenic cell death leading to the generation of an adaptive, long-term antitumor immune response. The tumor targeting specificity of VDCs is driven by the selective binding of the virus-like particles, or VLPs, to a subset of modified tumor associated glycosaminoglycans, or GAGs, that are part of the heparan sulphate chain of heparan sulfate proteoglycans or HSPGs, expressed on the tumor cell membrane. This targeting mechanism enables the delivery of multiple types of cytotoxic payloads directly to a wide range of solid tumors.</w:t>
      </w:r>
    </w:p>
    <w:p>
      <w:pPr>
        <w:spacing w:after="0" w:line="17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Beyond ocular cancers, bel-sar is in clinical development in bladder cancer. Bladder cancer is the ninth most common cancer worldwide and the majority of cases are diagnosed early as non-muscle invasive bladder cancer, or NMIBC, with a prevalence of approximately 80,000 cases per year in the United States. Despite the early diagnosis, patients with NMIBC have a high risk of recurrence and progression with current SoC treatments. In 2025, we announced positive data from our Phase 1 trial in NMIBC (NCT05483868). Based on the positive results from the completed Phase 1 trial, we are advancing the clinical development of bel-sar in NMIBC. We have an ongoing Phase 1b/2 trial in NMIBC evaluating additional doses and cycles in intermediate and high-risk NMIBC patients.</w:t>
      </w:r>
    </w:p>
    <w:p>
      <w:pPr>
        <w:spacing w:after="0" w:line="179" w:lineRule="exact"/>
        <w:rPr>
          <w:sz w:val="20"/>
          <w:szCs w:val="20"/>
          <w:color w:val="auto"/>
        </w:rPr>
      </w:pPr>
    </w:p>
    <w:p>
      <w:pPr>
        <w:jc w:val="both"/>
        <w:ind w:firstLine="509"/>
        <w:spacing w:after="0" w:line="234" w:lineRule="auto"/>
        <w:rPr>
          <w:sz w:val="20"/>
          <w:szCs w:val="20"/>
          <w:color w:val="auto"/>
        </w:rPr>
      </w:pPr>
      <w:r>
        <w:rPr>
          <w:rFonts w:ascii="Arial" w:cs="Arial" w:eastAsia="Arial" w:hAnsi="Arial"/>
          <w:sz w:val="18"/>
          <w:szCs w:val="18"/>
          <w:color w:val="auto"/>
        </w:rPr>
        <w:t>We were incorporated as a Delaware corporation in 2009 and our headquarters are located in Boston, Massachusetts. Since our inception, we have focused our efforts on identifying and developing potential product candidates, conducting preclinical studies and clinical trials, organizing and staffing our company, business planning, establishing and maintaining our intellectual property portfolio, raising capital, conducting discovery, research and development activities and providing general and administrative support for these operations. We do not have any product candidates approved for sale and have not generated any revenue to date. We have funded our operations primarily through the sale of convertible preferred stock, common stock, and warrants. From inception through December 31, 2025, we have raised an aggregate of approximately $498.1 million of gross proceeds primarily from private placements of our equity and convertible preferred stock as well as through the issuance of our common stock. On May 16, 2025, we issued and sold 11,735,565 shares of common stock, pre-funded warrants to purchase up to 3,571,435 shares of common stock, and accompanying warrants to purchase an aggregate of 3,826,750 shares of common stock, or the 2025 Follow-On Offering. The common stock and pre-funded warrants were sold in the 2025 Follow-On Offering in combination with an accompanying common stock warrant to purchase 0.25 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We received approximately $69.9 million in net proceeds from the 2025 Follow-On Offering after deducting underwriting discounts and commissions and offering expenses. On November 9, 2023, we issued and sold 11,000,000 shares of common stock at a price to the public of $9.00 per share for aggregate gross proceeds of $99.0 million, or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$12.00 per share, for aggregate gross proceeds of $92.5 million, or the 2022 Follow-On Offering. We received approximately $86.7 million in net proceeds from the 2022 Follow-On Offering after deducting underwriting discounts, commissions and offering expenses. On November 1, 2022, we filed a shelf registration statement on Form S-3, or the 2022 Shelf, with the Securities and Exchange Commission, or the SEC, in relation to the registration of up to an aggregate offering price of $250.0 million of common stock, preferred stock, debt securities, warrants and units or any combination thereof. We also simultaneously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to provide for the offering, issuance and sale by us of up to an aggregate of $75.0 million of its common stock from time to time in “at-the-market” offerings, or the ATM, under the 2022 Shelf and subject to the limitations thereof. In connection with the 2023 Follow-On Offering, on November 6, 2023, we delivered written notice to Jefferies that we were suspending and terminating the prospectus related to the shares issuable in the ATM pursuant to the terms of the Sales Agreement. During the year ended December 31, 2023, we issued a total of 261,807 shares of common stock at a weighted average price of $12.49 for aggregate gross proceeds of $3.3 million under the ATM. On March 27, 2024, we filed a new shelf registration statement on Form S-3, or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We issued 1,055,362 shares of common stock at a weighted average price of $6.36 for aggregate gross proceeds of $6.7 million during the year ended December 31, 2025 under the ATM.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9" w:name="page100"/>
    <w:bookmarkEnd w:id="99"/>
    <w:p>
      <w:pPr>
        <w:jc w:val="both"/>
        <w:ind w:firstLine="509"/>
        <w:spacing w:after="0" w:line="242" w:lineRule="auto"/>
        <w:rPr>
          <w:sz w:val="20"/>
          <w:szCs w:val="20"/>
          <w:color w:val="auto"/>
        </w:rPr>
      </w:pPr>
      <w:r>
        <w:rPr>
          <w:rFonts w:ascii="Arial" w:cs="Arial" w:eastAsia="Arial" w:hAnsi="Arial"/>
          <w:sz w:val="18"/>
          <w:szCs w:val="18"/>
          <w:color w:val="auto"/>
        </w:rPr>
        <w:t>We have incurred significant operating losses in every year since our inception in 2009 and have not generated any revenue. We expect to continue to incur significant expenses and operating losses for the foreseeable future. Our ability to generate product revenue sufficient to achieve profitability will depend on the successful development and commercialization of one or more of our product candidates. Our net losses were $106.2 million and $86.9 million for the years ended December 31, 2025 and 2024, respectively. As of December 31, 2025, we had an accumulated deficit of $480.4 million. In addition, our losses from operations may fluctuate significantly from quarter-to-quarter and year-to-year, depending on the timing of our clinical trials and our expenditures on other research and development activities.</w:t>
      </w:r>
    </w:p>
    <w:p>
      <w:pPr>
        <w:spacing w:after="0" w:line="17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anticipate that our expenses and capital requirements will increase substantially in connection with our ongoing activities, particularly as we advance the preclinical studies and clinical trials of our product candidates. In addition, we incur additional costs associated with operating as a public company. We expect that our expenses and capital requirements will increase substantially if and as we:</w:t>
      </w:r>
    </w:p>
    <w:p>
      <w:pPr>
        <w:spacing w:after="0" w:line="2" w:lineRule="exact"/>
        <w:rPr>
          <w:sz w:val="20"/>
          <w:szCs w:val="20"/>
          <w:color w:val="auto"/>
        </w:rPr>
      </w:pPr>
    </w:p>
    <w:p>
      <w:pPr>
        <w:ind w:left="1020" w:hanging="368"/>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conduct our current and future clinical trials of bel-sar;</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progress the preclinical and clinical development of new indications;</w:t>
      </w:r>
    </w:p>
    <w:p>
      <w:pPr>
        <w:spacing w:after="0" w:line="4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our manufacturing capability, including establishing and developing our contract development and manufacturing relationships;</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develop additional product candidates;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of our current and future product candidates;</w:t>
      </w:r>
    </w:p>
    <w:p>
      <w:pPr>
        <w:spacing w:after="0" w:line="48" w:lineRule="exact"/>
        <w:rPr>
          <w:rFonts w:ascii="Times New Roman" w:cs="Times New Roman" w:eastAsia="Times New Roman" w:hAnsi="Times New Roman"/>
          <w:sz w:val="18"/>
          <w:szCs w:val="18"/>
          <w:color w:val="auto"/>
        </w:rPr>
      </w:pPr>
    </w:p>
    <w:p>
      <w:pPr>
        <w:ind w:left="1020" w:right="20" w:hanging="368"/>
        <w:spacing w:after="0" w:line="257"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commercialization efforts;</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and protect our intellectual property portfolio; and</w:t>
      </w:r>
    </w:p>
    <w:p>
      <w:pPr>
        <w:spacing w:after="0" w:line="35"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15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marketing approval for our product candidates. The lengthy process of securing marketing approvals for new drugs requires the expenditure of substantial resources. Any delay or failure to obtain regulatory approvals would materially adversely affect the development efforts of our product candidates and our business overall. 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of December 31, 2025, we had cash and cash equivalents and marketable securities of $144.2 million. In accordance with applicable accounting standards, we evaluated whether there are conditions and events, considered in the aggregate, that raise substantial doubt about our ability to continue as a going concern within twelve months after the date of the issuance of these consolidated financial statements. We anticipate operating losses may continue for the foreseeable future since we do not yet have regulatory approval to sell any of our product candidates, and we continue to incur operating costs to execute our strategic plan, including costs related to research, development, and manufacture of our product candidates and commercial readiness activities. As a result of the assessment in accordance with the applicable accounting standards, there is substantial doubt about our ability to continue as a going concern for twelve months after the date the consolidated financial statements are issued.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0" w:name="page101"/>
    <w:bookmarkEnd w:id="100"/>
    <w:p>
      <w:pPr>
        <w:jc w:val="both"/>
        <w:ind w:firstLine="509"/>
        <w:spacing w:after="0"/>
        <w:rPr>
          <w:sz w:val="20"/>
          <w:szCs w:val="20"/>
          <w:color w:val="auto"/>
        </w:rPr>
      </w:pPr>
      <w:r>
        <w:rPr>
          <w:rFonts w:ascii="Arial" w:cs="Arial" w:eastAsia="Arial" w:hAnsi="Arial"/>
          <w:sz w:val="18"/>
          <w:szCs w:val="18"/>
          <w:color w:val="auto"/>
        </w:rPr>
        <w:t>We expect to finance our operations with our existing cash, cash equivalents, and marketable securities, and through other strategic financing opportunities that could include, but are not limited to, collaboration agreements, future offerings of our equity, or the incurrence of debt, or a combination of some or all thereof. However, given the risks associated with these potential strategic or financing opportunities, they are not deemed probable for purposes of the going concern assessment. If we fail to obtain additional future capital, we may be unable to complete our planned preclinical studies and clinical trials and obtain approval of certain investigational product candidates from the U.S. Food and Drug Administration or, the FDA, or foreign regulatory authorities. Therefore, there is substantial doubt about our ability to continue as a going concern.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 We cannot predict if, and when, or to what extent, we will generate revenue from the commercialization and sale of our product candidates or from collaboration or licensing agreements, if at all. We may never succeed in obtaining regulatory approval and may never enter into collaboration or licensing agreements for any of our product candidates.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1"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bel-sar program, and include:</w:t>
      </w:r>
    </w:p>
    <w:p>
      <w:pPr>
        <w:ind w:left="1020" w:right="20" w:hanging="368"/>
        <w:spacing w:after="0" w:line="257" w:lineRule="auto"/>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including salaries, benefits and stock-based compensation expense for employees engaged in research and development functions;</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fees paid to consultants for services directly related to our product development and regulatory efforts;</w:t>
      </w:r>
    </w:p>
    <w:p>
      <w:pPr>
        <w:spacing w:after="0" w:line="35"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expenses associated with conducting preclinical studies and clinical trials performed by ourselves, outside vendors or academic collaborators;</w:t>
      </w:r>
    </w:p>
    <w:p>
      <w:pPr>
        <w:spacing w:after="0" w:line="1"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expenses incurred under agreements with contract research organizations, or CROs, as well as consultants that conduct and provide supplies for our preclinical studies and clinical trials;</w:t>
      </w:r>
    </w:p>
    <w:p>
      <w:pPr>
        <w:spacing w:after="0" w:line="1" w:lineRule="exact"/>
        <w:rPr>
          <w:rFonts w:ascii="Times New Roman" w:cs="Times New Roman" w:eastAsia="Times New Roman" w:hAnsi="Times New Roman"/>
          <w:sz w:val="18"/>
          <w:szCs w:val="18"/>
          <w:color w:val="auto"/>
        </w:rPr>
      </w:pPr>
    </w:p>
    <w:p>
      <w:pPr>
        <w:ind w:left="1020" w:hanging="368"/>
        <w:spacing w:after="0" w:line="255" w:lineRule="auto"/>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bel-sar, including the cost of CDMOs that manufacture product for use in our preclinical studies and clinical trials and perform analytical testing, scale-up and other services in connection with our development activities;</w:t>
      </w:r>
    </w:p>
    <w:p>
      <w:pPr>
        <w:ind w:left="1020" w:hanging="368"/>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preclinical activities and clinical development activities;</w:t>
      </w:r>
    </w:p>
    <w:p>
      <w:pPr>
        <w:spacing w:after="0" w:line="3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our intellectual property portfolio;</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compliance with regulatory requirements; and</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allocated expenses for utilities and other facility-related costs.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the entire bel-sar program. Preclinical expenses consist of external research and development costs associated with activities to support our current and future clinical programs, but are not allocated by specific indications due to the overlap of the potential benefit of those efforts across the entire bel-sar program.</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Research and development activities are central to our business. We expect that our research and development expenses will increase for the foreseeable future as we continue clinical development for bel-sar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1" w:name="page102"/>
    <w:bookmarkEnd w:id="101"/>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and facility-related expenses, which include allocated expenses for rent and maintenance of facilities and other operating costs not included in research and development.</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that our general and administrative expenses will increase in the near term as we continue to build a team to support our administrative, accounting and finance, communications, commercial strategy, legal and business development efforts. We expect to incur increased expenses associated with our growth, including costs of accounting, audit, legal, regulatory and tax compliance services; director and officer insurance costs; and investor and public relations costs.</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w:t>
      </w:r>
    </w:p>
    <w:p>
      <w:pPr>
        <w:spacing w:after="0" w:line="7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other income (expense) consists of accretion, interest income and realized gains and losses on marketable securities, interest income on our invested cash balances, and gains and losses on disposals of equipment.</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Income Tax Provision, Net</w:t>
      </w:r>
    </w:p>
    <w:p>
      <w:pPr>
        <w:spacing w:after="0" w:line="1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For the year ended December 31, 2025, we recorded a $0.1 million income tax provision related to current state income taxes. Since our inception, we have not recorded any U.S. federal or state tax benefits for our net operating loss carryforwards or research and development tax credits due to the realizability of future taxable income to utilize these tax attributes. As of December 31, 2025, we had accumulated federal and state net operating loss carryforwards of approximately $318.9 million and $ 274.4 million, respectively, which may be available to offset future taxable income before applicable expiration periods. As of December 31, 2025, we had federal and state research and development credit carryforwards of $8.5 million and $3.8 million, respectively, which may be available to offset future income tax liabilities before applicable expiration periods. Additionally, we had $20.4 million of federal orphan drug credits that begin to expire in 2039. We have recorded a full valuation allowance against the tax benefits, as the determination of the realization of the deferred tax assets was not determined to be more likely than not.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Years Ended December 31, 2025 and 2024</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2025 and 2024:</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w w:val="99"/>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(in</w:t>
            </w:r>
          </w:p>
        </w:tc>
        <w:tc>
          <w:tcPr>
            <w:tcW w:w="1460" w:type="dxa"/>
            <w:vAlign w:val="bottom"/>
            <w:gridSpan w:val="3"/>
          </w:tcPr>
          <w:p>
            <w:pPr>
              <w:jc w:val="right"/>
              <w:ind w:right="630"/>
              <w:spacing w:after="0" w:line="196" w:lineRule="exact"/>
              <w:rPr>
                <w:sz w:val="20"/>
                <w:szCs w:val="20"/>
                <w:color w:val="auto"/>
              </w:rPr>
            </w:pPr>
            <w:r>
              <w:rPr>
                <w:rFonts w:ascii="Arial" w:cs="Arial" w:eastAsia="Arial" w:hAnsi="Arial"/>
                <w:sz w:val="18"/>
                <w:szCs w:val="18"/>
                <w:b w:val="1"/>
                <w:bCs w:val="1"/>
                <w:color w:val="auto"/>
                <w:w w:val="74"/>
              </w:rPr>
              <w:t>thousands)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1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90,300</w:t>
            </w:r>
          </w:p>
        </w:tc>
        <w:tc>
          <w:tcPr>
            <w:tcW w:w="24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73,302</w:t>
            </w:r>
          </w:p>
        </w:tc>
        <w:tc>
          <w:tcPr>
            <w:tcW w:w="160" w:type="dxa"/>
            <w:vAlign w:val="bottom"/>
          </w:tcPr>
          <w:p>
            <w:pPr>
              <w:spacing w:after="0"/>
              <w:rPr>
                <w:sz w:val="17"/>
                <w:szCs w:val="17"/>
                <w:color w:val="auto"/>
              </w:rPr>
            </w:pP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16,998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22,491</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22,814</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196"/>
        </w:trPr>
        <w:tc>
          <w:tcPr>
            <w:tcW w:w="5260" w:type="dxa"/>
            <w:vAlign w:val="bottom"/>
            <w:tcBorders>
              <w:top w:val="single" w:sz="8" w:color="CFF0FC"/>
            </w:tcBorders>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1580" w:type="dxa"/>
            <w:vAlign w:val="bottom"/>
            <w:tcBorders>
              <w:top w:val="single" w:sz="8" w:color="CFF0FC"/>
            </w:tcBorders>
          </w:tcPr>
          <w:p>
            <w:pPr>
              <w:spacing w:after="0"/>
              <w:rPr>
                <w:sz w:val="17"/>
                <w:szCs w:val="17"/>
                <w:color w:val="auto"/>
              </w:rPr>
            </w:pPr>
          </w:p>
        </w:tc>
        <w:tc>
          <w:tcPr>
            <w:tcW w:w="240" w:type="dxa"/>
            <w:vAlign w:val="bottom"/>
            <w:tcBorders>
              <w:top w:val="single" w:sz="8" w:color="CFF0FC"/>
              <w:bottom w:val="single" w:sz="8" w:color="auto"/>
            </w:tcBorders>
          </w:tcPr>
          <w:p>
            <w:pPr>
              <w:spacing w:after="0"/>
              <w:rPr>
                <w:sz w:val="17"/>
                <w:szCs w:val="17"/>
                <w:color w:val="auto"/>
              </w:rPr>
            </w:pPr>
          </w:p>
        </w:tc>
        <w:tc>
          <w:tcPr>
            <w:tcW w:w="980" w:type="dxa"/>
            <w:vAlign w:val="bottom"/>
            <w:tcBorders>
              <w:top w:val="single" w:sz="8" w:color="CFF0FC"/>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112,791</w:t>
            </w:r>
          </w:p>
        </w:tc>
        <w:tc>
          <w:tcPr>
            <w:tcW w:w="24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96,116</w:t>
            </w: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16,675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1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(112,791)</w:t>
            </w:r>
          </w:p>
        </w:tc>
        <w:tc>
          <w:tcPr>
            <w:tcW w:w="3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(96,116)</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(16,675)</w:t>
            </w:r>
          </w:p>
        </w:tc>
        <w:tc>
          <w:tcPr>
            <w:tcW w:w="0" w:type="dxa"/>
            <w:vAlign w:val="bottom"/>
          </w:tcPr>
          <w:p>
            <w:pPr>
              <w:spacing w:after="0"/>
              <w:rPr>
                <w:sz w:val="1"/>
                <w:szCs w:val="1"/>
                <w:color w:val="auto"/>
              </w:rPr>
            </w:pPr>
          </w:p>
        </w:tc>
      </w:tr>
      <w:tr>
        <w:trPr>
          <w:trHeight w:val="196"/>
        </w:trPr>
        <w:tc>
          <w:tcPr>
            <w:tcW w:w="52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Other income (expense):</w:t>
            </w:r>
          </w:p>
        </w:tc>
        <w:tc>
          <w:tcPr>
            <w:tcW w:w="15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 including amortization and accretion income</w:t>
            </w:r>
          </w:p>
        </w:tc>
        <w:tc>
          <w:tcPr>
            <w:tcW w:w="1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6,631</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9,429</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03"/>
        </w:trPr>
        <w:tc>
          <w:tcPr>
            <w:tcW w:w="5260" w:type="dxa"/>
            <w:vAlign w:val="bottom"/>
          </w:tcPr>
          <w:p>
            <w:pPr>
              <w:ind w:left="180"/>
              <w:spacing w:after="0" w:line="202" w:lineRule="exact"/>
              <w:rPr>
                <w:sz w:val="20"/>
                <w:szCs w:val="20"/>
                <w:color w:val="auto"/>
              </w:rPr>
            </w:pPr>
            <w:r>
              <w:rPr>
                <w:rFonts w:ascii="Arial" w:cs="Arial" w:eastAsia="Arial" w:hAnsi="Arial"/>
                <w:sz w:val="18"/>
                <w:szCs w:val="18"/>
                <w:color w:val="auto"/>
              </w:rPr>
              <w:t>Other income (expense)</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other income</w:t>
            </w:r>
          </w:p>
        </w:tc>
        <w:tc>
          <w:tcPr>
            <w:tcW w:w="1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6,708</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9,309</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0"/>
        </w:trPr>
        <w:tc>
          <w:tcPr>
            <w:tcW w:w="526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tcPr>
          <w:p>
            <w:pPr>
              <w:spacing w:after="0" w:line="196" w:lineRule="exact"/>
              <w:rPr>
                <w:sz w:val="20"/>
                <w:szCs w:val="20"/>
                <w:color w:val="auto"/>
              </w:rPr>
            </w:pPr>
            <w:r>
              <w:rPr>
                <w:rFonts w:ascii="Arial" w:cs="Arial" w:eastAsia="Arial" w:hAnsi="Arial"/>
                <w:sz w:val="18"/>
                <w:szCs w:val="18"/>
                <w:color w:val="auto"/>
              </w:rPr>
              <w:t>Loss before income taxes</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(106,083)</w:t>
            </w:r>
          </w:p>
        </w:tc>
        <w:tc>
          <w:tcPr>
            <w:tcW w:w="38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(86,807)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(19,276)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tax provision, net</w:t>
            </w:r>
          </w:p>
        </w:tc>
        <w:tc>
          <w:tcPr>
            <w:tcW w:w="1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(108)</w:t>
            </w:r>
          </w:p>
        </w:tc>
        <w:tc>
          <w:tcPr>
            <w:tcW w:w="3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(112)</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18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(106,191)</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(86,919)</w:t>
            </w: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(19,272)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80" w:type="dxa"/>
            <w:vAlign w:val="bottom"/>
            <w:vMerge w:val="restart"/>
          </w:tcPr>
          <w:p>
            <w:pPr>
              <w:jc w:val="right"/>
              <w:ind w:right="1030"/>
              <w:spacing w:after="0"/>
              <w:rPr>
                <w:sz w:val="20"/>
                <w:szCs w:val="20"/>
                <w:color w:val="auto"/>
              </w:rPr>
            </w:pPr>
            <w:r>
              <w:rPr>
                <w:rFonts w:ascii="Arial" w:cs="Arial" w:eastAsia="Arial" w:hAnsi="Arial"/>
                <w:sz w:val="18"/>
                <w:szCs w:val="18"/>
                <w:color w:val="auto"/>
              </w:rPr>
              <w:t>98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2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2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-2142490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-1868170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-1868170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-1336675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-1336675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-1062355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-1062355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02" w:name="page103"/>
    <w:bookmarkEnd w:id="102"/>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years ended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Year Ended</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(in</w:t>
            </w:r>
          </w:p>
        </w:tc>
        <w:tc>
          <w:tcPr>
            <w:tcW w:w="1560" w:type="dxa"/>
            <w:vAlign w:val="bottom"/>
            <w:gridSpan w:val="3"/>
          </w:tcPr>
          <w:p>
            <w:pPr>
              <w:jc w:val="right"/>
              <w:ind w:right="730"/>
              <w:spacing w:after="0" w:line="196" w:lineRule="exact"/>
              <w:rPr>
                <w:sz w:val="20"/>
                <w:szCs w:val="20"/>
                <w:color w:val="auto"/>
              </w:rPr>
            </w:pPr>
            <w:r>
              <w:rPr>
                <w:rFonts w:ascii="Arial" w:cs="Arial" w:eastAsia="Arial" w:hAnsi="Arial"/>
                <w:sz w:val="18"/>
                <w:szCs w:val="18"/>
                <w:b w:val="1"/>
                <w:bCs w:val="1"/>
                <w:color w:val="auto"/>
                <w:w w:val="74"/>
              </w:rPr>
              <w:t>thousands)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Preclinical</w:t>
            </w:r>
          </w:p>
        </w:tc>
        <w:tc>
          <w:tcPr>
            <w:tcW w:w="17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1,220</w:t>
            </w:r>
          </w:p>
        </w:tc>
        <w:tc>
          <w:tcPr>
            <w:tcW w:w="66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1,651</w:t>
            </w:r>
          </w:p>
        </w:tc>
        <w:tc>
          <w:tcPr>
            <w:tcW w:w="4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3"/>
        </w:trPr>
        <w:tc>
          <w:tcPr>
            <w:tcW w:w="5200" w:type="dxa"/>
            <w:vAlign w:val="bottom"/>
          </w:tcPr>
          <w:p>
            <w:pPr>
              <w:ind w:left="180"/>
              <w:spacing w:after="0" w:line="202" w:lineRule="exact"/>
              <w:rPr>
                <w:sz w:val="20"/>
                <w:szCs w:val="20"/>
                <w:color w:val="auto"/>
              </w:rPr>
            </w:pPr>
            <w:r>
              <w:rPr>
                <w:rFonts w:ascii="Arial" w:cs="Arial" w:eastAsia="Arial" w:hAnsi="Arial"/>
                <w:sz w:val="18"/>
                <w:szCs w:val="18"/>
                <w:color w:val="auto"/>
              </w:rPr>
              <w:t>Clinical trials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30,977</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22,512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8,465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Manufacturing development</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17,630</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15,977</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80"/>
              <w:spacing w:after="0" w:line="202" w:lineRule="exact"/>
              <w:rPr>
                <w:sz w:val="20"/>
                <w:szCs w:val="20"/>
                <w:color w:val="auto"/>
              </w:rPr>
            </w:pPr>
            <w:r>
              <w:rPr>
                <w:rFonts w:ascii="Arial" w:cs="Arial" w:eastAsia="Arial" w:hAnsi="Arial"/>
                <w:sz w:val="18"/>
                <w:szCs w:val="18"/>
                <w:color w:val="auto"/>
              </w:rPr>
              <w:t>Personnel/overhead expenses</w:t>
            </w:r>
          </w:p>
        </w:tc>
        <w:tc>
          <w:tcPr>
            <w:tcW w:w="1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40,473</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33,162</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340"/>
              <w:spacing w:after="0" w:line="196" w:lineRule="exact"/>
              <w:rPr>
                <w:sz w:val="20"/>
                <w:szCs w:val="20"/>
                <w:color w:val="auto"/>
              </w:rPr>
            </w:pPr>
            <w:r>
              <w:rPr>
                <w:rFonts w:ascii="Arial" w:cs="Arial" w:eastAsia="Arial" w:hAnsi="Arial"/>
                <w:sz w:val="18"/>
                <w:szCs w:val="18"/>
                <w:color w:val="auto"/>
              </w:rPr>
              <w:t>Total research and development expenses</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90,300</w:t>
            </w:r>
          </w:p>
        </w:tc>
        <w:tc>
          <w:tcPr>
            <w:tcW w:w="66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73,302</w:t>
            </w:r>
          </w:p>
        </w:tc>
        <w:tc>
          <w:tcPr>
            <w:tcW w:w="4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7"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Research and development expenses increased to $90.3 million for the year ended December 31, 2025, from $73.3 million for the year ended December 31, 2024, primarily due to ongoing clinical and CRO costs associated with the progression of our global Phase 3 trial of bel-sar in early choroidal melanoma and higher personnel expenses related to the growth of our company.</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7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General and administrative expenses decreased to $ 22.5 million for the year ended December 31, 2025, from $22.8 million for the year ended December 31, 2024, primarily driven by reduced professional fees.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7"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Liquidity, Capital Resources and Going Concern</w:t>
      </w:r>
    </w:p>
    <w:p>
      <w:pPr>
        <w:spacing w:after="0" w:line="6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To date we have funded our operations primarily through the sale of convertible preferred stock, warrants and common stock. Through December 31, 2025, we have raised an aggregate of approximately $498.1 million of gross proceeds primarily from private placements of our equity and convertible preferred stock and warrants, as well as through the issuance of our common stock. On May 16, 2025, we issued and sold 11,735,565 shares of common stock, pre-funded warrants to purchase up to 3,571,435 shares of common stock, and accompanying warrants to purchase an aggregate of 3,826,750 shares of common stock. The common stock and pre-funded warrants were sold in the 2025 Follow-On Offering in combination with an accompanying common stock warrant to purchase 0.25 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We received approximately $69.9 million in net proceeds from the 2025 Follow-On Offering after deducting underwriting discounts and commissions and offering expenses. On November 9, 2023, we issued and sold 11,000,000 shares of common stock at a price to the public of $9.00 per share for aggregate gross proceeds of $99.0 million in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$12.00 per share for aggregate gross proceeds of $ 92.5 million in the 2022 Follow-On Offering. We received approximately $86.7 million in net proceeds from the 2022 Follow-On Offering after deducting underwriting discounts, commissions and offering expenses. On November 1, 2022, we filed the 2022 Shelf with the SEC in relation to the registration of up to an aggregate offering price of $250.0 million of common stock, preferred stock, debt securities, warrants and units or any combination thereof. We also simultaneously entered into the Sales Agreement with the Sales Agent to provide for the offering, issuance and sale by us of up to an aggregate of $ 75.0 million of our common stock from time to time in the ATM under the 2022 Shelf and subject to the limitations thereof. In connection with the 2023 Follow-On Offering, on November 6, 2023, we delivered written notice to Jefferies that we were suspending and terminating the prospectus related to the shares issuable in the ATM pursuant to the terms of the Sales Agreement. During the year ended December 31, 2023, we issued a total of 261,807 shares of common stock at a weighted average price of $12.49 for aggregate gross proceeds of $3.3 million under the ATM. On March 27, 2024, we filed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We issued 1,055,362 shares of common stock at a weighted average price of $6.36 for aggregate gross proceeds of $6.7 million during the year ended December 31, 2025 under the ATM.</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80" w:type="dxa"/>
            <w:vAlign w:val="bottom"/>
          </w:tcPr>
          <w:p>
            <w:pPr>
              <w:ind w:left="1020"/>
              <w:spacing w:after="0"/>
              <w:rPr>
                <w:sz w:val="20"/>
                <w:szCs w:val="20"/>
                <w:color w:val="auto"/>
              </w:rPr>
            </w:pPr>
            <w:r>
              <w:rPr>
                <w:rFonts w:ascii="Arial" w:cs="Arial" w:eastAsia="Arial" w:hAnsi="Arial"/>
                <w:sz w:val="18"/>
                <w:szCs w:val="18"/>
                <w:i w:val="1"/>
                <w:iCs w:val="1"/>
                <w:color w:val="auto"/>
              </w:rPr>
              <w:t>Cash Flows</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7780" w:type="dxa"/>
            <w:vAlign w:val="bottom"/>
          </w:tcPr>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7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Year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7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rPr>
              <w:t>(in</w:t>
            </w:r>
          </w:p>
        </w:tc>
        <w:tc>
          <w:tcPr>
            <w:tcW w:w="820" w:type="dxa"/>
            <w:vAlign w:val="bottom"/>
            <w:gridSpan w:val="3"/>
          </w:tcPr>
          <w:p>
            <w:pPr>
              <w:jc w:val="right"/>
              <w:ind w:right="40"/>
              <w:spacing w:after="0" w:line="196" w:lineRule="exact"/>
              <w:rPr>
                <w:sz w:val="20"/>
                <w:szCs w:val="20"/>
                <w:color w:val="auto"/>
              </w:rPr>
            </w:pPr>
            <w:r>
              <w:rPr>
                <w:rFonts w:ascii="Arial" w:cs="Arial" w:eastAsia="Arial" w:hAnsi="Arial"/>
                <w:sz w:val="18"/>
                <w:szCs w:val="18"/>
                <w:b w:val="1"/>
                <w:bCs w:val="1"/>
                <w:color w:val="auto"/>
                <w:w w:val="78"/>
              </w:rPr>
              <w:t>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98"/>
              </w:rPr>
              <w:t>(84,742)</w:t>
            </w:r>
          </w:p>
        </w:tc>
        <w:tc>
          <w:tcPr>
            <w:tcW w:w="640" w:type="dxa"/>
            <w:vAlign w:val="bottom"/>
            <w:gridSpan w:val="2"/>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(79,805)</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Net cash provided by investing activities</w:t>
            </w:r>
          </w:p>
        </w:tc>
        <w:tc>
          <w:tcPr>
            <w:tcW w:w="320" w:type="dxa"/>
            <w:vAlign w:val="bottom"/>
          </w:tcPr>
          <w:p>
            <w:pPr>
              <w:spacing w:after="0"/>
              <w:rPr>
                <w:sz w:val="17"/>
                <w:szCs w:val="17"/>
                <w:color w:val="auto"/>
              </w:rPr>
            </w:pPr>
          </w:p>
        </w:tc>
        <w:tc>
          <w:tcPr>
            <w:tcW w:w="1200" w:type="dxa"/>
            <w:vAlign w:val="bottom"/>
          </w:tcPr>
          <w:p>
            <w:pPr>
              <w:jc w:val="center"/>
              <w:ind w:left="570"/>
              <w:spacing w:after="0" w:line="202" w:lineRule="exact"/>
              <w:rPr>
                <w:sz w:val="20"/>
                <w:szCs w:val="20"/>
                <w:color w:val="auto"/>
              </w:rPr>
            </w:pPr>
            <w:r>
              <w:rPr>
                <w:rFonts w:ascii="Arial" w:cs="Arial" w:eastAsia="Arial" w:hAnsi="Arial"/>
                <w:sz w:val="18"/>
                <w:szCs w:val="18"/>
                <w:color w:val="auto"/>
                <w:w w:val="98"/>
              </w:rPr>
              <w:t>35,595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68,821</w:t>
            </w:r>
          </w:p>
        </w:tc>
      </w:tr>
      <w:tr>
        <w:trPr>
          <w:trHeight w:val="203"/>
        </w:trPr>
        <w:tc>
          <w:tcPr>
            <w:tcW w:w="7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center"/>
              <w:ind w:left="570"/>
              <w:spacing w:after="0" w:line="202" w:lineRule="exact"/>
              <w:rPr>
                <w:sz w:val="20"/>
                <w:szCs w:val="20"/>
                <w:color w:val="auto"/>
              </w:rPr>
            </w:pPr>
            <w:r>
              <w:rPr>
                <w:rFonts w:ascii="Arial" w:cs="Arial" w:eastAsia="Arial" w:hAnsi="Arial"/>
                <w:sz w:val="18"/>
                <w:szCs w:val="18"/>
                <w:color w:val="auto"/>
                <w:w w:val="98"/>
              </w:rPr>
              <w:t>77,155</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1,595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98"/>
              </w:rPr>
              <w:t>28,008</w:t>
            </w:r>
          </w:p>
        </w:tc>
        <w:tc>
          <w:tcPr>
            <w:tcW w:w="180" w:type="dxa"/>
            <w:vAlign w:val="bottom"/>
          </w:tcPr>
          <w:p>
            <w:pPr>
              <w:spacing w:after="0"/>
              <w:rPr>
                <w:sz w:val="17"/>
                <w:szCs w:val="17"/>
                <w:color w:val="auto"/>
              </w:rPr>
            </w:pPr>
          </w:p>
        </w:tc>
        <w:tc>
          <w:tcPr>
            <w:tcW w:w="64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(9,389)</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-161925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Operating Activities</w:t>
      </w:r>
    </w:p>
    <w:p>
      <w:pPr>
        <w:spacing w:after="0" w:line="21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year ended December 31, 2025, net cash used in operating activities was $84.7 million, primarily due to our net loss of $106.2 million, partially offset by stock-based compensation expense and an increase in accrued expenses and other current liabilities related to timing of vendor invoicing and payments.</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year ended December 31, 2024, net cash used in operating activities was $79.8 million, primarily due to our net loss of $86.9 million and an increase in clinical and CRO prepaid expenses and other assets for bel-sar, partially offset by an increase in stock-based compensation expense.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4" w:name="page105"/>
    <w:bookmarkEnd w:id="104"/>
    <w:p>
      <w:pPr>
        <w:ind w:left="1020"/>
        <w:spacing w:after="0"/>
        <w:rPr>
          <w:sz w:val="20"/>
          <w:szCs w:val="20"/>
          <w:color w:val="auto"/>
        </w:rPr>
      </w:pPr>
      <w:r>
        <w:rPr>
          <w:rFonts w:ascii="Arial" w:cs="Arial" w:eastAsia="Arial" w:hAnsi="Arial"/>
          <w:sz w:val="18"/>
          <w:szCs w:val="18"/>
          <w:i w:val="1"/>
          <w:iCs w:val="1"/>
          <w:color w:val="auto"/>
        </w:rPr>
        <w:t>Investing Activities</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Net cash provided by investing activities for the year ended December 31, 2025 was $35.6 million, primarily due to maturities of marketable securities, partially offset by purchases of marketable securities and property and equipment.</w:t>
      </w:r>
    </w:p>
    <w:p>
      <w:pPr>
        <w:spacing w:after="0" w:line="1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Net cash provided by investing activities for the year ended December 31, 2024 was $68.8 million, primarily due to maturities of marketable securities, partially offset by purchases of marketable securities and property and equipment.</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Financing Activities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year ended December 31, 2025, net cash provided by financing activities was $77.2 million, primarily from proceeds related to the issuance of common stock, pre-funded warrants, and common stock warrants in the 2025 Follow-On Offering as well as issuance of common stock under the ATM.</w:t>
      </w:r>
    </w:p>
    <w:p>
      <w:pPr>
        <w:spacing w:after="0" w:line="16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During the year ended December 31, 2024, net cash provided by financing activities was $1.6 million, primarily from proceeds from stock option exercises and ESPP purchases.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6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plan of operation is to continue implementing our business strategy, continue research, development and manufacture of bel-sar and any other product candidates we may acquire or develop and continue to expand our research pipeline and our internal research and development capabilities. We expect our expenses to increase substantially in connection with our ongoing activities, particularly as we advance the preclinical activities and clinical trials of our current and future product candidates, manufacture our current and future product candidates, and prepare to commercialize our products (if approved). In addition,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 Our future capital requirements will depend on many factors, including:</w:t>
      </w:r>
    </w:p>
    <w:p>
      <w:pPr>
        <w:spacing w:after="0" w:line="8" w:lineRule="exact"/>
        <w:rPr>
          <w:sz w:val="20"/>
          <w:szCs w:val="20"/>
          <w:color w:val="auto"/>
        </w:rPr>
      </w:pPr>
    </w:p>
    <w:p>
      <w:pPr>
        <w:ind w:left="1020" w:hanging="368"/>
        <w:spacing w:after="0" w:line="257"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48" w:lineRule="exact"/>
        <w:rPr>
          <w:rFonts w:ascii="Times New Roman" w:cs="Times New Roman" w:eastAsia="Times New Roman" w:hAnsi="Times New Roman"/>
          <w:sz w:val="18"/>
          <w:szCs w:val="18"/>
          <w:color w:val="auto"/>
        </w:rPr>
      </w:pPr>
    </w:p>
    <w:p>
      <w:pPr>
        <w:ind w:left="1020" w:right="20" w:hanging="368"/>
        <w:spacing w:after="0" w:line="255"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jc w:val="both"/>
        <w:ind w:left="1020" w:hanging="368"/>
        <w:spacing w:after="0" w:line="246"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1" w:lineRule="exact"/>
        <w:rPr>
          <w:rFonts w:ascii="Times New Roman" w:cs="Times New Roman" w:eastAsia="Times New Roman" w:hAnsi="Times New Roman"/>
          <w:sz w:val="18"/>
          <w:szCs w:val="18"/>
          <w:color w:val="auto"/>
        </w:rPr>
      </w:pPr>
    </w:p>
    <w:p>
      <w:pPr>
        <w:jc w:val="both"/>
        <w:ind w:left="1020" w:hanging="368"/>
        <w:spacing w:after="0" w:line="250"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ind w:left="1020" w:hanging="368"/>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48" w:lineRule="exact"/>
        <w:rPr>
          <w:rFonts w:ascii="Times New Roman" w:cs="Times New Roman" w:eastAsia="Times New Roman" w:hAnsi="Times New Roman"/>
          <w:sz w:val="18"/>
          <w:szCs w:val="18"/>
          <w:color w:val="auto"/>
        </w:rPr>
      </w:pPr>
    </w:p>
    <w:p>
      <w:pPr>
        <w:ind w:left="1020" w:hanging="368"/>
        <w:spacing w:after="0" w:line="255"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 candidates are approved, our ability to establish a commercially viable pricing structure and obtain approval for coverage and adequate reimbursement from third-party and government payors;</w:t>
      </w:r>
    </w:p>
    <w:p>
      <w:pPr>
        <w:ind w:left="1020" w:hanging="368"/>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w:t>
      </w:r>
    </w:p>
    <w:p>
      <w:pPr>
        <w:spacing w:after="0" w:line="3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 and</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global economic conditions, which may exacerbate the magnitude of the factors discussed above.</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As of December 31, 2025, we had cash, cash equivalents, and marketable securities of $144.2 million. In accordance with applicable accounting standards, we evaluated whether there are conditions and events,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05" w:name="page106"/>
    <w:bookmarkEnd w:id="105"/>
    <w:p>
      <w:pPr>
        <w:jc w:val="both"/>
        <w:spacing w:after="0" w:line="253" w:lineRule="auto"/>
        <w:rPr>
          <w:sz w:val="20"/>
          <w:szCs w:val="20"/>
          <w:color w:val="auto"/>
        </w:rPr>
      </w:pPr>
      <w:r>
        <w:rPr>
          <w:rFonts w:ascii="Arial" w:cs="Arial" w:eastAsia="Arial" w:hAnsi="Arial"/>
          <w:sz w:val="18"/>
          <w:szCs w:val="18"/>
          <w:color w:val="auto"/>
        </w:rPr>
        <w:t>considered in the aggregate, that raise substantial doubt about our ability to continue as a going concern within twelve months after the date of the issuance of these consolidated financial statements. As a result of this assessment, there is substantial doubt about our ability to continue as a going concern for twelve months after the date the consolidated financial statements are issued.</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Until such time we can generate significant revenue from product sales, if ever, we expect to finance our operations from the sale of additional equity or debt financings, or other capital which comes in the form of strategic collaborations, licensing, or other arrangements, or a combination of some or all thereof. We may not be able to raise additional financing on terms acceptable to us, or at all. If we raise additional funds through the issuance of equity or convertible preferred stock,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the recent disruptions to, and volatility in, the credit and financial markets in the United States and worldwide.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Payments Due by Period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3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30"/>
              <w:spacing w:after="0" w:line="177" w:lineRule="exact"/>
              <w:rPr>
                <w:sz w:val="20"/>
                <w:szCs w:val="20"/>
                <w:color w:val="auto"/>
              </w:rPr>
            </w:pPr>
            <w:r>
              <w:rPr>
                <w:rFonts w:ascii="Arial" w:cs="Arial" w:eastAsia="Arial" w:hAnsi="Arial"/>
                <w:sz w:val="18"/>
                <w:szCs w:val="18"/>
                <w:b w:val="1"/>
                <w:bCs w:val="1"/>
                <w:color w:val="auto"/>
              </w:rPr>
              <w:t>Less than</w:t>
            </w:r>
          </w:p>
        </w:tc>
        <w:tc>
          <w:tcPr>
            <w:tcW w:w="340" w:type="dxa"/>
            <w:vAlign w:val="bottom"/>
          </w:tcPr>
          <w:p>
            <w:pPr>
              <w:spacing w:after="0"/>
              <w:rPr>
                <w:sz w:val="15"/>
                <w:szCs w:val="15"/>
                <w:color w:val="auto"/>
              </w:rPr>
            </w:pPr>
          </w:p>
        </w:tc>
        <w:tc>
          <w:tcPr>
            <w:tcW w:w="1260" w:type="dxa"/>
            <w:vAlign w:val="bottom"/>
            <w:gridSpan w:val="2"/>
          </w:tcPr>
          <w:p>
            <w:pPr>
              <w:ind w:left="300"/>
              <w:spacing w:after="0" w:line="177" w:lineRule="exact"/>
              <w:rPr>
                <w:sz w:val="20"/>
                <w:szCs w:val="20"/>
                <w:color w:val="auto"/>
              </w:rPr>
            </w:pPr>
            <w:r>
              <w:rPr>
                <w:rFonts w:ascii="Arial" w:cs="Arial" w:eastAsia="Arial" w:hAnsi="Arial"/>
                <w:sz w:val="18"/>
                <w:szCs w:val="18"/>
                <w:b w:val="1"/>
                <w:bCs w:val="1"/>
                <w:color w:val="auto"/>
              </w:rPr>
              <w:t>1 to 3</w:t>
            </w:r>
          </w:p>
        </w:tc>
        <w:tc>
          <w:tcPr>
            <w:tcW w:w="140" w:type="dxa"/>
            <w:vAlign w:val="bottom"/>
          </w:tcPr>
          <w:p>
            <w:pPr>
              <w:spacing w:after="0"/>
              <w:rPr>
                <w:sz w:val="15"/>
                <w:szCs w:val="15"/>
                <w:color w:val="auto"/>
              </w:rPr>
            </w:pPr>
          </w:p>
        </w:tc>
        <w:tc>
          <w:tcPr>
            <w:tcW w:w="1160" w:type="dxa"/>
            <w:vAlign w:val="bottom"/>
          </w:tcPr>
          <w:p>
            <w:pPr>
              <w:jc w:val="right"/>
              <w:ind w:right="270"/>
              <w:spacing w:after="0" w:line="177" w:lineRule="exact"/>
              <w:rPr>
                <w:sz w:val="20"/>
                <w:szCs w:val="20"/>
                <w:color w:val="auto"/>
              </w:rPr>
            </w:pPr>
            <w:r>
              <w:rPr>
                <w:rFonts w:ascii="Arial" w:cs="Arial" w:eastAsia="Arial" w:hAnsi="Arial"/>
                <w:sz w:val="18"/>
                <w:szCs w:val="18"/>
                <w:b w:val="1"/>
                <w:bCs w:val="1"/>
                <w:color w:val="auto"/>
              </w:rPr>
              <w:t>3 to 5</w:t>
            </w:r>
          </w:p>
        </w:tc>
        <w:tc>
          <w:tcPr>
            <w:tcW w:w="340" w:type="dxa"/>
            <w:vAlign w:val="bottom"/>
          </w:tcPr>
          <w:p>
            <w:pPr>
              <w:spacing w:after="0"/>
              <w:rPr>
                <w:sz w:val="15"/>
                <w:szCs w:val="15"/>
                <w:color w:val="auto"/>
              </w:rPr>
            </w:pPr>
          </w:p>
        </w:tc>
        <w:tc>
          <w:tcPr>
            <w:tcW w:w="11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More than</w:t>
            </w:r>
          </w:p>
        </w:tc>
        <w:tc>
          <w:tcPr>
            <w:tcW w:w="100" w:type="dxa"/>
            <w:vAlign w:val="bottom"/>
          </w:tcPr>
          <w:p>
            <w:pPr>
              <w:spacing w:after="0"/>
              <w:rPr>
                <w:sz w:val="15"/>
                <w:szCs w:val="15"/>
                <w:color w:val="auto"/>
              </w:rPr>
            </w:pPr>
          </w:p>
        </w:tc>
      </w:tr>
      <w:tr>
        <w:trPr>
          <w:trHeight w:val="221"/>
        </w:trPr>
        <w:tc>
          <w:tcPr>
            <w:tcW w:w="3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19"/>
                <w:szCs w:val="19"/>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1 Year</w:t>
            </w:r>
          </w:p>
        </w:tc>
        <w:tc>
          <w:tcPr>
            <w:tcW w:w="340" w:type="dxa"/>
            <w:vAlign w:val="bottom"/>
          </w:tcPr>
          <w:p>
            <w:pPr>
              <w:spacing w:after="0"/>
              <w:rPr>
                <w:sz w:val="19"/>
                <w:szCs w:val="19"/>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Years</w:t>
            </w:r>
          </w:p>
        </w:tc>
        <w:tc>
          <w:tcPr>
            <w:tcW w:w="14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Years</w:t>
            </w:r>
          </w:p>
        </w:tc>
        <w:tc>
          <w:tcPr>
            <w:tcW w:w="340" w:type="dxa"/>
            <w:vAlign w:val="bottom"/>
          </w:tcPr>
          <w:p>
            <w:pPr>
              <w:spacing w:after="0"/>
              <w:rPr>
                <w:sz w:val="19"/>
                <w:szCs w:val="19"/>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5 Years</w:t>
            </w:r>
          </w:p>
        </w:tc>
      </w:tr>
      <w:tr>
        <w:trPr>
          <w:trHeight w:val="196"/>
        </w:trPr>
        <w:tc>
          <w:tcPr>
            <w:tcW w:w="3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3"/>
              </w:rPr>
              <w:t>(in thousands)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Operating lease commitments</w:t>
            </w:r>
          </w:p>
        </w:tc>
        <w:tc>
          <w:tcPr>
            <w:tcW w:w="100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24,346</w:t>
            </w:r>
          </w:p>
        </w:tc>
        <w:tc>
          <w:tcPr>
            <w:tcW w:w="3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3,405</w:t>
            </w:r>
          </w:p>
        </w:tc>
        <w:tc>
          <w:tcPr>
            <w:tcW w:w="3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10,834</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7,768</w:t>
            </w:r>
          </w:p>
        </w:tc>
        <w:tc>
          <w:tcPr>
            <w:tcW w:w="3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2,339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28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24,346</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3,405</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10,834</w:t>
            </w:r>
          </w:p>
        </w:tc>
        <w:tc>
          <w:tcPr>
            <w:tcW w:w="200" w:type="dxa"/>
            <w:vAlign w:val="bottom"/>
          </w:tcPr>
          <w:p>
            <w:pPr>
              <w:spacing w:after="0"/>
              <w:rPr>
                <w:sz w:val="17"/>
                <w:szCs w:val="17"/>
                <w:color w:val="auto"/>
              </w:rPr>
            </w:pPr>
          </w:p>
        </w:tc>
        <w:tc>
          <w:tcPr>
            <w:tcW w:w="140" w:type="dxa"/>
            <w:vAlign w:val="bottom"/>
          </w:tcPr>
          <w:p>
            <w:pPr>
              <w:jc w:val="center"/>
              <w:spacing w:after="0" w:line="182"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7,768</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2,339</w:t>
            </w:r>
          </w:p>
        </w:tc>
        <w:tc>
          <w:tcPr>
            <w:tcW w:w="100" w:type="dxa"/>
            <w:vAlign w:val="bottom"/>
          </w:tcPr>
          <w:p>
            <w:pPr>
              <w:spacing w:after="0"/>
              <w:rPr>
                <w:sz w:val="17"/>
                <w:szCs w:val="17"/>
                <w:color w:val="auto"/>
              </w:rPr>
            </w:pPr>
          </w:p>
        </w:tc>
      </w:tr>
      <w:tr>
        <w:trPr>
          <w:trHeight w:val="20"/>
        </w:trPr>
        <w:tc>
          <w:tcPr>
            <w:tcW w:w="3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-161925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-161925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-161925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-161925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8572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tab/>
        <w:t>Amounts in the table above reflect payments due for our lease of office and lab space in Boston, MA that expires in August 2032.</w:t>
      </w:r>
    </w:p>
    <w:p>
      <w:pPr>
        <w:spacing w:after="0" w:line="21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On May 16, 2022, we entered into an office and laboratory lease in Boston, MA with an initial 10-year term and one renewal option to extend the lease for an additional seven years. The lease commenced on August 1, 2022.</w:t>
      </w:r>
    </w:p>
    <w:p>
      <w:pPr>
        <w:spacing w:after="0" w:line="15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Except as disclosed in the table above, we have no long-term debt or finance leases and no material non-cancelable purchase commitments with service providers, as we have generally contracted on a cancelable, purchase-order basis. We enter into contracts in the normal course of business with equipment and reagent vendors, CROs, CDMOs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We have also acquired exclusive and non-exclusive rights to use, research, develop and offer for sale certain products and patents under license agreements. The license agreements obligate us to make payments to the licensors for license fees, milestones, license maintenance fees and royalties. These payments are not included in the preceding table as the amount and timing of such payments are not known.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6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consolidated financial statements, which have been prepared in accordance with U.S. generally accepted accounting principles.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6" w:name="page107"/>
    <w:bookmarkEnd w:id="106"/>
    <w:p>
      <w:pPr>
        <w:jc w:val="both"/>
        <w:spacing w:after="0" w:line="247" w:lineRule="auto"/>
        <w:rPr>
          <w:sz w:val="20"/>
          <w:szCs w:val="20"/>
          <w:color w:val="auto"/>
        </w:rPr>
      </w:pPr>
      <w:r>
        <w:rPr>
          <w:rFonts w:ascii="Arial" w:cs="Arial" w:eastAsia="Arial" w:hAnsi="Arial"/>
          <w:sz w:val="18"/>
          <w:szCs w:val="18"/>
          <w:color w:val="auto"/>
        </w:rPr>
        <w:t>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While our significant accounting policies are described in greater detail in Note 2 to our consolidated financial statements appearing elsewhere in this Annual Report on Form 10-K, we believe that the following accounting policies are those most critical to the judgments and estimates used in the preparation of our consolidated financial statements.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expense all costs in performing research and development activities in the periods in which they are incurred. Research and development expenses include salaries and benefits, stock-based compensation expense, lab supplies and facility costs, as well as fees paid to nonemployees and entities that conduct certain research and development activities on our behalf and expenses incurred in connection with license agreements. Non-refundable advance payments for goods or services that will be used for rendered or future research and development activities are deferred and amortized over the period that the goods are delivered, or the related services are performed, subject to an assessment of recoverability.</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We make estimates of our accrued expenses as of each balance sheet date in the consolidated financial statements based on facts and circumstances known to us at that time.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account for our stock-based compensation as expense in the consolidated statements of operations and comprehensive loss based on the awards’ grant date fair values. We account for forfeitures as they occur by reversing any expense recognized for unvested awards.</w:t>
      </w:r>
    </w:p>
    <w:p>
      <w:pPr>
        <w:spacing w:after="0" w:line="16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 xml:space="preserve">For grants of restricted stock units, we base the fair value on the stock price as of the date of grant. We estimate the fair value of options granted using the Black-Scholes option pricing model. The Black-Scholes option pricing model requires inputs based on certain subjective assumptions, including (a) the expected stock price volatility, (b) the calculation of expected term of the award, (c) the risk-free interest rate and (d) expected dividends. Due to a lack of company-specific historical and implied volatility data, we have based our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We use the simplified method as allowed by the SEC, Staff Accounting Bulletin, or SAB, No. 107,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w:t>
      </w:r>
      <w:r>
        <w:rPr>
          <w:rFonts w:ascii="Arial" w:cs="Arial" w:eastAsia="Arial" w:hAnsi="Arial"/>
          <w:sz w:val="18"/>
          <w:szCs w:val="18"/>
          <w:color w:val="auto"/>
        </w:rPr>
        <w:t>, to calculate the expected term for options granted to employees as we do not have sufficient historical exercise data to provide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basis upon which to estimate the expected term. The risk-free interest rate is based on a treasury instrument whose term is consistent with the expected term of the stock options. The expected dividend yield is assumed to be zero as we have never paid dividends and have no current plans to pay any dividends on our common stock. The fair value of stock-based payments is recognized as expense over the requisite service period which is generally the vesting period.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6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See Note 2 in our consolidated financial statements included elsewhere in this Annual Report on Form 10-K for a description of recent accounting pronouncements applicable to our consolidated financial statements. Other than as disclosed in our consolidated financial statements, we do not expect that any recently issued accounting standards will have a material impact on our consolidated financial statements or will otherwise apply to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7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Jumpstart Our Business Startups Act of 2012, or 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Sarbanes-Oxley Act Section 404(b).</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will remain an “emerging growth company” until the earliest of: the last day of the fiscal year in which we have more than $1.235 billion in annual revenue; the date we qualify as a “large accelerated filer,” with at least $700.0 million of equity securities held by non-affiliates; the issuance, in any three-year period, by us of more than $1.0 billion in non-convertible debt securities; or the last day of the fiscal year ending after the fifth anniversary of our initial public offering, or IPO.</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76"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will not be required to obtain a separate attestation of internal control over financial reporting from an outside auditor.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 this item.</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consolidated financial statements, together with the report of our independent registered public accounting firm, appear beginning on page F-1 of this Annual Report for the year ended December 31, 2025.</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r>
        <w:rPr>
          <w:rFonts w:ascii="Arial" w:cs="Arial" w:eastAsia="Arial" w:hAnsi="Arial"/>
          <w:sz w:val="18"/>
          <w:szCs w:val="18"/>
          <w:i w:val="1"/>
          <w:iCs w:val="1"/>
          <w:color w:val="auto"/>
        </w:rPr>
        <w:t>.</w:t>
      </w:r>
    </w:p>
    <w:p>
      <w:pPr>
        <w:spacing w:after="0" w:line="198" w:lineRule="exact"/>
        <w:rPr>
          <w:sz w:val="20"/>
          <w:szCs w:val="20"/>
          <w:color w:val="auto"/>
        </w:rPr>
      </w:pPr>
    </w:p>
    <w:p>
      <w:pPr>
        <w:jc w:val="both"/>
        <w:ind w:firstLine="562"/>
        <w:spacing w:after="0" w:line="244" w:lineRule="auto"/>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63" w:lineRule="exact"/>
        <w:rPr>
          <w:sz w:val="20"/>
          <w:szCs w:val="20"/>
          <w:color w:val="auto"/>
        </w:rPr>
      </w:pPr>
    </w:p>
    <w:p>
      <w:pPr>
        <w:jc w:val="both"/>
        <w:ind w:firstLine="562"/>
        <w:spacing w:after="0" w:line="247" w:lineRule="auto"/>
        <w:rPr>
          <w:sz w:val="20"/>
          <w:szCs w:val="20"/>
          <w:color w:val="auto"/>
        </w:rPr>
      </w:pPr>
      <w:r>
        <w:rPr>
          <w:rFonts w:ascii="Arial" w:cs="Arial" w:eastAsia="Arial" w:hAnsi="Arial"/>
          <w:sz w:val="18"/>
          <w:szCs w:val="18"/>
          <w:color w:val="auto"/>
        </w:rPr>
        <w:t>As of December 31, 2025, our management, under the supervision of our Chief Executive Officer and Chief Financial and Business Officer, performed an evaluation of the effectiveness of our disclosure controls and procedures. Based on this evaluation, our Chief Executive Officer and Chief Financial and Business Officer concluded that our disclosure controls and procedures were effective at the reasonable assurance level as of December 31, 2025.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98" w:lineRule="exact"/>
        <w:rPr>
          <w:sz w:val="20"/>
          <w:szCs w:val="20"/>
          <w:color w:val="auto"/>
        </w:rPr>
      </w:pPr>
    </w:p>
    <w:p>
      <w:pPr>
        <w:jc w:val="both"/>
        <w:ind w:firstLine="562"/>
        <w:spacing w:after="0" w:line="244"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as defined in the Exchange Act Rule 13a-15(f). Management conducted an assessment of our internal control over financial reporting based on the framework established in 2013 by the Committee of Sponsoring Organizations of the Treadway Commission in Internal Control— Integrated Framework. Based on the assessment, management concluded that, as of December 31, 2025, our internal control over financial reporting was effective.</w:t>
      </w:r>
    </w:p>
    <w:p>
      <w:pPr>
        <w:spacing w:after="0" w:line="163"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as required by Section 404(b) of the Sarbanes Oxley Act of 2002. Because we qualify as an emerging growth company under the JOBS Act, management's report was not subject to attestation by our independent registered public accounting firm.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98" w:lineRule="exact"/>
        <w:rPr>
          <w:sz w:val="20"/>
          <w:szCs w:val="20"/>
          <w:color w:val="auto"/>
        </w:rPr>
      </w:pPr>
    </w:p>
    <w:p>
      <w:pPr>
        <w:jc w:val="both"/>
        <w:ind w:firstLine="569"/>
        <w:spacing w:after="0" w:line="239"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 desired control objectives and our management necessarily applies its judgment in evaluating the cost-benefit relationship of possible controls and procedures. Due to the inherent limitations in all control systems, no evaluation of controls can provide absolute assurance that all control issues and instances of fraud, if any, within our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9" w:name="page110"/>
    <w:bookmarkEnd w:id="109"/>
    <w:p>
      <w:pPr>
        <w:jc w:val="both"/>
        <w:ind w:firstLine="569"/>
        <w:spacing w:after="0"/>
        <w:rPr>
          <w:sz w:val="20"/>
          <w:szCs w:val="20"/>
          <w:color w:val="auto"/>
        </w:rPr>
      </w:pPr>
      <w:r>
        <w:rPr>
          <w:rFonts w:ascii="Arial" w:cs="Arial" w:eastAsia="Arial" w:hAnsi="Arial"/>
          <w:sz w:val="18"/>
          <w:szCs w:val="18"/>
          <w:color w:val="auto"/>
        </w:rPr>
        <w:t>Our management, with the participation of our Chief Executive Officer and Chief Financial and Business Officer, has evaluated the effectiveness of our disclosure controls and procedures (as defined in Rules 13a-15(e) and 15d-15(e) under the Exchange Act), as of the end of the period covered by this Annual Report. Based on such evaluation, our Chief Executive Officer and Chief Financial and Business Officer have concluded that as of December 31, 2025, our disclosure controls and procedures were effective to provide reasonable assurance that the information required to be disclosed by us in this Annual Report was (a) reported within the time periods specified by the SEC rules and regulations, and (b) communicated to our management, including our Chief Executive Officer and Chief Financial and Business Officer, to allow timely decisions regarding any required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jc w:val="both"/>
        <w:ind w:right="20" w:firstLine="562"/>
        <w:spacing w:after="0" w:line="25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year ended December 31, 2025, that have materially affected, or are reasonably likely to materially affect, our internal controls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98"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our status as an emerging growth company under the JOBS Act. Additionally, our independent registered public accounting firm will not be required to opine on our internal control over financial reporting until we are no longer an emerging growth company.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12" w:lineRule="exact"/>
        <w:rPr>
          <w:sz w:val="20"/>
          <w:szCs w:val="20"/>
          <w:color w:val="auto"/>
        </w:rPr>
      </w:pPr>
    </w:p>
    <w:p>
      <w:pPr>
        <w:ind w:left="780" w:hanging="263"/>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None.</w:t>
      </w:r>
    </w:p>
    <w:p>
      <w:pPr>
        <w:spacing w:after="0" w:line="211" w:lineRule="exact"/>
        <w:rPr>
          <w:rFonts w:ascii="Arial" w:cs="Arial" w:eastAsia="Arial" w:hAnsi="Arial"/>
          <w:sz w:val="18"/>
          <w:szCs w:val="18"/>
          <w:color w:val="auto"/>
        </w:rPr>
      </w:pPr>
    </w:p>
    <w:p>
      <w:pPr>
        <w:ind w:left="780" w:hanging="263"/>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Insider Trading Arrangements.</w:t>
      </w:r>
    </w:p>
    <w:p>
      <w:pPr>
        <w:spacing w:after="0" w:line="6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None of our directors or “officers,” as defined in Rule 16a-1(f) under the Securities Exchange Act of 1934, adopted or terminated a Rule 10b5-1 trading plan or arrangement or a non-Rule 10b5-1 trading plan or arrangement, as defined in Item 408(c) of Regulation S-K, during the fiscal quarter covered by this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4"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4"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4"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4"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4"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63" w:lineRule="exact"/>
        <w:rPr>
          <w:sz w:val="20"/>
          <w:szCs w:val="20"/>
          <w:color w:val="auto"/>
        </w:rPr>
      </w:pPr>
    </w:p>
    <w:p>
      <w:pPr>
        <w:ind w:left="1020" w:hanging="503"/>
        <w:spacing w:after="0" w:line="27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a list of the consolidated financial statements included herein, see “</w:t>
      </w:r>
      <w:r>
        <w:rPr>
          <w:rFonts w:ascii="Arial" w:cs="Arial" w:eastAsia="Arial" w:hAnsi="Arial"/>
          <w:sz w:val="18"/>
          <w:szCs w:val="18"/>
          <w:i w:val="1"/>
          <w:iCs w:val="1"/>
          <w:color w:val="auto"/>
        </w:rPr>
        <w:t>Index to the Consolidated Financial Statements</w:t>
      </w:r>
      <w:r>
        <w:rPr>
          <w:rFonts w:ascii="Arial" w:cs="Arial" w:eastAsia="Arial" w:hAnsi="Arial"/>
          <w:sz w:val="18"/>
          <w:szCs w:val="18"/>
          <w:color w:val="auto"/>
        </w:rPr>
        <w:t>” on page F-1 of this Annual Report on Form 10-K, incorporated into this Item by reference.</w:t>
      </w:r>
    </w:p>
    <w:p>
      <w:pPr>
        <w:spacing w:after="0" w:line="18" w:lineRule="exact"/>
        <w:rPr>
          <w:rFonts w:ascii="Arial" w:cs="Arial" w:eastAsia="Arial" w:hAnsi="Arial"/>
          <w:sz w:val="18"/>
          <w:szCs w:val="18"/>
          <w:color w:val="auto"/>
        </w:rPr>
      </w:pPr>
    </w:p>
    <w:p>
      <w:pPr>
        <w:ind w:left="1020" w:right="20" w:hanging="503"/>
        <w:spacing w:after="0" w:line="27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statement schedules have been omitted because they are either not required or not applicable or the information is included in the financial statements or the notes thereto.</w:t>
      </w:r>
    </w:p>
    <w:p>
      <w:pPr>
        <w:spacing w:after="0" w:line="5"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tcPr>
          <w:p>
            <w:pPr>
              <w:ind w:left="38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540" w:type="dxa"/>
            <w:vAlign w:val="bottom"/>
            <w:tcBorders>
              <w:bottom w:val="single" w:sz="8" w:color="auto"/>
            </w:tcBorders>
            <w:gridSpan w:val="26"/>
          </w:tcPr>
          <w:p>
            <w:pPr>
              <w:ind w:left="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1240" w:type="dxa"/>
            <w:vAlign w:val="bottom"/>
          </w:tcPr>
          <w:p>
            <w:pPr>
              <w:spacing w:after="0" w:line="169"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4"/>
                <w:szCs w:val="14"/>
                <w:color w:val="auto"/>
              </w:rPr>
            </w:pPr>
          </w:p>
        </w:tc>
        <w:tc>
          <w:tcPr>
            <w:tcW w:w="9940" w:type="dxa"/>
            <w:vAlign w:val="bottom"/>
            <w:tcBorders>
              <w:bottom w:val="single" w:sz="8" w:color="0000FF"/>
            </w:tcBorders>
            <w:gridSpan w:val="26"/>
          </w:tcPr>
          <w:p>
            <w:pPr>
              <w:spacing w:after="0" w:line="169" w:lineRule="exact"/>
              <w:rPr>
                <w:rFonts w:ascii="Arial" w:cs="Arial" w:eastAsia="Arial" w:hAnsi="Arial"/>
                <w:sz w:val="18"/>
                <w:szCs w:val="18"/>
                <w:color w:val="0000FF"/>
              </w:rPr>
            </w:pPr>
            <w:hyperlink r:id="rId168">
              <w:r>
                <w:rPr>
                  <w:rFonts w:ascii="Arial" w:cs="Arial" w:eastAsia="Arial" w:hAnsi="Arial"/>
                  <w:sz w:val="18"/>
                  <w:szCs w:val="18"/>
                  <w:color w:val="0000FF"/>
                </w:rPr>
                <w:t>Tenth Amended and Restated Certificate of Incorporation of the Registrant, as currently in effect, as amended by the</w:t>
              </w:r>
            </w:hyperlink>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40" w:type="dxa"/>
            <w:vAlign w:val="bottom"/>
            <w:gridSpan w:val="26"/>
          </w:tcPr>
          <w:p>
            <w:pPr>
              <w:spacing w:after="0" w:line="182" w:lineRule="exact"/>
              <w:rPr>
                <w:rFonts w:ascii="Arial" w:cs="Arial" w:eastAsia="Arial" w:hAnsi="Arial"/>
                <w:sz w:val="18"/>
                <w:szCs w:val="18"/>
                <w:color w:val="0000FF"/>
              </w:rPr>
            </w:pPr>
            <w:hyperlink r:id="rId168">
              <w:r>
                <w:rPr>
                  <w:rFonts w:ascii="Arial" w:cs="Arial" w:eastAsia="Arial" w:hAnsi="Arial"/>
                  <w:sz w:val="18"/>
                  <w:szCs w:val="18"/>
                  <w:color w:val="0000FF"/>
                </w:rPr>
                <w:t>Certificate of Amendment, dated June 20, 2024 (incorporated by reference to Exhibit 3.1 of the Registrant’s Quarterly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restart"/>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5"/>
                <w:szCs w:val="15"/>
                <w:color w:val="auto"/>
              </w:rPr>
            </w:pPr>
          </w:p>
        </w:tc>
        <w:tc>
          <w:tcPr>
            <w:tcW w:w="9920" w:type="dxa"/>
            <w:vAlign w:val="bottom"/>
            <w:gridSpan w:val="25"/>
          </w:tcPr>
          <w:p>
            <w:pPr>
              <w:spacing w:after="0" w:line="182" w:lineRule="exact"/>
              <w:rPr>
                <w:rFonts w:ascii="Arial" w:cs="Arial" w:eastAsia="Arial" w:hAnsi="Arial"/>
                <w:sz w:val="18"/>
                <w:szCs w:val="18"/>
                <w:color w:val="0000FF"/>
              </w:rPr>
            </w:pPr>
            <w:hyperlink r:id="rId168">
              <w:r>
                <w:rPr>
                  <w:rFonts w:ascii="Arial" w:cs="Arial" w:eastAsia="Arial" w:hAnsi="Arial"/>
                  <w:sz w:val="18"/>
                  <w:szCs w:val="18"/>
                  <w:color w:val="0000FF"/>
                </w:rPr>
                <w:t>Report on Form 10-Q (File No. 001-40971) filed on August 8, 2024).</w:t>
              </w:r>
            </w:hyperlink>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4600" w:type="dxa"/>
            <w:vAlign w:val="bottom"/>
            <w:gridSpan w:val="24"/>
            <w:vMerge w:val="restart"/>
          </w:tcPr>
          <w:p>
            <w:pPr>
              <w:jc w:val="right"/>
              <w:ind w:right="300"/>
              <w:spacing w:after="0" w:line="202" w:lineRule="exact"/>
              <w:rPr>
                <w:rFonts w:ascii="Arial" w:cs="Arial" w:eastAsia="Arial" w:hAnsi="Arial"/>
                <w:sz w:val="18"/>
                <w:szCs w:val="18"/>
                <w:color w:val="0000FF"/>
              </w:rPr>
            </w:pPr>
            <w:hyperlink r:id="rId169">
              <w:r>
                <w:rPr>
                  <w:rFonts w:ascii="Arial" w:cs="Arial" w:eastAsia="Arial" w:hAnsi="Arial"/>
                  <w:sz w:val="18"/>
                  <w:szCs w:val="18"/>
                  <w:color w:val="0000FF"/>
                </w:rPr>
                <w:t>effect (incorporated by reference to Exhibit 3.2 of the</w:t>
              </w:r>
            </w:hyperlink>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440" w:type="dxa"/>
            <w:vAlign w:val="bottom"/>
            <w:gridSpan w:val="7"/>
          </w:tcPr>
          <w:p>
            <w:pPr>
              <w:spacing w:after="0" w:line="182" w:lineRule="exact"/>
              <w:rPr>
                <w:rFonts w:ascii="Arial" w:cs="Arial" w:eastAsia="Arial" w:hAnsi="Arial"/>
                <w:sz w:val="18"/>
                <w:szCs w:val="18"/>
                <w:color w:val="0000FF"/>
              </w:rPr>
            </w:pPr>
            <w:hyperlink r:id="rId169">
              <w:r>
                <w:rPr>
                  <w:rFonts w:ascii="Arial" w:cs="Arial" w:eastAsia="Arial" w:hAnsi="Arial"/>
                  <w:sz w:val="18"/>
                  <w:szCs w:val="18"/>
                  <w:color w:val="0000FF"/>
                </w:rPr>
                <w:t>Amended and Restated Bylaws of the Registrant, as currently in</w:t>
              </w:r>
            </w:hyperlink>
          </w:p>
        </w:tc>
        <w:tc>
          <w:tcPr>
            <w:tcW w:w="4600" w:type="dxa"/>
            <w:vAlign w:val="bottom"/>
            <w:gridSpan w:val="2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restart"/>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5"/>
                <w:szCs w:val="15"/>
                <w:color w:val="auto"/>
              </w:rPr>
            </w:pPr>
          </w:p>
        </w:tc>
        <w:tc>
          <w:tcPr>
            <w:tcW w:w="9980" w:type="dxa"/>
            <w:vAlign w:val="bottom"/>
            <w:gridSpan w:val="28"/>
          </w:tcPr>
          <w:p>
            <w:pPr>
              <w:spacing w:after="0" w:line="182" w:lineRule="exact"/>
              <w:rPr>
                <w:rFonts w:ascii="Arial" w:cs="Arial" w:eastAsia="Arial" w:hAnsi="Arial"/>
                <w:sz w:val="18"/>
                <w:szCs w:val="18"/>
                <w:color w:val="0000FF"/>
              </w:rPr>
            </w:pPr>
            <w:hyperlink r:id="rId169">
              <w:r>
                <w:rPr>
                  <w:rFonts w:ascii="Arial" w:cs="Arial" w:eastAsia="Arial" w:hAnsi="Arial"/>
                  <w:sz w:val="18"/>
                  <w:szCs w:val="18"/>
                  <w:color w:val="0000FF"/>
                </w:rPr>
                <w:t>Registrant's Annual Report on Form 10-K (File No. 001-40971) filed on March 23, 2022)</w:t>
              </w:r>
              <w:r>
                <w:rPr>
                  <w:rFonts w:ascii="Arial" w:cs="Arial" w:eastAsia="Arial" w:hAnsi="Arial"/>
                  <w:sz w:val="18"/>
                  <w:szCs w:val="18"/>
                  <w:color w:val="000000"/>
                </w:rPr>
                <w:t>.</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980" w:type="dxa"/>
            <w:vAlign w:val="bottom"/>
            <w:gridSpan w:val="11"/>
          </w:tcPr>
          <w:p>
            <w:pPr>
              <w:spacing w:after="0" w:line="182" w:lineRule="exact"/>
              <w:rPr>
                <w:sz w:val="20"/>
                <w:szCs w:val="20"/>
                <w:color w:val="auto"/>
              </w:rPr>
            </w:pPr>
            <w:r>
              <w:rPr>
                <w:rFonts w:ascii="Arial" w:cs="Arial" w:eastAsia="Arial" w:hAnsi="Arial"/>
                <w:sz w:val="18"/>
                <w:szCs w:val="18"/>
                <w:color w:val="0000FF"/>
              </w:rPr>
              <w:t>Description of Securities</w:t>
            </w:r>
            <w:r>
              <w:rPr>
                <w:rFonts w:ascii="Arial" w:cs="Arial" w:eastAsia="Arial" w:hAnsi="Arial"/>
                <w:sz w:val="18"/>
                <w:szCs w:val="18"/>
                <w:color w:val="000000"/>
              </w:rPr>
              <w:t>.</w:t>
            </w:r>
          </w:p>
        </w:tc>
        <w:tc>
          <w:tcPr>
            <w:tcW w:w="2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gridSpan w:val="3"/>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202" w:lineRule="exact"/>
              <w:rPr>
                <w:sz w:val="20"/>
                <w:szCs w:val="20"/>
                <w:color w:val="auto"/>
              </w:rPr>
            </w:pPr>
            <w:r>
              <w:rPr>
                <w:rFonts w:ascii="Arial" w:cs="Arial" w:eastAsia="Arial" w:hAnsi="Arial"/>
                <w:sz w:val="18"/>
                <w:szCs w:val="18"/>
                <w:color w:val="auto"/>
              </w:rPr>
              <w:t>4.2</w:t>
            </w:r>
          </w:p>
        </w:tc>
        <w:tc>
          <w:tcPr>
            <w:tcW w:w="240" w:type="dxa"/>
            <w:vAlign w:val="bottom"/>
          </w:tcPr>
          <w:p>
            <w:pPr>
              <w:spacing w:after="0" w:line="20" w:lineRule="exact"/>
              <w:rPr>
                <w:sz w:val="1"/>
                <w:szCs w:val="1"/>
                <w:color w:val="auto"/>
              </w:rPr>
            </w:pPr>
          </w:p>
        </w:tc>
        <w:tc>
          <w:tcPr>
            <w:tcW w:w="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40" w:type="dxa"/>
            <w:vAlign w:val="bottom"/>
            <w:gridSpan w:val="31"/>
          </w:tcPr>
          <w:p>
            <w:pPr>
              <w:spacing w:after="0" w:line="182" w:lineRule="exact"/>
              <w:rPr>
                <w:rFonts w:ascii="Arial" w:cs="Arial" w:eastAsia="Arial" w:hAnsi="Arial"/>
                <w:sz w:val="18"/>
                <w:szCs w:val="18"/>
                <w:color w:val="0000FF"/>
              </w:rPr>
            </w:pPr>
            <w:hyperlink r:id="rId170">
              <w:r>
                <w:rPr>
                  <w:rFonts w:ascii="Arial" w:cs="Arial" w:eastAsia="Arial" w:hAnsi="Arial"/>
                  <w:sz w:val="18"/>
                  <w:szCs w:val="18"/>
                  <w:color w:val="0000FF"/>
                </w:rPr>
                <w:t>Fifth Amended and Restated Investors’ Rights Agreement (incorporated by reference to Exhibit 4.2 of the Registrant’s</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restart"/>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5"/>
                <w:szCs w:val="15"/>
                <w:color w:val="auto"/>
              </w:rPr>
            </w:pPr>
          </w:p>
        </w:tc>
        <w:tc>
          <w:tcPr>
            <w:tcW w:w="9900" w:type="dxa"/>
            <w:vAlign w:val="bottom"/>
            <w:gridSpan w:val="24"/>
          </w:tcPr>
          <w:p>
            <w:pPr>
              <w:spacing w:after="0" w:line="182" w:lineRule="exact"/>
              <w:rPr>
                <w:rFonts w:ascii="Arial" w:cs="Arial" w:eastAsia="Arial" w:hAnsi="Arial"/>
                <w:sz w:val="18"/>
                <w:szCs w:val="18"/>
                <w:color w:val="0000FF"/>
              </w:rPr>
            </w:pPr>
            <w:hyperlink r:id="rId170">
              <w:r>
                <w:rPr>
                  <w:rFonts w:ascii="Arial" w:cs="Arial" w:eastAsia="Arial" w:hAnsi="Arial"/>
                  <w:sz w:val="18"/>
                  <w:szCs w:val="18"/>
                  <w:color w:val="0000FF"/>
                </w:rPr>
                <w:t>Registration Statement on Form S-1 (File No. 333-260156) filed on October 8, 2021)</w:t>
              </w:r>
              <w:r>
                <w:rPr>
                  <w:rFonts w:ascii="Arial" w:cs="Arial" w:eastAsia="Arial" w:hAnsi="Arial"/>
                  <w:sz w:val="18"/>
                  <w:szCs w:val="18"/>
                  <w:color w:val="000000"/>
                </w:rPr>
                <w:t>.</w:t>
              </w:r>
            </w:hyperlink>
          </w:p>
        </w:tc>
        <w:tc>
          <w:tcPr>
            <w:tcW w:w="60" w:type="dxa"/>
            <w:vAlign w:val="bottom"/>
            <w:gridSpan w:val="3"/>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3300" w:type="dxa"/>
            <w:vAlign w:val="bottom"/>
            <w:gridSpan w:val="21"/>
            <w:vMerge w:val="restart"/>
          </w:tcPr>
          <w:p>
            <w:pPr>
              <w:ind w:left="60"/>
              <w:spacing w:after="0" w:line="202" w:lineRule="exact"/>
              <w:rPr>
                <w:rFonts w:ascii="Arial" w:cs="Arial" w:eastAsia="Arial" w:hAnsi="Arial"/>
                <w:sz w:val="18"/>
                <w:szCs w:val="18"/>
                <w:color w:val="0000FF"/>
              </w:rPr>
            </w:pPr>
            <w:hyperlink r:id="rId171">
              <w:r>
                <w:rPr>
                  <w:rFonts w:ascii="Arial" w:cs="Arial" w:eastAsia="Arial" w:hAnsi="Arial"/>
                  <w:sz w:val="18"/>
                  <w:szCs w:val="18"/>
                  <w:color w:val="0000FF"/>
                </w:rPr>
                <w:t>to Exhibit 4.1 of the Registrant’s</w:t>
              </w:r>
            </w:hyperlink>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740" w:type="dxa"/>
            <w:vAlign w:val="bottom"/>
            <w:gridSpan w:val="10"/>
          </w:tcPr>
          <w:p>
            <w:pPr>
              <w:spacing w:after="0" w:line="182" w:lineRule="exact"/>
              <w:rPr>
                <w:rFonts w:ascii="Arial" w:cs="Arial" w:eastAsia="Arial" w:hAnsi="Arial"/>
                <w:sz w:val="18"/>
                <w:szCs w:val="18"/>
                <w:color w:val="0000FF"/>
                <w:w w:val="99"/>
              </w:rPr>
            </w:pPr>
            <w:hyperlink r:id="rId171">
              <w:r>
                <w:rPr>
                  <w:rFonts w:ascii="Arial" w:cs="Arial" w:eastAsia="Arial" w:hAnsi="Arial"/>
                  <w:sz w:val="18"/>
                  <w:szCs w:val="18"/>
                  <w:color w:val="0000FF"/>
                  <w:w w:val="99"/>
                </w:rPr>
                <w:t>Form of Pre-Funded Warrant to Purchase Common Stock (incorporated by reference</w:t>
              </w:r>
            </w:hyperlink>
          </w:p>
        </w:tc>
        <w:tc>
          <w:tcPr>
            <w:tcW w:w="3300" w:type="dxa"/>
            <w:vAlign w:val="bottom"/>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vMerge w:val="restart"/>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5"/>
                <w:szCs w:val="15"/>
                <w:color w:val="auto"/>
              </w:rPr>
            </w:pPr>
          </w:p>
        </w:tc>
        <w:tc>
          <w:tcPr>
            <w:tcW w:w="582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171">
              <w:r>
                <w:rPr>
                  <w:rFonts w:ascii="Arial" w:cs="Arial" w:eastAsia="Arial" w:hAnsi="Arial"/>
                  <w:sz w:val="18"/>
                  <w:szCs w:val="18"/>
                  <w:color w:val="0000FF"/>
                  <w:w w:val="99"/>
                </w:rPr>
                <w:t>Current Report on Form 8-K (File No. 001-40971) filed on May 16, 2025).</w:t>
              </w:r>
            </w:hyperlink>
          </w:p>
        </w:tc>
        <w:tc>
          <w:tcPr>
            <w:tcW w:w="20" w:type="dxa"/>
            <w:vAlign w:val="bottom"/>
            <w:tcBorders>
              <w:top w:val="single" w:sz="8" w:color="0000FF"/>
              <w:bottom w:val="single" w:sz="8" w:color="0000EE"/>
            </w:tcBorders>
          </w:tcPr>
          <w:p>
            <w:pPr>
              <w:spacing w:after="0"/>
              <w:rPr>
                <w:sz w:val="15"/>
                <w:szCs w:val="15"/>
                <w:color w:val="auto"/>
              </w:rPr>
            </w:pPr>
          </w:p>
        </w:tc>
        <w:tc>
          <w:tcPr>
            <w:tcW w:w="3560" w:type="dxa"/>
            <w:vAlign w:val="bottom"/>
            <w:tcBorders>
              <w:top w:val="single" w:sz="8" w:color="0000FF"/>
            </w:tcBorders>
            <w:gridSpan w:val="6"/>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840" w:type="dxa"/>
            <w:vAlign w:val="bottom"/>
            <w:gridSpan w:val="9"/>
          </w:tcPr>
          <w:p>
            <w:pPr>
              <w:spacing w:after="0" w:line="182" w:lineRule="exact"/>
              <w:rPr>
                <w:rFonts w:ascii="Arial" w:cs="Arial" w:eastAsia="Arial" w:hAnsi="Arial"/>
                <w:sz w:val="18"/>
                <w:szCs w:val="18"/>
                <w:color w:val="0000FF"/>
                <w:w w:val="97"/>
              </w:rPr>
            </w:pPr>
            <w:hyperlink r:id="rId172">
              <w:r>
                <w:rPr>
                  <w:rFonts w:ascii="Arial" w:cs="Arial" w:eastAsia="Arial" w:hAnsi="Arial"/>
                  <w:sz w:val="18"/>
                  <w:szCs w:val="18"/>
                  <w:color w:val="0000FF"/>
                  <w:w w:val="97"/>
                </w:rPr>
                <w:t>Form of Common Stock Warrant to Purchase Common Stock (incorporated</w:t>
              </w:r>
            </w:hyperlink>
          </w:p>
        </w:tc>
        <w:tc>
          <w:tcPr>
            <w:tcW w:w="4200" w:type="dxa"/>
            <w:vAlign w:val="bottom"/>
            <w:gridSpan w:val="22"/>
          </w:tcPr>
          <w:p>
            <w:pPr>
              <w:ind w:left="200"/>
              <w:spacing w:after="0" w:line="182" w:lineRule="exact"/>
              <w:rPr>
                <w:rFonts w:ascii="Arial" w:cs="Arial" w:eastAsia="Arial" w:hAnsi="Arial"/>
                <w:sz w:val="18"/>
                <w:szCs w:val="18"/>
                <w:color w:val="0000FF"/>
              </w:rPr>
            </w:pPr>
            <w:hyperlink r:id="rId172">
              <w:r>
                <w:rPr>
                  <w:rFonts w:ascii="Arial" w:cs="Arial" w:eastAsia="Arial" w:hAnsi="Arial"/>
                  <w:sz w:val="18"/>
                  <w:szCs w:val="18"/>
                  <w:color w:val="0000FF"/>
                </w:rPr>
                <w:t>by reference to Exhibit 4.2 of the Registrant’s</w:t>
              </w:r>
            </w:hyperlink>
          </w:p>
        </w:tc>
        <w:tc>
          <w:tcPr>
            <w:tcW w:w="0" w:type="dxa"/>
            <w:vAlign w:val="bottom"/>
          </w:tcPr>
          <w:p>
            <w:pPr>
              <w:spacing w:after="0"/>
              <w:rPr>
                <w:sz w:val="1"/>
                <w:szCs w:val="1"/>
                <w:color w:val="auto"/>
              </w:rPr>
            </w:pPr>
          </w:p>
        </w:tc>
      </w:tr>
      <w:tr>
        <w:trPr>
          <w:trHeight w:val="183"/>
        </w:trPr>
        <w:tc>
          <w:tcPr>
            <w:tcW w:w="124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5"/>
                <w:szCs w:val="15"/>
                <w:color w:val="auto"/>
              </w:rPr>
            </w:pPr>
          </w:p>
        </w:tc>
        <w:tc>
          <w:tcPr>
            <w:tcW w:w="582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172">
              <w:r>
                <w:rPr>
                  <w:rFonts w:ascii="Arial" w:cs="Arial" w:eastAsia="Arial" w:hAnsi="Arial"/>
                  <w:sz w:val="18"/>
                  <w:szCs w:val="18"/>
                  <w:color w:val="0000FF"/>
                  <w:w w:val="99"/>
                </w:rPr>
                <w:t>Current Report on Form 8-K (File No. 001-40971) filed on May 16, 2025).</w:t>
              </w:r>
            </w:hyperlink>
          </w:p>
        </w:tc>
        <w:tc>
          <w:tcPr>
            <w:tcW w:w="20" w:type="dxa"/>
            <w:vAlign w:val="bottom"/>
            <w:tcBorders>
              <w:top w:val="single" w:sz="8" w:color="0000FF"/>
              <w:bottom w:val="single" w:sz="8" w:color="0000EE"/>
            </w:tcBorders>
          </w:tcPr>
          <w:p>
            <w:pPr>
              <w:spacing w:after="0"/>
              <w:rPr>
                <w:sz w:val="15"/>
                <w:szCs w:val="15"/>
                <w:color w:val="auto"/>
              </w:rPr>
            </w:pPr>
          </w:p>
        </w:tc>
        <w:tc>
          <w:tcPr>
            <w:tcW w:w="3840" w:type="dxa"/>
            <w:vAlign w:val="bottom"/>
            <w:tcBorders>
              <w:top w:val="single" w:sz="8" w:color="0000FF"/>
            </w:tcBorders>
            <w:gridSpan w:val="7"/>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40" w:type="dxa"/>
            <w:vAlign w:val="bottom"/>
            <w:gridSpan w:val="31"/>
          </w:tcPr>
          <w:p>
            <w:pPr>
              <w:spacing w:after="0" w:line="182" w:lineRule="exact"/>
              <w:rPr>
                <w:rFonts w:ascii="Arial" w:cs="Arial" w:eastAsia="Arial" w:hAnsi="Arial"/>
                <w:sz w:val="18"/>
                <w:szCs w:val="18"/>
                <w:color w:val="0000FF"/>
              </w:rPr>
            </w:pPr>
            <w:hyperlink r:id="rId173">
              <w:r>
                <w:rPr>
                  <w:rFonts w:ascii="Arial" w:cs="Arial" w:eastAsia="Arial" w:hAnsi="Arial"/>
                  <w:sz w:val="18"/>
                  <w:szCs w:val="18"/>
                  <w:color w:val="0000FF"/>
                </w:rPr>
                <w:t>2009 Amended and Restated Stock Option and Restricted Stock Plan, and form of award agreements thereunder</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gridSpan w:val="6"/>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40" w:type="dxa"/>
            <w:vAlign w:val="bottom"/>
            <w:gridSpan w:val="21"/>
          </w:tcPr>
          <w:p>
            <w:pPr>
              <w:spacing w:after="0" w:line="182" w:lineRule="exact"/>
              <w:rPr>
                <w:rFonts w:ascii="Arial" w:cs="Arial" w:eastAsia="Arial" w:hAnsi="Arial"/>
                <w:sz w:val="18"/>
                <w:szCs w:val="18"/>
                <w:color w:val="0000FF"/>
              </w:rPr>
            </w:pPr>
            <w:hyperlink r:id="rId173">
              <w:r>
                <w:rPr>
                  <w:rFonts w:ascii="Arial" w:cs="Arial" w:eastAsia="Arial" w:hAnsi="Arial"/>
                  <w:sz w:val="18"/>
                  <w:szCs w:val="18"/>
                  <w:color w:val="0000FF"/>
                </w:rPr>
                <w:t>(incorporated by reference to Exhibit 10.1 of the Registrant’s Registration Statement on Form S-8 (File No. 333-260589)</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gridSpan w:val="4"/>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gridSpan w:val="6"/>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5"/>
                <w:szCs w:val="15"/>
                <w:color w:val="auto"/>
              </w:rPr>
            </w:pPr>
          </w:p>
        </w:tc>
        <w:tc>
          <w:tcPr>
            <w:tcW w:w="10020" w:type="dxa"/>
            <w:vAlign w:val="bottom"/>
            <w:gridSpan w:val="30"/>
          </w:tcPr>
          <w:p>
            <w:pPr>
              <w:spacing w:after="0" w:line="182" w:lineRule="exact"/>
              <w:rPr>
                <w:rFonts w:ascii="Arial" w:cs="Arial" w:eastAsia="Arial" w:hAnsi="Arial"/>
                <w:sz w:val="18"/>
                <w:szCs w:val="18"/>
                <w:color w:val="0000FF"/>
              </w:rPr>
            </w:pPr>
            <w:hyperlink r:id="rId173">
              <w:r>
                <w:rPr>
                  <w:rFonts w:ascii="Arial" w:cs="Arial" w:eastAsia="Arial" w:hAnsi="Arial"/>
                  <w:sz w:val="18"/>
                  <w:szCs w:val="18"/>
                  <w:color w:val="0000FF"/>
                </w:rPr>
                <w:t>filed on October 29, 2021)</w:t>
              </w:r>
              <w:r>
                <w:rPr>
                  <w:rFonts w:ascii="Arial" w:cs="Arial" w:eastAsia="Arial" w:hAnsi="Arial"/>
                  <w:sz w:val="18"/>
                  <w:szCs w:val="18"/>
                  <w:color w:val="000000"/>
                </w:rPr>
                <w: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EE"/>
            </w:tcBorders>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40" w:type="dxa"/>
            <w:vAlign w:val="bottom"/>
            <w:gridSpan w:val="31"/>
          </w:tcPr>
          <w:p>
            <w:pPr>
              <w:spacing w:after="0" w:line="182" w:lineRule="exact"/>
              <w:rPr>
                <w:rFonts w:ascii="Arial" w:cs="Arial" w:eastAsia="Arial" w:hAnsi="Arial"/>
                <w:sz w:val="18"/>
                <w:szCs w:val="18"/>
                <w:color w:val="0000FF"/>
              </w:rPr>
            </w:pPr>
            <w:hyperlink r:id="rId174">
              <w:r>
                <w:rPr>
                  <w:rFonts w:ascii="Arial" w:cs="Arial" w:eastAsia="Arial" w:hAnsi="Arial"/>
                  <w:sz w:val="18"/>
                  <w:szCs w:val="18"/>
                  <w:color w:val="0000FF"/>
                </w:rPr>
                <w:t>2018 Equity Incentive Plan, and form of award agreements thereunder (incorporated by reference to Exhibit 10.2 of the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tcBorders>
              <w:right w:val="single" w:sz="8" w:color="0000FF"/>
            </w:tcBorders>
            <w:gridSpan w:val="3"/>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gridSpan w:val="6"/>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5"/>
                <w:szCs w:val="15"/>
                <w:color w:val="auto"/>
              </w:rPr>
            </w:pPr>
          </w:p>
        </w:tc>
        <w:tc>
          <w:tcPr>
            <w:tcW w:w="9740" w:type="dxa"/>
            <w:vAlign w:val="bottom"/>
            <w:gridSpan w:val="17"/>
          </w:tcPr>
          <w:p>
            <w:pPr>
              <w:spacing w:after="0" w:line="182" w:lineRule="exact"/>
              <w:rPr>
                <w:rFonts w:ascii="Arial" w:cs="Arial" w:eastAsia="Arial" w:hAnsi="Arial"/>
                <w:sz w:val="18"/>
                <w:szCs w:val="18"/>
                <w:color w:val="0000FF"/>
              </w:rPr>
            </w:pPr>
            <w:hyperlink r:id="rId174">
              <w:r>
                <w:rPr>
                  <w:rFonts w:ascii="Arial" w:cs="Arial" w:eastAsia="Arial" w:hAnsi="Arial"/>
                  <w:sz w:val="18"/>
                  <w:szCs w:val="18"/>
                  <w:color w:val="0000FF"/>
                </w:rPr>
                <w:t>Registrant’s Registration Statement on Form S-1 (File No. 333-260156) filed on October 25, 2021)</w:t>
              </w:r>
              <w:r>
                <w:rPr>
                  <w:rFonts w:ascii="Arial" w:cs="Arial" w:eastAsia="Arial" w:hAnsi="Arial"/>
                  <w:sz w:val="18"/>
                  <w:szCs w:val="18"/>
                  <w:color w:val="000000"/>
                </w:rPr>
                <w:t>.</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gridSpan w:val="4"/>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tcBorders>
              <w:right w:val="single" w:sz="8" w:color="0000FF"/>
            </w:tcBorders>
            <w:gridSpan w:val="3"/>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gridSpan w:val="6"/>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200" w:type="dxa"/>
            <w:vAlign w:val="bottom"/>
            <w:gridSpan w:val="18"/>
            <w:vMerge w:val="restart"/>
          </w:tcPr>
          <w:p>
            <w:pPr>
              <w:jc w:val="right"/>
              <w:ind w:right="300"/>
              <w:spacing w:after="0" w:line="202" w:lineRule="exact"/>
              <w:rPr>
                <w:rFonts w:ascii="Arial" w:cs="Arial" w:eastAsia="Arial" w:hAnsi="Arial"/>
                <w:sz w:val="18"/>
                <w:szCs w:val="18"/>
                <w:color w:val="0000FF"/>
              </w:rPr>
            </w:pPr>
            <w:hyperlink r:id="rId175">
              <w:r>
                <w:rPr>
                  <w:rFonts w:ascii="Arial" w:cs="Arial" w:eastAsia="Arial" w:hAnsi="Arial"/>
                  <w:sz w:val="18"/>
                  <w:szCs w:val="18"/>
                  <w:color w:val="0000FF"/>
                </w:rPr>
                <w:t>by reference to Exhibit</w:t>
              </w:r>
            </w:hyperlink>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840" w:type="dxa"/>
            <w:vAlign w:val="bottom"/>
            <w:gridSpan w:val="13"/>
          </w:tcPr>
          <w:p>
            <w:pPr>
              <w:spacing w:after="0" w:line="182" w:lineRule="exact"/>
              <w:rPr>
                <w:rFonts w:ascii="Arial" w:cs="Arial" w:eastAsia="Arial" w:hAnsi="Arial"/>
                <w:sz w:val="18"/>
                <w:szCs w:val="18"/>
                <w:color w:val="0000FF"/>
              </w:rPr>
            </w:pPr>
            <w:hyperlink r:id="rId175">
              <w:r>
                <w:rPr>
                  <w:rFonts w:ascii="Arial" w:cs="Arial" w:eastAsia="Arial" w:hAnsi="Arial"/>
                  <w:sz w:val="18"/>
                  <w:szCs w:val="18"/>
                  <w:color w:val="0000FF"/>
                </w:rPr>
                <w:t>2021 Stock Option and Incentive Plan, and form of award agreements thereunder (incorporated</w:t>
              </w:r>
            </w:hyperlink>
          </w:p>
        </w:tc>
        <w:tc>
          <w:tcPr>
            <w:tcW w:w="2200" w:type="dxa"/>
            <w:vAlign w:val="bottom"/>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tcBorders>
              <w:right w:val="single" w:sz="8" w:color="0000FF"/>
            </w:tcBorders>
            <w:gridSpan w:val="3"/>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gridSpan w:val="6"/>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80" w:type="dxa"/>
            <w:vAlign w:val="bottom"/>
            <w:gridSpan w:val="23"/>
          </w:tcPr>
          <w:p>
            <w:pPr>
              <w:spacing w:after="0" w:line="182" w:lineRule="exact"/>
              <w:rPr>
                <w:rFonts w:ascii="Arial" w:cs="Arial" w:eastAsia="Arial" w:hAnsi="Arial"/>
                <w:sz w:val="18"/>
                <w:szCs w:val="18"/>
                <w:color w:val="0000FF"/>
              </w:rPr>
            </w:pPr>
            <w:hyperlink r:id="rId175">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of the Registrant’s Registration Statement on Form S-8, as amended (File No. 333-260589) filed on October 29,</w:t>
              </w:r>
            </w:hyperlink>
          </w:p>
        </w:tc>
        <w:tc>
          <w:tcPr>
            <w:tcW w:w="80" w:type="dxa"/>
            <w:vAlign w:val="bottom"/>
            <w:gridSpan w:val="4"/>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240" w:type="dxa"/>
            <w:vAlign w:val="bottom"/>
            <w:vMerge w:val="continue"/>
          </w:tcPr>
          <w:p>
            <w:pPr>
              <w:spacing w:after="0"/>
              <w:rPr>
                <w:sz w:val="15"/>
                <w:szCs w:val="15"/>
                <w:color w:val="auto"/>
              </w:rPr>
            </w:pPr>
          </w:p>
        </w:tc>
        <w:tc>
          <w:tcPr>
            <w:tcW w:w="780" w:type="dxa"/>
            <w:vAlign w:val="bottom"/>
            <w:gridSpan w:val="2"/>
          </w:tcPr>
          <w:p>
            <w:pPr>
              <w:spacing w:after="0" w:line="182" w:lineRule="exact"/>
              <w:rPr>
                <w:rFonts w:ascii="Arial" w:cs="Arial" w:eastAsia="Arial" w:hAnsi="Arial"/>
                <w:sz w:val="18"/>
                <w:szCs w:val="18"/>
                <w:color w:val="0000FF"/>
              </w:rPr>
            </w:pPr>
            <w:hyperlink r:id="rId175">
              <w:r>
                <w:rPr>
                  <w:rFonts w:ascii="Arial" w:cs="Arial" w:eastAsia="Arial" w:hAnsi="Arial"/>
                  <w:sz w:val="18"/>
                  <w:szCs w:val="18"/>
                  <w:color w:val="0000FF"/>
                </w:rPr>
                <w:t>2021)</w:t>
              </w:r>
              <w:r>
                <w:rPr>
                  <w:rFonts w:ascii="Arial" w:cs="Arial" w:eastAsia="Arial" w:hAnsi="Arial"/>
                  <w:sz w:val="18"/>
                  <w:szCs w:val="18"/>
                  <w:color w:val="000000"/>
                </w:rPr>
                <w:t>.</w:t>
              </w:r>
            </w:hyperlink>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9560" w:type="dxa"/>
            <w:vAlign w:val="bottom"/>
            <w:gridSpan w:val="30"/>
            <w:vMerge w:val="restart"/>
          </w:tcPr>
          <w:p>
            <w:pPr>
              <w:jc w:val="right"/>
              <w:ind w:right="300"/>
              <w:spacing w:after="0" w:line="202" w:lineRule="exact"/>
              <w:rPr>
                <w:rFonts w:ascii="Arial" w:cs="Arial" w:eastAsia="Arial" w:hAnsi="Arial"/>
                <w:sz w:val="18"/>
                <w:szCs w:val="18"/>
                <w:color w:val="0000FF"/>
                <w:w w:val="99"/>
              </w:rPr>
            </w:pPr>
            <w:hyperlink r:id="rId176">
              <w:r>
                <w:rPr>
                  <w:rFonts w:ascii="Arial" w:cs="Arial" w:eastAsia="Arial" w:hAnsi="Arial"/>
                  <w:sz w:val="18"/>
                  <w:szCs w:val="18"/>
                  <w:color w:val="0000FF"/>
                  <w:w w:val="99"/>
                </w:rPr>
                <w:t>Employee Stock Purchase Plan (incorporated by reference to Exhibit 10.4 of the Registrant’s Registration Statement</w:t>
              </w:r>
            </w:hyperlink>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line="182" w:lineRule="exact"/>
              <w:rPr>
                <w:rFonts w:ascii="Arial" w:cs="Arial" w:eastAsia="Arial" w:hAnsi="Arial"/>
                <w:sz w:val="18"/>
                <w:szCs w:val="18"/>
                <w:color w:val="0000FF"/>
              </w:rPr>
            </w:pPr>
            <w:hyperlink r:id="rId176">
              <w:r>
                <w:rPr>
                  <w:rFonts w:ascii="Arial" w:cs="Arial" w:eastAsia="Arial" w:hAnsi="Arial"/>
                  <w:sz w:val="18"/>
                  <w:szCs w:val="18"/>
                  <w:color w:val="0000FF"/>
                </w:rPr>
                <w:t>2021</w:t>
              </w:r>
            </w:hyperlink>
          </w:p>
        </w:tc>
        <w:tc>
          <w:tcPr>
            <w:tcW w:w="9560" w:type="dxa"/>
            <w:vAlign w:val="bottom"/>
            <w:gridSpan w:val="3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720" w:type="dxa"/>
            <w:vAlign w:val="bottom"/>
            <w:tcBorders>
              <w:right w:val="single" w:sz="8" w:color="0000FF"/>
            </w:tcBorders>
            <w:gridSpan w:val="3"/>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gridSpan w:val="6"/>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restart"/>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5"/>
                <w:szCs w:val="15"/>
                <w:color w:val="auto"/>
              </w:rPr>
            </w:pPr>
          </w:p>
        </w:tc>
        <w:tc>
          <w:tcPr>
            <w:tcW w:w="9860" w:type="dxa"/>
            <w:vAlign w:val="bottom"/>
            <w:gridSpan w:val="22"/>
          </w:tcPr>
          <w:p>
            <w:pPr>
              <w:spacing w:after="0" w:line="182" w:lineRule="exact"/>
              <w:rPr>
                <w:rFonts w:ascii="Arial" w:cs="Arial" w:eastAsia="Arial" w:hAnsi="Arial"/>
                <w:sz w:val="18"/>
                <w:szCs w:val="18"/>
                <w:color w:val="0000FF"/>
              </w:rPr>
            </w:pPr>
            <w:hyperlink r:id="rId176">
              <w:r>
                <w:rPr>
                  <w:rFonts w:ascii="Arial" w:cs="Arial" w:eastAsia="Arial" w:hAnsi="Arial"/>
                  <w:sz w:val="18"/>
                  <w:szCs w:val="18"/>
                  <w:color w:val="0000FF"/>
                </w:rPr>
                <w:t>on Form S-1 (File No. 333-260156) filed on October 25, 2021)</w:t>
              </w:r>
              <w:r>
                <w:rPr>
                  <w:rFonts w:ascii="Arial" w:cs="Arial" w:eastAsia="Arial" w:hAnsi="Arial"/>
                  <w:sz w:val="18"/>
                  <w:szCs w:val="18"/>
                  <w:color w:val="000000"/>
                </w:rPr>
                <w:t>.</w:t>
              </w:r>
            </w:hyperlink>
          </w:p>
        </w:tc>
        <w:tc>
          <w:tcPr>
            <w:tcW w:w="100" w:type="dxa"/>
            <w:vAlign w:val="bottom"/>
            <w:gridSpan w:val="5"/>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720" w:type="dxa"/>
            <w:vAlign w:val="bottom"/>
            <w:tcBorders>
              <w:right w:val="single" w:sz="8" w:color="0000FF"/>
            </w:tcBorders>
            <w:gridSpan w:val="3"/>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5080" w:type="dxa"/>
            <w:vAlign w:val="bottom"/>
            <w:gridSpan w:val="25"/>
            <w:vMerge w:val="restart"/>
          </w:tcPr>
          <w:p>
            <w:pPr>
              <w:jc w:val="right"/>
              <w:ind w:right="300"/>
              <w:spacing w:after="0" w:line="202" w:lineRule="exact"/>
              <w:rPr>
                <w:rFonts w:ascii="Arial" w:cs="Arial" w:eastAsia="Arial" w:hAnsi="Arial"/>
                <w:sz w:val="18"/>
                <w:szCs w:val="18"/>
                <w:color w:val="0000FF"/>
              </w:rPr>
            </w:pPr>
            <w:hyperlink r:id="rId177">
              <w:r>
                <w:rPr>
                  <w:rFonts w:ascii="Arial" w:cs="Arial" w:eastAsia="Arial" w:hAnsi="Arial"/>
                  <w:sz w:val="18"/>
                  <w:szCs w:val="18"/>
                  <w:color w:val="0000FF"/>
                </w:rPr>
                <w:t>Policy (incorporated by reference to Exhibit 10.1 of the</w:t>
              </w:r>
            </w:hyperlink>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4960" w:type="dxa"/>
            <w:vAlign w:val="bottom"/>
            <w:gridSpan w:val="6"/>
          </w:tcPr>
          <w:p>
            <w:pPr>
              <w:spacing w:after="0" w:line="182" w:lineRule="exact"/>
              <w:rPr>
                <w:rFonts w:ascii="Arial" w:cs="Arial" w:eastAsia="Arial" w:hAnsi="Arial"/>
                <w:sz w:val="18"/>
                <w:szCs w:val="18"/>
                <w:color w:val="0000FF"/>
                <w:w w:val="97"/>
              </w:rPr>
            </w:pPr>
            <w:hyperlink r:id="rId177">
              <w:r>
                <w:rPr>
                  <w:rFonts w:ascii="Arial" w:cs="Arial" w:eastAsia="Arial" w:hAnsi="Arial"/>
                  <w:sz w:val="18"/>
                  <w:szCs w:val="18"/>
                  <w:color w:val="0000FF"/>
                  <w:w w:val="97"/>
                </w:rPr>
                <w:t>Amended and Restated Non-Employee Director Compensation</w:t>
              </w:r>
            </w:hyperlink>
          </w:p>
        </w:tc>
        <w:tc>
          <w:tcPr>
            <w:tcW w:w="5080" w:type="dxa"/>
            <w:vAlign w:val="bottom"/>
            <w:gridSpan w:val="2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720" w:type="dxa"/>
            <w:vAlign w:val="bottom"/>
            <w:tcBorders>
              <w:right w:val="single" w:sz="8" w:color="0000FF"/>
            </w:tcBorders>
            <w:gridSpan w:val="3"/>
            <w:shd w:val="clear" w:color="auto" w:fill="0000FF"/>
          </w:tcPr>
          <w:p>
            <w:pPr>
              <w:spacing w:after="0" w:line="20" w:lineRule="exact"/>
              <w:rPr>
                <w:sz w:val="1"/>
                <w:szCs w:val="1"/>
                <w:color w:val="auto"/>
              </w:rPr>
            </w:pPr>
          </w:p>
        </w:tc>
        <w:tc>
          <w:tcPr>
            <w:tcW w:w="3720" w:type="dxa"/>
            <w:vAlign w:val="bottom"/>
            <w:tcBorders>
              <w:right w:val="single" w:sz="8" w:color="0000FF"/>
            </w:tcBorders>
            <w:gridSpan w:val="7"/>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restart"/>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5"/>
                <w:szCs w:val="15"/>
                <w:color w:val="auto"/>
              </w:rPr>
            </w:pPr>
          </w:p>
        </w:tc>
        <w:tc>
          <w:tcPr>
            <w:tcW w:w="9780" w:type="dxa"/>
            <w:vAlign w:val="bottom"/>
            <w:gridSpan w:val="19"/>
          </w:tcPr>
          <w:p>
            <w:pPr>
              <w:spacing w:after="0" w:line="182" w:lineRule="exact"/>
              <w:rPr>
                <w:rFonts w:ascii="Arial" w:cs="Arial" w:eastAsia="Arial" w:hAnsi="Arial"/>
                <w:sz w:val="18"/>
                <w:szCs w:val="18"/>
                <w:color w:val="0000FF"/>
              </w:rPr>
            </w:pPr>
            <w:hyperlink r:id="rId177">
              <w:r>
                <w:rPr>
                  <w:rFonts w:ascii="Arial" w:cs="Arial" w:eastAsia="Arial" w:hAnsi="Arial"/>
                  <w:sz w:val="18"/>
                  <w:szCs w:val="18"/>
                  <w:color w:val="0000FF"/>
                </w:rPr>
                <w:t>Registrant’s Quarterly Report on Form 10-Q (File No. 001-40971) filed on August 8, 2024).</w:t>
              </w:r>
            </w:hyperlink>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gridSpan w:val="6"/>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720" w:type="dxa"/>
            <w:vAlign w:val="bottom"/>
            <w:tcBorders>
              <w:right w:val="single" w:sz="8" w:color="0000FF"/>
            </w:tcBorders>
            <w:gridSpan w:val="3"/>
            <w:shd w:val="clear" w:color="auto" w:fill="0000FF"/>
          </w:tcPr>
          <w:p>
            <w:pPr>
              <w:spacing w:after="0" w:line="20" w:lineRule="exact"/>
              <w:rPr>
                <w:sz w:val="1"/>
                <w:szCs w:val="1"/>
                <w:color w:val="auto"/>
              </w:rPr>
            </w:pPr>
          </w:p>
        </w:tc>
        <w:tc>
          <w:tcPr>
            <w:tcW w:w="3720" w:type="dxa"/>
            <w:vAlign w:val="bottom"/>
            <w:tcBorders>
              <w:right w:val="single" w:sz="8" w:color="0000EE"/>
            </w:tcBorders>
            <w:gridSpan w:val="7"/>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40" w:type="dxa"/>
            <w:vAlign w:val="bottom"/>
            <w:gridSpan w:val="31"/>
          </w:tcPr>
          <w:p>
            <w:pPr>
              <w:spacing w:after="0" w:line="182" w:lineRule="exact"/>
              <w:rPr>
                <w:rFonts w:ascii="Arial" w:cs="Arial" w:eastAsia="Arial" w:hAnsi="Arial"/>
                <w:sz w:val="18"/>
                <w:szCs w:val="18"/>
                <w:color w:val="0000FF"/>
              </w:rPr>
            </w:pPr>
            <w:hyperlink r:id="rId178">
              <w:r>
                <w:rPr>
                  <w:rFonts w:ascii="Arial" w:cs="Arial" w:eastAsia="Arial" w:hAnsi="Arial"/>
                  <w:sz w:val="18"/>
                  <w:szCs w:val="18"/>
                  <w:color w:val="0000FF"/>
                </w:rPr>
                <w:t>Senior Executive Cash Bonus Plan (incorporated by reference to Exhibit 10.6 of the Registrant’s Registration Statement</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720" w:type="dxa"/>
            <w:vAlign w:val="bottom"/>
            <w:tcBorders>
              <w:right w:val="single" w:sz="8" w:color="0000FF"/>
            </w:tcBorders>
            <w:gridSpan w:val="3"/>
            <w:shd w:val="clear" w:color="auto" w:fill="0000FF"/>
          </w:tcPr>
          <w:p>
            <w:pPr>
              <w:spacing w:after="0" w:line="20" w:lineRule="exact"/>
              <w:rPr>
                <w:sz w:val="1"/>
                <w:szCs w:val="1"/>
                <w:color w:val="auto"/>
              </w:rPr>
            </w:pPr>
          </w:p>
        </w:tc>
        <w:tc>
          <w:tcPr>
            <w:tcW w:w="4980" w:type="dxa"/>
            <w:vAlign w:val="bottom"/>
            <w:gridSpan w:val="9"/>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restart"/>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5"/>
                <w:szCs w:val="15"/>
                <w:color w:val="auto"/>
              </w:rPr>
            </w:pPr>
          </w:p>
        </w:tc>
        <w:tc>
          <w:tcPr>
            <w:tcW w:w="9760" w:type="dxa"/>
            <w:vAlign w:val="bottom"/>
            <w:gridSpan w:val="18"/>
          </w:tcPr>
          <w:p>
            <w:pPr>
              <w:spacing w:after="0" w:line="182" w:lineRule="exact"/>
              <w:rPr>
                <w:rFonts w:ascii="Arial" w:cs="Arial" w:eastAsia="Arial" w:hAnsi="Arial"/>
                <w:sz w:val="18"/>
                <w:szCs w:val="18"/>
                <w:color w:val="0000FF"/>
              </w:rPr>
            </w:pPr>
            <w:hyperlink r:id="rId178">
              <w:r>
                <w:rPr>
                  <w:rFonts w:ascii="Arial" w:cs="Arial" w:eastAsia="Arial" w:hAnsi="Arial"/>
                  <w:sz w:val="18"/>
                  <w:szCs w:val="18"/>
                  <w:color w:val="0000FF"/>
                </w:rPr>
                <w:t>on Form S-1 (File No. 333-260156) filed on October 25, 2021)</w:t>
              </w:r>
              <w:r>
                <w:rPr>
                  <w:rFonts w:ascii="Arial" w:cs="Arial" w:eastAsia="Arial" w:hAnsi="Arial"/>
                  <w:sz w:val="18"/>
                  <w:szCs w:val="18"/>
                  <w:color w:val="000000"/>
                </w:rPr>
                <w:t>.</w:t>
              </w:r>
            </w:hyperlink>
          </w:p>
        </w:tc>
        <w:tc>
          <w:tcPr>
            <w:tcW w:w="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gridSpan w:val="6"/>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720" w:type="dxa"/>
            <w:vAlign w:val="bottom"/>
            <w:tcBorders>
              <w:right w:val="single" w:sz="8" w:color="0000FF"/>
            </w:tcBorders>
            <w:gridSpan w:val="3"/>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40" w:type="dxa"/>
            <w:vAlign w:val="bottom"/>
            <w:gridSpan w:val="31"/>
          </w:tcPr>
          <w:p>
            <w:pPr>
              <w:spacing w:after="0" w:line="182" w:lineRule="exact"/>
              <w:rPr>
                <w:rFonts w:ascii="Arial" w:cs="Arial" w:eastAsia="Arial" w:hAnsi="Arial"/>
                <w:sz w:val="18"/>
                <w:szCs w:val="18"/>
                <w:color w:val="0000FF"/>
              </w:rPr>
            </w:pPr>
            <w:hyperlink r:id="rId179">
              <w:r>
                <w:rPr>
                  <w:rFonts w:ascii="Arial" w:cs="Arial" w:eastAsia="Arial" w:hAnsi="Arial"/>
                  <w:sz w:val="18"/>
                  <w:szCs w:val="18"/>
                  <w:color w:val="0000FF"/>
                </w:rPr>
                <w:t>Form of Indemnification Agreement between the Registrant and each of its directors and executive officers (incorporated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720" w:type="dxa"/>
            <w:vAlign w:val="bottom"/>
            <w:tcBorders>
              <w:right w:val="single" w:sz="8" w:color="0000FF"/>
            </w:tcBorders>
            <w:gridSpan w:val="3"/>
            <w:shd w:val="clear" w:color="auto" w:fill="0000FF"/>
          </w:tcPr>
          <w:p>
            <w:pPr>
              <w:spacing w:after="0" w:line="20" w:lineRule="exact"/>
              <w:rPr>
                <w:sz w:val="1"/>
                <w:szCs w:val="1"/>
                <w:color w:val="auto"/>
              </w:rPr>
            </w:pPr>
          </w:p>
        </w:tc>
        <w:tc>
          <w:tcPr>
            <w:tcW w:w="4980" w:type="dxa"/>
            <w:vAlign w:val="bottom"/>
            <w:gridSpan w:val="9"/>
            <w:shd w:val="clear" w:color="auto" w:fill="0000FF"/>
          </w:tcPr>
          <w:p>
            <w:pPr>
              <w:spacing w:after="0" w:line="20" w:lineRule="exact"/>
              <w:rPr>
                <w:sz w:val="1"/>
                <w:szCs w:val="1"/>
                <w:color w:val="auto"/>
              </w:rPr>
            </w:pPr>
          </w:p>
        </w:tc>
        <w:tc>
          <w:tcPr>
            <w:tcW w:w="134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6"/>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0" w:type="dxa"/>
            <w:vAlign w:val="bottom"/>
            <w:gridSpan w:val="29"/>
          </w:tcPr>
          <w:p>
            <w:pPr>
              <w:spacing w:after="0" w:line="182" w:lineRule="exact"/>
              <w:rPr>
                <w:rFonts w:ascii="Arial" w:cs="Arial" w:eastAsia="Arial" w:hAnsi="Arial"/>
                <w:sz w:val="18"/>
                <w:szCs w:val="18"/>
                <w:color w:val="0000FF"/>
              </w:rPr>
            </w:pPr>
            <w:hyperlink r:id="rId179">
              <w:r>
                <w:rPr>
                  <w:rFonts w:ascii="Arial" w:cs="Arial" w:eastAsia="Arial" w:hAnsi="Arial"/>
                  <w:sz w:val="18"/>
                  <w:szCs w:val="18"/>
                  <w:color w:val="0000FF"/>
                </w:rPr>
                <w:t>by reference to Exhibit 10.7 of the Registrant’s Registration Statement on Form S-1 (File No. 333-260156) filed on October</w:t>
              </w:r>
            </w:hyperlink>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960" w:type="dxa"/>
            <w:vAlign w:val="bottom"/>
            <w:gridSpan w:val="3"/>
          </w:tcPr>
          <w:p>
            <w:pPr>
              <w:spacing w:after="0" w:line="182" w:lineRule="exact"/>
              <w:rPr>
                <w:rFonts w:ascii="Arial" w:cs="Arial" w:eastAsia="Arial" w:hAnsi="Arial"/>
                <w:sz w:val="18"/>
                <w:szCs w:val="18"/>
                <w:color w:val="0000FF"/>
              </w:rPr>
            </w:pPr>
            <w:hyperlink r:id="rId179">
              <w:r>
                <w:rPr>
                  <w:rFonts w:ascii="Arial" w:cs="Arial" w:eastAsia="Arial" w:hAnsi="Arial"/>
                  <w:sz w:val="18"/>
                  <w:szCs w:val="18"/>
                  <w:color w:val="0000FF"/>
                </w:rPr>
                <w:t>25, 2021)</w:t>
              </w:r>
              <w:r>
                <w:rPr>
                  <w:rFonts w:ascii="Arial" w:cs="Arial" w:eastAsia="Arial" w:hAnsi="Arial"/>
                  <w:sz w:val="18"/>
                  <w:szCs w:val="18"/>
                  <w:color w:val="000000"/>
                </w:rPr>
                <w:t>.</w:t>
              </w:r>
            </w:hyperlink>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240" w:type="dxa"/>
            <w:vAlign w:val="bottom"/>
          </w:tcPr>
          <w:p>
            <w:pPr>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10040" w:type="dxa"/>
            <w:vAlign w:val="bottom"/>
            <w:gridSpan w:val="31"/>
          </w:tcPr>
          <w:p>
            <w:pPr>
              <w:spacing w:after="0"/>
              <w:rPr>
                <w:rFonts w:ascii="Arial" w:cs="Arial" w:eastAsia="Arial" w:hAnsi="Arial"/>
                <w:sz w:val="18"/>
                <w:szCs w:val="18"/>
                <w:color w:val="0000FF"/>
              </w:rPr>
            </w:pPr>
            <w:hyperlink r:id="rId180">
              <w:r>
                <w:rPr>
                  <w:rFonts w:ascii="Arial" w:cs="Arial" w:eastAsia="Arial" w:hAnsi="Arial"/>
                  <w:sz w:val="18"/>
                  <w:szCs w:val="18"/>
                  <w:color w:val="0000FF"/>
                </w:rPr>
                <w:t>Employment Agreement between the Registrant and Elisabet de los Pinos, dated January 1, 2015, as amended 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4980" w:type="dxa"/>
            <w:vAlign w:val="bottom"/>
            <w:gridSpan w:val="9"/>
            <w:shd w:val="clear" w:color="auto" w:fill="0000FF"/>
          </w:tcPr>
          <w:p>
            <w:pPr>
              <w:spacing w:after="0" w:line="20" w:lineRule="exact"/>
              <w:rPr>
                <w:sz w:val="1"/>
                <w:szCs w:val="1"/>
                <w:color w:val="auto"/>
              </w:rPr>
            </w:pPr>
          </w:p>
        </w:tc>
        <w:tc>
          <w:tcPr>
            <w:tcW w:w="1340" w:type="dxa"/>
            <w:vAlign w:val="bottom"/>
            <w:tcBorders>
              <w:right w:val="single" w:sz="8" w:color="0000EE"/>
            </w:tcBorders>
            <w:gridSpan w:val="6"/>
            <w:shd w:val="clear" w:color="auto" w:fill="0000FF"/>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20" w:type="dxa"/>
            <w:vAlign w:val="bottom"/>
            <w:gridSpan w:val="20"/>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October 13, 2017 (incorporated by reference to Exhibit 10.8 of the Registrant’s Registration Statement on Form S-1 (File</w:t>
              </w:r>
            </w:hyperlink>
          </w:p>
        </w:tc>
        <w:tc>
          <w:tcPr>
            <w:tcW w:w="140" w:type="dxa"/>
            <w:vAlign w:val="bottom"/>
            <w:gridSpan w:val="7"/>
            <w:vMerge w:val="continue"/>
          </w:tcPr>
          <w:p>
            <w:pPr>
              <w:spacing w:after="0"/>
              <w:rPr>
                <w:sz w:val="15"/>
                <w:szCs w:val="15"/>
                <w:color w:val="auto"/>
              </w:rPr>
            </w:pPr>
          </w:p>
        </w:tc>
        <w:tc>
          <w:tcPr>
            <w:tcW w:w="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4980" w:type="dxa"/>
            <w:vAlign w:val="bottom"/>
            <w:gridSpan w:val="9"/>
            <w:shd w:val="clear" w:color="auto" w:fill="0000FF"/>
          </w:tcPr>
          <w:p>
            <w:pPr>
              <w:spacing w:after="0" w:line="20" w:lineRule="exact"/>
              <w:rPr>
                <w:sz w:val="1"/>
                <w:szCs w:val="1"/>
                <w:color w:val="auto"/>
              </w:rPr>
            </w:pPr>
          </w:p>
        </w:tc>
        <w:tc>
          <w:tcPr>
            <w:tcW w:w="1480" w:type="dxa"/>
            <w:vAlign w:val="bottom"/>
            <w:gridSpan w:val="1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80" w:type="dxa"/>
            <w:vAlign w:val="bottom"/>
            <w:gridSpan w:val="28"/>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No. 333-260156) filed on October 25, 2021)</w:t>
              </w:r>
              <w:r>
                <w:rPr>
                  <w:rFonts w:ascii="Arial" w:cs="Arial" w:eastAsia="Arial" w:hAnsi="Arial"/>
                  <w:sz w:val="18"/>
                  <w:szCs w:val="18"/>
                  <w:color w:val="000000"/>
                </w:rPr>
                <w:t>.</w:t>
              </w:r>
            </w:hyperlink>
          </w:p>
        </w:tc>
        <w:tc>
          <w:tcPr>
            <w:tcW w:w="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480" w:type="dxa"/>
            <w:vAlign w:val="bottom"/>
            <w:gridSpan w:val="1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40" w:type="dxa"/>
            <w:vAlign w:val="bottom"/>
          </w:tcPr>
          <w:p>
            <w:pPr>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10040" w:type="dxa"/>
            <w:vAlign w:val="bottom"/>
            <w:gridSpan w:val="31"/>
          </w:tcPr>
          <w:p>
            <w:pPr>
              <w:spacing w:after="0"/>
              <w:rPr>
                <w:rFonts w:ascii="Arial" w:cs="Arial" w:eastAsia="Arial" w:hAnsi="Arial"/>
                <w:sz w:val="18"/>
                <w:szCs w:val="18"/>
                <w:color w:val="0000FF"/>
              </w:rPr>
            </w:pPr>
            <w:hyperlink r:id="rId181">
              <w:r>
                <w:rPr>
                  <w:rFonts w:ascii="Arial" w:cs="Arial" w:eastAsia="Arial" w:hAnsi="Arial"/>
                  <w:sz w:val="18"/>
                  <w:szCs w:val="18"/>
                  <w:color w:val="0000FF"/>
                </w:rPr>
                <w:t>Employment Offer Letter between the Registrant and Conor Kilroy, dated March 12, 2024 (incorporated by reference 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80" w:type="dxa"/>
            <w:vAlign w:val="bottom"/>
            <w:tcBorders>
              <w:left w:val="single" w:sz="8" w:color="0000EE"/>
            </w:tcBorders>
            <w:gridSpan w:val="14"/>
            <w:shd w:val="clear" w:color="auto" w:fill="0000FF"/>
          </w:tcPr>
          <w:p>
            <w:pPr>
              <w:spacing w:after="0" w:line="20" w:lineRule="exact"/>
              <w:rPr>
                <w:sz w:val="1"/>
                <w:szCs w:val="1"/>
                <w:color w:val="auto"/>
              </w:rPr>
            </w:pPr>
          </w:p>
        </w:tc>
        <w:tc>
          <w:tcPr>
            <w:tcW w:w="1480" w:type="dxa"/>
            <w:vAlign w:val="bottom"/>
            <w:gridSpan w:val="13"/>
            <w:shd w:val="clear" w:color="auto" w:fill="0000FF"/>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60" w:type="dxa"/>
            <w:vAlign w:val="bottom"/>
            <w:gridSpan w:val="27"/>
          </w:tcPr>
          <w:p>
            <w:pPr>
              <w:spacing w:after="0" w:line="182" w:lineRule="exact"/>
              <w:rPr>
                <w:rFonts w:ascii="Arial" w:cs="Arial" w:eastAsia="Arial" w:hAnsi="Arial"/>
                <w:sz w:val="18"/>
                <w:szCs w:val="18"/>
                <w:color w:val="0000FF"/>
              </w:rPr>
            </w:pPr>
            <w:hyperlink r:id="rId181">
              <w:r>
                <w:rPr>
                  <w:rFonts w:ascii="Arial" w:cs="Arial" w:eastAsia="Arial" w:hAnsi="Arial"/>
                  <w:sz w:val="18"/>
                  <w:szCs w:val="18"/>
                  <w:color w:val="0000FF"/>
                </w:rPr>
                <w:t>Exhibit 10.1 of the Registrant’s Quarterly Report on Form 10-Q (File No. 001-40971) filed on May 9, 2024).</w:t>
              </w:r>
            </w:hyperlink>
          </w:p>
        </w:tc>
        <w:tc>
          <w:tcPr>
            <w:tcW w:w="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60" w:type="dxa"/>
            <w:vAlign w:val="bottom"/>
            <w:tcBorders>
              <w:top w:val="single" w:sz="8" w:color="0000FF"/>
            </w:tcBorders>
            <w:gridSpan w:val="6"/>
          </w:tcPr>
          <w:p>
            <w:pPr>
              <w:ind w:left="4000"/>
              <w:spacing w:after="0"/>
              <w:rPr>
                <w:sz w:val="20"/>
                <w:szCs w:val="20"/>
                <w:color w:val="auto"/>
              </w:rPr>
            </w:pPr>
            <w:r>
              <w:rPr>
                <w:rFonts w:ascii="Arial" w:cs="Arial" w:eastAsia="Arial" w:hAnsi="Arial"/>
                <w:sz w:val="18"/>
                <w:szCs w:val="18"/>
                <w:color w:val="auto"/>
              </w:rPr>
              <w:t>108</w:t>
            </w:r>
          </w:p>
        </w:tc>
        <w:tc>
          <w:tcPr>
            <w:tcW w:w="4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rPr>
              <w:t>10.10†</w:t>
            </w:r>
          </w:p>
        </w:tc>
        <w:tc>
          <w:tcPr>
            <w:tcW w:w="10000" w:type="dxa"/>
            <w:vAlign w:val="bottom"/>
            <w:gridSpan w:val="33"/>
          </w:tcPr>
          <w:p>
            <w:pPr>
              <w:spacing w:after="0"/>
              <w:rPr>
                <w:rFonts w:ascii="Arial" w:cs="Arial" w:eastAsia="Arial" w:hAnsi="Arial"/>
                <w:sz w:val="18"/>
                <w:szCs w:val="18"/>
                <w:color w:val="0000FF"/>
              </w:rPr>
            </w:pPr>
            <w:hyperlink r:id="rId184">
              <w:r>
                <w:rPr>
                  <w:rFonts w:ascii="Arial" w:cs="Arial" w:eastAsia="Arial" w:hAnsi="Arial"/>
                  <w:sz w:val="18"/>
                  <w:szCs w:val="18"/>
                  <w:color w:val="0000FF"/>
                </w:rPr>
                <w:t>Exclusive Patent License Agreement with the National Institutes of Health, dated September 3, 2013 as amended</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rPr>
                <w:sz w:val="15"/>
                <w:szCs w:val="15"/>
                <w:color w:val="auto"/>
              </w:rPr>
            </w:pPr>
          </w:p>
        </w:tc>
        <w:tc>
          <w:tcPr>
            <w:tcW w:w="9860" w:type="dxa"/>
            <w:vAlign w:val="bottom"/>
            <w:gridSpan w:val="26"/>
          </w:tcPr>
          <w:p>
            <w:pPr>
              <w:spacing w:after="0" w:line="182" w:lineRule="exact"/>
              <w:rPr>
                <w:rFonts w:ascii="Arial" w:cs="Arial" w:eastAsia="Arial" w:hAnsi="Arial"/>
                <w:sz w:val="18"/>
                <w:szCs w:val="18"/>
                <w:color w:val="0000FF"/>
              </w:rPr>
            </w:pPr>
            <w:hyperlink r:id="rId184">
              <w:r>
                <w:rPr>
                  <w:rFonts w:ascii="Arial" w:cs="Arial" w:eastAsia="Arial" w:hAnsi="Arial"/>
                  <w:sz w:val="18"/>
                  <w:szCs w:val="18"/>
                  <w:color w:val="0000FF"/>
                </w:rPr>
                <w:t>(incorporated by reference to Exhibit 10.11 of the Registrant’s Registration Statement on Form S-1 (File No. 333-260156)</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rPr>
                <w:sz w:val="15"/>
                <w:szCs w:val="15"/>
                <w:color w:val="auto"/>
              </w:rPr>
            </w:pPr>
          </w:p>
        </w:tc>
        <w:tc>
          <w:tcPr>
            <w:tcW w:w="9920" w:type="dxa"/>
            <w:vAlign w:val="bottom"/>
            <w:gridSpan w:val="29"/>
          </w:tcPr>
          <w:p>
            <w:pPr>
              <w:spacing w:after="0" w:line="182" w:lineRule="exact"/>
              <w:rPr>
                <w:rFonts w:ascii="Arial" w:cs="Arial" w:eastAsia="Arial" w:hAnsi="Arial"/>
                <w:sz w:val="18"/>
                <w:szCs w:val="18"/>
                <w:color w:val="0000FF"/>
              </w:rPr>
            </w:pPr>
            <w:hyperlink r:id="rId184">
              <w:r>
                <w:rPr>
                  <w:rFonts w:ascii="Arial" w:cs="Arial" w:eastAsia="Arial" w:hAnsi="Arial"/>
                  <w:sz w:val="18"/>
                  <w:szCs w:val="18"/>
                  <w:color w:val="0000FF"/>
                </w:rPr>
                <w:t>filed on October 8, 2021).</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480" w:type="dxa"/>
            <w:vAlign w:val="bottom"/>
          </w:tcPr>
          <w:p>
            <w:pPr>
              <w:spacing w:after="0"/>
              <w:rPr>
                <w:sz w:val="20"/>
                <w:szCs w:val="20"/>
                <w:color w:val="auto"/>
              </w:rPr>
            </w:pPr>
            <w:r>
              <w:rPr>
                <w:rFonts w:ascii="Arial" w:cs="Arial" w:eastAsia="Arial" w:hAnsi="Arial"/>
                <w:sz w:val="18"/>
                <w:szCs w:val="18"/>
                <w:color w:val="auto"/>
              </w:rPr>
              <w:t>10.11†</w:t>
            </w:r>
          </w:p>
        </w:tc>
        <w:tc>
          <w:tcPr>
            <w:tcW w:w="10000" w:type="dxa"/>
            <w:vAlign w:val="bottom"/>
            <w:gridSpan w:val="33"/>
          </w:tcPr>
          <w:p>
            <w:pPr>
              <w:spacing w:after="0"/>
              <w:rPr>
                <w:rFonts w:ascii="Arial" w:cs="Arial" w:eastAsia="Arial" w:hAnsi="Arial"/>
                <w:sz w:val="18"/>
                <w:szCs w:val="18"/>
                <w:color w:val="0000FF"/>
              </w:rPr>
            </w:pPr>
            <w:hyperlink r:id="rId185">
              <w:r>
                <w:rPr>
                  <w:rFonts w:ascii="Arial" w:cs="Arial" w:eastAsia="Arial" w:hAnsi="Arial"/>
                  <w:sz w:val="18"/>
                  <w:szCs w:val="18"/>
                  <w:color w:val="0000FF"/>
                </w:rPr>
                <w:t>Exclusive License and Supply Agreement with Rakuten Medical, Inc. (successor-in-interest to LI-COR, Inc.), dated</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rPr>
                <w:sz w:val="15"/>
                <w:szCs w:val="15"/>
                <w:color w:val="auto"/>
              </w:rPr>
            </w:pPr>
          </w:p>
        </w:tc>
        <w:tc>
          <w:tcPr>
            <w:tcW w:w="9900" w:type="dxa"/>
            <w:vAlign w:val="bottom"/>
            <w:gridSpan w:val="28"/>
          </w:tcPr>
          <w:p>
            <w:pPr>
              <w:spacing w:after="0" w:line="182" w:lineRule="exact"/>
              <w:rPr>
                <w:rFonts w:ascii="Arial" w:cs="Arial" w:eastAsia="Arial" w:hAnsi="Arial"/>
                <w:sz w:val="18"/>
                <w:szCs w:val="18"/>
                <w:color w:val="0000FF"/>
              </w:rPr>
            </w:pPr>
            <w:hyperlink r:id="rId185">
              <w:r>
                <w:rPr>
                  <w:rFonts w:ascii="Arial" w:cs="Arial" w:eastAsia="Arial" w:hAnsi="Arial"/>
                  <w:sz w:val="18"/>
                  <w:szCs w:val="18"/>
                  <w:color w:val="0000FF"/>
                </w:rPr>
                <w:t>January 31, 2014, as amended (incorporated by reference to Exhibit 10.12 of the Registrant’s Registration Statement on</w:t>
              </w:r>
            </w:hyperlink>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rPr>
                <w:sz w:val="15"/>
                <w:szCs w:val="15"/>
                <w:color w:val="auto"/>
              </w:rPr>
            </w:pPr>
          </w:p>
        </w:tc>
        <w:tc>
          <w:tcPr>
            <w:tcW w:w="9840" w:type="dxa"/>
            <w:vAlign w:val="bottom"/>
            <w:gridSpan w:val="25"/>
          </w:tcPr>
          <w:p>
            <w:pPr>
              <w:spacing w:after="0" w:line="182" w:lineRule="exact"/>
              <w:rPr>
                <w:rFonts w:ascii="Arial" w:cs="Arial" w:eastAsia="Arial" w:hAnsi="Arial"/>
                <w:sz w:val="18"/>
                <w:szCs w:val="18"/>
                <w:color w:val="0000FF"/>
              </w:rPr>
            </w:pPr>
            <w:hyperlink r:id="rId185">
              <w:r>
                <w:rPr>
                  <w:rFonts w:ascii="Arial" w:cs="Arial" w:eastAsia="Arial" w:hAnsi="Arial"/>
                  <w:sz w:val="18"/>
                  <w:szCs w:val="18"/>
                  <w:color w:val="0000FF"/>
                </w:rPr>
                <w:t>Form S-1 (File No. 333-260156) filed on October 8, 2021).</w:t>
              </w:r>
            </w:hyperlink>
          </w:p>
        </w:tc>
        <w:tc>
          <w:tcPr>
            <w:tcW w:w="40" w:type="dxa"/>
            <w:vAlign w:val="bottom"/>
            <w:gridSpan w:val="2"/>
            <w:vMerge w:val="continue"/>
          </w:tcPr>
          <w:p>
            <w:pPr>
              <w:spacing w:after="0"/>
              <w:rPr>
                <w:sz w:val="15"/>
                <w:szCs w:val="15"/>
                <w:color w:val="auto"/>
              </w:rPr>
            </w:pPr>
          </w:p>
        </w:tc>
        <w:tc>
          <w:tcPr>
            <w:tcW w:w="6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480" w:type="dxa"/>
            <w:vAlign w:val="bottom"/>
          </w:tcPr>
          <w:p>
            <w:pPr>
              <w:spacing w:after="0"/>
              <w:rPr>
                <w:sz w:val="20"/>
                <w:szCs w:val="20"/>
                <w:color w:val="auto"/>
              </w:rPr>
            </w:pPr>
            <w:r>
              <w:rPr>
                <w:rFonts w:ascii="Arial" w:cs="Arial" w:eastAsia="Arial" w:hAnsi="Arial"/>
                <w:sz w:val="18"/>
                <w:szCs w:val="18"/>
                <w:color w:val="auto"/>
              </w:rPr>
              <w:t>10.12†</w:t>
            </w:r>
          </w:p>
        </w:tc>
        <w:tc>
          <w:tcPr>
            <w:tcW w:w="10000" w:type="dxa"/>
            <w:vAlign w:val="bottom"/>
            <w:gridSpan w:val="33"/>
          </w:tcPr>
          <w:p>
            <w:pPr>
              <w:spacing w:after="0"/>
              <w:rPr>
                <w:rFonts w:ascii="Arial" w:cs="Arial" w:eastAsia="Arial" w:hAnsi="Arial"/>
                <w:sz w:val="18"/>
                <w:szCs w:val="18"/>
                <w:color w:val="0000FF"/>
              </w:rPr>
            </w:pPr>
            <w:hyperlink r:id="rId186">
              <w:r>
                <w:rPr>
                  <w:rFonts w:ascii="Arial" w:cs="Arial" w:eastAsia="Arial" w:hAnsi="Arial"/>
                  <w:sz w:val="18"/>
                  <w:szCs w:val="18"/>
                  <w:color w:val="0000FF"/>
                </w:rPr>
                <w:t>License Agreement with Clearside Biomedical, Inc., dated July 3, 2019 (incorporated by reference to Exhibit 10.13 of the</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rPr>
                <w:sz w:val="15"/>
                <w:szCs w:val="15"/>
                <w:color w:val="auto"/>
              </w:rPr>
            </w:pPr>
          </w:p>
        </w:tc>
        <w:tc>
          <w:tcPr>
            <w:tcW w:w="9980" w:type="dxa"/>
            <w:vAlign w:val="bottom"/>
            <w:gridSpan w:val="32"/>
          </w:tcPr>
          <w:p>
            <w:pPr>
              <w:spacing w:after="0" w:line="182" w:lineRule="exact"/>
              <w:rPr>
                <w:rFonts w:ascii="Arial" w:cs="Arial" w:eastAsia="Arial" w:hAnsi="Arial"/>
                <w:sz w:val="18"/>
                <w:szCs w:val="18"/>
                <w:color w:val="0000FF"/>
              </w:rPr>
            </w:pPr>
            <w:hyperlink r:id="rId186">
              <w:r>
                <w:rPr>
                  <w:rFonts w:ascii="Arial" w:cs="Arial" w:eastAsia="Arial" w:hAnsi="Arial"/>
                  <w:sz w:val="18"/>
                  <w:szCs w:val="18"/>
                  <w:color w:val="0000FF"/>
                </w:rPr>
                <w:t>Registrant’s Registration Statement on Form S-1 (File No. 333-260156) filed on October 8, 2021).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480" w:type="dxa"/>
            <w:vAlign w:val="bottom"/>
          </w:tcPr>
          <w:p>
            <w:pPr>
              <w:spacing w:after="0"/>
              <w:rPr>
                <w:sz w:val="20"/>
                <w:szCs w:val="20"/>
                <w:color w:val="auto"/>
              </w:rPr>
            </w:pPr>
            <w:r>
              <w:rPr>
                <w:rFonts w:ascii="Arial" w:cs="Arial" w:eastAsia="Arial" w:hAnsi="Arial"/>
                <w:sz w:val="18"/>
                <w:szCs w:val="18"/>
                <w:color w:val="auto"/>
              </w:rPr>
              <w:t>10.13%</w:t>
            </w:r>
          </w:p>
        </w:tc>
        <w:tc>
          <w:tcPr>
            <w:tcW w:w="10000" w:type="dxa"/>
            <w:vAlign w:val="bottom"/>
            <w:gridSpan w:val="33"/>
          </w:tcPr>
          <w:p>
            <w:pPr>
              <w:spacing w:after="0"/>
              <w:rPr>
                <w:rFonts w:ascii="Arial" w:cs="Arial" w:eastAsia="Arial" w:hAnsi="Arial"/>
                <w:sz w:val="18"/>
                <w:szCs w:val="18"/>
                <w:color w:val="0000FF"/>
              </w:rPr>
            </w:pPr>
            <w:hyperlink r:id="rId187">
              <w:r>
                <w:rPr>
                  <w:rFonts w:ascii="Arial" w:cs="Arial" w:eastAsia="Arial" w:hAnsi="Arial"/>
                  <w:sz w:val="18"/>
                  <w:szCs w:val="18"/>
                  <w:color w:val="0000FF"/>
                </w:rPr>
                <w:t>First Amendment to License Agreement with Clearside Biomedical, Inc., dated February 23, 2022 (incorporated by</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restart"/>
          </w:tcPr>
          <w:p>
            <w:pPr>
              <w:spacing w:after="0"/>
              <w:rPr>
                <w:sz w:val="20"/>
                <w:szCs w:val="20"/>
                <w:color w:val="auto"/>
              </w:rPr>
            </w:pPr>
            <w:r>
              <w:rPr>
                <w:rFonts w:ascii="Arial" w:cs="Arial" w:eastAsia="Arial" w:hAnsi="Arial"/>
                <w:sz w:val="18"/>
                <w:szCs w:val="18"/>
                <w:color w:val="auto"/>
              </w:rPr>
              <w:t>10.14</w:t>
            </w:r>
          </w:p>
        </w:tc>
        <w:tc>
          <w:tcPr>
            <w:tcW w:w="9920" w:type="dxa"/>
            <w:vAlign w:val="bottom"/>
            <w:gridSpan w:val="29"/>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reference to Exhibit 10.14 of the Registrant's Annual Report on Form 10-K (File No. 001-40971) filed on March 24, 2025).</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50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10000" w:type="dxa"/>
            <w:vAlign w:val="bottom"/>
            <w:gridSpan w:val="33"/>
          </w:tcPr>
          <w:p>
            <w:pPr>
              <w:spacing w:after="0" w:line="182" w:lineRule="exact"/>
              <w:rPr>
                <w:rFonts w:ascii="Arial" w:cs="Arial" w:eastAsia="Arial" w:hAnsi="Arial"/>
                <w:sz w:val="18"/>
                <w:szCs w:val="18"/>
                <w:color w:val="0000FF"/>
              </w:rPr>
            </w:pPr>
            <w:hyperlink r:id="rId188">
              <w:r>
                <w:rPr>
                  <w:rFonts w:ascii="Arial" w:cs="Arial" w:eastAsia="Arial" w:hAnsi="Arial"/>
                  <w:sz w:val="18"/>
                  <w:szCs w:val="18"/>
                  <w:color w:val="0000FF"/>
                </w:rPr>
                <w:t>Lease Agreement, between the Registrant and Ice Box, LLC, dated as of May 16, 2022 (incorporated by reference to</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rPr>
                <w:sz w:val="15"/>
                <w:szCs w:val="15"/>
                <w:color w:val="auto"/>
              </w:rPr>
            </w:pPr>
          </w:p>
        </w:tc>
        <w:tc>
          <w:tcPr>
            <w:tcW w:w="9880" w:type="dxa"/>
            <w:vAlign w:val="bottom"/>
            <w:gridSpan w:val="27"/>
          </w:tcPr>
          <w:p>
            <w:pPr>
              <w:spacing w:after="0" w:line="182" w:lineRule="exact"/>
              <w:rPr>
                <w:rFonts w:ascii="Arial" w:cs="Arial" w:eastAsia="Arial" w:hAnsi="Arial"/>
                <w:sz w:val="18"/>
                <w:szCs w:val="18"/>
                <w:color w:val="0000FF"/>
              </w:rPr>
            </w:pPr>
            <w:hyperlink r:id="rId188">
              <w:r>
                <w:rPr>
                  <w:rFonts w:ascii="Arial" w:cs="Arial" w:eastAsia="Arial" w:hAnsi="Arial"/>
                  <w:sz w:val="18"/>
                  <w:szCs w:val="18"/>
                  <w:color w:val="0000FF"/>
                </w:rPr>
                <w:t>Exhibit 10.1 of the Registrant’s Quarterly Report on Form 10-Q (File No. 001-40971) filed on August 11, 2022).</w:t>
              </w:r>
            </w:hyperlink>
          </w:p>
        </w:tc>
        <w:tc>
          <w:tcPr>
            <w:tcW w:w="6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480" w:type="dxa"/>
            <w:vAlign w:val="bottom"/>
          </w:tcPr>
          <w:p>
            <w:pPr>
              <w:spacing w:after="0"/>
              <w:rPr>
                <w:sz w:val="20"/>
                <w:szCs w:val="20"/>
                <w:color w:val="auto"/>
              </w:rPr>
            </w:pPr>
            <w:r>
              <w:rPr>
                <w:rFonts w:ascii="Arial" w:cs="Arial" w:eastAsia="Arial" w:hAnsi="Arial"/>
                <w:sz w:val="18"/>
                <w:szCs w:val="18"/>
                <w:color w:val="auto"/>
              </w:rPr>
              <w:t>10.15#</w:t>
            </w:r>
          </w:p>
        </w:tc>
        <w:tc>
          <w:tcPr>
            <w:tcW w:w="10000" w:type="dxa"/>
            <w:vAlign w:val="bottom"/>
            <w:gridSpan w:val="33"/>
          </w:tcPr>
          <w:p>
            <w:pPr>
              <w:spacing w:after="0"/>
              <w:rPr>
                <w:rFonts w:ascii="Arial" w:cs="Arial" w:eastAsia="Arial" w:hAnsi="Arial"/>
                <w:sz w:val="18"/>
                <w:szCs w:val="18"/>
                <w:color w:val="0000FF"/>
              </w:rPr>
            </w:pPr>
            <w:hyperlink r:id="rId189">
              <w:r>
                <w:rPr>
                  <w:rFonts w:ascii="Arial" w:cs="Arial" w:eastAsia="Arial" w:hAnsi="Arial"/>
                  <w:sz w:val="18"/>
                  <w:szCs w:val="18"/>
                  <w:color w:val="0000FF"/>
                </w:rPr>
                <w:t>Employment Offer Letter, dated August 9, 2023, by and between Jill Hopkins and the Registrant (incorporated by</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902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7"/>
              </w:rPr>
            </w:pPr>
            <w:hyperlink r:id="rId189">
              <w:r>
                <w:rPr>
                  <w:rFonts w:ascii="Arial" w:cs="Arial" w:eastAsia="Arial" w:hAnsi="Arial"/>
                  <w:sz w:val="18"/>
                  <w:szCs w:val="18"/>
                  <w:color w:val="0000FF"/>
                  <w:w w:val="97"/>
                </w:rPr>
                <w:t>reference to Exhibit 10.1 of the Registrant’s Quarterly Report on Form 10-Q (File No. 001-40971) filed on November</w:t>
              </w:r>
            </w:hyperlink>
          </w:p>
        </w:tc>
        <w:tc>
          <w:tcPr>
            <w:tcW w:w="440" w:type="dxa"/>
            <w:vAlign w:val="bottom"/>
            <w:tcBorders>
              <w:bottom w:val="single" w:sz="8" w:color="0000FF"/>
            </w:tcBorders>
            <w:gridSpan w:val="2"/>
          </w:tcPr>
          <w:p>
            <w:pPr>
              <w:jc w:val="right"/>
              <w:spacing w:after="0" w:line="182" w:lineRule="exact"/>
              <w:rPr>
                <w:rFonts w:ascii="Arial" w:cs="Arial" w:eastAsia="Arial" w:hAnsi="Arial"/>
                <w:sz w:val="18"/>
                <w:szCs w:val="18"/>
                <w:color w:val="0000FF"/>
              </w:rPr>
            </w:pPr>
            <w:hyperlink r:id="rId189">
              <w:r>
                <w:rPr>
                  <w:rFonts w:ascii="Arial" w:cs="Arial" w:eastAsia="Arial" w:hAnsi="Arial"/>
                  <w:sz w:val="18"/>
                  <w:szCs w:val="18"/>
                  <w:color w:val="0000FF"/>
                </w:rPr>
                <w:t>9,</w:t>
              </w:r>
            </w:hyperlink>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vMerge w:val="restart"/>
          </w:tcPr>
          <w:p>
            <w:pPr>
              <w:spacing w:after="0"/>
              <w:rPr>
                <w:sz w:val="20"/>
                <w:szCs w:val="20"/>
                <w:color w:val="auto"/>
              </w:rPr>
            </w:pPr>
            <w:r>
              <w:rPr>
                <w:rFonts w:ascii="Arial" w:cs="Arial" w:eastAsia="Arial" w:hAnsi="Arial"/>
                <w:sz w:val="18"/>
                <w:szCs w:val="18"/>
                <w:color w:val="auto"/>
              </w:rPr>
              <w:t>10.16#</w:t>
            </w:r>
          </w:p>
        </w:tc>
        <w:tc>
          <w:tcPr>
            <w:tcW w:w="500" w:type="dxa"/>
            <w:vAlign w:val="bottom"/>
            <w:tcBorders>
              <w:bottom w:val="single" w:sz="8" w:color="0000FF"/>
            </w:tcBorders>
          </w:tcPr>
          <w:p>
            <w:pPr>
              <w:spacing w:after="0" w:line="182" w:lineRule="exact"/>
              <w:rPr>
                <w:rFonts w:ascii="Arial" w:cs="Arial" w:eastAsia="Arial" w:hAnsi="Arial"/>
                <w:sz w:val="18"/>
                <w:szCs w:val="18"/>
                <w:color w:val="0000FF"/>
                <w:w w:val="93"/>
              </w:rPr>
            </w:pPr>
            <w:hyperlink r:id="rId189">
              <w:r>
                <w:rPr>
                  <w:rFonts w:ascii="Arial" w:cs="Arial" w:eastAsia="Arial" w:hAnsi="Arial"/>
                  <w:sz w:val="18"/>
                  <w:szCs w:val="18"/>
                  <w:color w:val="0000FF"/>
                  <w:w w:val="93"/>
                </w:rPr>
                <w:t>2023).</w:t>
              </w:r>
            </w:hyperlink>
          </w:p>
        </w:tc>
        <w:tc>
          <w:tcPr>
            <w:tcW w:w="20" w:type="dxa"/>
            <w:vAlign w:val="bottom"/>
            <w:tcBorders>
              <w:bottom w:val="single" w:sz="8" w:color="0000EE"/>
            </w:tcBorders>
          </w:tcPr>
          <w:p>
            <w:pPr>
              <w:spacing w:after="0"/>
              <w:rPr>
                <w:sz w:val="15"/>
                <w:szCs w:val="15"/>
                <w:color w:val="auto"/>
              </w:rPr>
            </w:pPr>
          </w:p>
        </w:tc>
        <w:tc>
          <w:tcPr>
            <w:tcW w:w="15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10000" w:type="dxa"/>
            <w:vAlign w:val="bottom"/>
            <w:gridSpan w:val="33"/>
          </w:tcPr>
          <w:p>
            <w:pPr>
              <w:spacing w:after="0" w:line="182" w:lineRule="exact"/>
              <w:rPr>
                <w:rFonts w:ascii="Arial" w:cs="Arial" w:eastAsia="Arial" w:hAnsi="Arial"/>
                <w:sz w:val="18"/>
                <w:szCs w:val="18"/>
                <w:color w:val="0000FF"/>
              </w:rPr>
            </w:pPr>
            <w:hyperlink r:id="rId190">
              <w:r>
                <w:rPr>
                  <w:rFonts w:ascii="Arial" w:cs="Arial" w:eastAsia="Arial" w:hAnsi="Arial"/>
                  <w:sz w:val="18"/>
                  <w:szCs w:val="18"/>
                  <w:color w:val="0000FF"/>
                </w:rPr>
                <w:t>Employment Offer Letter, dated August 10, 2023, by and between Mark Plavsic and the Registrant (incorporated by</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restart"/>
          </w:tcPr>
          <w:p>
            <w:pPr>
              <w:spacing w:after="0"/>
              <w:rPr>
                <w:sz w:val="20"/>
                <w:szCs w:val="20"/>
                <w:color w:val="auto"/>
              </w:rPr>
            </w:pPr>
            <w:r>
              <w:rPr>
                <w:rFonts w:ascii="Arial" w:cs="Arial" w:eastAsia="Arial" w:hAnsi="Arial"/>
                <w:sz w:val="18"/>
                <w:szCs w:val="18"/>
                <w:color w:val="auto"/>
              </w:rPr>
              <w:t>10.17#</w:t>
            </w:r>
          </w:p>
        </w:tc>
        <w:tc>
          <w:tcPr>
            <w:tcW w:w="9740" w:type="dxa"/>
            <w:vAlign w:val="bottom"/>
            <w:gridSpan w:val="20"/>
          </w:tcPr>
          <w:p>
            <w:pPr>
              <w:spacing w:after="0" w:line="182" w:lineRule="exact"/>
              <w:rPr>
                <w:rFonts w:ascii="Arial" w:cs="Arial" w:eastAsia="Arial" w:hAnsi="Arial"/>
                <w:sz w:val="18"/>
                <w:szCs w:val="18"/>
                <w:color w:val="0000FF"/>
              </w:rPr>
            </w:pPr>
            <w:hyperlink r:id="rId190">
              <w:r>
                <w:rPr>
                  <w:rFonts w:ascii="Arial" w:cs="Arial" w:eastAsia="Arial" w:hAnsi="Arial"/>
                  <w:sz w:val="18"/>
                  <w:szCs w:val="18"/>
                  <w:color w:val="0000FF"/>
                </w:rPr>
                <w:t>reference to Exhibit 10.17 of the Registrant's Annual Report on Form 10-K (File No. 001-40971) filed on March 27, 2024.</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gridSpan w:val="6"/>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36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580" w:type="dxa"/>
            <w:vAlign w:val="bottom"/>
            <w:gridSpan w:val="18"/>
          </w:tcPr>
          <w:p>
            <w:pPr>
              <w:spacing w:after="0" w:line="182" w:lineRule="exact"/>
              <w:rPr>
                <w:rFonts w:ascii="Arial" w:cs="Arial" w:eastAsia="Arial" w:hAnsi="Arial"/>
                <w:sz w:val="18"/>
                <w:szCs w:val="18"/>
                <w:color w:val="0000FF"/>
              </w:rPr>
            </w:pPr>
            <w:hyperlink r:id="rId191">
              <w:r>
                <w:rPr>
                  <w:rFonts w:ascii="Arial" w:cs="Arial" w:eastAsia="Arial" w:hAnsi="Arial"/>
                  <w:sz w:val="18"/>
                  <w:szCs w:val="18"/>
                  <w:color w:val="0000FF"/>
                </w:rPr>
                <w:t>Executive Severance Plan, and form of participation agreement thereunder (incorporated by reference to Exhibit 10.3 of</w:t>
              </w:r>
            </w:hyperlink>
          </w:p>
        </w:tc>
        <w:tc>
          <w:tcPr>
            <w:tcW w:w="8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gridSpan w:val="6"/>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vMerge w:val="restart"/>
          </w:tcPr>
          <w:p>
            <w:pPr>
              <w:spacing w:after="0"/>
              <w:rPr>
                <w:sz w:val="20"/>
                <w:szCs w:val="20"/>
                <w:color w:val="auto"/>
              </w:rPr>
            </w:pPr>
            <w:r>
              <w:rPr>
                <w:rFonts w:ascii="Arial" w:cs="Arial" w:eastAsia="Arial" w:hAnsi="Arial"/>
                <w:sz w:val="18"/>
                <w:szCs w:val="18"/>
                <w:color w:val="auto"/>
              </w:rPr>
              <w:t>10.18#^</w:t>
            </w:r>
          </w:p>
        </w:tc>
        <w:tc>
          <w:tcPr>
            <w:tcW w:w="958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91">
              <w:r>
                <w:rPr>
                  <w:rFonts w:ascii="Arial" w:cs="Arial" w:eastAsia="Arial" w:hAnsi="Arial"/>
                  <w:sz w:val="18"/>
                  <w:szCs w:val="18"/>
                  <w:color w:val="0000FF"/>
                </w:rPr>
                <w:t>the Registrant’s Quarterly Report on Form 10-Q (File No. 001-40971) filed on November 12, 2024).</w:t>
              </w:r>
            </w:hyperlink>
          </w:p>
        </w:tc>
        <w:tc>
          <w:tcPr>
            <w:tcW w:w="8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36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2120" w:type="dxa"/>
            <w:vAlign w:val="bottom"/>
            <w:gridSpan w:val="20"/>
            <w:vMerge w:val="restart"/>
          </w:tcPr>
          <w:p>
            <w:pPr>
              <w:spacing w:after="0" w:line="202" w:lineRule="exact"/>
              <w:rPr>
                <w:rFonts w:ascii="Arial" w:cs="Arial" w:eastAsia="Arial" w:hAnsi="Arial"/>
                <w:sz w:val="18"/>
                <w:szCs w:val="18"/>
                <w:color w:val="0000FF"/>
              </w:rPr>
            </w:pPr>
            <w:hyperlink r:id="rId192">
              <w:r>
                <w:rPr>
                  <w:rFonts w:ascii="Arial" w:cs="Arial" w:eastAsia="Arial" w:hAnsi="Arial"/>
                  <w:sz w:val="18"/>
                  <w:szCs w:val="18"/>
                  <w:color w:val="0000FF"/>
                </w:rPr>
                <w:t>(incorporated by</w:t>
              </w:r>
            </w:hyperlink>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7880" w:type="dxa"/>
            <w:vAlign w:val="bottom"/>
            <w:gridSpan w:val="13"/>
          </w:tcPr>
          <w:p>
            <w:pPr>
              <w:spacing w:after="0" w:line="182" w:lineRule="exact"/>
              <w:rPr>
                <w:rFonts w:ascii="Arial" w:cs="Arial" w:eastAsia="Arial" w:hAnsi="Arial"/>
                <w:sz w:val="18"/>
                <w:szCs w:val="18"/>
                <w:color w:val="0000FF"/>
              </w:rPr>
            </w:pPr>
            <w:hyperlink r:id="rId192">
              <w:r>
                <w:rPr>
                  <w:rFonts w:ascii="Arial" w:cs="Arial" w:eastAsia="Arial" w:hAnsi="Arial"/>
                  <w:sz w:val="18"/>
                  <w:szCs w:val="18"/>
                  <w:color w:val="0000FF"/>
                </w:rPr>
                <w:t>Employment Offer Letter, dated May 9, 2025, by and between Anthony Gibney and the Registrant</w:t>
              </w:r>
            </w:hyperlink>
          </w:p>
        </w:tc>
        <w:tc>
          <w:tcPr>
            <w:tcW w:w="2120" w:type="dxa"/>
            <w:vAlign w:val="bottom"/>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vMerge w:val="restart"/>
          </w:tcPr>
          <w:p>
            <w:pPr>
              <w:spacing w:after="0"/>
              <w:rPr>
                <w:sz w:val="20"/>
                <w:szCs w:val="20"/>
                <w:color w:val="auto"/>
              </w:rPr>
            </w:pPr>
            <w:r>
              <w:rPr>
                <w:rFonts w:ascii="Arial" w:cs="Arial" w:eastAsia="Arial" w:hAnsi="Arial"/>
                <w:sz w:val="18"/>
                <w:szCs w:val="18"/>
                <w:color w:val="auto"/>
              </w:rPr>
              <w:t>19.1</w:t>
            </w:r>
          </w:p>
        </w:tc>
        <w:tc>
          <w:tcPr>
            <w:tcW w:w="918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rPr>
            </w:pPr>
            <w:hyperlink r:id="rId192">
              <w:r>
                <w:rPr>
                  <w:rFonts w:ascii="Arial" w:cs="Arial" w:eastAsia="Arial" w:hAnsi="Arial"/>
                  <w:sz w:val="18"/>
                  <w:szCs w:val="18"/>
                  <w:color w:val="0000FF"/>
                </w:rPr>
                <w:t>reference to Exhibit 10.1 of the Registrant’s Quarterly Report on Form 10-Q (File No. 001-40971) filed on May 15,</w:t>
              </w:r>
            </w:hyperlink>
          </w:p>
        </w:tc>
        <w:tc>
          <w:tcPr>
            <w:tcW w:w="480" w:type="dxa"/>
            <w:vAlign w:val="bottom"/>
            <w:tcBorders>
              <w:bottom w:val="single" w:sz="8" w:color="0000FF"/>
            </w:tcBorders>
            <w:gridSpan w:val="3"/>
          </w:tcPr>
          <w:p>
            <w:pPr>
              <w:jc w:val="right"/>
              <w:ind w:right="80"/>
              <w:spacing w:after="0" w:line="182" w:lineRule="exact"/>
              <w:rPr>
                <w:rFonts w:ascii="Arial" w:cs="Arial" w:eastAsia="Arial" w:hAnsi="Arial"/>
                <w:sz w:val="18"/>
                <w:szCs w:val="18"/>
                <w:color w:val="0000FF"/>
                <w:w w:val="74"/>
              </w:rPr>
            </w:pPr>
            <w:hyperlink r:id="rId192">
              <w:r>
                <w:rPr>
                  <w:rFonts w:ascii="Arial" w:cs="Arial" w:eastAsia="Arial" w:hAnsi="Arial"/>
                  <w:sz w:val="18"/>
                  <w:szCs w:val="18"/>
                  <w:color w:val="0000FF"/>
                  <w:w w:val="74"/>
                </w:rPr>
                <w:t>2025).</w:t>
              </w:r>
            </w:hyperlink>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10000" w:type="dxa"/>
            <w:vAlign w:val="bottom"/>
            <w:gridSpan w:val="33"/>
          </w:tcPr>
          <w:p>
            <w:pPr>
              <w:spacing w:after="0" w:line="182" w:lineRule="exact"/>
              <w:rPr>
                <w:rFonts w:ascii="Arial" w:cs="Arial" w:eastAsia="Arial" w:hAnsi="Arial"/>
                <w:sz w:val="18"/>
                <w:szCs w:val="18"/>
                <w:color w:val="0000FF"/>
              </w:rPr>
            </w:pPr>
            <w:hyperlink r:id="rId193">
              <w:r>
                <w:rPr>
                  <w:rFonts w:ascii="Arial" w:cs="Arial" w:eastAsia="Arial" w:hAnsi="Arial"/>
                  <w:sz w:val="18"/>
                  <w:szCs w:val="18"/>
                  <w:color w:val="0000FF"/>
                </w:rPr>
                <w:t>Amended and Restated Insider Trading Policy (incorporated by reference to Exhibit 19.1 of the Registrant's Annual Report</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6"/>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restart"/>
          </w:tcPr>
          <w:p>
            <w:pPr>
              <w:spacing w:after="0"/>
              <w:rPr>
                <w:sz w:val="20"/>
                <w:szCs w:val="20"/>
                <w:color w:val="auto"/>
              </w:rPr>
            </w:pPr>
            <w:r>
              <w:rPr>
                <w:rFonts w:ascii="Arial" w:cs="Arial" w:eastAsia="Arial" w:hAnsi="Arial"/>
                <w:sz w:val="18"/>
                <w:szCs w:val="18"/>
                <w:color w:val="auto"/>
              </w:rPr>
              <w:t>21.1</w:t>
            </w:r>
          </w:p>
        </w:tc>
        <w:tc>
          <w:tcPr>
            <w:tcW w:w="9940" w:type="dxa"/>
            <w:vAlign w:val="bottom"/>
            <w:gridSpan w:val="30"/>
          </w:tcPr>
          <w:p>
            <w:pPr>
              <w:spacing w:after="0" w:line="182" w:lineRule="exact"/>
              <w:rPr>
                <w:rFonts w:ascii="Arial" w:cs="Arial" w:eastAsia="Arial" w:hAnsi="Arial"/>
                <w:sz w:val="18"/>
                <w:szCs w:val="18"/>
                <w:color w:val="0000FF"/>
              </w:rPr>
            </w:pPr>
            <w:hyperlink r:id="rId193">
              <w:r>
                <w:rPr>
                  <w:rFonts w:ascii="Arial" w:cs="Arial" w:eastAsia="Arial" w:hAnsi="Arial"/>
                  <w:sz w:val="18"/>
                  <w:szCs w:val="18"/>
                  <w:color w:val="0000FF"/>
                </w:rPr>
                <w:t>on Form 10-K (File No. 001-40971) filed on March 24, 2025.</w:t>
              </w:r>
            </w:hyperlink>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36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180" w:type="dxa"/>
            <w:vAlign w:val="bottom"/>
            <w:gridSpan w:val="25"/>
            <w:vMerge w:val="restart"/>
          </w:tcPr>
          <w:p>
            <w:pPr>
              <w:spacing w:after="0" w:line="202" w:lineRule="exact"/>
              <w:rPr>
                <w:rFonts w:ascii="Arial" w:cs="Arial" w:eastAsia="Arial" w:hAnsi="Arial"/>
                <w:sz w:val="18"/>
                <w:szCs w:val="18"/>
                <w:color w:val="0000FF"/>
              </w:rPr>
            </w:pPr>
            <w:hyperlink r:id="rId194">
              <w:r>
                <w:rPr>
                  <w:rFonts w:ascii="Arial" w:cs="Arial" w:eastAsia="Arial" w:hAnsi="Arial"/>
                  <w:sz w:val="18"/>
                  <w:szCs w:val="18"/>
                  <w:color w:val="0000FF"/>
                </w:rPr>
                <w:t>to Exhibit 21.1 of the Registrant's Annual Report on Form 10-</w:t>
              </w:r>
            </w:hyperlink>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4820" w:type="dxa"/>
            <w:vAlign w:val="bottom"/>
            <w:gridSpan w:val="8"/>
          </w:tcPr>
          <w:p>
            <w:pPr>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List of Subsidiaries of Registrant (incorporated by reference</w:t>
              </w:r>
            </w:hyperlink>
          </w:p>
        </w:tc>
        <w:tc>
          <w:tcPr>
            <w:tcW w:w="5180" w:type="dxa"/>
            <w:vAlign w:val="bottom"/>
            <w:gridSpan w:val="2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rPr>
                <w:sz w:val="15"/>
                <w:szCs w:val="15"/>
                <w:color w:val="auto"/>
              </w:rPr>
            </w:pPr>
          </w:p>
        </w:tc>
        <w:tc>
          <w:tcPr>
            <w:tcW w:w="9800" w:type="dxa"/>
            <w:vAlign w:val="bottom"/>
            <w:gridSpan w:val="23"/>
          </w:tcPr>
          <w:p>
            <w:pPr>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K (File No. 001-40971) filed on March 24, 2025.</w:t>
              </w:r>
            </w:hyperlink>
          </w:p>
        </w:tc>
        <w:tc>
          <w:tcPr>
            <w:tcW w:w="20" w:type="dxa"/>
            <w:vAlign w:val="bottom"/>
            <w:vMerge w:val="continue"/>
          </w:tcPr>
          <w:p>
            <w:pPr>
              <w:spacing w:after="0"/>
              <w:rPr>
                <w:sz w:val="15"/>
                <w:szCs w:val="15"/>
                <w:color w:val="auto"/>
              </w:rPr>
            </w:pPr>
          </w:p>
        </w:tc>
        <w:tc>
          <w:tcPr>
            <w:tcW w:w="140" w:type="dxa"/>
            <w:vAlign w:val="bottom"/>
            <w:gridSpan w:val="7"/>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480" w:type="dxa"/>
            <w:vAlign w:val="bottom"/>
          </w:tcPr>
          <w:p>
            <w:pPr>
              <w:spacing w:after="0"/>
              <w:rPr>
                <w:sz w:val="20"/>
                <w:szCs w:val="20"/>
                <w:color w:val="auto"/>
              </w:rPr>
            </w:pPr>
            <w:r>
              <w:rPr>
                <w:rFonts w:ascii="Arial" w:cs="Arial" w:eastAsia="Arial" w:hAnsi="Arial"/>
                <w:sz w:val="18"/>
                <w:szCs w:val="18"/>
                <w:color w:val="auto"/>
              </w:rPr>
              <w:t>23.1*</w:t>
            </w:r>
          </w:p>
        </w:tc>
        <w:tc>
          <w:tcPr>
            <w:tcW w:w="10000" w:type="dxa"/>
            <w:vAlign w:val="bottom"/>
            <w:gridSpan w:val="33"/>
          </w:tcPr>
          <w:p>
            <w:pPr>
              <w:spacing w:after="0"/>
              <w:rPr>
                <w:sz w:val="20"/>
                <w:szCs w:val="20"/>
                <w:color w:val="auto"/>
              </w:rPr>
            </w:pPr>
            <w:r>
              <w:rPr>
                <w:rFonts w:ascii="Arial" w:cs="Arial" w:eastAsia="Arial" w:hAnsi="Arial"/>
                <w:sz w:val="18"/>
                <w:szCs w:val="18"/>
                <w:color w:val="0000FF"/>
              </w:rPr>
              <w:t>Consent of Ernst &amp; Young, independent registered public accounting firm.</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108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10000" w:type="dxa"/>
            <w:vAlign w:val="bottom"/>
            <w:gridSpan w:val="33"/>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1660" w:type="dxa"/>
            <w:vAlign w:val="bottom"/>
            <w:tcBorders>
              <w:righ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rPr>
                <w:sz w:val="15"/>
                <w:szCs w:val="15"/>
                <w:color w:val="auto"/>
              </w:rPr>
            </w:pPr>
          </w:p>
        </w:tc>
        <w:tc>
          <w:tcPr>
            <w:tcW w:w="9780" w:type="dxa"/>
            <w:vAlign w:val="bottom"/>
            <w:gridSpan w:val="22"/>
          </w:tcPr>
          <w:p>
            <w:pPr>
              <w:spacing w:after="0" w:line="182" w:lineRule="exact"/>
              <w:rPr>
                <w:sz w:val="20"/>
                <w:szCs w:val="20"/>
                <w:color w:val="auto"/>
              </w:rPr>
            </w:pPr>
            <w:r>
              <w:rPr>
                <w:rFonts w:ascii="Arial" w:cs="Arial" w:eastAsia="Arial" w:hAnsi="Arial"/>
                <w:sz w:val="18"/>
                <w:szCs w:val="18"/>
                <w:color w:val="0000FF"/>
              </w:rPr>
              <w:t>of 1934, as Adopted Pursuant to Section 302 of the Sarbanes-Oxley Act of 2002.</w:t>
            </w:r>
          </w:p>
        </w:tc>
        <w:tc>
          <w:tcPr>
            <w:tcW w:w="40" w:type="dxa"/>
            <w:vAlign w:val="bottom"/>
            <w:gridSpan w:val="2"/>
            <w:vMerge w:val="continue"/>
          </w:tcPr>
          <w:p>
            <w:pPr>
              <w:spacing w:after="0"/>
              <w:rPr>
                <w:sz w:val="15"/>
                <w:szCs w:val="15"/>
                <w:color w:val="auto"/>
              </w:rPr>
            </w:pPr>
          </w:p>
        </w:tc>
        <w:tc>
          <w:tcPr>
            <w:tcW w:w="140" w:type="dxa"/>
            <w:vAlign w:val="bottom"/>
            <w:gridSpan w:val="7"/>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1660" w:type="dxa"/>
            <w:vAlign w:val="bottom"/>
            <w:tcBorders>
              <w:right w:val="single" w:sz="8" w:color="0000EE"/>
            </w:tcBorders>
            <w:gridSpan w:val="3"/>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480" w:type="dxa"/>
            <w:vAlign w:val="bottom"/>
          </w:tcPr>
          <w:p>
            <w:pPr>
              <w:spacing w:after="0"/>
              <w:rPr>
                <w:sz w:val="20"/>
                <w:szCs w:val="20"/>
                <w:color w:val="auto"/>
              </w:rPr>
            </w:pPr>
            <w:r>
              <w:rPr>
                <w:rFonts w:ascii="Arial" w:cs="Arial" w:eastAsia="Arial" w:hAnsi="Arial"/>
                <w:sz w:val="18"/>
                <w:szCs w:val="18"/>
                <w:color w:val="auto"/>
              </w:rPr>
              <w:t>31.2*</w:t>
            </w:r>
          </w:p>
        </w:tc>
        <w:tc>
          <w:tcPr>
            <w:tcW w:w="10000" w:type="dxa"/>
            <w:vAlign w:val="bottom"/>
            <w:gridSpan w:val="33"/>
          </w:tcPr>
          <w:p>
            <w:pPr>
              <w:spacing w:after="0"/>
              <w:rPr>
                <w:sz w:val="20"/>
                <w:szCs w:val="20"/>
                <w:color w:val="auto"/>
              </w:rPr>
            </w:pPr>
            <w:r>
              <w:rPr>
                <w:rFonts w:ascii="Arial" w:cs="Arial" w:eastAsia="Arial" w:hAnsi="Arial"/>
                <w:sz w:val="18"/>
                <w:szCs w:val="18"/>
                <w:color w:val="0000FF"/>
              </w:rPr>
              <w:t>Certification of Interim Principal Financial Officer Pursuant to Rules 13a-14(a) and 15d-14(a) under the Securities</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2820" w:type="dxa"/>
            <w:vAlign w:val="bottom"/>
            <w:tcBorders>
              <w:right w:val="single" w:sz="8" w:color="0000FF"/>
            </w:tcBorders>
            <w:gridSpan w:val="4"/>
            <w:shd w:val="clear" w:color="auto" w:fill="0000FF"/>
          </w:tcPr>
          <w:p>
            <w:pPr>
              <w:spacing w:after="0" w:line="20" w:lineRule="exact"/>
              <w:rPr>
                <w:sz w:val="1"/>
                <w:szCs w:val="1"/>
                <w:color w:val="auto"/>
              </w:rPr>
            </w:pPr>
          </w:p>
        </w:tc>
        <w:tc>
          <w:tcPr>
            <w:tcW w:w="2140" w:type="dxa"/>
            <w:vAlign w:val="bottom"/>
            <w:gridSpan w:val="10"/>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rPr>
                <w:sz w:val="15"/>
                <w:szCs w:val="15"/>
                <w:color w:val="auto"/>
              </w:rPr>
            </w:pPr>
          </w:p>
        </w:tc>
        <w:tc>
          <w:tcPr>
            <w:tcW w:w="9820" w:type="dxa"/>
            <w:vAlign w:val="bottom"/>
            <w:gridSpan w:val="24"/>
          </w:tcPr>
          <w:p>
            <w:pPr>
              <w:spacing w:after="0" w:line="182" w:lineRule="exact"/>
              <w:rPr>
                <w:sz w:val="20"/>
                <w:szCs w:val="20"/>
                <w:color w:val="auto"/>
              </w:rPr>
            </w:pPr>
            <w:r>
              <w:rPr>
                <w:rFonts w:ascii="Arial" w:cs="Arial" w:eastAsia="Arial" w:hAnsi="Arial"/>
                <w:sz w:val="18"/>
                <w:szCs w:val="18"/>
                <w:color w:val="0000FF"/>
              </w:rPr>
              <w:t>Exchange Act of 1934, as Adopted Pursuant to Section 302 of the Sarbanes-Oxley Act of 2002.</w:t>
            </w:r>
          </w:p>
        </w:tc>
        <w:tc>
          <w:tcPr>
            <w:tcW w:w="140" w:type="dxa"/>
            <w:vAlign w:val="bottom"/>
            <w:gridSpan w:val="7"/>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2820" w:type="dxa"/>
            <w:vAlign w:val="bottom"/>
            <w:tcBorders>
              <w:right w:val="single" w:sz="8" w:color="0000EE"/>
            </w:tcBorders>
            <w:gridSpan w:val="4"/>
            <w:shd w:val="clear" w:color="auto" w:fill="0000FF"/>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480" w:type="dxa"/>
            <w:vAlign w:val="bottom"/>
          </w:tcPr>
          <w:p>
            <w:pPr>
              <w:spacing w:after="0"/>
              <w:rPr>
                <w:sz w:val="20"/>
                <w:szCs w:val="20"/>
                <w:color w:val="auto"/>
              </w:rPr>
            </w:pPr>
            <w:r>
              <w:rPr>
                <w:rFonts w:ascii="Arial" w:cs="Arial" w:eastAsia="Arial" w:hAnsi="Arial"/>
                <w:sz w:val="18"/>
                <w:szCs w:val="18"/>
                <w:color w:val="auto"/>
              </w:rPr>
              <w:t>32.1**</w:t>
            </w:r>
          </w:p>
        </w:tc>
        <w:tc>
          <w:tcPr>
            <w:tcW w:w="10000" w:type="dxa"/>
            <w:vAlign w:val="bottom"/>
            <w:gridSpan w:val="33"/>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18 U.S.C. Section 1350, as Adopted</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4960" w:type="dxa"/>
            <w:vAlign w:val="bottom"/>
            <w:gridSpan w:val="14"/>
            <w:shd w:val="clear" w:color="auto" w:fill="0000FF"/>
          </w:tcPr>
          <w:p>
            <w:pPr>
              <w:spacing w:after="0" w:line="20" w:lineRule="exact"/>
              <w:rPr>
                <w:sz w:val="1"/>
                <w:szCs w:val="1"/>
                <w:color w:val="auto"/>
              </w:rPr>
            </w:pPr>
          </w:p>
        </w:tc>
        <w:tc>
          <w:tcPr>
            <w:tcW w:w="200" w:type="dxa"/>
            <w:vAlign w:val="bottom"/>
            <w:gridSpan w:val="10"/>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rPr>
                <w:sz w:val="15"/>
                <w:szCs w:val="15"/>
                <w:color w:val="auto"/>
              </w:rPr>
            </w:pPr>
          </w:p>
        </w:tc>
        <w:tc>
          <w:tcPr>
            <w:tcW w:w="9960" w:type="dxa"/>
            <w:vAlign w:val="bottom"/>
            <w:gridSpan w:val="31"/>
          </w:tcPr>
          <w:p>
            <w:pPr>
              <w:spacing w:after="0" w:line="182" w:lineRule="exact"/>
              <w:rPr>
                <w:sz w:val="20"/>
                <w:szCs w:val="20"/>
                <w:color w:val="auto"/>
              </w:rPr>
            </w:pPr>
            <w:r>
              <w:rPr>
                <w:rFonts w:ascii="Arial" w:cs="Arial" w:eastAsia="Arial" w:hAnsi="Arial"/>
                <w:sz w:val="18"/>
                <w:szCs w:val="18"/>
                <w:color w:val="0000FF"/>
              </w:rPr>
              <w:t>Pursuant to Section 906 of the Sarbanes-Oxley Act of 2002.</w:t>
            </w: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140" w:type="dxa"/>
            <w:vAlign w:val="bottom"/>
            <w:tcBorders>
              <w:right w:val="single" w:sz="8" w:color="0000EE"/>
            </w:tcBorders>
            <w:gridSpan w:val="3"/>
            <w:shd w:val="clear" w:color="auto" w:fill="0000FF"/>
          </w:tcPr>
          <w:p>
            <w:pPr>
              <w:spacing w:after="0" w:line="20" w:lineRule="exact"/>
              <w:rPr>
                <w:sz w:val="1"/>
                <w:szCs w:val="1"/>
                <w:color w:val="auto"/>
              </w:rPr>
            </w:pPr>
          </w:p>
        </w:tc>
        <w:tc>
          <w:tcPr>
            <w:tcW w:w="4960" w:type="dxa"/>
            <w:vAlign w:val="bottom"/>
            <w:gridSpan w:val="14"/>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480" w:type="dxa"/>
            <w:vAlign w:val="bottom"/>
          </w:tcPr>
          <w:p>
            <w:pPr>
              <w:spacing w:after="0"/>
              <w:rPr>
                <w:sz w:val="20"/>
                <w:szCs w:val="20"/>
                <w:color w:val="auto"/>
              </w:rPr>
            </w:pPr>
            <w:r>
              <w:rPr>
                <w:rFonts w:ascii="Arial" w:cs="Arial" w:eastAsia="Arial" w:hAnsi="Arial"/>
                <w:sz w:val="18"/>
                <w:szCs w:val="18"/>
                <w:color w:val="auto"/>
              </w:rPr>
              <w:t>97.1</w:t>
            </w:r>
          </w:p>
        </w:tc>
        <w:tc>
          <w:tcPr>
            <w:tcW w:w="10000" w:type="dxa"/>
            <w:vAlign w:val="bottom"/>
            <w:gridSpan w:val="33"/>
          </w:tcPr>
          <w:p>
            <w:pPr>
              <w:spacing w:after="0"/>
              <w:rPr>
                <w:rFonts w:ascii="Arial" w:cs="Arial" w:eastAsia="Arial" w:hAnsi="Arial"/>
                <w:sz w:val="18"/>
                <w:szCs w:val="18"/>
                <w:color w:val="0000FF"/>
              </w:rPr>
            </w:pPr>
            <w:hyperlink r:id="rId195">
              <w:r>
                <w:rPr>
                  <w:rFonts w:ascii="Arial" w:cs="Arial" w:eastAsia="Arial" w:hAnsi="Arial"/>
                  <w:sz w:val="18"/>
                  <w:szCs w:val="18"/>
                  <w:color w:val="0000FF"/>
                </w:rPr>
                <w:t>Compensation Recovery Policy (incorporated by reference to Exhibit 97.1 of the Registrant's Annual Report on Form 10-K</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6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6100" w:type="dxa"/>
            <w:vAlign w:val="bottom"/>
            <w:gridSpan w:val="17"/>
            <w:shd w:val="clear" w:color="auto" w:fill="0000FF"/>
          </w:tcPr>
          <w:p>
            <w:pPr>
              <w:spacing w:after="0" w:line="20" w:lineRule="exact"/>
              <w:rPr>
                <w:sz w:val="1"/>
                <w:szCs w:val="1"/>
                <w:color w:val="auto"/>
              </w:rPr>
            </w:pPr>
          </w:p>
        </w:tc>
        <w:tc>
          <w:tcPr>
            <w:tcW w:w="240" w:type="dxa"/>
            <w:vAlign w:val="bottom"/>
            <w:gridSpan w:val="1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9760" w:type="dxa"/>
            <w:vAlign w:val="bottom"/>
            <w:gridSpan w:val="21"/>
          </w:tcPr>
          <w:p>
            <w:pPr>
              <w:spacing w:after="0" w:line="182" w:lineRule="exact"/>
              <w:rPr>
                <w:rFonts w:ascii="Arial" w:cs="Arial" w:eastAsia="Arial" w:hAnsi="Arial"/>
                <w:sz w:val="18"/>
                <w:szCs w:val="18"/>
                <w:color w:val="0000FF"/>
              </w:rPr>
            </w:pPr>
            <w:hyperlink r:id="rId195">
              <w:r>
                <w:rPr>
                  <w:rFonts w:ascii="Arial" w:cs="Arial" w:eastAsia="Arial" w:hAnsi="Arial"/>
                  <w:sz w:val="18"/>
                  <w:szCs w:val="18"/>
                  <w:color w:val="0000FF"/>
                </w:rPr>
                <w:t>(File No. 001-40971) filed on March 27, 2024.</w:t>
              </w:r>
            </w:hyperlink>
          </w:p>
        </w:tc>
        <w:tc>
          <w:tcPr>
            <w:tcW w:w="240" w:type="dxa"/>
            <w:vAlign w:val="bottom"/>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3660" w:type="dxa"/>
            <w:vAlign w:val="bottom"/>
            <w:tcBorders>
              <w:left w:val="single" w:sz="8" w:color="0000EE"/>
              <w:right w:val="single" w:sz="8" w:color="0000EE"/>
            </w:tcBorders>
            <w:gridSpan w:val="4"/>
            <w:shd w:val="clear" w:color="auto" w:fill="0000FF"/>
          </w:tcPr>
          <w:p>
            <w:pPr>
              <w:spacing w:after="0" w:line="20" w:lineRule="exact"/>
              <w:rPr>
                <w:sz w:val="1"/>
                <w:szCs w:val="1"/>
                <w:color w:val="auto"/>
              </w:rPr>
            </w:pPr>
          </w:p>
        </w:tc>
        <w:tc>
          <w:tcPr>
            <w:tcW w:w="6340" w:type="dxa"/>
            <w:vAlign w:val="bottom"/>
            <w:gridSpan w:val="29"/>
            <w:vMerge w:val="restart"/>
          </w:tcPr>
          <w:p>
            <w:pPr>
              <w:ind w:left="140"/>
              <w:spacing w:after="0"/>
              <w:rPr>
                <w:sz w:val="20"/>
                <w:szCs w:val="20"/>
                <w:color w:val="auto"/>
              </w:rPr>
            </w:pPr>
            <w:r>
              <w:rPr>
                <w:rFonts w:ascii="Arial" w:cs="Arial" w:eastAsia="Arial" w:hAnsi="Arial"/>
                <w:sz w:val="18"/>
                <w:szCs w:val="18"/>
                <w:color w:val="auto"/>
              </w:rPr>
              <w:t>document does not appear in the Interactive Data File because XBRL tags</w:t>
            </w:r>
          </w:p>
        </w:tc>
        <w:tc>
          <w:tcPr>
            <w:tcW w:w="0" w:type="dxa"/>
            <w:vAlign w:val="bottom"/>
          </w:tcPr>
          <w:p>
            <w:pPr>
              <w:spacing w:after="0" w:line="20" w:lineRule="exact"/>
              <w:rPr>
                <w:sz w:val="1"/>
                <w:szCs w:val="1"/>
                <w:color w:val="auto"/>
              </w:rPr>
            </w:pPr>
          </w:p>
        </w:tc>
      </w:tr>
      <w:tr>
        <w:trPr>
          <w:trHeight w:val="191"/>
        </w:trPr>
        <w:tc>
          <w:tcPr>
            <w:tcW w:w="1480" w:type="dxa"/>
            <w:vAlign w:val="bottom"/>
            <w:vMerge w:val="continue"/>
          </w:tcPr>
          <w:p>
            <w:pPr>
              <w:spacing w:after="0"/>
              <w:rPr>
                <w:sz w:val="16"/>
                <w:szCs w:val="16"/>
                <w:color w:val="auto"/>
              </w:rPr>
            </w:pPr>
          </w:p>
        </w:tc>
        <w:tc>
          <w:tcPr>
            <w:tcW w:w="3660" w:type="dxa"/>
            <w:vAlign w:val="bottom"/>
            <w:gridSpan w:val="4"/>
          </w:tcPr>
          <w:p>
            <w:pPr>
              <w:spacing w:after="0" w:line="191" w:lineRule="exact"/>
              <w:rPr>
                <w:sz w:val="20"/>
                <w:szCs w:val="20"/>
                <w:color w:val="auto"/>
              </w:rPr>
            </w:pPr>
            <w:r>
              <w:rPr>
                <w:rFonts w:ascii="Arial" w:cs="Arial" w:eastAsia="Arial" w:hAnsi="Arial"/>
                <w:sz w:val="18"/>
                <w:szCs w:val="18"/>
                <w:color w:val="auto"/>
                <w:w w:val="97"/>
              </w:rPr>
              <w:t>Inline XBRL Instance Document – the instance</w:t>
            </w:r>
          </w:p>
        </w:tc>
        <w:tc>
          <w:tcPr>
            <w:tcW w:w="6340" w:type="dxa"/>
            <w:vAlign w:val="bottom"/>
            <w:gridSpan w:val="2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480" w:type="dxa"/>
            <w:vAlign w:val="bottom"/>
          </w:tcPr>
          <w:p>
            <w:pPr>
              <w:spacing w:after="0"/>
              <w:rPr>
                <w:sz w:val="20"/>
                <w:szCs w:val="20"/>
                <w:color w:val="auto"/>
              </w:rPr>
            </w:pPr>
          </w:p>
        </w:tc>
        <w:tc>
          <w:tcPr>
            <w:tcW w:w="10000" w:type="dxa"/>
            <w:vAlign w:val="bottom"/>
            <w:gridSpan w:val="33"/>
          </w:tcPr>
          <w:p>
            <w:pPr>
              <w:spacing w:after="0"/>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33"/>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635"/>
        </w:trPr>
        <w:tc>
          <w:tcPr>
            <w:tcW w:w="1480" w:type="dxa"/>
            <w:vAlign w:val="bottom"/>
          </w:tcPr>
          <w:p>
            <w:pPr>
              <w:spacing w:after="0"/>
              <w:rPr>
                <w:sz w:val="24"/>
                <w:szCs w:val="24"/>
                <w:color w:val="auto"/>
              </w:rPr>
            </w:pPr>
          </w:p>
        </w:tc>
        <w:tc>
          <w:tcPr>
            <w:tcW w:w="4640" w:type="dxa"/>
            <w:vAlign w:val="bottom"/>
            <w:gridSpan w:val="6"/>
          </w:tcPr>
          <w:p>
            <w:pPr>
              <w:ind w:left="400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4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13" w:name="page114"/>
    <w:bookmarkEnd w:id="113"/>
    <w:p>
      <w:pPr>
        <w:spacing w:after="0"/>
        <w:tabs>
          <w:tab w:leader="none" w:pos="14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as amended, except as shall be expressly set forth by specific reference in such filing.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any compensatory plan, contract or arrangement.</w:t>
      </w:r>
    </w:p>
    <w:p>
      <w:pPr>
        <w:spacing w:after="0" w:line="104" w:lineRule="exact"/>
        <w:rPr>
          <w:sz w:val="20"/>
          <w:szCs w:val="20"/>
          <w:color w:val="auto"/>
        </w:rPr>
      </w:pPr>
    </w:p>
    <w:p>
      <w:pPr>
        <w:ind w:firstLine="8"/>
        <w:spacing w:after="0" w:line="271" w:lineRule="auto"/>
        <w:tabs>
          <w:tab w:leader="none" w:pos="1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pursuant to Rule 406 promulgated under the Securities Act of 1933, as amended.</w:t>
      </w:r>
    </w:p>
    <w:p>
      <w:pPr>
        <w:spacing w:after="0" w:line="46" w:lineRule="exact"/>
        <w:rPr>
          <w:sz w:val="20"/>
          <w:szCs w:val="20"/>
          <w:color w:val="auto"/>
        </w:rPr>
      </w:pPr>
    </w:p>
    <w:p>
      <w:pPr>
        <w:ind w:right="40" w:firstLine="8"/>
        <w:spacing w:after="0" w:line="253" w:lineRule="auto"/>
        <w:tabs>
          <w:tab w:leader="none" w:pos="2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 under the Securities Act of 1933, as amended, because they are both (i) not material and (ii) the type that the Registrant treats as private or confidential. A copy of the omitted portions will be furnished to the SEC upon its request.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Certain information in this document (indicated by asterisks) has been excluded pursuant to Regulation S-K, Item 601(a)(6).</w:t>
      </w:r>
    </w:p>
    <w:p>
      <w:pPr>
        <w:spacing w:after="0" w:line="117" w:lineRule="exact"/>
        <w:rPr>
          <w:sz w:val="20"/>
          <w:szCs w:val="20"/>
          <w:color w:val="auto"/>
        </w:rPr>
      </w:pPr>
    </w:p>
    <w:p>
      <w:pPr>
        <w:ind w:right="900" w:firstLine="8"/>
        <w:spacing w:after="0" w:line="230" w:lineRule="auto"/>
        <w:tabs>
          <w:tab w:leader="none" w:pos="197" w:val="left"/>
        </w:tabs>
        <w:numPr>
          <w:ilvl w:val="0"/>
          <w:numId w:val="56"/>
        </w:numPr>
        <w:rPr>
          <w:rFonts w:ascii="Arial" w:cs="Arial" w:eastAsia="Arial" w:hAnsi="Arial"/>
          <w:sz w:val="23"/>
          <w:szCs w:val="23"/>
          <w:color w:val="auto"/>
          <w:vertAlign w:val="superscript"/>
        </w:rPr>
      </w:pPr>
      <w:r>
        <w:rPr>
          <w:rFonts w:ascii="Arial" w:cs="Arial" w:eastAsia="Arial" w:hAnsi="Arial"/>
          <w:sz w:val="17"/>
          <w:szCs w:val="17"/>
          <w:color w:val="auto"/>
        </w:rPr>
        <w:t>Certain schedules and exhibits have been excluded pursuant to Regulation S-K Item 601(a)(5). The Company agrees to furnish supplementally a copy of any omitted schedule or exhibit to the SEC upon its request.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40" w:type="dxa"/>
            <w:vAlign w:val="bottom"/>
            <w:gridSpan w:val="8"/>
            <w:vMerge w:val="restart"/>
          </w:tcPr>
          <w:p>
            <w:pPr>
              <w:spacing w:after="0"/>
              <w:rPr>
                <w:sz w:val="20"/>
                <w:szCs w:val="20"/>
                <w:color w:val="auto"/>
              </w:rPr>
            </w:pPr>
            <w:r>
              <w:rPr>
                <w:rFonts w:ascii="Arial" w:cs="Arial" w:eastAsia="Arial" w:hAnsi="Arial"/>
                <w:sz w:val="18"/>
                <w:szCs w:val="18"/>
                <w:color w:val="0000FF"/>
              </w:rPr>
              <w:t>Report of Independent Registered Public Accounting Firm (PCAOB ID 42)</w:t>
            </w:r>
          </w:p>
        </w:tc>
        <w:tc>
          <w:tcPr>
            <w:tcW w:w="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40" w:type="dxa"/>
            <w:vAlign w:val="bottom"/>
            <w:gridSpan w:val="8"/>
            <w:vMerge w:val="continue"/>
          </w:tcPr>
          <w:p>
            <w:pPr>
              <w:spacing w:after="0"/>
              <w:rPr>
                <w:sz w:val="14"/>
                <w:szCs w:val="14"/>
                <w:color w:val="auto"/>
              </w:rPr>
            </w:pPr>
          </w:p>
        </w:tc>
        <w:tc>
          <w:tcPr>
            <w:tcW w:w="3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6"/>
              </w:rPr>
              <w:t>F-2</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8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Consolidated Balance Sheets</w:t>
            </w:r>
          </w:p>
        </w:tc>
        <w:tc>
          <w:tcPr>
            <w:tcW w:w="4760" w:type="dxa"/>
            <w:vAlign w:val="bottom"/>
          </w:tcPr>
          <w:p>
            <w:pPr>
              <w:spacing w:after="0"/>
              <w:rPr>
                <w:sz w:val="15"/>
                <w:szCs w:val="15"/>
                <w:color w:val="auto"/>
              </w:rPr>
            </w:pPr>
          </w:p>
        </w:tc>
        <w:tc>
          <w:tcPr>
            <w:tcW w:w="600" w:type="dxa"/>
            <w:vAlign w:val="bottom"/>
            <w:gridSpan w:val="2"/>
          </w:tcPr>
          <w:p>
            <w:pPr>
              <w:jc w:val="center"/>
              <w:ind w:right="260"/>
              <w:spacing w:after="0" w:line="182"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183"/>
        </w:trPr>
        <w:tc>
          <w:tcPr>
            <w:tcW w:w="2360" w:type="dxa"/>
            <w:vAlign w:val="bottom"/>
            <w:tcBorders>
              <w:top w:val="single" w:sz="8" w:color="0000FF"/>
            </w:tcBorders>
          </w:tcPr>
          <w:p>
            <w:pPr>
              <w:spacing w:after="0" w:line="182" w:lineRule="exact"/>
              <w:rPr>
                <w:sz w:val="20"/>
                <w:szCs w:val="20"/>
                <w:color w:val="auto"/>
              </w:rPr>
            </w:pPr>
            <w:r>
              <w:rPr>
                <w:rFonts w:ascii="Arial" w:cs="Arial" w:eastAsia="Arial" w:hAnsi="Arial"/>
                <w:sz w:val="18"/>
                <w:szCs w:val="18"/>
                <w:color w:val="0000FF"/>
              </w:rPr>
              <w:t>Consolidated Statements of</w:t>
            </w:r>
          </w:p>
        </w:tc>
        <w:tc>
          <w:tcPr>
            <w:tcW w:w="20" w:type="dxa"/>
            <w:vAlign w:val="bottom"/>
            <w:tcBorders>
              <w:top w:val="single" w:sz="8" w:color="0000EE"/>
            </w:tcBorders>
          </w:tcPr>
          <w:p>
            <w:pPr>
              <w:spacing w:after="0"/>
              <w:rPr>
                <w:sz w:val="15"/>
                <w:szCs w:val="15"/>
                <w:color w:val="auto"/>
              </w:rPr>
            </w:pPr>
          </w:p>
        </w:tc>
        <w:tc>
          <w:tcPr>
            <w:tcW w:w="8260" w:type="dxa"/>
            <w:vAlign w:val="bottom"/>
            <w:gridSpan w:val="6"/>
          </w:tcPr>
          <w:p>
            <w:pPr>
              <w:spacing w:after="0" w:line="182" w:lineRule="exact"/>
              <w:rPr>
                <w:sz w:val="20"/>
                <w:szCs w:val="20"/>
                <w:color w:val="auto"/>
              </w:rPr>
            </w:pPr>
            <w:r>
              <w:rPr>
                <w:rFonts w:ascii="Arial" w:cs="Arial" w:eastAsia="Arial" w:hAnsi="Arial"/>
                <w:sz w:val="18"/>
                <w:szCs w:val="18"/>
                <w:color w:val="0000FF"/>
              </w:rPr>
              <w:t>Operations and Comprehensive Loss</w:t>
            </w:r>
          </w:p>
        </w:tc>
        <w:tc>
          <w:tcPr>
            <w:tcW w:w="600" w:type="dxa"/>
            <w:vAlign w:val="bottom"/>
            <w:gridSpan w:val="2"/>
          </w:tcPr>
          <w:p>
            <w:pPr>
              <w:jc w:val="center"/>
              <w:ind w:right="260"/>
              <w:spacing w:after="0" w:line="182"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83"/>
        </w:trPr>
        <w:tc>
          <w:tcPr>
            <w:tcW w:w="524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Consolidated Statements of Stockholders’ Equity</w:t>
            </w:r>
          </w:p>
        </w:tc>
        <w:tc>
          <w:tcPr>
            <w:tcW w:w="5400" w:type="dxa"/>
            <w:vAlign w:val="bottom"/>
            <w:gridSpan w:val="2"/>
          </w:tcPr>
          <w:p>
            <w:pPr>
              <w:spacing w:after="0"/>
              <w:rPr>
                <w:sz w:val="15"/>
                <w:szCs w:val="15"/>
                <w:color w:val="auto"/>
              </w:rPr>
            </w:pPr>
          </w:p>
        </w:tc>
        <w:tc>
          <w:tcPr>
            <w:tcW w:w="600" w:type="dxa"/>
            <w:vAlign w:val="bottom"/>
            <w:gridSpan w:val="2"/>
          </w:tcPr>
          <w:p>
            <w:pPr>
              <w:jc w:val="center"/>
              <w:ind w:right="260"/>
              <w:spacing w:after="0" w:line="182"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83"/>
        </w:trPr>
        <w:tc>
          <w:tcPr>
            <w:tcW w:w="39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Consolidated Statements of Cash Flows</w:t>
            </w:r>
          </w:p>
        </w:tc>
        <w:tc>
          <w:tcPr>
            <w:tcW w:w="6740" w:type="dxa"/>
            <w:vAlign w:val="bottom"/>
            <w:gridSpan w:val="3"/>
          </w:tcPr>
          <w:p>
            <w:pPr>
              <w:spacing w:after="0"/>
              <w:rPr>
                <w:sz w:val="15"/>
                <w:szCs w:val="15"/>
                <w:color w:val="auto"/>
              </w:rPr>
            </w:pPr>
          </w:p>
        </w:tc>
        <w:tc>
          <w:tcPr>
            <w:tcW w:w="600" w:type="dxa"/>
            <w:vAlign w:val="bottom"/>
            <w:gridSpan w:val="2"/>
          </w:tcPr>
          <w:p>
            <w:pPr>
              <w:jc w:val="center"/>
              <w:ind w:right="260"/>
              <w:spacing w:after="0" w:line="182"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322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40" w:type="dxa"/>
            <w:vAlign w:val="bottom"/>
            <w:gridSpan w:val="4"/>
          </w:tcPr>
          <w:p>
            <w:pPr>
              <w:spacing w:after="0" w:line="20" w:lineRule="exact"/>
              <w:rPr>
                <w:sz w:val="1"/>
                <w:szCs w:val="1"/>
                <w:color w:val="auto"/>
              </w:rPr>
            </w:pPr>
          </w:p>
        </w:tc>
        <w:tc>
          <w:tcPr>
            <w:tcW w:w="600" w:type="dxa"/>
            <w:vAlign w:val="bottom"/>
            <w:gridSpan w:val="2"/>
            <w:vMerge w:val="restart"/>
          </w:tcPr>
          <w:p>
            <w:pPr>
              <w:jc w:val="center"/>
              <w:ind w:right="260"/>
              <w:spacing w:after="0" w:line="202"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line="20" w:lineRule="exact"/>
              <w:rPr>
                <w:sz w:val="1"/>
                <w:szCs w:val="1"/>
                <w:color w:val="auto"/>
              </w:rPr>
            </w:pPr>
          </w:p>
        </w:tc>
      </w:tr>
      <w:tr>
        <w:trPr>
          <w:trHeight w:val="183"/>
        </w:trPr>
        <w:tc>
          <w:tcPr>
            <w:tcW w:w="10640" w:type="dxa"/>
            <w:vAlign w:val="bottom"/>
            <w:gridSpan w:val="8"/>
          </w:tcPr>
          <w:p>
            <w:pPr>
              <w:spacing w:after="0" w:line="182" w:lineRule="exact"/>
              <w:rPr>
                <w:sz w:val="20"/>
                <w:szCs w:val="20"/>
                <w:color w:val="auto"/>
              </w:rPr>
            </w:pPr>
            <w:r>
              <w:rPr>
                <w:rFonts w:ascii="Arial" w:cs="Arial" w:eastAsia="Arial" w:hAnsi="Arial"/>
                <w:sz w:val="18"/>
                <w:szCs w:val="18"/>
                <w:color w:val="0000FF"/>
              </w:rPr>
              <w:t>Notes to Consolidated Financial Statements</w:t>
            </w: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2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0" w:type="dxa"/>
            <w:vAlign w:val="bottom"/>
            <w:gridSpan w:val="2"/>
          </w:tcPr>
          <w:p>
            <w:pPr>
              <w:ind w:left="240"/>
              <w:spacing w:after="0"/>
              <w:rPr>
                <w:sz w:val="20"/>
                <w:szCs w:val="20"/>
                <w:color w:val="auto"/>
              </w:rPr>
            </w:pPr>
            <w:r>
              <w:rPr>
                <w:rFonts w:ascii="Arial" w:cs="Arial" w:eastAsia="Arial" w:hAnsi="Arial"/>
                <w:sz w:val="18"/>
                <w:szCs w:val="18"/>
                <w:color w:val="auto"/>
              </w:rPr>
              <w:t>F-1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2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5" w:name="page116"/>
    <w:bookmarkEnd w:id="115"/>
    <w:p>
      <w:pPr>
        <w:ind w:left="3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Aura Biosciences, Inc.</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consolidated balance sheets of Aura Biosciences, Inc. (the Company) as of December 31, 2025 and 2024, the related consolidated statements of operations and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financial statements, the Company has suffered recurring losses from operations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March 30, 2026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6" w:name="page117"/>
    <w:bookmarkEnd w:id="116"/>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 2025</w:t>
            </w:r>
          </w:p>
        </w:tc>
        <w:tc>
          <w:tcPr>
            <w:tcW w:w="1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December 31, 2024</w:t>
            </w:r>
          </w:p>
        </w:tc>
      </w:tr>
      <w:tr>
        <w:trPr>
          <w:trHeight w:val="196"/>
        </w:trPr>
        <w:tc>
          <w:tcPr>
            <w:tcW w:w="72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and cash equivalents</w:t>
            </w:r>
          </w:p>
        </w:tc>
        <w:tc>
          <w:tcPr>
            <w:tcW w:w="76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59,515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31,693</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84,726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119,401</w:t>
            </w:r>
          </w:p>
        </w:tc>
        <w:tc>
          <w:tcPr>
            <w:tcW w:w="100" w:type="dxa"/>
            <w:vAlign w:val="bottom"/>
          </w:tcPr>
          <w:p>
            <w:pPr>
              <w:spacing w:after="0"/>
              <w:rPr>
                <w:sz w:val="17"/>
                <w:szCs w:val="17"/>
                <w:color w:val="auto"/>
              </w:rPr>
            </w:pPr>
          </w:p>
        </w:tc>
      </w:tr>
      <w:tr>
        <w:trPr>
          <w:trHeight w:val="203"/>
        </w:trPr>
        <w:tc>
          <w:tcPr>
            <w:tcW w:w="72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5,498</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9,529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40" w:type="dxa"/>
            <w:vAlign w:val="bottom"/>
          </w:tcPr>
          <w:p>
            <w:pPr>
              <w:spacing w:after="0" w:line="196"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149,739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160,623</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cash and deposits</w:t>
            </w: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768</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Right-of-use assets - operating lease</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15,828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17,379</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518</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3,215</w:t>
            </w:r>
          </w:p>
        </w:tc>
        <w:tc>
          <w:tcPr>
            <w:tcW w:w="100" w:type="dxa"/>
            <w:vAlign w:val="bottom"/>
          </w:tcPr>
          <w:p>
            <w:pPr>
              <w:spacing w:after="0"/>
              <w:rPr>
                <w:sz w:val="17"/>
                <w:szCs w:val="17"/>
                <w:color w:val="auto"/>
              </w:rPr>
            </w:pPr>
          </w:p>
        </w:tc>
      </w:tr>
      <w:tr>
        <w:trPr>
          <w:trHeight w:val="236"/>
        </w:trPr>
        <w:tc>
          <w:tcPr>
            <w:tcW w:w="724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Total Assets</w:t>
            </w:r>
          </w:p>
        </w:tc>
        <w:tc>
          <w:tcPr>
            <w:tcW w:w="76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169,430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182,503</w:t>
            </w:r>
          </w:p>
        </w:tc>
        <w:tc>
          <w:tcPr>
            <w:tcW w:w="100" w:type="dxa"/>
            <w:vAlign w:val="bottom"/>
            <w:shd w:val="clear" w:color="auto" w:fill="CFF0FC"/>
          </w:tcPr>
          <w:p>
            <w:pPr>
              <w:spacing w:after="0"/>
              <w:rPr>
                <w:sz w:val="20"/>
                <w:szCs w:val="20"/>
                <w:color w:val="auto"/>
              </w:rPr>
            </w:pPr>
          </w:p>
        </w:tc>
      </w:tr>
      <w:tr>
        <w:trPr>
          <w:trHeight w:val="183"/>
        </w:trPr>
        <w:tc>
          <w:tcPr>
            <w:tcW w:w="724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CFF0FC"/>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2,304</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Short-term operating lease liability</w:t>
            </w: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3,149</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13,591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9,460</w:t>
            </w:r>
          </w:p>
        </w:tc>
        <w:tc>
          <w:tcPr>
            <w:tcW w:w="100" w:type="dxa"/>
            <w:vAlign w:val="bottom"/>
          </w:tcPr>
          <w:p>
            <w:pPr>
              <w:spacing w:after="0"/>
              <w:rPr>
                <w:sz w:val="17"/>
                <w:szCs w:val="17"/>
                <w:color w:val="auto"/>
              </w:rPr>
            </w:pPr>
          </w:p>
        </w:tc>
      </w:tr>
      <w:tr>
        <w:trPr>
          <w:trHeight w:val="196"/>
        </w:trPr>
        <w:tc>
          <w:tcPr>
            <w:tcW w:w="7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18,383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14,913</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Long-term operating lease liability</w:t>
            </w:r>
          </w:p>
        </w:tc>
        <w:tc>
          <w:tcPr>
            <w:tcW w:w="2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14,134</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15,620</w:t>
            </w:r>
          </w:p>
        </w:tc>
        <w:tc>
          <w:tcPr>
            <w:tcW w:w="100" w:type="dxa"/>
            <w:vAlign w:val="bottom"/>
          </w:tcPr>
          <w:p>
            <w:pPr>
              <w:spacing w:after="0"/>
              <w:rPr>
                <w:sz w:val="17"/>
                <w:szCs w:val="17"/>
                <w:color w:val="auto"/>
              </w:rPr>
            </w:pPr>
          </w:p>
        </w:tc>
      </w:tr>
      <w:tr>
        <w:trPr>
          <w:trHeight w:val="196"/>
        </w:trPr>
        <w:tc>
          <w:tcPr>
            <w:tcW w:w="724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32,517</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30,533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40" w:type="dxa"/>
            <w:vAlign w:val="bottom"/>
          </w:tcPr>
          <w:p>
            <w:pPr>
              <w:spacing w:after="0" w:line="196" w:lineRule="exact"/>
              <w:rPr>
                <w:sz w:val="20"/>
                <w:szCs w:val="20"/>
                <w:color w:val="auto"/>
              </w:rPr>
            </w:pPr>
            <w:r>
              <w:rPr>
                <w:rFonts w:ascii="Arial" w:cs="Arial" w:eastAsia="Arial" w:hAnsi="Arial"/>
                <w:sz w:val="18"/>
                <w:szCs w:val="18"/>
                <w:b w:val="1"/>
                <w:bCs w:val="1"/>
                <w:color w:val="auto"/>
              </w:rPr>
              <w:t>Commitments and Contingencies (Note 12)</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2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7240" w:type="dxa"/>
            <w:vAlign w:val="bottom"/>
          </w:tcPr>
          <w:p>
            <w:pPr>
              <w:spacing w:after="0" w:line="183" w:lineRule="exact"/>
              <w:rPr>
                <w:sz w:val="20"/>
                <w:szCs w:val="20"/>
                <w:color w:val="auto"/>
              </w:rPr>
            </w:pPr>
            <w:r>
              <w:rPr>
                <w:rFonts w:ascii="Arial" w:cs="Arial" w:eastAsia="Arial" w:hAnsi="Arial"/>
                <w:sz w:val="18"/>
                <w:szCs w:val="18"/>
                <w:color w:val="auto"/>
              </w:rPr>
              <w:t>Common stock, $0.00001 par value, 150,000,000 authorized at December 31, 2025 and</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December 31, 2024, and 63,587,777 and 49,998,279 shares issued and outstanding at</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240" w:type="dxa"/>
            <w:vAlign w:val="bottom"/>
          </w:tcPr>
          <w:p>
            <w:pPr>
              <w:spacing w:after="0"/>
              <w:rPr>
                <w:sz w:val="20"/>
                <w:szCs w:val="20"/>
                <w:color w:val="auto"/>
              </w:rPr>
            </w:pPr>
            <w:r>
              <w:rPr>
                <w:rFonts w:ascii="Arial" w:cs="Arial" w:eastAsia="Arial" w:hAnsi="Arial"/>
                <w:sz w:val="18"/>
                <w:szCs w:val="18"/>
                <w:color w:val="auto"/>
              </w:rPr>
              <w:t>December 31, 2025 and December 31, 2024, respectively</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3"/>
        </w:trPr>
        <w:tc>
          <w:tcPr>
            <w:tcW w:w="7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617,433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525,934</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(480,418)</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(374,227)</w:t>
            </w:r>
          </w:p>
        </w:tc>
      </w:tr>
      <w:tr>
        <w:trPr>
          <w:trHeight w:val="203"/>
        </w:trPr>
        <w:tc>
          <w:tcPr>
            <w:tcW w:w="7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(102)</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263</w:t>
            </w:r>
          </w:p>
        </w:tc>
        <w:tc>
          <w:tcPr>
            <w:tcW w:w="100" w:type="dxa"/>
            <w:vAlign w:val="bottom"/>
            <w:shd w:val="clear" w:color="auto" w:fill="CFF0FC"/>
          </w:tcPr>
          <w:p>
            <w:pPr>
              <w:spacing w:after="0"/>
              <w:rPr>
                <w:sz w:val="17"/>
                <w:szCs w:val="17"/>
                <w:color w:val="auto"/>
              </w:rPr>
            </w:pPr>
          </w:p>
        </w:tc>
      </w:tr>
      <w:tr>
        <w:trPr>
          <w:trHeight w:val="196"/>
        </w:trPr>
        <w:tc>
          <w:tcPr>
            <w:tcW w:w="7240" w:type="dxa"/>
            <w:vAlign w:val="bottom"/>
            <w:tcBorders>
              <w:top w:val="single" w:sz="8" w:color="CFF0FC"/>
            </w:tcBorders>
          </w:tcPr>
          <w:p>
            <w:pPr>
              <w:ind w:left="140"/>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CFF0FC"/>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136,913</w:t>
            </w: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151,970</w:t>
            </w:r>
          </w:p>
        </w:tc>
        <w:tc>
          <w:tcPr>
            <w:tcW w:w="100" w:type="dxa"/>
            <w:vAlign w:val="bottom"/>
            <w:tcBorders>
              <w:top w:val="single" w:sz="8" w:color="CFF0FC"/>
            </w:tcBorders>
          </w:tcPr>
          <w:p>
            <w:pPr>
              <w:spacing w:after="0"/>
              <w:rPr>
                <w:sz w:val="17"/>
                <w:szCs w:val="17"/>
                <w:color w:val="auto"/>
              </w:rPr>
            </w:pPr>
          </w:p>
        </w:tc>
      </w:tr>
      <w:tr>
        <w:trPr>
          <w:trHeight w:val="216"/>
        </w:trPr>
        <w:tc>
          <w:tcPr>
            <w:tcW w:w="724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76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169,430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182,503</w:t>
            </w:r>
          </w:p>
        </w:tc>
        <w:tc>
          <w:tcPr>
            <w:tcW w:w="100" w:type="dxa"/>
            <w:vAlign w:val="bottom"/>
            <w:shd w:val="clear" w:color="auto" w:fill="CFF0FC"/>
          </w:tcPr>
          <w:p>
            <w:pPr>
              <w:spacing w:after="0"/>
              <w:rPr>
                <w:sz w:val="18"/>
                <w:szCs w:val="18"/>
                <w:color w:val="auto"/>
              </w:rPr>
            </w:pPr>
          </w:p>
        </w:tc>
      </w:tr>
      <w:tr>
        <w:trPr>
          <w:trHeight w:val="20"/>
        </w:trPr>
        <w:tc>
          <w:tcPr>
            <w:tcW w:w="7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-3196590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-2407920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-2390775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-1336675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-299720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7" w:name="page118"/>
    <w:bookmarkEnd w:id="117"/>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Year Ended</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6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4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90,300</w:t>
            </w:r>
          </w:p>
        </w:tc>
        <w:tc>
          <w:tcPr>
            <w:tcW w:w="220" w:type="dxa"/>
            <w:vAlign w:val="bottom"/>
          </w:tcPr>
          <w:p>
            <w:pPr>
              <w:spacing w:after="0"/>
              <w:rPr>
                <w:sz w:val="17"/>
                <w:szCs w:val="17"/>
                <w:color w:val="auto"/>
              </w:rPr>
            </w:pPr>
          </w:p>
        </w:tc>
        <w:tc>
          <w:tcPr>
            <w:tcW w:w="640" w:type="dxa"/>
            <w:vAlign w:val="bottom"/>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73,302</w:t>
            </w:r>
          </w:p>
        </w:tc>
        <w:tc>
          <w:tcPr>
            <w:tcW w:w="100" w:type="dxa"/>
            <w:vAlign w:val="bottom"/>
          </w:tcPr>
          <w:p>
            <w:pPr>
              <w:spacing w:after="0"/>
              <w:rPr>
                <w:sz w:val="17"/>
                <w:szCs w:val="17"/>
                <w:color w:val="auto"/>
              </w:rPr>
            </w:pPr>
          </w:p>
        </w:tc>
      </w:tr>
      <w:tr>
        <w:trPr>
          <w:trHeight w:val="203"/>
        </w:trPr>
        <w:tc>
          <w:tcPr>
            <w:tcW w:w="62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22,491</w:t>
            </w:r>
          </w:p>
        </w:tc>
        <w:tc>
          <w:tcPr>
            <w:tcW w:w="2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22,814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00" w:type="dxa"/>
            <w:vAlign w:val="bottom"/>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10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112,791</w:t>
            </w:r>
          </w:p>
        </w:tc>
        <w:tc>
          <w:tcPr>
            <w:tcW w:w="2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96,116</w:t>
            </w:r>
          </w:p>
        </w:tc>
        <w:tc>
          <w:tcPr>
            <w:tcW w:w="100" w:type="dxa"/>
            <w:vAlign w:val="bottom"/>
          </w:tcPr>
          <w:p>
            <w:pPr>
              <w:spacing w:after="0"/>
              <w:rPr>
                <w:sz w:val="17"/>
                <w:szCs w:val="17"/>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operating loss</w:t>
            </w: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(112,791)</w:t>
            </w:r>
          </w:p>
        </w:tc>
        <w:tc>
          <w:tcPr>
            <w:tcW w:w="6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(96,116)</w:t>
            </w:r>
          </w:p>
        </w:tc>
      </w:tr>
      <w:tr>
        <w:trPr>
          <w:trHeight w:val="196"/>
        </w:trPr>
        <w:tc>
          <w:tcPr>
            <w:tcW w:w="62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Other income (expense):</w:t>
            </w:r>
          </w:p>
        </w:tc>
        <w:tc>
          <w:tcPr>
            <w:tcW w:w="10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62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 including amortization and accretion income</w:t>
            </w:r>
          </w:p>
        </w:tc>
        <w:tc>
          <w:tcPr>
            <w:tcW w:w="1000" w:type="dxa"/>
            <w:vAlign w:val="bottom"/>
            <w:shd w:val="clear" w:color="auto" w:fill="CFF0FC"/>
          </w:tcPr>
          <w:p>
            <w:pPr>
              <w:spacing w:after="0"/>
              <w:rPr>
                <w:sz w:val="17"/>
                <w:szCs w:val="17"/>
                <w:color w:val="auto"/>
              </w:rPr>
            </w:pPr>
          </w:p>
        </w:tc>
        <w:tc>
          <w:tcPr>
            <w:tcW w:w="400" w:type="dxa"/>
            <w:vAlign w:val="bottom"/>
            <w:shd w:val="clear" w:color="auto" w:fill="CCECFF"/>
          </w:tcPr>
          <w:p>
            <w:pPr>
              <w:spacing w:after="0"/>
              <w:rPr>
                <w:sz w:val="17"/>
                <w:szCs w:val="17"/>
                <w:color w:val="auto"/>
              </w:rPr>
            </w:pPr>
          </w:p>
        </w:tc>
        <w:tc>
          <w:tcPr>
            <w:tcW w:w="14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6,631</w:t>
            </w:r>
          </w:p>
        </w:tc>
        <w:tc>
          <w:tcPr>
            <w:tcW w:w="220" w:type="dxa"/>
            <w:vAlign w:val="bottom"/>
            <w:shd w:val="clear" w:color="auto" w:fill="CCECFF"/>
          </w:tcPr>
          <w:p>
            <w:pPr>
              <w:spacing w:after="0"/>
              <w:rPr>
                <w:sz w:val="17"/>
                <w:szCs w:val="17"/>
                <w:color w:val="auto"/>
              </w:rPr>
            </w:pPr>
          </w:p>
        </w:tc>
        <w:tc>
          <w:tcPr>
            <w:tcW w:w="640" w:type="dxa"/>
            <w:vAlign w:val="bottom"/>
            <w:shd w:val="clear" w:color="auto" w:fill="CCECFF"/>
          </w:tcPr>
          <w:p>
            <w:pPr>
              <w:spacing w:after="0"/>
              <w:rPr>
                <w:sz w:val="17"/>
                <w:szCs w:val="17"/>
                <w:color w:val="auto"/>
              </w:rPr>
            </w:pPr>
          </w:p>
        </w:tc>
        <w:tc>
          <w:tcPr>
            <w:tcW w:w="12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9,429</w:t>
            </w:r>
          </w:p>
        </w:tc>
        <w:tc>
          <w:tcPr>
            <w:tcW w:w="100" w:type="dxa"/>
            <w:vAlign w:val="bottom"/>
            <w:shd w:val="clear" w:color="auto" w:fill="CCECFF"/>
          </w:tcPr>
          <w:p>
            <w:pPr>
              <w:spacing w:after="0"/>
              <w:rPr>
                <w:sz w:val="17"/>
                <w:szCs w:val="17"/>
                <w:color w:val="auto"/>
              </w:rPr>
            </w:pPr>
          </w:p>
        </w:tc>
      </w:tr>
      <w:tr>
        <w:trPr>
          <w:trHeight w:val="203"/>
        </w:trPr>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(120)</w:t>
            </w: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other income</w:t>
            </w:r>
          </w:p>
        </w:tc>
        <w:tc>
          <w:tcPr>
            <w:tcW w:w="100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6,708</w:t>
            </w:r>
          </w:p>
        </w:tc>
        <w:tc>
          <w:tcPr>
            <w:tcW w:w="220" w:type="dxa"/>
            <w:vAlign w:val="bottom"/>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9,309</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Loss before income taxes</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(106,083)</w:t>
            </w:r>
          </w:p>
        </w:tc>
        <w:tc>
          <w:tcPr>
            <w:tcW w:w="64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(86,807)</w:t>
            </w: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provision, net</w:t>
            </w: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(108)</w:t>
            </w:r>
          </w:p>
        </w:tc>
        <w:tc>
          <w:tcPr>
            <w:tcW w:w="6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(112)</w:t>
            </w:r>
          </w:p>
        </w:tc>
      </w:tr>
      <w:tr>
        <w:trPr>
          <w:trHeight w:val="20"/>
        </w:trPr>
        <w:tc>
          <w:tcPr>
            <w:tcW w:w="620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(106,191)</w:t>
            </w:r>
          </w:p>
        </w:tc>
        <w:tc>
          <w:tcPr>
            <w:tcW w:w="640" w:type="dxa"/>
            <w:vAlign w:val="bottom"/>
          </w:tcPr>
          <w:p>
            <w:pPr>
              <w:spacing w:after="0"/>
              <w:rPr>
                <w:sz w:val="17"/>
                <w:szCs w:val="17"/>
                <w:color w:val="auto"/>
              </w:rPr>
            </w:pPr>
          </w:p>
        </w:tc>
        <w:tc>
          <w:tcPr>
            <w:tcW w:w="13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(86,919)</w:t>
            </w:r>
          </w:p>
        </w:tc>
      </w:tr>
      <w:tr>
        <w:trPr>
          <w:trHeight w:val="20"/>
        </w:trPr>
        <w:tc>
          <w:tcPr>
            <w:tcW w:w="6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2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loss per common share—basic and diluted</w:t>
            </w: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8"/>
                <w:szCs w:val="18"/>
                <w:color w:val="auto"/>
              </w:rPr>
              <w:t>(1.76)</w:t>
            </w:r>
          </w:p>
        </w:tc>
        <w:tc>
          <w:tcPr>
            <w:tcW w:w="6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(1.75)</w:t>
            </w:r>
          </w:p>
        </w:tc>
      </w:tr>
      <w:tr>
        <w:trPr>
          <w:trHeight w:val="183"/>
        </w:trPr>
        <w:tc>
          <w:tcPr>
            <w:tcW w:w="620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Weighted average common stock outstanding—basic and diluted</w:t>
            </w:r>
          </w:p>
        </w:tc>
        <w:tc>
          <w:tcPr>
            <w:tcW w:w="1000" w:type="dxa"/>
            <w:vAlign w:val="bottom"/>
            <w:tcBorders>
              <w:top w:val="single" w:sz="8" w:color="CFF0FC"/>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60,337,608</w:t>
            </w:r>
          </w:p>
        </w:tc>
        <w:tc>
          <w:tcPr>
            <w:tcW w:w="220" w:type="dxa"/>
            <w:vAlign w:val="bottom"/>
            <w:tcBorders>
              <w:top w:val="single" w:sz="8" w:color="CFF0FC"/>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49,650,480</w:t>
            </w:r>
          </w:p>
        </w:tc>
        <w:tc>
          <w:tcPr>
            <w:tcW w:w="100" w:type="dxa"/>
            <w:vAlign w:val="bottom"/>
            <w:tcBorders>
              <w:top w:val="single" w:sz="8" w:color="CFF0FC"/>
            </w:tcBorders>
          </w:tcPr>
          <w:p>
            <w:pPr>
              <w:spacing w:after="0"/>
              <w:rPr>
                <w:sz w:val="15"/>
                <w:szCs w:val="15"/>
                <w:color w:val="auto"/>
              </w:rPr>
            </w:pPr>
          </w:p>
        </w:tc>
      </w:tr>
      <w:tr>
        <w:trPr>
          <w:trHeight w:val="20"/>
        </w:trPr>
        <w:tc>
          <w:tcPr>
            <w:tcW w:w="6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Comprehensive loss:</w:t>
            </w:r>
          </w:p>
        </w:tc>
        <w:tc>
          <w:tcPr>
            <w:tcW w:w="10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(106,191)</w:t>
            </w:r>
          </w:p>
        </w:tc>
        <w:tc>
          <w:tcPr>
            <w:tcW w:w="640" w:type="dxa"/>
            <w:vAlign w:val="bottom"/>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(86,919)</w:t>
            </w: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comprehensive items:</w:t>
            </w: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Unrealized loss on marketable securities</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(179)</w:t>
            </w:r>
          </w:p>
        </w:tc>
        <w:tc>
          <w:tcPr>
            <w:tcW w:w="64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(271)</w:t>
            </w:r>
          </w:p>
        </w:tc>
      </w:tr>
      <w:tr>
        <w:trPr>
          <w:trHeight w:val="203"/>
        </w:trPr>
        <w:tc>
          <w:tcPr>
            <w:tcW w:w="62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Currency translation adjustment</w:t>
            </w: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(186)</w:t>
            </w:r>
          </w:p>
        </w:tc>
        <w:tc>
          <w:tcPr>
            <w:tcW w:w="6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w:t>
            </w:r>
          </w:p>
        </w:tc>
      </w:tr>
      <w:tr>
        <w:trPr>
          <w:trHeight w:val="20"/>
        </w:trPr>
        <w:tc>
          <w:tcPr>
            <w:tcW w:w="620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spacing w:after="0" w:line="196" w:lineRule="exact"/>
              <w:rPr>
                <w:sz w:val="20"/>
                <w:szCs w:val="20"/>
                <w:color w:val="auto"/>
              </w:rPr>
            </w:pPr>
            <w:r>
              <w:rPr>
                <w:rFonts w:ascii="Arial" w:cs="Arial" w:eastAsia="Arial" w:hAnsi="Arial"/>
                <w:sz w:val="18"/>
                <w:szCs w:val="18"/>
                <w:color w:val="auto"/>
              </w:rPr>
              <w:t>Total other comprehensive loss</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(365)</w:t>
            </w:r>
          </w:p>
        </w:tc>
        <w:tc>
          <w:tcPr>
            <w:tcW w:w="640" w:type="dxa"/>
            <w:vAlign w:val="bottom"/>
          </w:tcPr>
          <w:p>
            <w:pPr>
              <w:spacing w:after="0"/>
              <w:rPr>
                <w:sz w:val="17"/>
                <w:szCs w:val="17"/>
                <w:color w:val="auto"/>
              </w:rPr>
            </w:pPr>
          </w:p>
        </w:tc>
        <w:tc>
          <w:tcPr>
            <w:tcW w:w="13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(276)</w:t>
            </w:r>
          </w:p>
        </w:tc>
      </w:tr>
      <w:tr>
        <w:trPr>
          <w:trHeight w:val="20"/>
        </w:trPr>
        <w:tc>
          <w:tcPr>
            <w:tcW w:w="6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comprehensive loss</w:t>
            </w: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(106,556)</w:t>
            </w:r>
          </w:p>
        </w:tc>
        <w:tc>
          <w:tcPr>
            <w:tcW w:w="64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(87,195)</w:t>
            </w: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-2476500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-2202815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-2202815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-1413510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-1122045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-1104900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-299720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8" w:name="page119"/>
    <w:bookmarkEnd w:id="118"/>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240" w:type="dxa"/>
            <w:vAlign w:val="bottom"/>
          </w:tcPr>
          <w:p>
            <w:pPr>
              <w:spacing w:after="0"/>
              <w:rPr>
                <w:sz w:val="17"/>
                <w:szCs w:val="17"/>
                <w:color w:val="auto"/>
              </w:rPr>
            </w:pPr>
          </w:p>
        </w:tc>
        <w:tc>
          <w:tcPr>
            <w:tcW w:w="198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54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8"/>
        </w:trPr>
        <w:tc>
          <w:tcPr>
            <w:tcW w:w="3240" w:type="dxa"/>
            <w:vAlign w:val="bottom"/>
          </w:tcPr>
          <w:p>
            <w:pPr>
              <w:spacing w:after="0"/>
              <w:rPr>
                <w:sz w:val="19"/>
                <w:szCs w:val="19"/>
                <w:color w:val="auto"/>
              </w:rPr>
            </w:pPr>
          </w:p>
        </w:tc>
        <w:tc>
          <w:tcPr>
            <w:tcW w:w="2160" w:type="dxa"/>
            <w:vAlign w:val="bottom"/>
            <w:tcBorders>
              <w:bottom w:val="single" w:sz="8" w:color="auto"/>
            </w:tcBorders>
            <w:gridSpan w:val="2"/>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0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98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Other Comprehensive</w:t>
            </w:r>
          </w:p>
        </w:tc>
        <w:tc>
          <w:tcPr>
            <w:tcW w:w="154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Stockholders’</w:t>
            </w:r>
          </w:p>
        </w:tc>
      </w:tr>
      <w:tr>
        <w:trPr>
          <w:trHeight w:val="196"/>
        </w:trPr>
        <w:tc>
          <w:tcPr>
            <w:tcW w:w="3240" w:type="dxa"/>
            <w:vAlign w:val="bottom"/>
          </w:tcPr>
          <w:p>
            <w:pPr>
              <w:spacing w:after="0"/>
              <w:rPr>
                <w:sz w:val="17"/>
                <w:szCs w:val="17"/>
                <w:color w:val="auto"/>
              </w:rPr>
            </w:pPr>
          </w:p>
        </w:tc>
        <w:tc>
          <w:tcPr>
            <w:tcW w:w="13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9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15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223"/>
        </w:trPr>
        <w:tc>
          <w:tcPr>
            <w:tcW w:w="32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Balance, December 31, 2024</w:t>
            </w:r>
          </w:p>
        </w:tc>
        <w:tc>
          <w:tcPr>
            <w:tcW w:w="1320" w:type="dxa"/>
            <w:vAlign w:val="bottom"/>
            <w:tcBorders>
              <w:bottom w:val="single" w:sz="8" w:color="auto"/>
            </w:tcBorders>
            <w:shd w:val="clear" w:color="auto" w:fill="CFF0FC"/>
          </w:tcPr>
          <w:p>
            <w:pPr>
              <w:jc w:val="right"/>
              <w:ind w:right="15"/>
              <w:spacing w:after="0" w:line="183" w:lineRule="exact"/>
              <w:rPr>
                <w:sz w:val="20"/>
                <w:szCs w:val="20"/>
                <w:color w:val="auto"/>
              </w:rPr>
            </w:pPr>
            <w:r>
              <w:rPr>
                <w:rFonts w:ascii="Arial" w:cs="Arial" w:eastAsia="Arial" w:hAnsi="Arial"/>
                <w:sz w:val="17"/>
                <w:szCs w:val="17"/>
                <w:color w:val="auto"/>
              </w:rPr>
              <w:t>49,998,279</w:t>
            </w:r>
          </w:p>
        </w:tc>
        <w:tc>
          <w:tcPr>
            <w:tcW w:w="8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$525,934</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$(374,227)</w:t>
            </w:r>
          </w:p>
        </w:tc>
        <w:tc>
          <w:tcPr>
            <w:tcW w:w="1980" w:type="dxa"/>
            <w:vAlign w:val="bottom"/>
            <w:tcBorders>
              <w:bottom w:val="single" w:sz="8" w:color="auto"/>
            </w:tcBorders>
            <w:shd w:val="clear" w:color="auto" w:fill="CFF0FC"/>
          </w:tcPr>
          <w:p>
            <w:pPr>
              <w:jc w:val="right"/>
              <w:ind w:right="95"/>
              <w:spacing w:after="0" w:line="183" w:lineRule="exact"/>
              <w:rPr>
                <w:sz w:val="20"/>
                <w:szCs w:val="20"/>
                <w:color w:val="auto"/>
              </w:rPr>
            </w:pPr>
            <w:r>
              <w:rPr>
                <w:rFonts w:ascii="Arial" w:cs="Arial" w:eastAsia="Arial" w:hAnsi="Arial"/>
                <w:sz w:val="17"/>
                <w:szCs w:val="17"/>
                <w:color w:val="auto"/>
              </w:rPr>
              <w:t>$263</w:t>
            </w: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151,970</w:t>
            </w:r>
          </w:p>
        </w:tc>
      </w:tr>
      <w:tr>
        <w:trPr>
          <w:trHeight w:val="169"/>
        </w:trPr>
        <w:tc>
          <w:tcPr>
            <w:tcW w:w="3240" w:type="dxa"/>
            <w:vAlign w:val="bottom"/>
          </w:tcPr>
          <w:p>
            <w:pPr>
              <w:spacing w:after="0" w:line="170" w:lineRule="exact"/>
              <w:rPr>
                <w:sz w:val="20"/>
                <w:szCs w:val="20"/>
                <w:color w:val="auto"/>
              </w:rPr>
            </w:pPr>
            <w:r>
              <w:rPr>
                <w:rFonts w:ascii="Arial" w:cs="Arial" w:eastAsia="Arial" w:hAnsi="Arial"/>
                <w:sz w:val="17"/>
                <w:szCs w:val="17"/>
                <w:color w:val="auto"/>
              </w:rPr>
              <w:t>Stock-based compensation expense</w:t>
            </w:r>
          </w:p>
        </w:tc>
        <w:tc>
          <w:tcPr>
            <w:tcW w:w="1320" w:type="dxa"/>
            <w:vAlign w:val="bottom"/>
          </w:tcPr>
          <w:p>
            <w:pPr>
              <w:jc w:val="right"/>
              <w:ind w:right="15"/>
              <w:spacing w:after="0" w:line="170"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70"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70" w:lineRule="exact"/>
              <w:rPr>
                <w:sz w:val="20"/>
                <w:szCs w:val="20"/>
                <w:color w:val="auto"/>
              </w:rPr>
            </w:pPr>
            <w:r>
              <w:rPr>
                <w:rFonts w:ascii="Arial" w:cs="Arial" w:eastAsia="Arial" w:hAnsi="Arial"/>
                <w:sz w:val="17"/>
                <w:szCs w:val="17"/>
                <w:color w:val="auto"/>
              </w:rPr>
              <w:t>14,317</w:t>
            </w:r>
          </w:p>
        </w:tc>
        <w:tc>
          <w:tcPr>
            <w:tcW w:w="1240" w:type="dxa"/>
            <w:vAlign w:val="bottom"/>
          </w:tcPr>
          <w:p>
            <w:pPr>
              <w:jc w:val="right"/>
              <w:spacing w:after="0" w:line="170" w:lineRule="exact"/>
              <w:rPr>
                <w:sz w:val="20"/>
                <w:szCs w:val="20"/>
                <w:color w:val="auto"/>
              </w:rPr>
            </w:pPr>
            <w:r>
              <w:rPr>
                <w:rFonts w:ascii="Arial" w:cs="Arial" w:eastAsia="Arial" w:hAnsi="Arial"/>
                <w:sz w:val="17"/>
                <w:szCs w:val="17"/>
                <w:color w:val="auto"/>
              </w:rPr>
              <w:t>—</w:t>
            </w:r>
          </w:p>
        </w:tc>
        <w:tc>
          <w:tcPr>
            <w:tcW w:w="1980" w:type="dxa"/>
            <w:vAlign w:val="bottom"/>
          </w:tcPr>
          <w:p>
            <w:pPr>
              <w:jc w:val="right"/>
              <w:ind w:right="95"/>
              <w:spacing w:after="0" w:line="170" w:lineRule="exact"/>
              <w:rPr>
                <w:sz w:val="20"/>
                <w:szCs w:val="20"/>
                <w:color w:val="auto"/>
              </w:rPr>
            </w:pPr>
            <w:r>
              <w:rPr>
                <w:rFonts w:ascii="Arial" w:cs="Arial" w:eastAsia="Arial" w:hAnsi="Arial"/>
                <w:sz w:val="17"/>
                <w:szCs w:val="17"/>
                <w:color w:val="auto"/>
              </w:rPr>
              <w:t>—</w:t>
            </w:r>
          </w:p>
        </w:tc>
        <w:tc>
          <w:tcPr>
            <w:tcW w:w="1540" w:type="dxa"/>
            <w:vAlign w:val="bottom"/>
          </w:tcPr>
          <w:p>
            <w:pPr>
              <w:jc w:val="right"/>
              <w:spacing w:after="0" w:line="170" w:lineRule="exact"/>
              <w:rPr>
                <w:sz w:val="20"/>
                <w:szCs w:val="20"/>
                <w:color w:val="auto"/>
              </w:rPr>
            </w:pPr>
            <w:r>
              <w:rPr>
                <w:rFonts w:ascii="Arial" w:cs="Arial" w:eastAsia="Arial" w:hAnsi="Arial"/>
                <w:sz w:val="17"/>
                <w:szCs w:val="17"/>
                <w:color w:val="auto"/>
              </w:rPr>
              <w:t>14,317</w:t>
            </w:r>
          </w:p>
        </w:tc>
      </w:tr>
      <w:tr>
        <w:trPr>
          <w:trHeight w:val="189"/>
        </w:trPr>
        <w:tc>
          <w:tcPr>
            <w:tcW w:w="32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Employee Stock Purchase Plan Issuance</w:t>
            </w:r>
          </w:p>
        </w:tc>
        <w:tc>
          <w:tcPr>
            <w:tcW w:w="1320" w:type="dxa"/>
            <w:vAlign w:val="bottom"/>
            <w:shd w:val="clear" w:color="auto" w:fill="CFF0FC"/>
          </w:tcPr>
          <w:p>
            <w:pPr>
              <w:jc w:val="right"/>
              <w:ind w:right="15"/>
              <w:spacing w:after="0" w:line="189" w:lineRule="exact"/>
              <w:rPr>
                <w:sz w:val="20"/>
                <w:szCs w:val="20"/>
                <w:color w:val="auto"/>
              </w:rPr>
            </w:pPr>
            <w:r>
              <w:rPr>
                <w:rFonts w:ascii="Arial" w:cs="Arial" w:eastAsia="Arial" w:hAnsi="Arial"/>
                <w:sz w:val="17"/>
                <w:szCs w:val="17"/>
                <w:color w:val="auto"/>
              </w:rPr>
              <w:t>28,125</w:t>
            </w:r>
          </w:p>
        </w:tc>
        <w:tc>
          <w:tcPr>
            <w:tcW w:w="8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164</w:t>
            </w: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98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5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164</w:t>
            </w:r>
          </w:p>
        </w:tc>
      </w:tr>
      <w:tr>
        <w:trPr>
          <w:trHeight w:val="189"/>
        </w:trPr>
        <w:tc>
          <w:tcPr>
            <w:tcW w:w="3240" w:type="dxa"/>
            <w:vAlign w:val="bottom"/>
          </w:tcPr>
          <w:p>
            <w:pPr>
              <w:spacing w:after="0" w:line="189" w:lineRule="exact"/>
              <w:rPr>
                <w:sz w:val="20"/>
                <w:szCs w:val="20"/>
                <w:color w:val="auto"/>
              </w:rPr>
            </w:pPr>
            <w:r>
              <w:rPr>
                <w:rFonts w:ascii="Arial" w:cs="Arial" w:eastAsia="Arial" w:hAnsi="Arial"/>
                <w:sz w:val="17"/>
                <w:szCs w:val="17"/>
                <w:color w:val="auto"/>
              </w:rPr>
              <w:t>Vesting of restricted stock</w:t>
            </w:r>
          </w:p>
        </w:tc>
        <w:tc>
          <w:tcPr>
            <w:tcW w:w="13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532,401</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9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5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32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Stock option exercises</w:t>
            </w:r>
          </w:p>
        </w:tc>
        <w:tc>
          <w:tcPr>
            <w:tcW w:w="1320" w:type="dxa"/>
            <w:vAlign w:val="bottom"/>
            <w:shd w:val="clear" w:color="auto" w:fill="CFF0FC"/>
          </w:tcPr>
          <w:p>
            <w:pPr>
              <w:jc w:val="right"/>
              <w:ind w:right="15"/>
              <w:spacing w:after="0" w:line="189" w:lineRule="exact"/>
              <w:rPr>
                <w:sz w:val="20"/>
                <w:szCs w:val="20"/>
                <w:color w:val="auto"/>
              </w:rPr>
            </w:pPr>
            <w:r>
              <w:rPr>
                <w:rFonts w:ascii="Arial" w:cs="Arial" w:eastAsia="Arial" w:hAnsi="Arial"/>
                <w:sz w:val="17"/>
                <w:szCs w:val="17"/>
                <w:color w:val="auto"/>
              </w:rPr>
              <w:t>238,045</w:t>
            </w:r>
          </w:p>
        </w:tc>
        <w:tc>
          <w:tcPr>
            <w:tcW w:w="8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1,010</w:t>
            </w: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98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5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1,010</w:t>
            </w:r>
          </w:p>
        </w:tc>
      </w:tr>
      <w:tr>
        <w:trPr>
          <w:trHeight w:val="189"/>
        </w:trPr>
        <w:tc>
          <w:tcPr>
            <w:tcW w:w="3240" w:type="dxa"/>
            <w:vAlign w:val="bottom"/>
          </w:tcPr>
          <w:p>
            <w:pPr>
              <w:spacing w:after="0" w:line="189" w:lineRule="exact"/>
              <w:rPr>
                <w:sz w:val="20"/>
                <w:szCs w:val="20"/>
                <w:color w:val="auto"/>
              </w:rPr>
            </w:pPr>
            <w:r>
              <w:rPr>
                <w:rFonts w:ascii="Arial" w:cs="Arial" w:eastAsia="Arial" w:hAnsi="Arial"/>
                <w:sz w:val="17"/>
                <w:szCs w:val="17"/>
                <w:color w:val="auto"/>
              </w:rPr>
              <w:t>Unrealized loss on marketable securities</w:t>
            </w:r>
          </w:p>
        </w:tc>
        <w:tc>
          <w:tcPr>
            <w:tcW w:w="13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9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(179)</w:t>
            </w:r>
          </w:p>
        </w:tc>
        <w:tc>
          <w:tcPr>
            <w:tcW w:w="1540" w:type="dxa"/>
            <w:vAlign w:val="bottom"/>
          </w:tcPr>
          <w:p>
            <w:pPr>
              <w:jc w:val="right"/>
              <w:spacing w:after="0" w:line="189" w:lineRule="exact"/>
              <w:rPr>
                <w:sz w:val="20"/>
                <w:szCs w:val="20"/>
                <w:color w:val="auto"/>
              </w:rPr>
            </w:pPr>
            <w:r>
              <w:rPr>
                <w:rFonts w:ascii="Arial" w:cs="Arial" w:eastAsia="Arial" w:hAnsi="Arial"/>
                <w:sz w:val="17"/>
                <w:szCs w:val="17"/>
                <w:color w:val="auto"/>
              </w:rPr>
              <w:t>(179)</w:t>
            </w:r>
          </w:p>
        </w:tc>
      </w:tr>
      <w:tr>
        <w:trPr>
          <w:trHeight w:val="167"/>
        </w:trPr>
        <w:tc>
          <w:tcPr>
            <w:tcW w:w="3240" w:type="dxa"/>
            <w:vAlign w:val="bottom"/>
            <w:shd w:val="clear" w:color="auto" w:fill="CFF0FC"/>
          </w:tcPr>
          <w:p>
            <w:pPr>
              <w:spacing w:after="0" w:line="167" w:lineRule="exact"/>
              <w:rPr>
                <w:sz w:val="20"/>
                <w:szCs w:val="20"/>
                <w:color w:val="auto"/>
              </w:rPr>
            </w:pPr>
            <w:r>
              <w:rPr>
                <w:rFonts w:ascii="Arial" w:cs="Arial" w:eastAsia="Arial" w:hAnsi="Arial"/>
                <w:sz w:val="17"/>
                <w:szCs w:val="17"/>
                <w:color w:val="auto"/>
              </w:rPr>
              <w:t>Issuance of common stock through follow-</w:t>
            </w:r>
          </w:p>
        </w:tc>
        <w:tc>
          <w:tcPr>
            <w:tcW w:w="13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9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r>
      <w:tr>
        <w:trPr>
          <w:trHeight w:val="211"/>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on offering, net of issuance costs of $384</w:t>
            </w:r>
          </w:p>
        </w:tc>
        <w:tc>
          <w:tcPr>
            <w:tcW w:w="13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11,735,565</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46,517</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98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46,517</w:t>
            </w:r>
          </w:p>
        </w:tc>
      </w:tr>
      <w:tr>
        <w:trPr>
          <w:trHeight w:val="167"/>
        </w:trPr>
        <w:tc>
          <w:tcPr>
            <w:tcW w:w="3240" w:type="dxa"/>
            <w:vAlign w:val="bottom"/>
          </w:tcPr>
          <w:p>
            <w:pPr>
              <w:spacing w:after="0" w:line="167" w:lineRule="exact"/>
              <w:rPr>
                <w:sz w:val="20"/>
                <w:szCs w:val="20"/>
                <w:color w:val="auto"/>
              </w:rPr>
            </w:pPr>
            <w:r>
              <w:rPr>
                <w:rFonts w:ascii="Arial" w:cs="Arial" w:eastAsia="Arial" w:hAnsi="Arial"/>
                <w:sz w:val="17"/>
                <w:szCs w:val="17"/>
                <w:color w:val="auto"/>
              </w:rPr>
              <w:t>Issuance of pre-funded warrants through</w:t>
            </w: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9"/>
        </w:trPr>
        <w:tc>
          <w:tcPr>
            <w:tcW w:w="3240" w:type="dxa"/>
            <w:vAlign w:val="bottom"/>
          </w:tcPr>
          <w:p>
            <w:pPr>
              <w:spacing w:after="0" w:line="189" w:lineRule="exact"/>
              <w:rPr>
                <w:sz w:val="20"/>
                <w:szCs w:val="20"/>
                <w:color w:val="auto"/>
              </w:rPr>
            </w:pPr>
            <w:r>
              <w:rPr>
                <w:rFonts w:ascii="Arial" w:cs="Arial" w:eastAsia="Arial" w:hAnsi="Arial"/>
                <w:sz w:val="17"/>
                <w:szCs w:val="17"/>
                <w:color w:val="auto"/>
              </w:rPr>
              <w:t>follow-on offering, net of issuance costs of</w:t>
            </w: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1"/>
        </w:trPr>
        <w:tc>
          <w:tcPr>
            <w:tcW w:w="3240" w:type="dxa"/>
            <w:vAlign w:val="bottom"/>
          </w:tcPr>
          <w:p>
            <w:pPr>
              <w:spacing w:after="0"/>
              <w:rPr>
                <w:sz w:val="20"/>
                <w:szCs w:val="20"/>
                <w:color w:val="auto"/>
              </w:rPr>
            </w:pPr>
            <w:r>
              <w:rPr>
                <w:rFonts w:ascii="Arial" w:cs="Arial" w:eastAsia="Arial" w:hAnsi="Arial"/>
                <w:sz w:val="17"/>
                <w:szCs w:val="17"/>
                <w:color w:val="auto"/>
              </w:rPr>
              <w:t>$117</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14,156</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9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14,156</w:t>
            </w:r>
          </w:p>
        </w:tc>
      </w:tr>
      <w:tr>
        <w:trPr>
          <w:trHeight w:val="167"/>
        </w:trPr>
        <w:tc>
          <w:tcPr>
            <w:tcW w:w="3240" w:type="dxa"/>
            <w:vAlign w:val="bottom"/>
            <w:shd w:val="clear" w:color="auto" w:fill="CFF0FC"/>
          </w:tcPr>
          <w:p>
            <w:pPr>
              <w:spacing w:after="0" w:line="167" w:lineRule="exact"/>
              <w:rPr>
                <w:sz w:val="20"/>
                <w:szCs w:val="20"/>
                <w:color w:val="auto"/>
              </w:rPr>
            </w:pPr>
            <w:r>
              <w:rPr>
                <w:rFonts w:ascii="Arial" w:cs="Arial" w:eastAsia="Arial" w:hAnsi="Arial"/>
                <w:sz w:val="17"/>
                <w:szCs w:val="17"/>
                <w:color w:val="auto"/>
              </w:rPr>
              <w:t>Issuance of common stock warrants</w:t>
            </w:r>
          </w:p>
        </w:tc>
        <w:tc>
          <w:tcPr>
            <w:tcW w:w="13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9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r>
      <w:tr>
        <w:trPr>
          <w:trHeight w:val="189"/>
        </w:trPr>
        <w:tc>
          <w:tcPr>
            <w:tcW w:w="32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through follow-on offering, net of issuance</w:t>
            </w:r>
          </w:p>
        </w:tc>
        <w:tc>
          <w:tcPr>
            <w:tcW w:w="13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98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r>
      <w:tr>
        <w:trPr>
          <w:trHeight w:val="211"/>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costs of $76</w:t>
            </w:r>
          </w:p>
        </w:tc>
        <w:tc>
          <w:tcPr>
            <w:tcW w:w="13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9,254</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98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9,254</w:t>
            </w:r>
          </w:p>
        </w:tc>
      </w:tr>
      <w:tr>
        <w:trPr>
          <w:trHeight w:val="167"/>
        </w:trPr>
        <w:tc>
          <w:tcPr>
            <w:tcW w:w="3240" w:type="dxa"/>
            <w:vAlign w:val="bottom"/>
          </w:tcPr>
          <w:p>
            <w:pPr>
              <w:spacing w:after="0" w:line="167" w:lineRule="exact"/>
              <w:rPr>
                <w:sz w:val="20"/>
                <w:szCs w:val="20"/>
                <w:color w:val="auto"/>
              </w:rPr>
            </w:pPr>
            <w:r>
              <w:rPr>
                <w:rFonts w:ascii="Arial" w:cs="Arial" w:eastAsia="Arial" w:hAnsi="Arial"/>
                <w:sz w:val="17"/>
                <w:szCs w:val="17"/>
                <w:color w:val="auto"/>
              </w:rPr>
              <w:t>Issuance of common stock under ATM</w:t>
            </w: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11"/>
        </w:trPr>
        <w:tc>
          <w:tcPr>
            <w:tcW w:w="3240" w:type="dxa"/>
            <w:vAlign w:val="bottom"/>
          </w:tcPr>
          <w:p>
            <w:pPr>
              <w:spacing w:after="0"/>
              <w:rPr>
                <w:sz w:val="20"/>
                <w:szCs w:val="20"/>
                <w:color w:val="auto"/>
              </w:rPr>
            </w:pPr>
            <w:r>
              <w:rPr>
                <w:rFonts w:ascii="Arial" w:cs="Arial" w:eastAsia="Arial" w:hAnsi="Arial"/>
                <w:sz w:val="17"/>
                <w:szCs w:val="17"/>
                <w:color w:val="auto"/>
              </w:rPr>
              <w:t>facility, net of issuance costs of $452</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1,055,362</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6,054</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9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6,054</w:t>
            </w:r>
          </w:p>
        </w:tc>
      </w:tr>
      <w:tr>
        <w:trPr>
          <w:trHeight w:val="189"/>
        </w:trPr>
        <w:tc>
          <w:tcPr>
            <w:tcW w:w="32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Currency translation adjustment</w:t>
            </w:r>
          </w:p>
        </w:tc>
        <w:tc>
          <w:tcPr>
            <w:tcW w:w="1320" w:type="dxa"/>
            <w:vAlign w:val="bottom"/>
            <w:shd w:val="clear" w:color="auto" w:fill="CFF0FC"/>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98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(186)</w:t>
            </w:r>
          </w:p>
        </w:tc>
        <w:tc>
          <w:tcPr>
            <w:tcW w:w="15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(186)</w:t>
            </w:r>
          </w:p>
        </w:tc>
      </w:tr>
      <w:tr>
        <w:trPr>
          <w:trHeight w:val="189"/>
        </w:trPr>
        <w:tc>
          <w:tcPr>
            <w:tcW w:w="3240" w:type="dxa"/>
            <w:vAlign w:val="bottom"/>
          </w:tcPr>
          <w:p>
            <w:pPr>
              <w:spacing w:after="0" w:line="189" w:lineRule="exact"/>
              <w:rPr>
                <w:sz w:val="20"/>
                <w:szCs w:val="20"/>
                <w:color w:val="auto"/>
              </w:rPr>
            </w:pPr>
            <w:r>
              <w:rPr>
                <w:rFonts w:ascii="Arial" w:cs="Arial" w:eastAsia="Arial" w:hAnsi="Arial"/>
                <w:sz w:val="17"/>
                <w:szCs w:val="17"/>
                <w:color w:val="auto"/>
              </w:rPr>
              <w:t>Other</w:t>
            </w:r>
          </w:p>
        </w:tc>
        <w:tc>
          <w:tcPr>
            <w:tcW w:w="13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27</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9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540" w:type="dxa"/>
            <w:vAlign w:val="bottom"/>
          </w:tcPr>
          <w:p>
            <w:pPr>
              <w:jc w:val="right"/>
              <w:spacing w:after="0" w:line="189" w:lineRule="exact"/>
              <w:rPr>
                <w:sz w:val="20"/>
                <w:szCs w:val="20"/>
                <w:color w:val="auto"/>
              </w:rPr>
            </w:pPr>
            <w:r>
              <w:rPr>
                <w:rFonts w:ascii="Arial" w:cs="Arial" w:eastAsia="Arial" w:hAnsi="Arial"/>
                <w:sz w:val="17"/>
                <w:szCs w:val="17"/>
                <w:color w:val="auto"/>
              </w:rPr>
              <w:t>27</w:t>
            </w:r>
          </w:p>
        </w:tc>
      </w:tr>
      <w:tr>
        <w:trPr>
          <w:trHeight w:val="189"/>
        </w:trPr>
        <w:tc>
          <w:tcPr>
            <w:tcW w:w="324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Net loss</w:t>
            </w:r>
          </w:p>
        </w:tc>
        <w:tc>
          <w:tcPr>
            <w:tcW w:w="1320" w:type="dxa"/>
            <w:vAlign w:val="bottom"/>
            <w:tcBorders>
              <w:bottom w:val="single" w:sz="8" w:color="auto"/>
            </w:tcBorders>
            <w:shd w:val="clear" w:color="auto" w:fill="CFF0FC"/>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(106,191)</w:t>
            </w:r>
          </w:p>
        </w:tc>
        <w:tc>
          <w:tcPr>
            <w:tcW w:w="1980" w:type="dxa"/>
            <w:vAlign w:val="bottom"/>
            <w:tcBorders>
              <w:bottom w:val="single" w:sz="8" w:color="auto"/>
            </w:tcBorders>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(106,191)</w:t>
            </w:r>
          </w:p>
        </w:tc>
      </w:tr>
      <w:tr>
        <w:trPr>
          <w:trHeight w:val="183"/>
        </w:trPr>
        <w:tc>
          <w:tcPr>
            <w:tcW w:w="3240" w:type="dxa"/>
            <w:vAlign w:val="bottom"/>
          </w:tcPr>
          <w:p>
            <w:pPr>
              <w:spacing w:after="0" w:line="183" w:lineRule="exact"/>
              <w:rPr>
                <w:sz w:val="20"/>
                <w:szCs w:val="20"/>
                <w:color w:val="auto"/>
              </w:rPr>
            </w:pPr>
            <w:r>
              <w:rPr>
                <w:rFonts w:ascii="Arial" w:cs="Arial" w:eastAsia="Arial" w:hAnsi="Arial"/>
                <w:sz w:val="17"/>
                <w:szCs w:val="17"/>
                <w:b w:val="1"/>
                <w:bCs w:val="1"/>
                <w:color w:val="auto"/>
              </w:rPr>
              <w:t>Balance, December 31, 2025</w:t>
            </w:r>
          </w:p>
        </w:tc>
        <w:tc>
          <w:tcPr>
            <w:tcW w:w="13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63,587,777</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617,433</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(480,418)</w:t>
            </w:r>
          </w:p>
        </w:tc>
        <w:tc>
          <w:tcPr>
            <w:tcW w:w="198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(102)</w:t>
            </w: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136,913</w:t>
            </w:r>
          </w:p>
        </w:tc>
      </w:tr>
      <w:tr>
        <w:trPr>
          <w:trHeight w:val="20"/>
        </w:trPr>
        <w:tc>
          <w:tcPr>
            <w:tcW w:w="3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240" w:type="dxa"/>
            <w:vAlign w:val="bottom"/>
          </w:tcPr>
          <w:p>
            <w:pPr>
              <w:spacing w:after="0"/>
              <w:rPr>
                <w:sz w:val="17"/>
                <w:szCs w:val="17"/>
                <w:color w:val="auto"/>
              </w:rPr>
            </w:pPr>
          </w:p>
        </w:tc>
        <w:tc>
          <w:tcPr>
            <w:tcW w:w="198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54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8"/>
        </w:trPr>
        <w:tc>
          <w:tcPr>
            <w:tcW w:w="3240" w:type="dxa"/>
            <w:vAlign w:val="bottom"/>
          </w:tcPr>
          <w:p>
            <w:pPr>
              <w:spacing w:after="0"/>
              <w:rPr>
                <w:sz w:val="19"/>
                <w:szCs w:val="19"/>
                <w:color w:val="auto"/>
              </w:rPr>
            </w:pPr>
          </w:p>
        </w:tc>
        <w:tc>
          <w:tcPr>
            <w:tcW w:w="2160" w:type="dxa"/>
            <w:vAlign w:val="bottom"/>
            <w:tcBorders>
              <w:bottom w:val="single" w:sz="8" w:color="auto"/>
            </w:tcBorders>
            <w:gridSpan w:val="2"/>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0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98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Other Comprehensive</w:t>
            </w:r>
          </w:p>
        </w:tc>
        <w:tc>
          <w:tcPr>
            <w:tcW w:w="154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Stockholders’</w:t>
            </w:r>
          </w:p>
        </w:tc>
      </w:tr>
      <w:tr>
        <w:trPr>
          <w:trHeight w:val="196"/>
        </w:trPr>
        <w:tc>
          <w:tcPr>
            <w:tcW w:w="3240" w:type="dxa"/>
            <w:vAlign w:val="bottom"/>
          </w:tcPr>
          <w:p>
            <w:pPr>
              <w:spacing w:after="0"/>
              <w:rPr>
                <w:sz w:val="17"/>
                <w:szCs w:val="17"/>
                <w:color w:val="auto"/>
              </w:rPr>
            </w:pPr>
          </w:p>
        </w:tc>
        <w:tc>
          <w:tcPr>
            <w:tcW w:w="13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9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5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223"/>
        </w:trPr>
        <w:tc>
          <w:tcPr>
            <w:tcW w:w="32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Balance, December 31, 2023</w:t>
            </w:r>
          </w:p>
        </w:tc>
        <w:tc>
          <w:tcPr>
            <w:tcW w:w="1320" w:type="dxa"/>
            <w:vAlign w:val="bottom"/>
            <w:tcBorders>
              <w:bottom w:val="single" w:sz="8" w:color="auto"/>
            </w:tcBorders>
            <w:shd w:val="clear" w:color="auto" w:fill="CFF0FC"/>
          </w:tcPr>
          <w:p>
            <w:pPr>
              <w:jc w:val="right"/>
              <w:ind w:right="15"/>
              <w:spacing w:after="0" w:line="183" w:lineRule="exact"/>
              <w:rPr>
                <w:sz w:val="20"/>
                <w:szCs w:val="20"/>
                <w:color w:val="auto"/>
              </w:rPr>
            </w:pPr>
            <w:r>
              <w:rPr>
                <w:rFonts w:ascii="Arial" w:cs="Arial" w:eastAsia="Arial" w:hAnsi="Arial"/>
                <w:sz w:val="17"/>
                <w:szCs w:val="17"/>
                <w:color w:val="auto"/>
              </w:rPr>
              <w:t>49,350,788</w:t>
            </w:r>
          </w:p>
        </w:tc>
        <w:tc>
          <w:tcPr>
            <w:tcW w:w="8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$512,617</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$(287,308)</w:t>
            </w:r>
          </w:p>
        </w:tc>
        <w:tc>
          <w:tcPr>
            <w:tcW w:w="1980" w:type="dxa"/>
            <w:vAlign w:val="bottom"/>
            <w:tcBorders>
              <w:bottom w:val="single" w:sz="8" w:color="auto"/>
            </w:tcBorders>
            <w:shd w:val="clear" w:color="auto" w:fill="CFF0FC"/>
          </w:tcPr>
          <w:p>
            <w:pPr>
              <w:jc w:val="right"/>
              <w:ind w:right="95"/>
              <w:spacing w:after="0" w:line="183" w:lineRule="exact"/>
              <w:rPr>
                <w:sz w:val="20"/>
                <w:szCs w:val="20"/>
                <w:color w:val="auto"/>
              </w:rPr>
            </w:pPr>
            <w:r>
              <w:rPr>
                <w:rFonts w:ascii="Arial" w:cs="Arial" w:eastAsia="Arial" w:hAnsi="Arial"/>
                <w:sz w:val="17"/>
                <w:szCs w:val="17"/>
                <w:color w:val="auto"/>
              </w:rPr>
              <w:t>$539</w:t>
            </w: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225,848</w:t>
            </w:r>
          </w:p>
        </w:tc>
      </w:tr>
      <w:tr>
        <w:trPr>
          <w:trHeight w:val="170"/>
        </w:trPr>
        <w:tc>
          <w:tcPr>
            <w:tcW w:w="3240" w:type="dxa"/>
            <w:vAlign w:val="bottom"/>
          </w:tcPr>
          <w:p>
            <w:pPr>
              <w:spacing w:after="0" w:line="170" w:lineRule="exact"/>
              <w:rPr>
                <w:sz w:val="20"/>
                <w:szCs w:val="20"/>
                <w:color w:val="auto"/>
              </w:rPr>
            </w:pPr>
            <w:r>
              <w:rPr>
                <w:rFonts w:ascii="Arial" w:cs="Arial" w:eastAsia="Arial" w:hAnsi="Arial"/>
                <w:sz w:val="17"/>
                <w:szCs w:val="17"/>
                <w:color w:val="auto"/>
              </w:rPr>
              <w:t>Stock-based compensation expense</w:t>
            </w:r>
          </w:p>
        </w:tc>
        <w:tc>
          <w:tcPr>
            <w:tcW w:w="1320" w:type="dxa"/>
            <w:vAlign w:val="bottom"/>
          </w:tcPr>
          <w:p>
            <w:pPr>
              <w:jc w:val="right"/>
              <w:ind w:right="15"/>
              <w:spacing w:after="0" w:line="170"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70"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70" w:lineRule="exact"/>
              <w:rPr>
                <w:sz w:val="20"/>
                <w:szCs w:val="20"/>
                <w:color w:val="auto"/>
              </w:rPr>
            </w:pPr>
            <w:r>
              <w:rPr>
                <w:rFonts w:ascii="Arial" w:cs="Arial" w:eastAsia="Arial" w:hAnsi="Arial"/>
                <w:sz w:val="17"/>
                <w:szCs w:val="17"/>
                <w:color w:val="auto"/>
              </w:rPr>
              <w:t>11,722</w:t>
            </w:r>
          </w:p>
        </w:tc>
        <w:tc>
          <w:tcPr>
            <w:tcW w:w="1240" w:type="dxa"/>
            <w:vAlign w:val="bottom"/>
          </w:tcPr>
          <w:p>
            <w:pPr>
              <w:jc w:val="right"/>
              <w:spacing w:after="0" w:line="170" w:lineRule="exact"/>
              <w:rPr>
                <w:sz w:val="20"/>
                <w:szCs w:val="20"/>
                <w:color w:val="auto"/>
              </w:rPr>
            </w:pPr>
            <w:r>
              <w:rPr>
                <w:rFonts w:ascii="Arial" w:cs="Arial" w:eastAsia="Arial" w:hAnsi="Arial"/>
                <w:sz w:val="17"/>
                <w:szCs w:val="17"/>
                <w:color w:val="auto"/>
              </w:rPr>
              <w:t>—</w:t>
            </w:r>
          </w:p>
        </w:tc>
        <w:tc>
          <w:tcPr>
            <w:tcW w:w="1980" w:type="dxa"/>
            <w:vAlign w:val="bottom"/>
          </w:tcPr>
          <w:p>
            <w:pPr>
              <w:jc w:val="right"/>
              <w:ind w:right="95"/>
              <w:spacing w:after="0" w:line="170" w:lineRule="exact"/>
              <w:rPr>
                <w:sz w:val="20"/>
                <w:szCs w:val="20"/>
                <w:color w:val="auto"/>
              </w:rPr>
            </w:pPr>
            <w:r>
              <w:rPr>
                <w:rFonts w:ascii="Arial" w:cs="Arial" w:eastAsia="Arial" w:hAnsi="Arial"/>
                <w:sz w:val="17"/>
                <w:szCs w:val="17"/>
                <w:color w:val="auto"/>
              </w:rPr>
              <w:t>—</w:t>
            </w:r>
          </w:p>
        </w:tc>
        <w:tc>
          <w:tcPr>
            <w:tcW w:w="1540" w:type="dxa"/>
            <w:vAlign w:val="bottom"/>
          </w:tcPr>
          <w:p>
            <w:pPr>
              <w:jc w:val="right"/>
              <w:spacing w:after="0" w:line="170" w:lineRule="exact"/>
              <w:rPr>
                <w:sz w:val="20"/>
                <w:szCs w:val="20"/>
                <w:color w:val="auto"/>
              </w:rPr>
            </w:pPr>
            <w:r>
              <w:rPr>
                <w:rFonts w:ascii="Arial" w:cs="Arial" w:eastAsia="Arial" w:hAnsi="Arial"/>
                <w:sz w:val="17"/>
                <w:szCs w:val="17"/>
                <w:color w:val="auto"/>
              </w:rPr>
              <w:t>11,722</w:t>
            </w:r>
          </w:p>
        </w:tc>
      </w:tr>
      <w:tr>
        <w:trPr>
          <w:trHeight w:val="189"/>
        </w:trPr>
        <w:tc>
          <w:tcPr>
            <w:tcW w:w="32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Employee Stock Purchase Plan Issuance</w:t>
            </w:r>
          </w:p>
        </w:tc>
        <w:tc>
          <w:tcPr>
            <w:tcW w:w="1320" w:type="dxa"/>
            <w:vAlign w:val="bottom"/>
            <w:shd w:val="clear" w:color="auto" w:fill="CFF0FC"/>
          </w:tcPr>
          <w:p>
            <w:pPr>
              <w:jc w:val="right"/>
              <w:ind w:right="15"/>
              <w:spacing w:after="0" w:line="189" w:lineRule="exact"/>
              <w:rPr>
                <w:sz w:val="20"/>
                <w:szCs w:val="20"/>
                <w:color w:val="auto"/>
              </w:rPr>
            </w:pPr>
            <w:r>
              <w:rPr>
                <w:rFonts w:ascii="Arial" w:cs="Arial" w:eastAsia="Arial" w:hAnsi="Arial"/>
                <w:sz w:val="17"/>
                <w:szCs w:val="17"/>
                <w:color w:val="auto"/>
              </w:rPr>
              <w:t>24,477</w:t>
            </w:r>
          </w:p>
        </w:tc>
        <w:tc>
          <w:tcPr>
            <w:tcW w:w="8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177</w:t>
            </w: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98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5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177</w:t>
            </w:r>
          </w:p>
        </w:tc>
      </w:tr>
      <w:tr>
        <w:trPr>
          <w:trHeight w:val="189"/>
        </w:trPr>
        <w:tc>
          <w:tcPr>
            <w:tcW w:w="3240" w:type="dxa"/>
            <w:vAlign w:val="bottom"/>
          </w:tcPr>
          <w:p>
            <w:pPr>
              <w:spacing w:after="0" w:line="189" w:lineRule="exact"/>
              <w:rPr>
                <w:sz w:val="20"/>
                <w:szCs w:val="20"/>
                <w:color w:val="auto"/>
              </w:rPr>
            </w:pPr>
            <w:r>
              <w:rPr>
                <w:rFonts w:ascii="Arial" w:cs="Arial" w:eastAsia="Arial" w:hAnsi="Arial"/>
                <w:sz w:val="17"/>
                <w:szCs w:val="17"/>
                <w:color w:val="auto"/>
              </w:rPr>
              <w:t>Vesting of restricted stock</w:t>
            </w:r>
          </w:p>
        </w:tc>
        <w:tc>
          <w:tcPr>
            <w:tcW w:w="13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310,245</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9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5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32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Stock option exercises</w:t>
            </w:r>
          </w:p>
        </w:tc>
        <w:tc>
          <w:tcPr>
            <w:tcW w:w="1320" w:type="dxa"/>
            <w:vAlign w:val="bottom"/>
            <w:shd w:val="clear" w:color="auto" w:fill="CFF0FC"/>
          </w:tcPr>
          <w:p>
            <w:pPr>
              <w:jc w:val="right"/>
              <w:ind w:right="15"/>
              <w:spacing w:after="0" w:line="189" w:lineRule="exact"/>
              <w:rPr>
                <w:sz w:val="20"/>
                <w:szCs w:val="20"/>
                <w:color w:val="auto"/>
              </w:rPr>
            </w:pPr>
            <w:r>
              <w:rPr>
                <w:rFonts w:ascii="Arial" w:cs="Arial" w:eastAsia="Arial" w:hAnsi="Arial"/>
                <w:sz w:val="17"/>
                <w:szCs w:val="17"/>
                <w:color w:val="auto"/>
              </w:rPr>
              <w:t>312,769</w:t>
            </w:r>
          </w:p>
        </w:tc>
        <w:tc>
          <w:tcPr>
            <w:tcW w:w="8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1,418</w:t>
            </w: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98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5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1,418</w:t>
            </w:r>
          </w:p>
        </w:tc>
      </w:tr>
      <w:tr>
        <w:trPr>
          <w:trHeight w:val="189"/>
        </w:trPr>
        <w:tc>
          <w:tcPr>
            <w:tcW w:w="3240" w:type="dxa"/>
            <w:vAlign w:val="bottom"/>
          </w:tcPr>
          <w:p>
            <w:pPr>
              <w:spacing w:after="0" w:line="189" w:lineRule="exact"/>
              <w:rPr>
                <w:sz w:val="20"/>
                <w:szCs w:val="20"/>
                <w:color w:val="auto"/>
              </w:rPr>
            </w:pPr>
            <w:r>
              <w:rPr>
                <w:rFonts w:ascii="Arial" w:cs="Arial" w:eastAsia="Arial" w:hAnsi="Arial"/>
                <w:sz w:val="17"/>
                <w:szCs w:val="17"/>
                <w:color w:val="auto"/>
              </w:rPr>
              <w:t>Unrealized loss on marketable securities</w:t>
            </w:r>
          </w:p>
        </w:tc>
        <w:tc>
          <w:tcPr>
            <w:tcW w:w="13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9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(271)</w:t>
            </w:r>
          </w:p>
        </w:tc>
        <w:tc>
          <w:tcPr>
            <w:tcW w:w="1540" w:type="dxa"/>
            <w:vAlign w:val="bottom"/>
          </w:tcPr>
          <w:p>
            <w:pPr>
              <w:jc w:val="right"/>
              <w:spacing w:after="0" w:line="189" w:lineRule="exact"/>
              <w:rPr>
                <w:sz w:val="20"/>
                <w:szCs w:val="20"/>
                <w:color w:val="auto"/>
              </w:rPr>
            </w:pPr>
            <w:r>
              <w:rPr>
                <w:rFonts w:ascii="Arial" w:cs="Arial" w:eastAsia="Arial" w:hAnsi="Arial"/>
                <w:sz w:val="17"/>
                <w:szCs w:val="17"/>
                <w:color w:val="auto"/>
              </w:rPr>
              <w:t>(271)</w:t>
            </w:r>
          </w:p>
        </w:tc>
      </w:tr>
      <w:tr>
        <w:trPr>
          <w:trHeight w:val="189"/>
        </w:trPr>
        <w:tc>
          <w:tcPr>
            <w:tcW w:w="32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Other</w:t>
            </w:r>
          </w:p>
        </w:tc>
        <w:tc>
          <w:tcPr>
            <w:tcW w:w="1320" w:type="dxa"/>
            <w:vAlign w:val="bottom"/>
            <w:shd w:val="clear" w:color="auto" w:fill="CFF0FC"/>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980" w:type="dxa"/>
            <w:vAlign w:val="bottom"/>
            <w:shd w:val="clear" w:color="auto" w:fill="CFF0FC"/>
          </w:tcPr>
          <w:p>
            <w:pPr>
              <w:jc w:val="right"/>
              <w:ind w:right="95"/>
              <w:spacing w:after="0" w:line="189" w:lineRule="exact"/>
              <w:rPr>
                <w:sz w:val="20"/>
                <w:szCs w:val="20"/>
                <w:color w:val="auto"/>
              </w:rPr>
            </w:pPr>
            <w:r>
              <w:rPr>
                <w:rFonts w:ascii="Arial" w:cs="Arial" w:eastAsia="Arial" w:hAnsi="Arial"/>
                <w:sz w:val="17"/>
                <w:szCs w:val="17"/>
                <w:color w:val="auto"/>
              </w:rPr>
              <w:t>(5)</w:t>
            </w:r>
          </w:p>
        </w:tc>
        <w:tc>
          <w:tcPr>
            <w:tcW w:w="15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(5)</w:t>
            </w:r>
          </w:p>
        </w:tc>
      </w:tr>
      <w:tr>
        <w:trPr>
          <w:trHeight w:val="189"/>
        </w:trPr>
        <w:tc>
          <w:tcPr>
            <w:tcW w:w="324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32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(86,919)</w:t>
            </w:r>
          </w:p>
        </w:tc>
        <w:tc>
          <w:tcPr>
            <w:tcW w:w="19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(86,919)</w:t>
            </w:r>
          </w:p>
        </w:tc>
      </w:tr>
      <w:tr>
        <w:trPr>
          <w:trHeight w:val="223"/>
        </w:trPr>
        <w:tc>
          <w:tcPr>
            <w:tcW w:w="32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Balance, December 31, 2024</w:t>
            </w:r>
          </w:p>
        </w:tc>
        <w:tc>
          <w:tcPr>
            <w:tcW w:w="1320" w:type="dxa"/>
            <w:vAlign w:val="bottom"/>
            <w:tcBorders>
              <w:bottom w:val="single" w:sz="8" w:color="auto"/>
            </w:tcBorders>
            <w:shd w:val="clear" w:color="auto" w:fill="CFF0FC"/>
          </w:tcPr>
          <w:p>
            <w:pPr>
              <w:jc w:val="right"/>
              <w:ind w:right="15"/>
              <w:spacing w:after="0" w:line="183" w:lineRule="exact"/>
              <w:rPr>
                <w:sz w:val="20"/>
                <w:szCs w:val="20"/>
                <w:color w:val="auto"/>
              </w:rPr>
            </w:pPr>
            <w:r>
              <w:rPr>
                <w:rFonts w:ascii="Arial" w:cs="Arial" w:eastAsia="Arial" w:hAnsi="Arial"/>
                <w:sz w:val="17"/>
                <w:szCs w:val="17"/>
                <w:color w:val="auto"/>
              </w:rPr>
              <w:t>49,998,279</w:t>
            </w:r>
          </w:p>
        </w:tc>
        <w:tc>
          <w:tcPr>
            <w:tcW w:w="8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525,934</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(374,227)</w:t>
            </w:r>
          </w:p>
        </w:tc>
        <w:tc>
          <w:tcPr>
            <w:tcW w:w="1980" w:type="dxa"/>
            <w:vAlign w:val="bottom"/>
            <w:tcBorders>
              <w:bottom w:val="single" w:sz="8" w:color="auto"/>
            </w:tcBorders>
            <w:shd w:val="clear" w:color="auto" w:fill="CFF0FC"/>
          </w:tcPr>
          <w:p>
            <w:pPr>
              <w:jc w:val="right"/>
              <w:ind w:right="95"/>
              <w:spacing w:after="0" w:line="183" w:lineRule="exact"/>
              <w:rPr>
                <w:sz w:val="20"/>
                <w:szCs w:val="20"/>
                <w:color w:val="auto"/>
              </w:rPr>
            </w:pPr>
            <w:r>
              <w:rPr>
                <w:rFonts w:ascii="Arial" w:cs="Arial" w:eastAsia="Arial" w:hAnsi="Arial"/>
                <w:sz w:val="17"/>
                <w:szCs w:val="17"/>
                <w:color w:val="auto"/>
              </w:rPr>
              <w:t>263</w:t>
            </w: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151,970</w:t>
            </w: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19" w:name="page120"/>
    <w:bookmarkEnd w:id="119"/>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4"/>
          </w:tcPr>
          <w:p>
            <w:pPr>
              <w:jc w:val="right"/>
              <w:ind w:right="75"/>
              <w:spacing w:after="0"/>
              <w:rPr>
                <w:sz w:val="20"/>
                <w:szCs w:val="20"/>
                <w:color w:val="auto"/>
              </w:rPr>
            </w:pPr>
            <w:r>
              <w:rPr>
                <w:rFonts w:ascii="Arial" w:cs="Arial" w:eastAsia="Arial" w:hAnsi="Arial"/>
                <w:sz w:val="17"/>
                <w:szCs w:val="17"/>
                <w:b w:val="1"/>
                <w:bCs w:val="1"/>
                <w:color w:val="auto"/>
              </w:rPr>
              <w:t>Year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December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7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5"/>
              <w:spacing w:after="0" w:line="183" w:lineRule="exact"/>
              <w:rPr>
                <w:sz w:val="20"/>
                <w:szCs w:val="20"/>
                <w:color w:val="auto"/>
              </w:rPr>
            </w:pPr>
            <w:r>
              <w:rPr>
                <w:rFonts w:ascii="Arial" w:cs="Arial" w:eastAsia="Arial" w:hAnsi="Arial"/>
                <w:sz w:val="17"/>
                <w:szCs w:val="17"/>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5"/>
              <w:spacing w:after="0" w:line="183"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r>
      <w:tr>
        <w:trPr>
          <w:trHeight w:val="183"/>
        </w:trPr>
        <w:tc>
          <w:tcPr>
            <w:tcW w:w="754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560" w:type="dxa"/>
            <w:vAlign w:val="bottom"/>
            <w:gridSpan w:val="2"/>
          </w:tcPr>
          <w:p>
            <w:pPr>
              <w:jc w:val="right"/>
              <w:ind w:right="165"/>
              <w:spacing w:after="0" w:line="189" w:lineRule="exact"/>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(106,191)</w:t>
            </w:r>
          </w:p>
        </w:tc>
        <w:tc>
          <w:tcPr>
            <w:tcW w:w="600" w:type="dxa"/>
            <w:vAlign w:val="bottom"/>
            <w:gridSpan w:val="2"/>
          </w:tcPr>
          <w:p>
            <w:pPr>
              <w:jc w:val="right"/>
              <w:ind w:right="315"/>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(86,919)</w:t>
            </w:r>
          </w:p>
        </w:tc>
      </w:tr>
      <w:tr>
        <w:trPr>
          <w:trHeight w:val="189"/>
        </w:trPr>
        <w:tc>
          <w:tcPr>
            <w:tcW w:w="75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540" w:type="dxa"/>
            <w:vAlign w:val="bottom"/>
          </w:tcPr>
          <w:p>
            <w:pPr>
              <w:ind w:left="200"/>
              <w:spacing w:after="0" w:line="189" w:lineRule="exact"/>
              <w:rPr>
                <w:sz w:val="20"/>
                <w:szCs w:val="20"/>
                <w:color w:val="auto"/>
              </w:rPr>
            </w:pPr>
            <w:r>
              <w:rPr>
                <w:rFonts w:ascii="Arial" w:cs="Arial" w:eastAsia="Arial" w:hAnsi="Arial"/>
                <w:sz w:val="17"/>
                <w:szCs w:val="17"/>
                <w:color w:val="auto"/>
              </w:rPr>
              <w:t>Depreciation expense</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1,129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1,223</w:t>
            </w:r>
          </w:p>
        </w:tc>
        <w:tc>
          <w:tcPr>
            <w:tcW w:w="100" w:type="dxa"/>
            <w:vAlign w:val="bottom"/>
          </w:tcPr>
          <w:p>
            <w:pPr>
              <w:spacing w:after="0"/>
              <w:rPr>
                <w:sz w:val="16"/>
                <w:szCs w:val="16"/>
                <w:color w:val="auto"/>
              </w:rPr>
            </w:pPr>
          </w:p>
        </w:tc>
      </w:tr>
      <w:tr>
        <w:trPr>
          <w:trHeight w:val="189"/>
        </w:trPr>
        <w:tc>
          <w:tcPr>
            <w:tcW w:w="7540" w:type="dxa"/>
            <w:vAlign w:val="bottom"/>
            <w:shd w:val="clear" w:color="auto" w:fill="CFF0FC"/>
          </w:tcPr>
          <w:p>
            <w:pPr>
              <w:ind w:left="200"/>
              <w:spacing w:after="0" w:line="189" w:lineRule="exact"/>
              <w:rPr>
                <w:sz w:val="20"/>
                <w:szCs w:val="20"/>
                <w:color w:val="auto"/>
              </w:rPr>
            </w:pPr>
            <w:r>
              <w:rPr>
                <w:rFonts w:ascii="Arial" w:cs="Arial" w:eastAsia="Arial" w:hAnsi="Arial"/>
                <w:sz w:val="17"/>
                <w:szCs w:val="17"/>
                <w:color w:val="auto"/>
              </w:rPr>
              <w:t>Accretion income on marketable securities</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(1,546)</w:t>
            </w: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(4,659)</w:t>
            </w:r>
          </w:p>
        </w:tc>
      </w:tr>
      <w:tr>
        <w:trPr>
          <w:trHeight w:val="189"/>
        </w:trPr>
        <w:tc>
          <w:tcPr>
            <w:tcW w:w="7540" w:type="dxa"/>
            <w:vAlign w:val="bottom"/>
          </w:tcPr>
          <w:p>
            <w:pPr>
              <w:ind w:left="200"/>
              <w:spacing w:after="0" w:line="189" w:lineRule="exact"/>
              <w:rPr>
                <w:sz w:val="20"/>
                <w:szCs w:val="20"/>
                <w:color w:val="auto"/>
              </w:rPr>
            </w:pPr>
            <w:r>
              <w:rPr>
                <w:rFonts w:ascii="Arial" w:cs="Arial" w:eastAsia="Arial" w:hAnsi="Arial"/>
                <w:sz w:val="17"/>
                <w:szCs w:val="17"/>
                <w:color w:val="auto"/>
              </w:rPr>
              <w:t>Other non-cash items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27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w:t>
            </w:r>
          </w:p>
        </w:tc>
      </w:tr>
      <w:tr>
        <w:trPr>
          <w:trHeight w:val="189"/>
        </w:trPr>
        <w:tc>
          <w:tcPr>
            <w:tcW w:w="7540" w:type="dxa"/>
            <w:vAlign w:val="bottom"/>
            <w:shd w:val="clear" w:color="auto" w:fill="CFF0FC"/>
          </w:tcPr>
          <w:p>
            <w:pPr>
              <w:ind w:left="200"/>
              <w:spacing w:after="0" w:line="189" w:lineRule="exact"/>
              <w:rPr>
                <w:sz w:val="20"/>
                <w:szCs w:val="20"/>
                <w:color w:val="auto"/>
              </w:rPr>
            </w:pPr>
            <w:r>
              <w:rPr>
                <w:rFonts w:ascii="Arial" w:cs="Arial" w:eastAsia="Arial" w:hAnsi="Arial"/>
                <w:sz w:val="17"/>
                <w:szCs w:val="17"/>
                <w:color w:val="auto"/>
              </w:rPr>
              <w:t>Stock-based compensation expense</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14,317</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11,722</w:t>
            </w:r>
          </w:p>
        </w:tc>
        <w:tc>
          <w:tcPr>
            <w:tcW w:w="100" w:type="dxa"/>
            <w:vAlign w:val="bottom"/>
            <w:shd w:val="clear" w:color="auto" w:fill="CFF0FC"/>
          </w:tcPr>
          <w:p>
            <w:pPr>
              <w:spacing w:after="0"/>
              <w:rPr>
                <w:sz w:val="16"/>
                <w:szCs w:val="16"/>
                <w:color w:val="auto"/>
              </w:rPr>
            </w:pPr>
          </w:p>
        </w:tc>
      </w:tr>
      <w:tr>
        <w:trPr>
          <w:trHeight w:val="189"/>
        </w:trPr>
        <w:tc>
          <w:tcPr>
            <w:tcW w:w="7540" w:type="dxa"/>
            <w:vAlign w:val="bottom"/>
          </w:tcPr>
          <w:p>
            <w:pPr>
              <w:ind w:left="200"/>
              <w:spacing w:after="0" w:line="189" w:lineRule="exact"/>
              <w:rPr>
                <w:sz w:val="20"/>
                <w:szCs w:val="20"/>
                <w:color w:val="auto"/>
              </w:rPr>
            </w:pPr>
            <w:r>
              <w:rPr>
                <w:rFonts w:ascii="Arial" w:cs="Arial" w:eastAsia="Arial" w:hAnsi="Arial"/>
                <w:sz w:val="17"/>
                <w:szCs w:val="17"/>
                <w:color w:val="auto"/>
              </w:rPr>
              <w:t>Non-cash lease expense</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1,551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1,475</w:t>
            </w:r>
          </w:p>
        </w:tc>
        <w:tc>
          <w:tcPr>
            <w:tcW w:w="100" w:type="dxa"/>
            <w:vAlign w:val="bottom"/>
          </w:tcPr>
          <w:p>
            <w:pPr>
              <w:spacing w:after="0"/>
              <w:rPr>
                <w:sz w:val="16"/>
                <w:szCs w:val="16"/>
                <w:color w:val="auto"/>
              </w:rPr>
            </w:pPr>
          </w:p>
        </w:tc>
      </w:tr>
      <w:tr>
        <w:trPr>
          <w:trHeight w:val="189"/>
        </w:trPr>
        <w:tc>
          <w:tcPr>
            <w:tcW w:w="7540" w:type="dxa"/>
            <w:vAlign w:val="bottom"/>
            <w:shd w:val="clear" w:color="auto" w:fill="CFF0FC"/>
          </w:tcPr>
          <w:p>
            <w:pPr>
              <w:ind w:left="20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540" w:type="dxa"/>
            <w:vAlign w:val="bottom"/>
          </w:tcPr>
          <w:p>
            <w:pPr>
              <w:ind w:left="600"/>
              <w:spacing w:after="0" w:line="189" w:lineRule="exact"/>
              <w:rPr>
                <w:sz w:val="20"/>
                <w:szCs w:val="20"/>
                <w:color w:val="auto"/>
              </w:rPr>
            </w:pPr>
            <w:r>
              <w:rPr>
                <w:rFonts w:ascii="Arial" w:cs="Arial" w:eastAsia="Arial" w:hAnsi="Arial"/>
                <w:sz w:val="17"/>
                <w:szCs w:val="17"/>
                <w:color w:val="auto"/>
              </w:rPr>
              <w:t>Prepaid expenses and other assets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4,031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(3,904)</w:t>
            </w:r>
          </w:p>
        </w:tc>
      </w:tr>
      <w:tr>
        <w:trPr>
          <w:trHeight w:val="189"/>
        </w:trPr>
        <w:tc>
          <w:tcPr>
            <w:tcW w:w="7540" w:type="dxa"/>
            <w:vAlign w:val="bottom"/>
            <w:shd w:val="clear" w:color="auto" w:fill="CFF0FC"/>
          </w:tcPr>
          <w:p>
            <w:pPr>
              <w:ind w:left="600"/>
              <w:spacing w:after="0" w:line="189" w:lineRule="exact"/>
              <w:rPr>
                <w:sz w:val="20"/>
                <w:szCs w:val="20"/>
                <w:color w:val="auto"/>
              </w:rPr>
            </w:pPr>
            <w:r>
              <w:rPr>
                <w:rFonts w:ascii="Arial" w:cs="Arial" w:eastAsia="Arial" w:hAnsi="Arial"/>
                <w:sz w:val="17"/>
                <w:szCs w:val="17"/>
                <w:color w:val="auto"/>
              </w:rPr>
              <w:t>Other long-term assets</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47</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(9)</w:t>
            </w:r>
          </w:p>
        </w:tc>
      </w:tr>
      <w:tr>
        <w:trPr>
          <w:trHeight w:val="189"/>
        </w:trPr>
        <w:tc>
          <w:tcPr>
            <w:tcW w:w="7540" w:type="dxa"/>
            <w:vAlign w:val="bottom"/>
          </w:tcPr>
          <w:p>
            <w:pPr>
              <w:ind w:left="600"/>
              <w:spacing w:after="0" w:line="189" w:lineRule="exact"/>
              <w:rPr>
                <w:sz w:val="20"/>
                <w:szCs w:val="20"/>
                <w:color w:val="auto"/>
              </w:rPr>
            </w:pPr>
            <w:r>
              <w:rPr>
                <w:rFonts w:ascii="Arial" w:cs="Arial" w:eastAsia="Arial" w:hAnsi="Arial"/>
                <w:sz w:val="17"/>
                <w:szCs w:val="17"/>
                <w:color w:val="auto"/>
              </w:rPr>
              <w:t>Accounts payable</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(846)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482</w:t>
            </w:r>
          </w:p>
        </w:tc>
        <w:tc>
          <w:tcPr>
            <w:tcW w:w="100" w:type="dxa"/>
            <w:vAlign w:val="bottom"/>
          </w:tcPr>
          <w:p>
            <w:pPr>
              <w:spacing w:after="0"/>
              <w:rPr>
                <w:sz w:val="16"/>
                <w:szCs w:val="16"/>
                <w:color w:val="auto"/>
              </w:rPr>
            </w:pPr>
          </w:p>
        </w:tc>
      </w:tr>
      <w:tr>
        <w:trPr>
          <w:trHeight w:val="189"/>
        </w:trPr>
        <w:tc>
          <w:tcPr>
            <w:tcW w:w="7540" w:type="dxa"/>
            <w:vAlign w:val="bottom"/>
            <w:shd w:val="clear" w:color="auto" w:fill="CFF0FC"/>
          </w:tcPr>
          <w:p>
            <w:pPr>
              <w:ind w:left="600"/>
              <w:spacing w:after="0" w:line="189" w:lineRule="exact"/>
              <w:rPr>
                <w:sz w:val="20"/>
                <w:szCs w:val="20"/>
                <w:color w:val="auto"/>
              </w:rPr>
            </w:pPr>
            <w:r>
              <w:rPr>
                <w:rFonts w:ascii="Arial" w:cs="Arial" w:eastAsia="Arial" w:hAnsi="Arial"/>
                <w:sz w:val="17"/>
                <w:szCs w:val="17"/>
                <w:color w:val="auto"/>
              </w:rPr>
              <w:t>Accrued expenses and other liabilities</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4,131</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1,577</w:t>
            </w:r>
          </w:p>
        </w:tc>
        <w:tc>
          <w:tcPr>
            <w:tcW w:w="100" w:type="dxa"/>
            <w:vAlign w:val="bottom"/>
            <w:shd w:val="clear" w:color="auto" w:fill="CFF0FC"/>
          </w:tcPr>
          <w:p>
            <w:pPr>
              <w:spacing w:after="0"/>
              <w:rPr>
                <w:sz w:val="16"/>
                <w:szCs w:val="16"/>
                <w:color w:val="auto"/>
              </w:rPr>
            </w:pPr>
          </w:p>
        </w:tc>
      </w:tr>
      <w:tr>
        <w:trPr>
          <w:trHeight w:val="189"/>
        </w:trPr>
        <w:tc>
          <w:tcPr>
            <w:tcW w:w="7540" w:type="dxa"/>
            <w:vAlign w:val="bottom"/>
          </w:tcPr>
          <w:p>
            <w:pPr>
              <w:ind w:left="600"/>
              <w:spacing w:after="0" w:line="189" w:lineRule="exact"/>
              <w:rPr>
                <w:sz w:val="20"/>
                <w:szCs w:val="20"/>
                <w:color w:val="auto"/>
              </w:rPr>
            </w:pPr>
            <w:r>
              <w:rPr>
                <w:rFonts w:ascii="Arial" w:cs="Arial" w:eastAsia="Arial" w:hAnsi="Arial"/>
                <w:sz w:val="17"/>
                <w:szCs w:val="17"/>
                <w:color w:val="auto"/>
              </w:rPr>
              <w:t>Operating lease liabilities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(1,392)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(788)</w:t>
            </w:r>
          </w:p>
        </w:tc>
      </w:tr>
      <w:tr>
        <w:trPr>
          <w:trHeight w:val="20"/>
        </w:trPr>
        <w:tc>
          <w:tcPr>
            <w:tcW w:w="7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40" w:type="dxa"/>
            <w:vAlign w:val="bottom"/>
            <w:shd w:val="clear" w:color="auto" w:fill="CFF0FC"/>
          </w:tcPr>
          <w:p>
            <w:pPr>
              <w:ind w:left="400"/>
              <w:spacing w:after="0" w:line="183" w:lineRule="exact"/>
              <w:rPr>
                <w:sz w:val="20"/>
                <w:szCs w:val="20"/>
                <w:color w:val="auto"/>
              </w:rPr>
            </w:pPr>
            <w:r>
              <w:rPr>
                <w:rFonts w:ascii="Arial" w:cs="Arial" w:eastAsia="Arial" w:hAnsi="Arial"/>
                <w:sz w:val="17"/>
                <w:szCs w:val="17"/>
                <w:b w:val="1"/>
                <w:bCs w:val="1"/>
                <w:color w:val="auto"/>
              </w:rPr>
              <w:t>Net cash used in operating activities</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7"/>
                <w:szCs w:val="17"/>
                <w:color w:val="auto"/>
              </w:rPr>
              <w:t>(84,742)</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(79,805)</w:t>
            </w:r>
          </w:p>
        </w:tc>
      </w:tr>
      <w:tr>
        <w:trPr>
          <w:trHeight w:val="183"/>
        </w:trPr>
        <w:tc>
          <w:tcPr>
            <w:tcW w:w="7540" w:type="dxa"/>
            <w:vAlign w:val="bottom"/>
            <w:tcBorders>
              <w:top w:val="single" w:sz="8" w:color="CFF0FC"/>
            </w:tcBorders>
          </w:tcPr>
          <w:p>
            <w:pPr>
              <w:spacing w:after="0" w:line="183" w:lineRule="exact"/>
              <w:rPr>
                <w:sz w:val="20"/>
                <w:szCs w:val="20"/>
                <w:color w:val="auto"/>
              </w:rPr>
            </w:pPr>
            <w:r>
              <w:rPr>
                <w:rFonts w:ascii="Arial" w:cs="Arial" w:eastAsia="Arial" w:hAnsi="Arial"/>
                <w:sz w:val="17"/>
                <w:szCs w:val="17"/>
                <w:b w:val="1"/>
                <w:bCs w:val="1"/>
                <w:color w:val="auto"/>
              </w:rPr>
              <w:t>Cash flows from investing activities:</w:t>
            </w:r>
          </w:p>
        </w:tc>
        <w:tc>
          <w:tcPr>
            <w:tcW w:w="2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5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Purchases of property and equipment</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(447)</w:t>
            </w: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(1,253)</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Purchases of marketable securities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(83,958)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(59,103)</w:t>
            </w:r>
          </w:p>
        </w:tc>
      </w:tr>
      <w:tr>
        <w:trPr>
          <w:trHeight w:val="189"/>
        </w:trPr>
        <w:tc>
          <w:tcPr>
            <w:tcW w:w="75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Proceeds from sale of marketable securities</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(5)</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Maturities of marketable securities</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120,000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129,182</w:t>
            </w:r>
          </w:p>
        </w:tc>
        <w:tc>
          <w:tcPr>
            <w:tcW w:w="100" w:type="dxa"/>
            <w:vAlign w:val="bottom"/>
          </w:tcPr>
          <w:p>
            <w:pPr>
              <w:spacing w:after="0"/>
              <w:rPr>
                <w:sz w:val="16"/>
                <w:szCs w:val="16"/>
                <w:color w:val="auto"/>
              </w:rPr>
            </w:pPr>
          </w:p>
        </w:tc>
      </w:tr>
      <w:tr>
        <w:trPr>
          <w:trHeight w:val="183"/>
        </w:trPr>
        <w:tc>
          <w:tcPr>
            <w:tcW w:w="7540" w:type="dxa"/>
            <w:vAlign w:val="bottom"/>
            <w:tcBorders>
              <w:bottom w:val="single" w:sz="8" w:color="CFF0FC"/>
            </w:tcBorders>
            <w:shd w:val="clear" w:color="auto" w:fill="CFF0FC"/>
          </w:tcPr>
          <w:p>
            <w:pPr>
              <w:ind w:left="400"/>
              <w:spacing w:after="0" w:line="183" w:lineRule="exact"/>
              <w:rPr>
                <w:sz w:val="20"/>
                <w:szCs w:val="20"/>
                <w:color w:val="auto"/>
              </w:rPr>
            </w:pPr>
            <w:r>
              <w:rPr>
                <w:rFonts w:ascii="Arial" w:cs="Arial" w:eastAsia="Arial" w:hAnsi="Arial"/>
                <w:sz w:val="17"/>
                <w:szCs w:val="17"/>
                <w:b w:val="1"/>
                <w:bCs w:val="1"/>
                <w:color w:val="auto"/>
              </w:rPr>
              <w:t>Net cash provided by investing activities</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35,595</w:t>
            </w: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68,821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540" w:type="dxa"/>
            <w:vAlign w:val="bottom"/>
          </w:tcPr>
          <w:p>
            <w:pPr>
              <w:spacing w:after="0" w:line="183" w:lineRule="exact"/>
              <w:rPr>
                <w:sz w:val="20"/>
                <w:szCs w:val="20"/>
                <w:color w:val="auto"/>
              </w:rPr>
            </w:pPr>
            <w:r>
              <w:rPr>
                <w:rFonts w:ascii="Arial" w:cs="Arial" w:eastAsia="Arial" w:hAnsi="Arial"/>
                <w:sz w:val="17"/>
                <w:szCs w:val="17"/>
                <w:b w:val="1"/>
                <w:bCs w:val="1"/>
                <w:color w:val="auto"/>
              </w:rPr>
              <w:t>Cash flows from financing activities: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5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Proceeds from exercise of stock options</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1,010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1,418</w:t>
            </w:r>
          </w:p>
        </w:tc>
        <w:tc>
          <w:tcPr>
            <w:tcW w:w="100" w:type="dxa"/>
            <w:vAlign w:val="bottom"/>
            <w:shd w:val="clear" w:color="auto" w:fill="CFF0FC"/>
          </w:tcPr>
          <w:p>
            <w:pPr>
              <w:spacing w:after="0"/>
              <w:rPr>
                <w:sz w:val="16"/>
                <w:szCs w:val="16"/>
                <w:color w:val="auto"/>
              </w:rPr>
            </w:pP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Proceeds from issuance of common stock from follow-on offering, net of issuance costs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46,517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5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Proceeds from issuance of pre-funded warrants from follow-on offering, net of issuance costs</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14,156</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Proceeds from issuance of common stock warrants from follow-on offering, net of issuance costs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9,254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5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Proceeds from issuance of common stock under ATM facility, net of issuance costs</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6,054</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Proceeds from ESPP purchases</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177</w:t>
            </w:r>
          </w:p>
        </w:tc>
        <w:tc>
          <w:tcPr>
            <w:tcW w:w="100" w:type="dxa"/>
            <w:vAlign w:val="bottom"/>
          </w:tcPr>
          <w:p>
            <w:pPr>
              <w:spacing w:after="0"/>
              <w:rPr>
                <w:sz w:val="16"/>
                <w:szCs w:val="16"/>
                <w:color w:val="auto"/>
              </w:rPr>
            </w:pPr>
          </w:p>
        </w:tc>
      </w:tr>
      <w:tr>
        <w:trPr>
          <w:trHeight w:val="183"/>
        </w:trPr>
        <w:tc>
          <w:tcPr>
            <w:tcW w:w="7540" w:type="dxa"/>
            <w:vAlign w:val="bottom"/>
            <w:tcBorders>
              <w:bottom w:val="single" w:sz="8" w:color="CFF0FC"/>
            </w:tcBorders>
            <w:shd w:val="clear" w:color="auto" w:fill="CFF0FC"/>
          </w:tcPr>
          <w:p>
            <w:pPr>
              <w:ind w:left="400"/>
              <w:spacing w:after="0" w:line="183" w:lineRule="exact"/>
              <w:rPr>
                <w:sz w:val="20"/>
                <w:szCs w:val="20"/>
                <w:color w:val="auto"/>
              </w:rPr>
            </w:pPr>
            <w:r>
              <w:rPr>
                <w:rFonts w:ascii="Arial" w:cs="Arial" w:eastAsia="Arial" w:hAnsi="Arial"/>
                <w:sz w:val="17"/>
                <w:szCs w:val="17"/>
                <w:b w:val="1"/>
                <w:bCs w:val="1"/>
                <w:color w:val="auto"/>
              </w:rPr>
              <w:t>Net cash provided by financing activities</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77,155</w:t>
            </w: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1,595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540" w:type="dxa"/>
            <w:vAlign w:val="bottom"/>
          </w:tcPr>
          <w:p>
            <w:pPr>
              <w:spacing w:after="0" w:line="183" w:lineRule="exact"/>
              <w:rPr>
                <w:sz w:val="20"/>
                <w:szCs w:val="20"/>
                <w:color w:val="auto"/>
              </w:rPr>
            </w:pPr>
            <w:r>
              <w:rPr>
                <w:rFonts w:ascii="Arial" w:cs="Arial" w:eastAsia="Arial" w:hAnsi="Arial"/>
                <w:sz w:val="17"/>
                <w:szCs w:val="17"/>
                <w:b w:val="1"/>
                <w:bCs w:val="1"/>
                <w:color w:val="auto"/>
              </w:rPr>
              <w:t>Net increase (decrease) in cash, cash equivalents and restricted cash</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7"/>
                <w:szCs w:val="17"/>
                <w:color w:val="auto"/>
              </w:rPr>
              <w:t>28,008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(9,389)</w:t>
            </w:r>
          </w:p>
        </w:tc>
      </w:tr>
      <w:tr>
        <w:trPr>
          <w:trHeight w:val="189"/>
        </w:trPr>
        <w:tc>
          <w:tcPr>
            <w:tcW w:w="7540" w:type="dxa"/>
            <w:vAlign w:val="bottom"/>
            <w:shd w:val="clear" w:color="auto" w:fill="CFF0FC"/>
          </w:tcPr>
          <w:p>
            <w:pPr>
              <w:spacing w:after="0" w:line="189" w:lineRule="exact"/>
              <w:rPr>
                <w:sz w:val="20"/>
                <w:szCs w:val="20"/>
                <w:color w:val="auto"/>
              </w:rPr>
            </w:pPr>
            <w:r>
              <w:rPr>
                <w:rFonts w:ascii="Arial" w:cs="Arial" w:eastAsia="Arial" w:hAnsi="Arial"/>
                <w:sz w:val="17"/>
                <w:szCs w:val="17"/>
                <w:b w:val="1"/>
                <w:bCs w:val="1"/>
                <w:color w:val="auto"/>
              </w:rPr>
              <w:t>Effect of exchange rate changes on cash and cash equivalents</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(186)</w:t>
            </w: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32,461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41,850</w:t>
            </w:r>
          </w:p>
        </w:tc>
        <w:tc>
          <w:tcPr>
            <w:tcW w:w="100" w:type="dxa"/>
            <w:vAlign w:val="bottom"/>
          </w:tcPr>
          <w:p>
            <w:pPr>
              <w:spacing w:after="0"/>
              <w:rPr>
                <w:sz w:val="16"/>
                <w:szCs w:val="16"/>
                <w:color w:val="auto"/>
              </w:rPr>
            </w:pPr>
          </w:p>
        </w:tc>
      </w:tr>
      <w:tr>
        <w:trPr>
          <w:trHeight w:val="217"/>
        </w:trPr>
        <w:tc>
          <w:tcPr>
            <w:tcW w:w="7540" w:type="dxa"/>
            <w:vAlign w:val="bottom"/>
          </w:tcPr>
          <w:p>
            <w:pPr>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24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60,283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32,461</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-2232660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-2232660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-1495425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-1495425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-518160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-518160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b w:val="1"/>
          <w:bCs w:val="1"/>
          <w:color w:val="auto"/>
        </w:rPr>
        <w:t>Supplemental disclosure of cash flow information:</w:t>
      </w:r>
    </w:p>
    <w:p>
      <w:pPr>
        <w:spacing w:after="0" w:line="232" w:lineRule="auto"/>
        <w:rPr>
          <w:sz w:val="20"/>
          <w:szCs w:val="20"/>
          <w:color w:val="auto"/>
        </w:rPr>
      </w:pPr>
      <w:r>
        <w:rPr>
          <w:rFonts w:ascii="Arial" w:cs="Arial" w:eastAsia="Arial" w:hAnsi="Arial"/>
          <w:sz w:val="17"/>
          <w:szCs w:val="17"/>
          <w:color w:val="auto"/>
        </w:rPr>
        <w:t>Purchases of property and equipment in accounts payable and accrued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400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right="120"/>
        <w:spacing w:after="0"/>
        <w:rPr>
          <w:sz w:val="20"/>
          <w:szCs w:val="20"/>
          <w:color w:val="auto"/>
        </w:rPr>
      </w:pPr>
      <w:r>
        <w:rPr>
          <w:rFonts w:ascii="Arial" w:cs="Arial" w:eastAsia="Arial" w:hAnsi="Arial"/>
          <w:sz w:val="17"/>
          <w:szCs w:val="17"/>
          <w:color w:val="auto"/>
        </w:rPr>
        <w:t>liabilities $ 91 $ 35 The following table provides a reconciliation of cash, cash equivalents, and restricted cash reported within the consolidated balance sheets that sum to the total of the same such amounts shown in the consolidated statements of cash flows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2025</w:t>
            </w:r>
          </w:p>
        </w:tc>
        <w:tc>
          <w:tcPr>
            <w:tcW w:w="5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5"/>
              <w:spacing w:after="0" w:line="183"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r>
      <w:tr>
        <w:trPr>
          <w:trHeight w:val="183"/>
        </w:trPr>
        <w:tc>
          <w:tcPr>
            <w:tcW w:w="630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Cash and cash equivalents, end of period</w:t>
            </w:r>
          </w:p>
        </w:tc>
        <w:tc>
          <w:tcPr>
            <w:tcW w:w="2440" w:type="dxa"/>
            <w:vAlign w:val="bottom"/>
            <w:gridSpan w:val="2"/>
            <w:shd w:val="clear" w:color="auto" w:fill="CFF0FC"/>
          </w:tcPr>
          <w:p>
            <w:pPr>
              <w:jc w:val="right"/>
              <w:ind w:right="795"/>
              <w:spacing w:after="0" w:line="183" w:lineRule="exact"/>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59,515</w:t>
            </w:r>
          </w:p>
        </w:tc>
        <w:tc>
          <w:tcPr>
            <w:tcW w:w="780" w:type="dxa"/>
            <w:vAlign w:val="bottom"/>
            <w:gridSpan w:val="2"/>
            <w:shd w:val="clear" w:color="auto" w:fill="CFF0FC"/>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31,693</w:t>
            </w:r>
          </w:p>
        </w:tc>
        <w:tc>
          <w:tcPr>
            <w:tcW w:w="100" w:type="dxa"/>
            <w:vAlign w:val="bottom"/>
            <w:shd w:val="clear" w:color="auto" w:fill="CFF0FC"/>
          </w:tcPr>
          <w:p>
            <w:pPr>
              <w:spacing w:after="0"/>
              <w:rPr>
                <w:sz w:val="15"/>
                <w:szCs w:val="15"/>
                <w:color w:val="auto"/>
              </w:rPr>
            </w:pPr>
          </w:p>
        </w:tc>
      </w:tr>
      <w:tr>
        <w:trPr>
          <w:trHeight w:val="189"/>
        </w:trPr>
        <w:tc>
          <w:tcPr>
            <w:tcW w:w="6300" w:type="dxa"/>
            <w:vAlign w:val="bottom"/>
          </w:tcPr>
          <w:p>
            <w:pPr>
              <w:spacing w:after="0" w:line="189" w:lineRule="exact"/>
              <w:rPr>
                <w:sz w:val="20"/>
                <w:szCs w:val="20"/>
                <w:color w:val="auto"/>
              </w:rPr>
            </w:pPr>
            <w:r>
              <w:rPr>
                <w:rFonts w:ascii="Arial" w:cs="Arial" w:eastAsia="Arial" w:hAnsi="Arial"/>
                <w:sz w:val="17"/>
                <w:szCs w:val="17"/>
                <w:color w:val="auto"/>
              </w:rPr>
              <w:t>Long-term restricted cash, end of period</w:t>
            </w:r>
          </w:p>
        </w:tc>
        <w:tc>
          <w:tcPr>
            <w:tcW w:w="14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768</w:t>
            </w:r>
          </w:p>
        </w:tc>
        <w:tc>
          <w:tcPr>
            <w:tcW w:w="2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768</w:t>
            </w:r>
          </w:p>
        </w:tc>
        <w:tc>
          <w:tcPr>
            <w:tcW w:w="100" w:type="dxa"/>
            <w:vAlign w:val="bottom"/>
          </w:tcPr>
          <w:p>
            <w:pPr>
              <w:spacing w:after="0"/>
              <w:rPr>
                <w:sz w:val="16"/>
                <w:szCs w:val="16"/>
                <w:color w:val="auto"/>
              </w:rPr>
            </w:pPr>
          </w:p>
        </w:tc>
      </w:tr>
      <w:tr>
        <w:trPr>
          <w:trHeight w:val="203"/>
        </w:trPr>
        <w:tc>
          <w:tcPr>
            <w:tcW w:w="630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Cash, cash equivalents and restricted cash at end of period</w:t>
            </w:r>
          </w:p>
        </w:tc>
        <w:tc>
          <w:tcPr>
            <w:tcW w:w="2440" w:type="dxa"/>
            <w:vAlign w:val="bottom"/>
            <w:gridSpan w:val="2"/>
            <w:shd w:val="clear" w:color="auto" w:fill="CFF0FC"/>
          </w:tcPr>
          <w:p>
            <w:pPr>
              <w:jc w:val="right"/>
              <w:ind w:right="795"/>
              <w:spacing w:after="0" w:line="183" w:lineRule="exact"/>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60,283</w:t>
            </w:r>
          </w:p>
        </w:tc>
        <w:tc>
          <w:tcPr>
            <w:tcW w:w="780" w:type="dxa"/>
            <w:vAlign w:val="bottom"/>
            <w:gridSpan w:val="2"/>
            <w:shd w:val="clear" w:color="auto" w:fill="CFF0FC"/>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32,461</w:t>
            </w:r>
          </w:p>
        </w:tc>
        <w:tc>
          <w:tcPr>
            <w:tcW w:w="100" w:type="dxa"/>
            <w:vAlign w:val="bottom"/>
            <w:shd w:val="clear" w:color="auto" w:fill="CFF0FC"/>
          </w:tcPr>
          <w:p>
            <w:pPr>
              <w:spacing w:after="0"/>
              <w:rPr>
                <w:sz w:val="17"/>
                <w:szCs w:val="17"/>
                <w:color w:val="auto"/>
              </w:rPr>
            </w:pPr>
          </w:p>
        </w:tc>
      </w:tr>
      <w:tr>
        <w:trPr>
          <w:trHeight w:val="20"/>
        </w:trPr>
        <w:tc>
          <w:tcPr>
            <w:tcW w:w="63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0" w:name="page121"/>
    <w:bookmarkEnd w:id="120"/>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Aura Biosciences, Inc., or the Company or Aura, is a clinical-stage biotechnology company developing precision therapies to treat solid tumors designed to preserve organ function. Within these consolidated financial statements, unless the context otherwise requires, references to the Company or Aura refer to Aura Biosciences, Inc. and its subsidiaries on a consolidated basis. The Company’s proprietary platform is designed to enable the targeting of a broad range of solid tumors using Virus-Like Particles, or VLPs, that can be conjugated with drugs or loaded with nucleic acids to create Virus-Like Drug Conjugates, or VDCs. VDCs are a novel class of drugs with a dual mechanism of action that promote cancer cell death by both the delivery of the cytotoxic payload to generate acute necrosis and activation of a secondary immune mediated response. The Company’s initial focus is in ocular and urologic oncology, both areas of high unmet medical need where local targeted therapies may enable early intervention. The Company is evaluating the safety and efficacy of its lead candidate, bel-sar, as a potential vision-sparing therapy in an ongoing global Phase 3 CoMpass trial for the first-line treatment of adult patients with small choroidal melanoma and/or indeterminate lesions, or early choroidal melanoma. Bel-sar is also in clinical development in metastases to the choroid and bladder cancer and is being explored for cancers of the ocular surface. The Company envisions the potential for development of bel-sar in additional therapeutic areas. Aura’s headquarters are located in Boston, Massachusetts.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operations to date have consisted primarily of conducting research and development and raising capital.</w:t>
      </w:r>
    </w:p>
    <w:p>
      <w:pPr>
        <w:spacing w:after="0" w:line="21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successful development and commercialization of products, fluctuations in operating results and financial risks, need for additional financing or alternative means of financial support or both to fund its current operating plan, protection of proprietary technology and patent risks, compliance with government regulations, dependence on key personnel, collaborative partners, contract development and manufacturing organizations and other third-parties, competition, customer demand, management of growth, and the effectiveness of marketing by the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1" w:name="page122"/>
    <w:bookmarkEnd w:id="121"/>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61"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Through December 31, 2025, the Company has funded its operations primarily with proceeds from the initial and additional closings of its convertible preferred stock financings, and through its initial public offering, or IPO, follow-on offerings and at-the-market offerings, or ATM. On May 16, 2025, the Company issued and sold 11,735,565 shares of common stock, pre-funded warrants to purchase up to 3,571,435 shares of common stock, and accompanying warrants to purchase an aggregate of 3,826,750 shares of common stock, or the 2025 Follow-On Offering. The common stock and pre-funded warrants were sold in the 2025 Follow-On Offering in combination with an accompanying common stock warrant to purchase 0.25 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The Company received approximately $69.9 million in net proceeds from the 2025 Follow-On Offering after deducting underwriting discounts and commissions and offering expenses. On November 9, 2023, the Company issued and sold 11,000,000 shares of common stock at a price to the public of $9.00 per share for aggregate gross proceeds of $99.0 million, or the 2023 Follow-On Offering. The Company received approximately $92.6 million in net proceeds from the 2023 Follow-On Offering after deducting underwriting discounts and commissions and offering expenses. On November 1, 2022, the Company filed a shelf registration statement on Form S-3, or the 2022 Shelf, with the SEC in relation to the registration of up to an aggregate offering price of $250.0 million of common stock, preferred stock, debt securities, warrants and units or any combination thereof. The Company also simultaneously entered into the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Sales Agreement, with Jefferies LLC, or the Sales Agent, to provide for the offering, issuance and sale by the Company of up to an aggregate of $75.0 million of common stock from time to time in the ATM under the 2022 Shelf and subject to the limitations thereof. In connection with the 2023 Follow-On Offering, on November 6, 2023, the Company delivered written notice to Jefferies that the Company was suspending and terminating the prospectus related to the shares issuable in the ATM pursuant to the terms of the Sales Agreement. On March 27, 2024, the Company filed a new shelf registration statement on Form S-3, or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The Company issued 1,055,362 shares of common stock at a weighted average price of $6.36 for aggregate gross proceeds of $6.7 million during the year ended December 31, 2025 under the ATM.</w:t>
      </w:r>
    </w:p>
    <w:p>
      <w:pPr>
        <w:spacing w:after="0" w:line="20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As of December 31, 2025, the Company had cash, cash equivalents, and marketable securities of $144.2 million. The Company has incurred recurring losses from operations since inception and has an accumulated deficit of $480.4 million as of December 31, 2025. For the year ended December 31, 2025, the Company incurred a net loss of $106.2 million and net cash used in operating activities was $84.7 million. In accordance with applicable accounting standards, the Company evaluated whether there are conditions and events, considered in the aggregate, that raise substantial doubt about the Company’s ability to continue as a going concern within twelve months after the date of the issuance of these consolidated financial statements. The Company anticipates operating losses may continue for the foreseeable future since the Company does not yet have regulatory approval to sell any of its product candidates, and the Company continues to incur operating costs to execute its strategic plan, including costs related to research, development, and manufacture of its product candidates and commercial readiness activities. As a result of the assessment in accordance with the applicable accounting standards, there is substantial doubt about the Company’s ability to continue as a going concern for twelve months after the date the consolidated financial statements are issued.</w:t>
      </w:r>
    </w:p>
    <w:p>
      <w:pPr>
        <w:spacing w:after="0" w:line="18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Company expects to finance its operations with its existing cash, cash equivalents, and marketable securities, and through other strategic financing opportunities that could include, but are not limited to, collaboration agreements, future offerings of its equity, the incurrence of debt, or a combination of some or all thereof. However, given the risks associated with these potential strategic or financing opportunities, they are not deemed probable for purposes of the going concern assessment. If the Company fails to obtain additional future capital, it may be unable to complete its planned preclinical studies and clinical trials and obtain approval of certain investigational product candidates from the FDA or foreign regulatory authorities.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or U.S. GAAP. The consolidated financial statements include those accounts of the Company and its subsidiaries after elimination of all intercompany accounts and transactions.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of assets and liabilities and disclosure of contingent assets and liabilities at the date of the consolidated financial statements and the reported amounts of expenses during the reporting period. Significant items subject to such estimates and assumptions include the fair value of stock-based compensation and accrued research and development costs. Management bases its estimates on historical experience and on various other market-specific relevant assumptions that management believes to be reasonable under the circumstances. Actual results could differ from those estimates.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Operating segments are defined as components of an entity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development of ocular and urologic oncology targeted therapies for a range of cancer indications with high unmet need.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75"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Cash consists of standard checking accounts. As of December 31, 2025, the restricted cash account is comprised of a $0.8 million security deposit held by the lessor for the Company’s operating lease.</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Cash equivalents are highly liquid investments with an original maturity of 90 days or less at the date of purchase and consist of time deposits and investments in money market funds that invest in U.S. Treasury obligations and government funds with commercial banks and financial institutions.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All marketable securities have original maturities greater than 90 days. The Company has classified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When the fair value is below the amortized cost of the asset, an estimate of expected credit losses is made. The credit-related impairment amount is recognized in loss; the remaining impairment amount and unrealized gains or losses are reported as a component of accumulated other comprehensive income in stockholders’ equity. Credit losses are recognized through the use of an allowance for credit losses account and subsequent improvements in expected credit losses are recognized as a reversal of an amount in the allowance for credit losses account. If the Company has the intent to sell the security or it is more likely than not that the Company will be required to sell the security prior to recovery of its amortized cost basis, the allowance for the credit loss is written-off and the excess of the amortized cost basis of the asset over its fair value is recorded in the consolidated statements of operations and comprehensive loss. Regardless of the Company’s intent to sell a security, it performs additional analysis on all securities with unrealized losses to evaluate losses associated with the creditworthiness of the security. Credit losses are identified where the Company does not expect to receive cash flows sufficient to recover the amortized cost basis of a security. Unrealized gains and losses are reported as a component of accumulated other comprehensive income (loss) in stockholders’ equity. Amortization and accretion of premiums and discounts are recorded in other income (expense) within the consolidated statements of operations and comprehensive loss. Realized gains or losses are included in interest income or interest expense, respectively. If any adjustment to fair value reflects a decline in value of the investment, the Company considers all available evidence such as industry, financial inputs, and capital markets data to evaluate the extent to which the decline is other than temporary and, if so, marks the investment to market on the Company’s consolidated statements of operations and comprehensive loss.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3" w:name="page124"/>
    <w:bookmarkEnd w:id="123"/>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Accounting Standards Codification 820, Fair Value Measurement, or ASC 820, establishes a fair value hierarchy for instruments measured at fair value that distinguishes between assumptions based on market data (observable inputs) and the Company’s own assumptions (unobservable inputs).</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69"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 w:lineRule="exact"/>
        <w:rPr>
          <w:sz w:val="20"/>
          <w:szCs w:val="20"/>
          <w:color w:val="auto"/>
        </w:rPr>
      </w:pPr>
    </w:p>
    <w:p>
      <w:pPr>
        <w:ind w:left="1020" w:hanging="368"/>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Level 1—Inputs are quoted prices (unadjusted) in active markets for identical assets or liabilities.</w:t>
      </w:r>
    </w:p>
    <w:p>
      <w:pPr>
        <w:spacing w:after="0" w:line="48" w:lineRule="exact"/>
        <w:rPr>
          <w:rFonts w:ascii="Times New Roman" w:cs="Times New Roman" w:eastAsia="Times New Roman" w:hAnsi="Times New Roman"/>
          <w:sz w:val="18"/>
          <w:szCs w:val="18"/>
          <w:color w:val="auto"/>
        </w:rPr>
      </w:pPr>
    </w:p>
    <w:p>
      <w:pPr>
        <w:ind w:left="1020" w:hanging="368"/>
        <w:spacing w:after="0" w:line="255" w:lineRule="auto"/>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Level 2—Inputs are inputs other than quoted prices included within Level 1 that are observable for the asset or liability, either directly or indirectly.</w:t>
      </w:r>
    </w:p>
    <w:p>
      <w:pPr>
        <w:jc w:val="both"/>
        <w:ind w:left="1020" w:hanging="368"/>
        <w:spacing w:after="0" w:line="247" w:lineRule="auto"/>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Level 3—Inputs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primarily of cash and cash equivalents. The Company maintains its cash in bank deposit accounts which, at times, may exceed federally insured limits. The Company has not experienced any losses in such accounts. The Company believes it is not exposed to any significant credit risk on its cash.</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6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Property and equipment are recorded at cost and depreciated using the straight-line method over the estimated useful life of the assets. Costs for property and equipment not yet placed into service are capitalized as assets under construction and depreciated in accordance with the aforementioned policy once placed into service. Upon retirement or disposal of property and equipment, the cost and related accumulated depreciation are removed from the consolidated balance sheets and any gain or loss is reflected in the consolidated statements of operations and comprehensive loss. Repair and maintenance expenditures are charged to expense as incurred.</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useful lives of the Company’s property and equipment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Estimated Useful Life</w:t>
            </w:r>
          </w:p>
        </w:tc>
      </w:tr>
      <w:tr>
        <w:trPr>
          <w:trHeight w:val="177"/>
        </w:trPr>
        <w:tc>
          <w:tcPr>
            <w:tcW w:w="372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Leasehold improvements</w:t>
            </w:r>
          </w:p>
        </w:tc>
        <w:tc>
          <w:tcPr>
            <w:tcW w:w="3660" w:type="dxa"/>
            <w:vAlign w:val="bottom"/>
            <w:shd w:val="clear" w:color="auto" w:fill="CFF0FC"/>
          </w:tcPr>
          <w:p>
            <w:pPr>
              <w:spacing w:after="0"/>
              <w:rPr>
                <w:sz w:val="15"/>
                <w:szCs w:val="15"/>
                <w:color w:val="auto"/>
              </w:rPr>
            </w:pPr>
          </w:p>
        </w:tc>
        <w:tc>
          <w:tcPr>
            <w:tcW w:w="38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The shorter of the life of the leasehold</w:t>
            </w:r>
          </w:p>
        </w:tc>
      </w:tr>
      <w:tr>
        <w:trPr>
          <w:trHeight w:val="221"/>
        </w:trPr>
        <w:tc>
          <w:tcPr>
            <w:tcW w:w="3720" w:type="dxa"/>
            <w:vAlign w:val="bottom"/>
            <w:shd w:val="clear" w:color="auto" w:fill="CFF0FC"/>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improvement or the remaining term of the lease</w:t>
            </w: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IT equipment</w:t>
            </w:r>
          </w:p>
        </w:tc>
        <w:tc>
          <w:tcPr>
            <w:tcW w:w="3660" w:type="dxa"/>
            <w:vAlign w:val="bottom"/>
          </w:tcPr>
          <w:p>
            <w:pPr>
              <w:spacing w:after="0"/>
              <w:rPr>
                <w:sz w:val="17"/>
                <w:szCs w:val="17"/>
                <w:color w:val="auto"/>
              </w:rPr>
            </w:pP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rPr>
              <w:t>3 years</w:t>
            </w:r>
          </w:p>
        </w:tc>
      </w:tr>
      <w:tr>
        <w:trPr>
          <w:trHeight w:val="203"/>
        </w:trPr>
        <w:tc>
          <w:tcPr>
            <w:tcW w:w="3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Laboratory equipment</w:t>
            </w:r>
          </w:p>
        </w:tc>
        <w:tc>
          <w:tcPr>
            <w:tcW w:w="3660" w:type="dxa"/>
            <w:vAlign w:val="bottom"/>
            <w:shd w:val="clear" w:color="auto" w:fill="CFF0FC"/>
          </w:tcPr>
          <w:p>
            <w:pPr>
              <w:spacing w:after="0"/>
              <w:rPr>
                <w:sz w:val="17"/>
                <w:szCs w:val="17"/>
                <w:color w:val="auto"/>
              </w:rPr>
            </w:pPr>
          </w:p>
        </w:tc>
        <w:tc>
          <w:tcPr>
            <w:tcW w:w="38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5 years</w:t>
            </w:r>
          </w:p>
        </w:tc>
      </w:tr>
      <w:tr>
        <w:trPr>
          <w:trHeight w:val="652"/>
        </w:trPr>
        <w:tc>
          <w:tcPr>
            <w:tcW w:w="3720" w:type="dxa"/>
            <w:vAlign w:val="bottom"/>
          </w:tcPr>
          <w:p>
            <w:pPr>
              <w:spacing w:after="0"/>
              <w:rPr>
                <w:sz w:val="24"/>
                <w:szCs w:val="24"/>
                <w:color w:val="auto"/>
              </w:rPr>
            </w:pPr>
          </w:p>
        </w:tc>
        <w:tc>
          <w:tcPr>
            <w:tcW w:w="7520" w:type="dxa"/>
            <w:vAlign w:val="bottom"/>
            <w:gridSpan w:val="2"/>
          </w:tcPr>
          <w:p>
            <w:pPr>
              <w:ind w:left="1720"/>
              <w:spacing w:after="0"/>
              <w:rPr>
                <w:sz w:val="20"/>
                <w:szCs w:val="20"/>
                <w:color w:val="auto"/>
              </w:rPr>
            </w:pPr>
            <w:r>
              <w:rPr>
                <w:rFonts w:ascii="Arial" w:cs="Arial" w:eastAsia="Arial" w:hAnsi="Arial"/>
                <w:sz w:val="18"/>
                <w:szCs w:val="18"/>
                <w:color w:val="auto"/>
              </w:rPr>
              <w:t>F-10</w:t>
            </w:r>
          </w:p>
        </w:tc>
      </w:tr>
      <w:tr>
        <w:trPr>
          <w:trHeight w:val="746"/>
        </w:trPr>
        <w:tc>
          <w:tcPr>
            <w:tcW w:w="37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24" w:name="page125"/>
    <w:bookmarkEnd w:id="124"/>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6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 reviews all long-lived assets for impairment whenever events or circumstances indicate the carrying amount of such assets may not be recoverable. Recoverability of assets to be held and used is measured by comparison of the carrying value of the assets to the future undiscounted net cash flows expected to be generated by the asset. If such asset is considered to be unrecoverable, the impairment recognized is measured by the difference between the estimated fair value of the asset and its carrying value. The Company did not recognize any impairments of long-lived assets during the years ended December 31, 2025 and 2024.</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The Company accrues costs for clinical trial activities and contract manufacturers based upon estimates of the services received and related expenses incurred that have yet to be invoiced by the contract research organizations, clinical study sites, contract manufacturers, laboratories, consultants, or other vendors that perform the activities.</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Non-refundable prepayments for goods or services that will be used or rendered for future research and development activities are deferred. Such amounts are expensed as the goods are delivered or the related services are performed or until it is no longer expected that the goods will be delivered, or the services rendered.</w:t>
      </w:r>
    </w:p>
    <w:p>
      <w:pPr>
        <w:spacing w:after="0" w:line="16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Costs incurred in obtaining technology licenses are recognized as research and development expense as incurred if the technology licensed has not reached technological feasibility and has no alternative future uses.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and Trademark Costs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All patents and trademark related costs incurred in connection with filing and prosecuting patent and trademark applications are expensed as incurred due to uncertainty about the recovery of the expenditure. Amounts incurred are classified as general and administrative expenses in the consolidated statements of operations and comprehensive loss.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Company accounts for leases in accordance with ASU No. 2016-02, Leases (Topic 842), or ASC 842. At contract inception, the Company determines if an arrangement is or contains a lease. A lease conveys the right to control the use of an identified asset for a period of time in exchange for consideration. If determined to be or contain a lease, the lease is assessed for classification as either an operating or finance lease at the lease commencement date, defined as the date on which the leased asset is made available for use by the Company, based on the economic characteristics of the lease. For each lease with a term greater than twelve months, the Company records a right-of-use asset and lease liability.</w:t>
      </w:r>
    </w:p>
    <w:p>
      <w:pPr>
        <w:spacing w:after="0" w:line="17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 right-of-use asset represents the economic benefit conveyed to the Company by the right to use the underlying asset over the lease term. A lease liability represents the obligation to make lease payments arising from the lease. The Company elected the practical expedient to not separate lease and non-lease components for all classes of underlying assets and therefore measures each lease payment as the total of the fixed lease and associated non-lease components. Lease liabilities are measured at lease commencement and calculated as the present value of the future lease payments in the contract using the rate implicit in the contract, when available. If an implicit rate is not readily determinable, the Company uses an incremental borrowing rate measured as the rate at which the Company could borrow, on a fully collateralized basis, a commensurate loan in the same currency over a period consistent with the lease term at the commencement date. Right-of-use assets are measured as the lease liability plus initial direct costs and prepaid lease payments, less lease incentives granted by the lessor. The lease term is measured as the noncancelable period in the contract, adjusted for any options to extend or terminate when it is reasonably certain the Company will extend the lease term via such options based on an assessment of economic factors present as of the lease commencement date. The Company elected the practical expedient to not recognize leases with a lease term of twelve months or less.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jc w:val="both"/>
        <w:ind w:firstLine="509"/>
        <w:spacing w:after="0" w:line="244" w:lineRule="auto"/>
        <w:rPr>
          <w:sz w:val="20"/>
          <w:szCs w:val="20"/>
          <w:color w:val="auto"/>
        </w:rPr>
      </w:pPr>
      <w:r>
        <w:rPr>
          <w:rFonts w:ascii="Arial" w:cs="Arial" w:eastAsia="Arial" w:hAnsi="Arial"/>
          <w:sz w:val="18"/>
          <w:szCs w:val="18"/>
          <w:color w:val="auto"/>
        </w:rPr>
        <w:t>Components of a lease are split into three categories: lease components, non-lease components, and non-components. The fixed and in-substance fixed contract consideration (including any consideration related to non-components) are allocated, based on the respective relative fair values, to the lease components and non-lease components. The Company has elected to account for lease and non -lease components together as a single lease component for all underlying assets and allocate all of the contract consideration to the lease component only.</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Company’s operating leases are presented in the consolidated balance sheets as operating lease right-of-use assets, classified as noncurrent assets, and operating lease liabilities, classified as current and noncurrent liabilities. Operating lease expense is recognized on a straight-line basis over the lease term. Variable costs associated with a lease, such as maintenance and utilities, are not included in the measurement of the lease liabilities and right-of-use assets but rather are expensed when the events determining the amount of variable consideration to be paid have occurred.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6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included in the Company’s consolidated financial statements and/or tax returns. Deferred tax assets and liabilities are based upon the differences between the financial statement carrying amounts and the tax bases of existing assets and liabilities and for loss and credit carryforwards using enacted tax rates expected to be in effect in the years in which the differences are expected to reverse. Deferred tax assets are reduced by a valuation allowance if it is more likely than not that some portion or all the deferred tax asset will not be realized.</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provides reserves related to uncertain tax positions when management determines the related tax benefit is not more likely than not to be realized. The determination as to whether the tax benefit will more likely than not be realized is based upon the technical merits of the tax position as well as the consideration of the available facts and circumstances. The Company has no reserves related to uncertain tax positions as of December 31, 2025 and 2024.</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Interest and penalty charges, if any, related to uncertain tax positions would be classified as income tax expense in the accompanying consolidated statements of operations and comprehensive loss. As of December 31, 2025 and 2024, the Company had no accrued interest related to uncertain tax positions.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7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preferred stock or common stock financings as deferred offering costs until such financings are consummated. After the closing of the IPO, follow-on offering and the ATM draw downs, these costs were recorded in stockholders' equity as a reduction of additional paid-in capital generated as a result of the financings.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recognizes stock-based compensation expense for all stock-based awards based on their grant date fair value.</w:t>
      </w:r>
    </w:p>
    <w:p>
      <w:pPr>
        <w:spacing w:after="0" w:line="21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 recognizes stock-based compensation expense over the requisite service period, which is generally the vesting period of the award. For awards that include performance-based vesting conditions, expense is recognized using the accelerated attribution method when the performance condition is deemed to be probable of being satisfied. The Company accounts for forfeitures as they occur. The Company determines the fair value of restricted stock awards in reference to the fair value of its common stock less any applicable purchase price.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6" w:name="page127"/>
    <w:bookmarkEnd w:id="126"/>
    <w:p>
      <w:pPr>
        <w:jc w:val="both"/>
        <w:ind w:firstLine="509"/>
        <w:spacing w:after="0" w:line="238"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The Company determines the volatility for awards granted based on an analysis of reported data for a group of guideline companies that have issued options with substantially similar terms. The expected volatility has been determined using a weighted average of the historical volatility measures of this group of guideline companies. The Company expects to continue to do so until such time as it has adequate historical data regarding the volatility of its own traded stock price. The expected term of the Company’s stock options granted to employees has been determined utilizing the “simplified” method, using the midpoint between the vesting date and the contractual term.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18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Warrants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Company determines the accounting classification of warrants that are issued, as either liability or equity, by first assessing whether the warrants meet liability classification in accordance with ASC 480-10, Accounting for Certain Financial Instruments with Characteristics of both Liabilities and Equity, or ASC 480-10, and then in accordance with ASC 815-40, Accounting for Derivative Financial Instruments Indexed to, and Potentially Settled in, a Company’s Own Stock, or ASC 815-40. Under ASC 480-10, warrants are considered liability classified if the warrants are mandatorily redeemable, obligate the issuer to settle the warrants or the underlying shares by paying cash or other assets, or must or may require settlement by issuing a variable number of shares.</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U.S. GAAP. After all relevant assessments are made, the Company concludes whether the warrants are classified as liability or equity. The Company's outstanding warrants are accounted for at fair value on the issuance date and not subject to changes in fair value recognized after the issuance date.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Net loss per share attributable to common stockholders is computed by using the two-class method, which is an earnings allocation formula that determines net loss per share for the holders of the Company’s common stock and participating securities. All series of preferred stock contain participation rights in any dividend declared or accumulated by the Company and are deemed to be participating securities. Income available to common stockholders and participating convertible preferred stock is allocated to each share on an as-converted basis as if all of the earnings for the period had been distributed. The participating securities do not include a contractual obligation to share in losses of the Company and are not included in the calculation of net loss per share in the periods that have a net loss.</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Diluted net loss per share is computed using the if-converted method. The Company allocates earnings first to preferred stockholders based on dividend rights and then to common and preferred stockholders based on ownership interests. The weighted-average amount of common stock included in the computation of diluted loss gives effect to all potentially dilutive common equivalent shares, including outstanding stock options, warrants, and convertible preferred stock. Common stock equivalent shares are excluded from the computation of diluted loss per share if their effect is antidilutive.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7" w:name="page128"/>
    <w:bookmarkEnd w:id="127"/>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November 2023, the Financial Accounting Standards Board, or the FASB, issued ASU No. 2023-07, Segment Reporting (Topic 280): Improvements to Reportable Segment Disclosure, or ASU No. 2023-07. ASU No. 2023-07 updates reportable segment disclosure requirements, primarily through requiring enhanced disclosures about significant segment expenses and information used to assess segment performance. The amendments do not change how segments are determined, aggregated, or how thresholds are applied to determine reportable segments. The Company adopted ASU No. 2023-07 during the year ended December 31, 2024 and the standard did not have a material impact on its results of operations. The Company's reporting segments disclosure is included within the consolidated financial statements at Note 15 "Segment Reporting".</w:t>
      </w:r>
    </w:p>
    <w:p>
      <w:pPr>
        <w:spacing w:after="0" w:line="18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The standard requires the Company to provide further disaggregated income tax disclosures for specific categories on the effective tax rate reconciliation, as well as additional information about federal, state/local and foreign income taxes. The standard also requires the Company to annually disclose its income taxes paid (net of refunds received), disaggregated by jurisdiction. The Company adopted the standard on January 1, 2025 for fiscal year reporting, and the standard did not have a material impact on the Company’s consolidated operating results, financial condition or cash flows for such period.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November 2024, the FASB issued ASU 2024-03, Income Statement—Reporting Comprehensive Income—Expense Disaggregation Disclosures (Subtopic 220-40): Disaggregation of Income Statement Expenses. The standard requires the Company to provide further disaggregated information of relevant expense captions within its consolidated statements of operations, including employee compensation and depreciation, as well as the inclusion of other specific expenses, gains and losses required by existing U.S. GAAP. The standard is effective for fiscal years beginning after December 15, 2026 and interim periods within fiscal years beginning after December 15, 2027, with early adoption permitted. The standard may be applied prospectively or retrospectively. While the standard will require additional disclosures related to certain expenses included in the consolidated statements of operations, the standard is not expected to have any impact on the Company’s consolidated operating results, financial condition or cash flows.</w:t>
      </w:r>
    </w:p>
    <w:p>
      <w:pPr>
        <w:spacing w:after="0" w:line="18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Assets and Liabilities</w:t>
      </w:r>
    </w:p>
    <w:p>
      <w:pPr>
        <w:spacing w:after="0" w:line="6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December 31, 2025 and 2024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Quoted prices in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Significant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0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active markets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7"/>
              </w:rPr>
              <w:t>other</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Significant</w:t>
            </w:r>
          </w:p>
        </w:tc>
      </w:tr>
      <w:tr>
        <w:trPr>
          <w:trHeight w:val="203"/>
        </w:trPr>
        <w:tc>
          <w:tcPr>
            <w:tcW w:w="10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for identical</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rPr>
              <w:t>observable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unobservable</w:t>
            </w:r>
          </w:p>
        </w:tc>
      </w:tr>
      <w:tr>
        <w:trPr>
          <w:trHeight w:val="203"/>
        </w:trPr>
        <w:tc>
          <w:tcPr>
            <w:tcW w:w="10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assets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9"/>
              </w:rPr>
              <w:t>inputs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inputs</w:t>
            </w:r>
          </w:p>
        </w:tc>
      </w:tr>
      <w:tr>
        <w:trPr>
          <w:trHeight w:val="228"/>
        </w:trPr>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67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(Level 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(Level 3)</w:t>
            </w:r>
          </w:p>
        </w:tc>
      </w:tr>
      <w:tr>
        <w:trPr>
          <w:trHeight w:val="190"/>
        </w:trPr>
        <w:tc>
          <w:tcPr>
            <w:tcW w:w="328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Financial assets</w:t>
            </w:r>
          </w:p>
        </w:tc>
        <w:tc>
          <w:tcPr>
            <w:tcW w:w="2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2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Cash equivalents:</w:t>
            </w: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2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58,688</w:t>
            </w:r>
          </w:p>
        </w:tc>
        <w:tc>
          <w:tcPr>
            <w:tcW w:w="3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58,688</w:t>
            </w:r>
          </w:p>
        </w:tc>
        <w:tc>
          <w:tcPr>
            <w:tcW w:w="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2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U.S. Government agencies</w:t>
            </w:r>
          </w:p>
        </w:tc>
        <w:tc>
          <w:tcPr>
            <w:tcW w:w="24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84,726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84,726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w:t>
            </w:r>
          </w:p>
        </w:tc>
      </w:tr>
      <w:tr>
        <w:trPr>
          <w:trHeight w:val="236"/>
        </w:trPr>
        <w:tc>
          <w:tcPr>
            <w:tcW w:w="3280" w:type="dxa"/>
            <w:vAlign w:val="bottom"/>
            <w:tcBorders>
              <w:top w:val="single" w:sz="8" w:color="CFF0FC"/>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financial assets</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143,414</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58,688</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84,726</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ind w:left="132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633"/>
        </w:trPr>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F-14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10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-925195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-908050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-1062355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-925195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-908050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-1062355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-925195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-908050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-1062355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Quoted prices in</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Significant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active markets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Significant</w:t>
            </w:r>
          </w:p>
        </w:tc>
      </w:tr>
      <w:tr>
        <w:trPr>
          <w:trHeight w:val="203"/>
        </w:trPr>
        <w:tc>
          <w:tcPr>
            <w:tcW w:w="10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for identical</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8"/>
              </w:rPr>
              <w:t>observable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unobservable</w:t>
            </w:r>
          </w:p>
        </w:tc>
      </w:tr>
      <w:tr>
        <w:trPr>
          <w:trHeight w:val="202"/>
        </w:trPr>
        <w:tc>
          <w:tcPr>
            <w:tcW w:w="10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assets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inputs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inputs</w:t>
            </w:r>
          </w:p>
        </w:tc>
      </w:tr>
      <w:tr>
        <w:trPr>
          <w:trHeight w:val="215"/>
        </w:trPr>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2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8"/>
              </w:rPr>
              <w:t>(Level 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8"/>
              </w:rPr>
              <w:t>(Level 3)</w:t>
            </w:r>
          </w:p>
        </w:tc>
        <w:tc>
          <w:tcPr>
            <w:tcW w:w="100" w:type="dxa"/>
            <w:vAlign w:val="bottom"/>
          </w:tcPr>
          <w:p>
            <w:pPr>
              <w:spacing w:after="0"/>
              <w:rPr>
                <w:sz w:val="18"/>
                <w:szCs w:val="18"/>
                <w:color w:val="auto"/>
              </w:rPr>
            </w:pPr>
          </w:p>
        </w:tc>
      </w:tr>
      <w:tr>
        <w:trPr>
          <w:trHeight w:val="203"/>
        </w:trPr>
        <w:tc>
          <w:tcPr>
            <w:tcW w:w="34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i w:val="1"/>
                <w:iCs w:val="1"/>
                <w:color w:val="auto"/>
              </w:rPr>
              <w:t>Financial assets</w:t>
            </w: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400" w:type="dxa"/>
            <w:vAlign w:val="bottom"/>
            <w:gridSpan w:val="2"/>
          </w:tcPr>
          <w:p>
            <w:pPr>
              <w:spacing w:after="0" w:line="202" w:lineRule="exact"/>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0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30,845</w:t>
            </w:r>
          </w:p>
        </w:tc>
        <w:tc>
          <w:tcPr>
            <w:tcW w:w="3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30,845</w:t>
            </w:r>
          </w:p>
        </w:tc>
        <w:tc>
          <w:tcPr>
            <w:tcW w:w="4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ind w:left="1240"/>
              <w:spacing w:after="0" w:line="202" w:lineRule="exact"/>
              <w:rPr>
                <w:sz w:val="20"/>
                <w:szCs w:val="20"/>
                <w:color w:val="auto"/>
              </w:rPr>
            </w:pPr>
            <w:r>
              <w:rPr>
                <w:rFonts w:ascii="Arial" w:cs="Arial" w:eastAsia="Arial" w:hAnsi="Arial"/>
                <w:sz w:val="18"/>
                <w:szCs w:val="18"/>
                <w:color w:val="auto"/>
              </w:rPr>
              <w:t>—</w:t>
            </w:r>
          </w:p>
        </w:tc>
      </w:tr>
      <w:tr>
        <w:trPr>
          <w:trHeight w:val="203"/>
        </w:trPr>
        <w:tc>
          <w:tcPr>
            <w:tcW w:w="3400" w:type="dxa"/>
            <w:vAlign w:val="bottom"/>
            <w:gridSpan w:val="2"/>
          </w:tcPr>
          <w:p>
            <w:pPr>
              <w:spacing w:after="0" w:line="202" w:lineRule="exact"/>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00" w:type="dxa"/>
            <w:vAlign w:val="bottom"/>
            <w:tcBorders>
              <w:bottom w:val="single" w:sz="8" w:color="CFF0FC"/>
            </w:tcBorders>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U.S. Government agencies</w:t>
            </w:r>
          </w:p>
        </w:tc>
        <w:tc>
          <w:tcPr>
            <w:tcW w:w="24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119,401</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119,401</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ind w:left="124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400" w:type="dxa"/>
            <w:vAlign w:val="bottom"/>
            <w:gridSpan w:val="2"/>
          </w:tcPr>
          <w:p>
            <w:pPr>
              <w:spacing w:after="0" w:line="196" w:lineRule="exact"/>
              <w:rPr>
                <w:sz w:val="20"/>
                <w:szCs w:val="20"/>
                <w:color w:val="auto"/>
              </w:rPr>
            </w:pPr>
            <w:r>
              <w:rPr>
                <w:rFonts w:ascii="Arial" w:cs="Arial" w:eastAsia="Arial" w:hAnsi="Arial"/>
                <w:sz w:val="18"/>
                <w:szCs w:val="18"/>
                <w:color w:val="auto"/>
              </w:rPr>
              <w:t>Total financial assets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150,246</w:t>
            </w:r>
          </w:p>
        </w:tc>
        <w:tc>
          <w:tcPr>
            <w:tcW w:w="3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30,845</w:t>
            </w:r>
          </w:p>
        </w:tc>
        <w:tc>
          <w:tcPr>
            <w:tcW w:w="4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119,401</w:t>
            </w: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2"/>
          </w:tcPr>
          <w:p>
            <w:pPr>
              <w:ind w:left="1240"/>
              <w:spacing w:after="0" w:line="196" w:lineRule="exact"/>
              <w:rPr>
                <w:sz w:val="20"/>
                <w:szCs w:val="20"/>
                <w:color w:val="auto"/>
              </w:rPr>
            </w:pPr>
            <w:r>
              <w:rPr>
                <w:rFonts w:ascii="Arial" w:cs="Arial" w:eastAsia="Arial" w:hAnsi="Arial"/>
                <w:sz w:val="18"/>
                <w:szCs w:val="18"/>
                <w:color w:val="auto"/>
              </w:rPr>
              <w:t>—</w:t>
            </w:r>
          </w:p>
        </w:tc>
      </w:tr>
      <w:tr>
        <w:trPr>
          <w:trHeight w:val="20"/>
        </w:trPr>
        <w:tc>
          <w:tcPr>
            <w:tcW w:w="1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-161925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-161925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-161925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within the fair value hierarchy for the years ended December 31, 2025 and 2024.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60" w:type="dxa"/>
            <w:vAlign w:val="bottom"/>
          </w:tcPr>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7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 under construction</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228</w:t>
            </w:r>
          </w:p>
        </w:tc>
        <w:tc>
          <w:tcPr>
            <w:tcW w:w="1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IT equipment</w:t>
            </w:r>
          </w:p>
        </w:tc>
        <w:tc>
          <w:tcPr>
            <w:tcW w:w="1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451</w:t>
            </w: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471</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471</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Lab equipment</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8,007</w:t>
            </w:r>
          </w:p>
        </w:tc>
        <w:tc>
          <w:tcPr>
            <w:tcW w:w="100" w:type="dxa"/>
            <w:vAlign w:val="bottom"/>
          </w:tcPr>
          <w:p>
            <w:pPr>
              <w:spacing w:after="0"/>
              <w:rPr>
                <w:sz w:val="17"/>
                <w:szCs w:val="17"/>
                <w:color w:val="auto"/>
              </w:rPr>
            </w:pPr>
          </w:p>
        </w:tc>
      </w:tr>
      <w:tr>
        <w:trPr>
          <w:trHeight w:val="196"/>
        </w:trPr>
        <w:tc>
          <w:tcPr>
            <w:tcW w:w="77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9,676</w:t>
            </w:r>
          </w:p>
        </w:tc>
        <w:tc>
          <w:tcPr>
            <w:tcW w:w="1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9,201</w:t>
            </w:r>
          </w:p>
        </w:tc>
        <w:tc>
          <w:tcPr>
            <w:tcW w:w="100" w:type="dxa"/>
            <w:vAlign w:val="bottom"/>
            <w:shd w:val="clear" w:color="auto" w:fill="CFF0FC"/>
          </w:tcPr>
          <w:p>
            <w:pPr>
              <w:spacing w:after="0"/>
              <w:rPr>
                <w:sz w:val="17"/>
                <w:szCs w:val="17"/>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color w:val="auto"/>
              </w:rPr>
              <w:t>Less—accumulated depreciation</w:t>
            </w:r>
          </w:p>
        </w:tc>
        <w:tc>
          <w:tcPr>
            <w:tcW w:w="140" w:type="dxa"/>
            <w:vAlign w:val="bottom"/>
          </w:tcPr>
          <w:p>
            <w:pPr>
              <w:spacing w:after="0"/>
              <w:rPr>
                <w:sz w:val="17"/>
                <w:szCs w:val="17"/>
                <w:color w:val="auto"/>
              </w:rPr>
            </w:pPr>
          </w:p>
        </w:tc>
        <w:tc>
          <w:tcPr>
            <w:tcW w:w="15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(7,052)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(5,986)</w:t>
            </w:r>
          </w:p>
        </w:tc>
      </w:tr>
      <w:tr>
        <w:trPr>
          <w:trHeight w:val="20"/>
        </w:trPr>
        <w:tc>
          <w:tcPr>
            <w:tcW w:w="7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2,624</w:t>
            </w:r>
          </w:p>
        </w:tc>
        <w:tc>
          <w:tcPr>
            <w:tcW w:w="1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3,215</w:t>
            </w:r>
          </w:p>
        </w:tc>
        <w:tc>
          <w:tcPr>
            <w:tcW w:w="100" w:type="dxa"/>
            <w:vAlign w:val="bottom"/>
            <w:shd w:val="clear" w:color="auto" w:fill="CFF0FC"/>
          </w:tcPr>
          <w:p>
            <w:pPr>
              <w:spacing w:after="0"/>
              <w:rPr>
                <w:sz w:val="18"/>
                <w:szCs w:val="18"/>
                <w:color w:val="auto"/>
              </w:rPr>
            </w:pP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-299085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$1.1 million and $1.2 million for the years ended December 31, 2025 and 2024,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5"/>
          </w:tcPr>
          <w:p>
            <w:pPr>
              <w:ind w:left="180"/>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Prepaid insurance</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center"/>
              <w:ind w:right="15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1,666</w:t>
            </w:r>
          </w:p>
        </w:tc>
        <w:tc>
          <w:tcPr>
            <w:tcW w:w="2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6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Prepaid research and development expenses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2,657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1,175</w:t>
            </w:r>
          </w:p>
        </w:tc>
        <w:tc>
          <w:tcPr>
            <w:tcW w:w="2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1,826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15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5,498</w:t>
            </w:r>
          </w:p>
        </w:tc>
        <w:tc>
          <w:tcPr>
            <w:tcW w:w="220" w:type="dxa"/>
            <w:vAlign w:val="bottom"/>
          </w:tcPr>
          <w:p>
            <w:pPr>
              <w:spacing w:after="0"/>
              <w:rPr>
                <w:sz w:val="17"/>
                <w:szCs w:val="17"/>
                <w:color w:val="auto"/>
              </w:rPr>
            </w:pPr>
          </w:p>
        </w:tc>
        <w:tc>
          <w:tcPr>
            <w:tcW w:w="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9,529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6. Marketable Securities</w:t>
            </w: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5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820" w:type="dxa"/>
            <w:vAlign w:val="bottom"/>
          </w:tcPr>
          <w:p>
            <w:pPr>
              <w:ind w:left="520"/>
              <w:spacing w:after="0"/>
              <w:rPr>
                <w:sz w:val="20"/>
                <w:szCs w:val="20"/>
                <w:color w:val="auto"/>
              </w:rPr>
            </w:pPr>
            <w:r>
              <w:rPr>
                <w:rFonts w:ascii="Arial" w:cs="Arial" w:eastAsia="Arial" w:hAnsi="Arial"/>
                <w:sz w:val="18"/>
                <w:szCs w:val="18"/>
                <w:color w:val="auto"/>
              </w:rPr>
              <w:t>Marketable securities consisted of the following (in thousands):</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60" w:type="dxa"/>
            <w:vAlign w:val="bottom"/>
            <w:gridSpan w:val="6"/>
            <w:vMerge w:val="restart"/>
          </w:tcPr>
          <w:p>
            <w:pPr>
              <w:ind w:left="200"/>
              <w:spacing w:after="0"/>
              <w:rPr>
                <w:sz w:val="20"/>
                <w:szCs w:val="20"/>
                <w:color w:val="auto"/>
              </w:rPr>
            </w:pPr>
            <w:r>
              <w:rPr>
                <w:rFonts w:ascii="Arial" w:cs="Arial" w:eastAsia="Arial" w:hAnsi="Arial"/>
                <w:sz w:val="18"/>
                <w:szCs w:val="18"/>
                <w:b w:val="1"/>
                <w:bCs w:val="1"/>
                <w:color w:val="auto"/>
              </w:rPr>
              <w:t>December 31, 2025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110"/>
              <w:spacing w:after="0" w:line="177" w:lineRule="exact"/>
              <w:rPr>
                <w:sz w:val="20"/>
                <w:szCs w:val="20"/>
                <w:color w:val="auto"/>
              </w:rPr>
            </w:pPr>
            <w:r>
              <w:rPr>
                <w:rFonts w:ascii="Arial" w:cs="Arial" w:eastAsia="Arial" w:hAnsi="Arial"/>
                <w:sz w:val="18"/>
                <w:szCs w:val="18"/>
                <w:b w:val="1"/>
                <w:bCs w:val="1"/>
                <w:color w:val="auto"/>
                <w:w w:val="97"/>
              </w:rPr>
              <w:t>Amortized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spacing w:after="0" w:line="177"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4"/>
          </w:tcPr>
          <w:p>
            <w:pPr>
              <w:jc w:val="center"/>
              <w:ind w:right="60"/>
              <w:spacing w:after="0" w:line="177"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20" w:type="dxa"/>
            <w:vAlign w:val="bottom"/>
            <w:vMerge w:val="restart"/>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b w:val="1"/>
                <w:bCs w:val="1"/>
                <w:color w:val="auto"/>
                <w:w w:val="99"/>
              </w:rPr>
              <w:t>Losses</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CFF0FC"/>
            </w:tcBorders>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84,638</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88</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ind w:left="4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84,726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84,638</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88</w:t>
            </w:r>
          </w:p>
        </w:tc>
        <w:tc>
          <w:tcPr>
            <w:tcW w:w="10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gridSpan w:val="2"/>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gridSpan w:val="2"/>
            <w:shd w:val="clear" w:color="auto" w:fill="CFF0FC"/>
          </w:tcPr>
          <w:p>
            <w:pPr>
              <w:ind w:left="4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84,726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700"/>
        </w:trPr>
        <w:tc>
          <w:tcPr>
            <w:tcW w:w="5820" w:type="dxa"/>
            <w:vAlign w:val="bottom"/>
          </w:tcPr>
          <w:p>
            <w:pPr>
              <w:ind w:left="5440"/>
              <w:spacing w:after="0"/>
              <w:rPr>
                <w:sz w:val="20"/>
                <w:szCs w:val="20"/>
                <w:color w:val="auto"/>
              </w:rPr>
            </w:pPr>
            <w:r>
              <w:rPr>
                <w:rFonts w:ascii="Arial" w:cs="Arial" w:eastAsia="Arial" w:hAnsi="Arial"/>
                <w:sz w:val="18"/>
                <w:szCs w:val="18"/>
                <w:color w:val="auto"/>
                <w:w w:val="97"/>
              </w:rPr>
              <w:t>F-15</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-2365375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-967740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-950595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-1104900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-967740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-950595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-1104900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-967740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-950595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-1104900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21"/>
        </w:trPr>
        <w:tc>
          <w:tcPr>
            <w:tcW w:w="5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ind w:left="200"/>
              <w:spacing w:after="0"/>
              <w:rPr>
                <w:sz w:val="20"/>
                <w:szCs w:val="20"/>
                <w:color w:val="auto"/>
              </w:rPr>
            </w:pPr>
            <w:r>
              <w:rPr>
                <w:rFonts w:ascii="Arial" w:cs="Arial" w:eastAsia="Arial" w:hAnsi="Arial"/>
                <w:sz w:val="18"/>
                <w:szCs w:val="18"/>
                <w:b w:val="1"/>
                <w:bCs w:val="1"/>
                <w:color w:val="auto"/>
              </w:rPr>
              <w:t>December 31, 2024</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110"/>
              <w:spacing w:after="0" w:line="177" w:lineRule="exact"/>
              <w:rPr>
                <w:sz w:val="20"/>
                <w:szCs w:val="20"/>
                <w:color w:val="auto"/>
              </w:rPr>
            </w:pPr>
            <w:r>
              <w:rPr>
                <w:rFonts w:ascii="Arial" w:cs="Arial" w:eastAsia="Arial" w:hAnsi="Arial"/>
                <w:sz w:val="18"/>
                <w:szCs w:val="18"/>
                <w:b w:val="1"/>
                <w:bCs w:val="1"/>
                <w:color w:val="auto"/>
                <w:w w:val="97"/>
              </w:rPr>
              <w:t>Amortized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70"/>
              <w:spacing w:after="0" w:line="177"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160"/>
              <w:spacing w:after="0" w:line="177"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20" w:type="dxa"/>
            <w:vAlign w:val="bottom"/>
            <w:vMerge w:val="restart"/>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Losses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119,130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680"/>
              <w:spacing w:after="0" w:line="196" w:lineRule="exact"/>
              <w:rPr>
                <w:sz w:val="20"/>
                <w:szCs w:val="20"/>
                <w:color w:val="auto"/>
              </w:rPr>
            </w:pPr>
            <w:r>
              <w:rPr>
                <w:rFonts w:ascii="Arial" w:cs="Arial" w:eastAsia="Arial" w:hAnsi="Arial"/>
                <w:sz w:val="18"/>
                <w:szCs w:val="18"/>
                <w:color w:val="auto"/>
                <w:w w:val="81"/>
              </w:rPr>
              <w:t>(26)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119,401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119,130</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ind w:left="680"/>
              <w:spacing w:after="0" w:line="196" w:lineRule="exact"/>
              <w:rPr>
                <w:sz w:val="20"/>
                <w:szCs w:val="20"/>
                <w:color w:val="auto"/>
              </w:rPr>
            </w:pPr>
            <w:r>
              <w:rPr>
                <w:rFonts w:ascii="Arial" w:cs="Arial" w:eastAsia="Arial" w:hAnsi="Arial"/>
                <w:sz w:val="18"/>
                <w:szCs w:val="18"/>
                <w:color w:val="auto"/>
              </w:rPr>
              <w:t>(26)</w:t>
            </w:r>
          </w:p>
        </w:tc>
        <w:tc>
          <w:tcPr>
            <w:tcW w:w="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119,401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-25400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As of December 31, 2025 and 2024, the current credit ratings of the Company’s investments are all within the guidelines of the investment policy of the Company, and the Company does not expect the issuers to settle any security at a price less than the amortized cost basis of the investment. The Company does not intend to sell the investments, and it is not probable that the Company will be required to sell the investments before recovery of their amortized cost basis.</w:t>
      </w:r>
    </w:p>
    <w:p>
      <w:pPr>
        <w:spacing w:after="0" w:line="25"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As of December 31, 2025, no marketable securities with contractual maturities of one year or less were in an unrealized loss position, and all marketable securities held by the Company had remaining contractual maturities of one year or less.</w:t>
      </w:r>
    </w:p>
    <w:p>
      <w:pPr>
        <w:spacing w:after="0" w:line="5" w:lineRule="exact"/>
        <w:rPr>
          <w:sz w:val="20"/>
          <w:szCs w:val="20"/>
          <w:color w:val="auto"/>
        </w:rPr>
      </w:pPr>
    </w:p>
    <w:p>
      <w:pPr>
        <w:ind w:right="280" w:firstLine="509"/>
        <w:spacing w:after="0" w:line="298" w:lineRule="auto"/>
        <w:rPr>
          <w:sz w:val="20"/>
          <w:szCs w:val="20"/>
          <w:color w:val="auto"/>
        </w:rPr>
      </w:pPr>
      <w:r>
        <w:rPr>
          <w:rFonts w:ascii="Arial" w:cs="Arial" w:eastAsia="Arial" w:hAnsi="Arial"/>
          <w:sz w:val="17"/>
          <w:szCs w:val="17"/>
          <w:color w:val="auto"/>
        </w:rPr>
        <w:t>As of December 31, 2024, one marketable security with a contractual maturity of one year or less was in an unrealized loss position totaling $0.03 million, and all marketable securities held by the Company had remaining contractual maturities of one year or less.</w:t>
      </w:r>
    </w:p>
    <w:p>
      <w:pPr>
        <w:spacing w:after="0" w:line="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There were no impairments of the Company’s marketable securities measured and carried at fair value during the years ended December 31, 2025 and 2024.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60" w:type="dxa"/>
            <w:vAlign w:val="bottom"/>
          </w:tcPr>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7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research and development expenses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7,006</w:t>
            </w:r>
          </w:p>
        </w:tc>
        <w:tc>
          <w:tcPr>
            <w:tcW w:w="4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3,386</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6,005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5,456</w:t>
            </w: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professional fees</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338</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242</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w:t>
            </w:r>
          </w:p>
        </w:tc>
        <w:tc>
          <w:tcPr>
            <w:tcW w:w="100" w:type="dxa"/>
            <w:vAlign w:val="bottom"/>
          </w:tcPr>
          <w:p>
            <w:pPr>
              <w:spacing w:after="0"/>
              <w:rPr>
                <w:sz w:val="17"/>
                <w:szCs w:val="17"/>
                <w:color w:val="auto"/>
              </w:rPr>
            </w:pPr>
          </w:p>
        </w:tc>
      </w:tr>
      <w:tr>
        <w:trPr>
          <w:trHeight w:val="21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13,591</w:t>
            </w:r>
          </w:p>
        </w:tc>
        <w:tc>
          <w:tcPr>
            <w:tcW w:w="4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9,460</w:t>
            </w:r>
          </w:p>
        </w:tc>
        <w:tc>
          <w:tcPr>
            <w:tcW w:w="100" w:type="dxa"/>
            <w:vAlign w:val="bottom"/>
            <w:shd w:val="clear" w:color="auto" w:fill="CFF0FC"/>
          </w:tcPr>
          <w:p>
            <w:pPr>
              <w:spacing w:after="0"/>
              <w:rPr>
                <w:sz w:val="18"/>
                <w:szCs w:val="18"/>
                <w:color w:val="auto"/>
              </w:rPr>
            </w:pP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6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had 150,000,000 authorized shares of common stock, par value $0.00001 per share, of which 63,587,777 and 49,998,279 shares were issued and outstanding at December 31, 2025 and December 31, 2024, respectively.</w:t>
      </w:r>
    </w:p>
    <w:p>
      <w:pPr>
        <w:spacing w:after="0" w:line="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addition, the Company had 10,000,000 authorized shares of preferred stock, par value $0.00001 per share, all of which shares of preferred stock are undesignated. No authorized shares of preferred stock were issued and outstanding at December 31, 2025 and December 31, 2024.</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Financings</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On May 16, 2025, the Company issued and sold 11,735,565 shares of common stock, pre-funded warrants to purchase up to 3,571,435 shares of common stock, and accompanying warrants to purchase an aggregate of 3,826,750 shares of common stock. The common stock and pre-funded warrants were sold in the 2025 Follow-On Offering in combination with an accompanying common stock warrant to purchase 0.25 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The Company received approximately $69.9 million in net proceeds from the 2025 Follow-On Offering after deducting underwriting discounts and commissions and offering expenses.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0" w:name="page131"/>
    <w:bookmarkEnd w:id="130"/>
    <w:p>
      <w:pPr>
        <w:jc w:val="both"/>
        <w:ind w:firstLine="509"/>
        <w:spacing w:after="0" w:line="242" w:lineRule="auto"/>
        <w:rPr>
          <w:sz w:val="20"/>
          <w:szCs w:val="20"/>
          <w:color w:val="auto"/>
        </w:rPr>
      </w:pPr>
      <w:r>
        <w:rPr>
          <w:rFonts w:ascii="Arial" w:cs="Arial" w:eastAsia="Arial" w:hAnsi="Arial"/>
          <w:sz w:val="18"/>
          <w:szCs w:val="18"/>
          <w:color w:val="auto"/>
        </w:rPr>
        <w:t>On March 27, 2024, the Company filed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The Company issued 1,055,362 shares of common stock at a weighted average price of $6.36 for aggregate gross proceeds of $6.7 million during the year ended December 31, 2025 under the ATM. The Company issued no shares of common stock during the year ended December 31, 2024 under the ATM.</w:t>
      </w:r>
    </w:p>
    <w:p>
      <w:pPr>
        <w:spacing w:after="0" w:line="4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On November 9, 2023, the Company issued and sold 11,000,000 shares of common stock at a price to the public of $9.00 per share for aggregate gross proceeds of $99.0 million in the 2023 Follow-On Offering. The Company received approximately $92.6 million in net proceeds from the 2023 Follow-On Offering after deducting underwriting discounts and commissions and offering expenses.</w:t>
      </w:r>
    </w:p>
    <w:p>
      <w:pPr>
        <w:spacing w:after="0" w:line="2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On November 1, 2022, the Company filed the 2022 Shelf with the SEC in relation to the registration of up to an aggregate offering price of $250.0 million of common stock, preferred stock, debt securities, warrants and units or any combination thereof. The Company also simultaneously entered into the Sales Agreement with the Sales Agent to provide for the offering, issuance and sale by the Company of up to an aggregate of $75.0 million of common stock from time to time in the ATM under the 2022 Shelf and subject to the limitations thereof. The Company issued 261,807 shares of common stock at a weighted average price of $12.49 for aggregate gross proceeds of $3.3 million during the year ended December 31, 2023 under the ATM.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Stock Option and Incentive Plan</w:t>
      </w:r>
    </w:p>
    <w:p>
      <w:pPr>
        <w:spacing w:after="0" w:line="6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On December 12, 2018, the Company adopted the Aura Biosciences, Inc. 2018 Equity Incentive Plan, or the 2018 Plan. The 2018 Plan will expire in 2028. Under the 2018 Plan, Aura may grant incentive stock options, non-qualified stock options, restricted and unrestricted stock awards and stock rights. The Board of Directors, or the Board, has determined not to make any further awards under the 2018 Plan as of November 2, 2021. However, the 2018 Plan will continue to govern outstanding equity awards granted thereunder.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Stock Option and Incentive Plan</w:t>
      </w:r>
    </w:p>
    <w:p>
      <w:pPr>
        <w:spacing w:after="0" w:line="7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2021 Stock Option and Incentive Plan, or the 2021 Plan, was adopted by the Board on October 7, 2021, approved by the Company’s stockholders on October 22, 2021 and became effective on November 1, 2021. The 2021 Plan permits the granting of several award types, including restricted stock units and both options to purchase common stock intended to qualify as incentive stock options under Section 422 of the United States Internal Revenue Code, or the Code, and options that do not so qualify. The number of shares initially reserved for issuance under the 2021 Plan was 3,352,166, which increased on January 1, 2022 and will continue to increase each January 1 thereafter, by 5% of the outstanding number of shares of common stock on the immediately preceding December 31 or such lesser number of shares as determined by the Company’s compensation committee. The maximum number of shares of common stock that may be issued in the form of incentive stock options shall not exceed the initial limit, cumulatively increased on January 1, 2022 and on each January 1 thereafter by the lesser of the annual increase for such year or 3,352,166 shares of common stock. On January 1, 2025, the shares reserved for issuance were increased to 11,667,747 shares. With the transfer of shares to the 2021 Plan in connection with the termination or expiration of awards under the 2018 Plan, together with shares otherwise available under the 2021 Plan, there were 3,847,257 shares available for grant under the 2021 Plan at December 31, 2025.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6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2021 Employee Stock Purchase Plan, or the ESPP, was adopted by the Board on October 7, 2021, approved by the Company’s stockholders on October 22, 2021 and became effective on November 1, 2021. A total of 335,217 shares of common stock were initially reserved for issuance under this plan, which increased on January 1, 2022 and will continue to increase each January 1 thereafter through January 1, 2031, by the least of (i) 335,217 shares of common stock, (ii) 1% of the outstanding number of shares of common stock on the immediately preceding December 31 or (iii) such lesser number of shares of common stock as determined by the administrator of the ESPP. On January 1, 2025, the shares reserved for issuance were increased to 1,593,596 shares. The purchase price of the shares under the ESPP is at 85% of the lower of the fair market value of the Company’s common stock on the first trading day of the offering period or on the purchase date. As of December 31, 2025, 1,565,471 shares were available to be issued under the ESPP. The Company recognized $0.1 million of stock-based compensation expense related to the ESPP for each of the years ended December 31, 2025 and 2024.</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The Board is authorized to administer the 2021 Plan. In accordance with the provisions of the 2021 Plan, the Board determines the terms of Aura options and other awards issued pursuant thereto, including the following:</w:t>
      </w:r>
    </w:p>
    <w:p>
      <w:pPr>
        <w:ind w:left="1020" w:hanging="368"/>
        <w:spacing w:after="0"/>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which employees, directors and consultants shall be granted awards;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shares of common stock subject to options and other awards;</w:t>
      </w:r>
    </w:p>
    <w:p>
      <w:pPr>
        <w:spacing w:after="0" w:line="4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exercise price of each option, which generally shall not be less than fair market value of the common stock on the date of grant;</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cancellation provisions applicable to options;</w:t>
      </w:r>
    </w:p>
    <w:p>
      <w:pPr>
        <w:spacing w:after="0" w:line="35"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and conditions of other awards, including conditions for repurchase, termination or cancellation, issue price and repurchase price; and</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all other terms and conditions upon which each award may be granted in accordance with the 2021 Plan.</w:t>
      </w:r>
    </w:p>
    <w:p>
      <w:pPr>
        <w:spacing w:after="0" w:line="2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addition, the Board may award restricted shares of common stock and restricted stock units to participants subject to such conditions and restrictions as it may determine. The Board or any committee to which the Board delegates authority may, with the consent of the affected plan participants, re-price or otherwise amend outstanding awards consistent with the terms of the 2021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summarizes stock option activity under the 2018 Plan and 2021 Plan for the year ended December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Average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center"/>
              <w:ind w:left="370"/>
              <w:spacing w:after="0" w:line="202" w:lineRule="exact"/>
              <w:rPr>
                <w:sz w:val="20"/>
                <w:szCs w:val="20"/>
                <w:color w:val="auto"/>
              </w:rPr>
            </w:pPr>
            <w:r>
              <w:rPr>
                <w:rFonts w:ascii="Arial" w:cs="Arial" w:eastAsia="Arial" w:hAnsi="Arial"/>
                <w:sz w:val="18"/>
                <w:szCs w:val="18"/>
                <w:b w:val="1"/>
                <w:bCs w:val="1"/>
                <w:color w:val="auto"/>
                <w:w w:val="98"/>
              </w:rPr>
              <w:t>Weighted-</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Aggregate</w:t>
            </w:r>
          </w:p>
        </w:tc>
      </w:tr>
      <w:tr>
        <w:trPr>
          <w:trHeight w:val="203"/>
        </w:trPr>
        <w:tc>
          <w:tcPr>
            <w:tcW w:w="3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center"/>
              <w:ind w:left="370"/>
              <w:spacing w:after="0" w:line="202" w:lineRule="exact"/>
              <w:rPr>
                <w:sz w:val="20"/>
                <w:szCs w:val="20"/>
                <w:color w:val="auto"/>
              </w:rPr>
            </w:pPr>
            <w:r>
              <w:rPr>
                <w:rFonts w:ascii="Arial" w:cs="Arial" w:eastAsia="Arial" w:hAnsi="Arial"/>
                <w:sz w:val="18"/>
                <w:szCs w:val="18"/>
                <w:b w:val="1"/>
                <w:bCs w:val="1"/>
                <w:color w:val="auto"/>
                <w:w w:val="98"/>
              </w:rPr>
              <w:t>Average</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03"/>
        </w:trPr>
        <w:tc>
          <w:tcPr>
            <w:tcW w:w="3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center"/>
              <w:ind w:left="370"/>
              <w:spacing w:after="0" w:line="202" w:lineRule="exact"/>
              <w:rPr>
                <w:sz w:val="20"/>
                <w:szCs w:val="20"/>
                <w:color w:val="auto"/>
              </w:rPr>
            </w:pPr>
            <w:r>
              <w:rPr>
                <w:rFonts w:ascii="Arial" w:cs="Arial" w:eastAsia="Arial" w:hAnsi="Arial"/>
                <w:sz w:val="18"/>
                <w:szCs w:val="18"/>
                <w:b w:val="1"/>
                <w:bCs w:val="1"/>
                <w:color w:val="auto"/>
                <w:w w:val="99"/>
              </w:rPr>
              <w:t>Exercise</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Term</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21"/>
        </w:trPr>
        <w:tc>
          <w:tcPr>
            <w:tcW w:w="3940" w:type="dxa"/>
            <w:vAlign w:val="bottom"/>
          </w:tcPr>
          <w:p>
            <w:pPr>
              <w:spacing w:after="0"/>
              <w:rPr>
                <w:sz w:val="19"/>
                <w:szCs w:val="19"/>
                <w:color w:val="auto"/>
              </w:rPr>
            </w:pPr>
          </w:p>
        </w:tc>
        <w:tc>
          <w:tcPr>
            <w:tcW w:w="1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9"/>
              </w:rPr>
              <w:t>Price</w:t>
            </w: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(years)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19"/>
                <w:szCs w:val="19"/>
                <w:color w:val="auto"/>
              </w:rPr>
            </w:pPr>
          </w:p>
        </w:tc>
      </w:tr>
      <w:tr>
        <w:trPr>
          <w:trHeight w:val="196"/>
        </w:trPr>
        <w:tc>
          <w:tcPr>
            <w:tcW w:w="3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December 31, 2024</w:t>
            </w: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5,522,353</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130"/>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8.17</w:t>
            </w:r>
          </w:p>
        </w:tc>
        <w:tc>
          <w:tcPr>
            <w:tcW w:w="16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6.91</w:t>
            </w:r>
          </w:p>
        </w:tc>
        <w:tc>
          <w:tcPr>
            <w:tcW w:w="3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8,068</w:t>
            </w:r>
          </w:p>
        </w:tc>
        <w:tc>
          <w:tcPr>
            <w:tcW w:w="100" w:type="dxa"/>
            <w:vAlign w:val="bottom"/>
            <w:shd w:val="clear" w:color="auto" w:fill="CFF0FC"/>
          </w:tcPr>
          <w:p>
            <w:pPr>
              <w:spacing w:after="0"/>
              <w:rPr>
                <w:sz w:val="17"/>
                <w:szCs w:val="17"/>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1,596,043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7.14</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8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(247,993)</w:t>
            </w:r>
          </w:p>
        </w:tc>
        <w:tc>
          <w:tcPr>
            <w:tcW w:w="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4.30</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Cancelled/Forfeited</w:t>
            </w:r>
          </w:p>
        </w:tc>
        <w:tc>
          <w:tcPr>
            <w:tcW w:w="1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(402,821)</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10.35</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9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December 31, 2025</w:t>
            </w: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6,467,582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13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7.93</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6.96</w:t>
            </w:r>
          </w:p>
        </w:tc>
        <w:tc>
          <w:tcPr>
            <w:tcW w:w="3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1,503</w:t>
            </w:r>
          </w:p>
        </w:tc>
        <w:tc>
          <w:tcPr>
            <w:tcW w:w="100" w:type="dxa"/>
            <w:vAlign w:val="bottom"/>
            <w:shd w:val="clear" w:color="auto" w:fill="CFF0FC"/>
          </w:tcPr>
          <w:p>
            <w:pPr>
              <w:spacing w:after="0"/>
              <w:rPr>
                <w:sz w:val="18"/>
                <w:szCs w:val="18"/>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3940" w:type="dxa"/>
            <w:vAlign w:val="bottom"/>
          </w:tcPr>
          <w:p>
            <w:pPr>
              <w:spacing w:after="0" w:line="183" w:lineRule="exact"/>
              <w:rPr>
                <w:sz w:val="20"/>
                <w:szCs w:val="20"/>
                <w:color w:val="auto"/>
              </w:rPr>
            </w:pPr>
            <w:r>
              <w:rPr>
                <w:rFonts w:ascii="Arial" w:cs="Arial" w:eastAsia="Arial" w:hAnsi="Arial"/>
                <w:sz w:val="18"/>
                <w:szCs w:val="18"/>
                <w:color w:val="auto"/>
              </w:rPr>
              <w:t>Exercisable at December 31, 2025</w:t>
            </w:r>
          </w:p>
        </w:tc>
        <w:tc>
          <w:tcPr>
            <w:tcW w:w="1720" w:type="dxa"/>
            <w:vAlign w:val="bottom"/>
          </w:tcPr>
          <w:p>
            <w:pPr>
              <w:jc w:val="right"/>
              <w:spacing w:after="0" w:line="183" w:lineRule="exact"/>
              <w:rPr>
                <w:sz w:val="20"/>
                <w:szCs w:val="20"/>
                <w:color w:val="auto"/>
              </w:rPr>
            </w:pPr>
            <w:r>
              <w:rPr>
                <w:rFonts w:ascii="Arial" w:cs="Arial" w:eastAsia="Arial" w:hAnsi="Arial"/>
                <w:sz w:val="18"/>
                <w:szCs w:val="18"/>
                <w:color w:val="auto"/>
              </w:rPr>
              <w:t>3,908,454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ind w:right="1130"/>
              <w:spacing w:after="0" w:line="183"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83" w:lineRule="exact"/>
              <w:rPr>
                <w:sz w:val="20"/>
                <w:szCs w:val="20"/>
                <w:color w:val="auto"/>
              </w:rPr>
            </w:pPr>
            <w:r>
              <w:rPr>
                <w:rFonts w:ascii="Arial" w:cs="Arial" w:eastAsia="Arial" w:hAnsi="Arial"/>
                <w:sz w:val="18"/>
                <w:szCs w:val="18"/>
                <w:color w:val="auto"/>
              </w:rPr>
              <w:t>8.07</w:t>
            </w:r>
          </w:p>
        </w:tc>
        <w:tc>
          <w:tcPr>
            <w:tcW w:w="220" w:type="dxa"/>
            <w:vAlign w:val="bottom"/>
          </w:tcPr>
          <w:p>
            <w:pPr>
              <w:spacing w:after="0"/>
              <w:rPr>
                <w:sz w:val="15"/>
                <w:szCs w:val="15"/>
                <w:color w:val="auto"/>
              </w:rPr>
            </w:pPr>
          </w:p>
        </w:tc>
        <w:tc>
          <w:tcPr>
            <w:tcW w:w="1440" w:type="dxa"/>
            <w:vAlign w:val="bottom"/>
          </w:tcPr>
          <w:p>
            <w:pPr>
              <w:jc w:val="right"/>
              <w:spacing w:after="0" w:line="183" w:lineRule="exact"/>
              <w:rPr>
                <w:sz w:val="20"/>
                <w:szCs w:val="20"/>
                <w:color w:val="auto"/>
              </w:rPr>
            </w:pPr>
            <w:r>
              <w:rPr>
                <w:rFonts w:ascii="Arial" w:cs="Arial" w:eastAsia="Arial" w:hAnsi="Arial"/>
                <w:sz w:val="18"/>
                <w:szCs w:val="18"/>
                <w:color w:val="auto"/>
              </w:rPr>
              <w:t>5.79</w:t>
            </w:r>
          </w:p>
        </w:tc>
        <w:tc>
          <w:tcPr>
            <w:tcW w:w="340" w:type="dxa"/>
            <w:vAlign w:val="bottom"/>
            <w:gridSpan w:val="2"/>
          </w:tcPr>
          <w:p>
            <w:pPr>
              <w:jc w:val="right"/>
              <w:ind w:right="20"/>
              <w:spacing w:after="0" w:line="183"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8"/>
                <w:szCs w:val="18"/>
                <w:color w:val="auto"/>
              </w:rPr>
              <w:t>1,503</w:t>
            </w:r>
          </w:p>
        </w:tc>
        <w:tc>
          <w:tcPr>
            <w:tcW w:w="100" w:type="dxa"/>
            <w:vAlign w:val="bottom"/>
          </w:tcPr>
          <w:p>
            <w:pPr>
              <w:spacing w:after="0"/>
              <w:rPr>
                <w:sz w:val="15"/>
                <w:szCs w:val="15"/>
                <w:color w:val="auto"/>
              </w:rPr>
            </w:pPr>
          </w:p>
        </w:tc>
      </w:tr>
      <w:tr>
        <w:trPr>
          <w:trHeight w:val="20"/>
        </w:trPr>
        <w:tc>
          <w:tcPr>
            <w:tcW w:w="39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-179705</wp:posOffset>
            </wp:positionV>
            <wp:extent cx="7747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-162560</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-179705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-162560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-179705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-162560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weighted-average grant date fair value of stock options granted during the years ended December 31, 2025 and 2024 was $5.51 and $5.99 per share, respectively. The total intrinsic value of options exercised was $0.6 million and $1.5 million for the years ended December 31, 2025 and 2024, respectively.</w:t>
      </w:r>
    </w:p>
    <w:p>
      <w:pPr>
        <w:spacing w:after="0" w:line="16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fair value of the stock options issued as of December 31, 2025 and 2024 was measured with the following weighted-average assumptions: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8"/>
              </w:rPr>
              <w:t>Year Ended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1"/>
        </w:trPr>
        <w:tc>
          <w:tcPr>
            <w:tcW w:w="79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196"/>
        </w:trPr>
        <w:tc>
          <w:tcPr>
            <w:tcW w:w="792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17"/>
                <w:szCs w:val="17"/>
                <w:color w:val="auto"/>
              </w:rPr>
            </w:pPr>
          </w:p>
        </w:tc>
      </w:tr>
      <w:tr>
        <w:trPr>
          <w:trHeight w:val="196"/>
        </w:trPr>
        <w:tc>
          <w:tcPr>
            <w:tcW w:w="7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4.26%</w:t>
            </w:r>
          </w:p>
        </w:tc>
        <w:tc>
          <w:tcPr>
            <w:tcW w:w="340" w:type="dxa"/>
            <w:vAlign w:val="bottom"/>
            <w:shd w:val="clear" w:color="auto" w:fill="CCECFF"/>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3.93%</w:t>
            </w:r>
          </w:p>
        </w:tc>
      </w:tr>
      <w:tr>
        <w:trPr>
          <w:trHeight w:val="203"/>
        </w:trPr>
        <w:tc>
          <w:tcPr>
            <w:tcW w:w="8880" w:type="dxa"/>
            <w:vAlign w:val="bottom"/>
            <w:gridSpan w:val="2"/>
          </w:tcPr>
          <w:p>
            <w:pPr>
              <w:spacing w:after="0" w:line="202" w:lineRule="exact"/>
              <w:rPr>
                <w:sz w:val="20"/>
                <w:szCs w:val="20"/>
                <w:color w:val="auto"/>
              </w:rPr>
            </w:pPr>
            <w:r>
              <w:rPr>
                <w:rFonts w:ascii="Arial" w:cs="Arial" w:eastAsia="Arial" w:hAnsi="Arial"/>
                <w:sz w:val="18"/>
                <w:szCs w:val="18"/>
                <w:color w:val="auto"/>
              </w:rPr>
              <w:t>Expected term (years)</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6.05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6.03</w:t>
            </w:r>
          </w:p>
        </w:tc>
        <w:tc>
          <w:tcPr>
            <w:tcW w:w="180" w:type="dxa"/>
            <w:vAlign w:val="bottom"/>
          </w:tcPr>
          <w:p>
            <w:pPr>
              <w:spacing w:after="0"/>
              <w:rPr>
                <w:sz w:val="17"/>
                <w:szCs w:val="17"/>
                <w:color w:val="auto"/>
              </w:rPr>
            </w:pPr>
          </w:p>
        </w:tc>
      </w:tr>
      <w:tr>
        <w:trPr>
          <w:trHeight w:val="203"/>
        </w:trPr>
        <w:tc>
          <w:tcPr>
            <w:tcW w:w="88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Expected volatility of the underlying stock</w:t>
            </w:r>
          </w:p>
        </w:tc>
        <w:tc>
          <w:tcPr>
            <w:tcW w:w="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91.65%</w:t>
            </w:r>
          </w:p>
        </w:tc>
        <w:tc>
          <w:tcPr>
            <w:tcW w:w="340" w:type="dxa"/>
            <w:vAlign w:val="bottom"/>
            <w:shd w:val="clear" w:color="auto" w:fill="CCECFF"/>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88.63%</w:t>
            </w:r>
          </w:p>
        </w:tc>
      </w:tr>
      <w:tr>
        <w:trPr>
          <w:trHeight w:val="239"/>
        </w:trPr>
        <w:tc>
          <w:tcPr>
            <w:tcW w:w="888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has granted restricted stock units with service-based and performance-based vesting conditions. Unvested restricted stock units may not be sold or transferred by the holder.</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restricted stock units activity during the year ended December 31, 2025 is as follows: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Weighted-</w:t>
            </w:r>
          </w:p>
        </w:tc>
      </w:tr>
      <w:tr>
        <w:trPr>
          <w:trHeight w:val="203"/>
        </w:trPr>
        <w:tc>
          <w:tcPr>
            <w:tcW w:w="7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8"/>
              </w:rPr>
              <w:t>Average</w:t>
            </w:r>
          </w:p>
        </w:tc>
      </w:tr>
      <w:tr>
        <w:trPr>
          <w:trHeight w:val="203"/>
        </w:trPr>
        <w:tc>
          <w:tcPr>
            <w:tcW w:w="7720" w:type="dxa"/>
            <w:vAlign w:val="bottom"/>
          </w:tcPr>
          <w:p>
            <w:pPr>
              <w:spacing w:after="0"/>
              <w:rPr>
                <w:sz w:val="17"/>
                <w:szCs w:val="17"/>
                <w:color w:val="auto"/>
              </w:rPr>
            </w:pPr>
          </w:p>
        </w:tc>
        <w:tc>
          <w:tcPr>
            <w:tcW w:w="17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Restricted Stock</w:t>
            </w:r>
          </w:p>
        </w:tc>
        <w:tc>
          <w:tcPr>
            <w:tcW w:w="100" w:type="dxa"/>
            <w:vAlign w:val="bottom"/>
          </w:tcPr>
          <w:p>
            <w:pPr>
              <w:spacing w:after="0"/>
              <w:rPr>
                <w:sz w:val="17"/>
                <w:szCs w:val="17"/>
                <w:color w:val="auto"/>
              </w:rPr>
            </w:pPr>
          </w:p>
        </w:tc>
        <w:tc>
          <w:tcPr>
            <w:tcW w:w="166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Grant Date Fair</w:t>
            </w:r>
          </w:p>
        </w:tc>
      </w:tr>
      <w:tr>
        <w:trPr>
          <w:trHeight w:val="221"/>
        </w:trPr>
        <w:tc>
          <w:tcPr>
            <w:tcW w:w="7720" w:type="dxa"/>
            <w:vAlign w:val="bottom"/>
          </w:tcPr>
          <w:p>
            <w:pPr>
              <w:spacing w:after="0"/>
              <w:rPr>
                <w:sz w:val="19"/>
                <w:szCs w:val="19"/>
                <w:color w:val="auto"/>
              </w:rPr>
            </w:pP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Units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Value</w:t>
            </w:r>
          </w:p>
        </w:tc>
        <w:tc>
          <w:tcPr>
            <w:tcW w:w="100" w:type="dxa"/>
            <w:vAlign w:val="bottom"/>
          </w:tcPr>
          <w:p>
            <w:pPr>
              <w:spacing w:after="0"/>
              <w:rPr>
                <w:sz w:val="19"/>
                <w:szCs w:val="19"/>
                <w:color w:val="auto"/>
              </w:rPr>
            </w:pP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at December 31, 2024</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1,589,042</w:t>
            </w:r>
          </w:p>
        </w:tc>
        <w:tc>
          <w:tcPr>
            <w:tcW w:w="18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8.76</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1,837,279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7.30</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Vested/Released</w:t>
            </w:r>
          </w:p>
        </w:tc>
        <w:tc>
          <w:tcPr>
            <w:tcW w:w="17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(532,401)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(203,143)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8.46</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at December 31, 2025</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2,690,777</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7.74</w:t>
            </w:r>
          </w:p>
        </w:tc>
        <w:tc>
          <w:tcPr>
            <w:tcW w:w="100" w:type="dxa"/>
            <w:vAlign w:val="bottom"/>
            <w:shd w:val="clear" w:color="auto" w:fill="CFF0FC"/>
          </w:tcPr>
          <w:p>
            <w:pPr>
              <w:spacing w:after="0"/>
              <w:rPr>
                <w:sz w:val="18"/>
                <w:szCs w:val="18"/>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 ended December 31, 2025, 532,401 restricted stock units vested with a fair value of $4.8 million.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40" w:type="dxa"/>
            <w:vAlign w:val="bottom"/>
            <w:gridSpan w:val="2"/>
          </w:tcPr>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97"/>
        </w:trPr>
        <w:tc>
          <w:tcPr>
            <w:tcW w:w="8140" w:type="dxa"/>
            <w:vAlign w:val="bottom"/>
            <w:gridSpan w:val="2"/>
          </w:tcPr>
          <w:p>
            <w:pPr>
              <w:ind w:left="520"/>
              <w:spacing w:after="0"/>
              <w:rPr>
                <w:sz w:val="20"/>
                <w:szCs w:val="20"/>
                <w:color w:val="auto"/>
              </w:rPr>
            </w:pPr>
            <w:r>
              <w:rPr>
                <w:rFonts w:ascii="Arial" w:cs="Arial" w:eastAsia="Arial" w:hAnsi="Arial"/>
                <w:sz w:val="18"/>
                <w:szCs w:val="18"/>
                <w:color w:val="auto"/>
              </w:rPr>
              <w:t>The Company recorded stock-based compensation expense as follows (in thousands):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7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December 31,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3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r>
      <w:tr>
        <w:trPr>
          <w:trHeight w:val="196"/>
        </w:trPr>
        <w:tc>
          <w:tcPr>
            <w:tcW w:w="7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CFF"/>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7,825</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5,696</w:t>
            </w:r>
          </w:p>
        </w:tc>
        <w:tc>
          <w:tcPr>
            <w:tcW w:w="100" w:type="dxa"/>
            <w:vAlign w:val="bottom"/>
            <w:shd w:val="clear" w:color="auto" w:fill="CFF0FC"/>
          </w:tcPr>
          <w:p>
            <w:pPr>
              <w:spacing w:after="0"/>
              <w:rPr>
                <w:sz w:val="17"/>
                <w:szCs w:val="17"/>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6,492</w:t>
            </w: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6,026</w:t>
            </w:r>
          </w:p>
        </w:tc>
        <w:tc>
          <w:tcPr>
            <w:tcW w:w="100" w:type="dxa"/>
            <w:vAlign w:val="bottom"/>
          </w:tcPr>
          <w:p>
            <w:pPr>
              <w:spacing w:after="0"/>
              <w:rPr>
                <w:sz w:val="17"/>
                <w:szCs w:val="17"/>
                <w:color w:val="auto"/>
              </w:rPr>
            </w:pPr>
          </w:p>
        </w:tc>
      </w:tr>
      <w:tr>
        <w:trPr>
          <w:trHeight w:val="236"/>
        </w:trPr>
        <w:tc>
          <w:tcPr>
            <w:tcW w:w="79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CCECFF"/>
            </w:tcBorders>
            <w:shd w:val="clear" w:color="auto" w:fill="CCECFF"/>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14,317</w:t>
            </w:r>
          </w:p>
        </w:tc>
        <w:tc>
          <w:tcPr>
            <w:tcW w:w="3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11,722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As of December 31, 2025, there was $13.1 million of unrecognized compensation expense related to stock options, which is expected to be recognized over a weighted-average period of 2.62 years.</w:t>
      </w:r>
    </w:p>
    <w:p>
      <w:pPr>
        <w:spacing w:after="0" w:line="140"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As of December 31, 2025, there was $16.2 million of unrecognized compensation expense related to restricted stock units, which is expected to be recognized over a weighted-average period of 2.68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May 2025, in connection with the 2025 Follow-On Offering, the Company issued pre-funded warrants to purchase up to 3,571,435 shares of common stock and warrants to purchase an aggregate of 3,826,750 shares of common stock. Each pre-funded warrant has an initial exercise price per share of $0.00001, subject to certain adjustments. The pre-funded warrants are exercisable immediately and may be exercised at any time until all of the pre-funded warrants are exercised in full. Each common stock warrant has an initial exercise price per share of $4.90, subject to certain adjustments. The common stock warrants are immediately exercisable from the date of issuance until expiration five years after the date of issuance. Pursuant to ASC 815-40, the pre-funded warrants and common stock warrants were classified within permanent equity. As of December 31, 2025, 3,571,435 pre-funded warrants and 3,826,750 common stock warrants remained outstanding.</w:t>
      </w:r>
    </w:p>
    <w:p>
      <w:pPr>
        <w:spacing w:after="0" w:line="4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February 2015 and May 2015, the Company issued warrants to purchase 1,650,098 and 887,536 shares of Series B convertible preferred stock, respectively, at an exercise price of $1.24235 per share, or the Series B Warrants. Each Series B Warrant was immediately exercisable and expired ten years from the original date of issuance. Pursuant to ASC 480, Distinguishing Liabilities from Equity, the Series B Warrants were classified as a liability and were re-measured to fair value at each balance sheet date. A total of 173,827 of the Series B Warrants were outstanding and were converted into warrants to purchase 12,686 shares of common stock with an exercise price of $17.03 upon the completion of the IPO in November 2021. As a result, the 12,686 common stock warrants were converted into equity instruments. During the year ended December 31, 2025, all 12,686 of these common stock warrants expired, and none remain outstanding as of December 31, 2025.</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warrant activity for the year ended December 31, 2025: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1"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21"/>
        </w:trPr>
        <w:tc>
          <w:tcPr>
            <w:tcW w:w="6200" w:type="dxa"/>
            <w:vAlign w:val="bottom"/>
          </w:tcPr>
          <w:p>
            <w:pPr>
              <w:spacing w:after="0"/>
              <w:rPr>
                <w:sz w:val="19"/>
                <w:szCs w:val="19"/>
                <w:color w:val="auto"/>
              </w:rPr>
            </w:pPr>
          </w:p>
        </w:tc>
        <w:tc>
          <w:tcPr>
            <w:tcW w:w="3500" w:type="dxa"/>
            <w:vAlign w:val="bottom"/>
            <w:tcBorders>
              <w:bottom w:val="single" w:sz="8" w:color="auto"/>
            </w:tcBorders>
            <w:gridSpan w:val="3"/>
          </w:tcPr>
          <w:p>
            <w:pPr>
              <w:ind w:left="1580"/>
              <w:spacing w:after="0"/>
              <w:rPr>
                <w:sz w:val="20"/>
                <w:szCs w:val="20"/>
                <w:color w:val="auto"/>
              </w:rPr>
            </w:pPr>
            <w:r>
              <w:rPr>
                <w:rFonts w:ascii="Arial" w:cs="Arial" w:eastAsia="Arial" w:hAnsi="Arial"/>
                <w:sz w:val="18"/>
                <w:szCs w:val="18"/>
                <w:b w:val="1"/>
                <w:bCs w:val="1"/>
                <w:color w:val="auto"/>
              </w:rPr>
              <w:t>Number of Warrants</w:t>
            </w:r>
          </w:p>
        </w:tc>
        <w:tc>
          <w:tcPr>
            <w:tcW w:w="1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6200" w:type="dxa"/>
            <w:vAlign w:val="bottom"/>
          </w:tcPr>
          <w:p>
            <w:pPr>
              <w:spacing w:after="0"/>
              <w:rPr>
                <w:sz w:val="17"/>
                <w:szCs w:val="17"/>
                <w:color w:val="auto"/>
              </w:rPr>
            </w:pPr>
          </w:p>
        </w:tc>
        <w:tc>
          <w:tcPr>
            <w:tcW w:w="3500" w:type="dxa"/>
            <w:vAlign w:val="bottom"/>
            <w:gridSpan w:val="3"/>
          </w:tcPr>
          <w:p>
            <w:pPr>
              <w:ind w:left="620"/>
              <w:spacing w:after="0" w:line="196" w:lineRule="exact"/>
              <w:rPr>
                <w:sz w:val="20"/>
                <w:szCs w:val="20"/>
                <w:color w:val="auto"/>
              </w:rPr>
            </w:pPr>
            <w:r>
              <w:rPr>
                <w:rFonts w:ascii="Arial" w:cs="Arial" w:eastAsia="Arial" w:hAnsi="Arial"/>
                <w:sz w:val="18"/>
                <w:szCs w:val="18"/>
                <w:color w:val="auto"/>
              </w:rPr>
              <w:t>Equity classified</w:t>
            </w:r>
          </w:p>
        </w:tc>
        <w:tc>
          <w:tcPr>
            <w:tcW w:w="1420" w:type="dxa"/>
            <w:vAlign w:val="bottom"/>
          </w:tcPr>
          <w:p>
            <w:pPr>
              <w:jc w:val="right"/>
              <w:ind w:right="73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7"/>
                <w:szCs w:val="17"/>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as of December 31, 2024</w:t>
            </w:r>
          </w:p>
        </w:tc>
        <w:tc>
          <w:tcPr>
            <w:tcW w:w="2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12,686</w:t>
            </w:r>
          </w:p>
        </w:tc>
        <w:tc>
          <w:tcPr>
            <w:tcW w:w="34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12,686</w:t>
            </w:r>
          </w:p>
        </w:tc>
        <w:tc>
          <w:tcPr>
            <w:tcW w:w="12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Issued</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7,398,185</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7,398,185</w:t>
            </w:r>
          </w:p>
        </w:tc>
        <w:tc>
          <w:tcPr>
            <w:tcW w:w="120" w:type="dxa"/>
            <w:vAlign w:val="bottom"/>
          </w:tcPr>
          <w:p>
            <w:pPr>
              <w:spacing w:after="0"/>
              <w:rPr>
                <w:sz w:val="17"/>
                <w:szCs w:val="17"/>
                <w:color w:val="auto"/>
              </w:rPr>
            </w:pP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Expired</w:t>
            </w:r>
          </w:p>
        </w:tc>
        <w:tc>
          <w:tcPr>
            <w:tcW w:w="28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(12,686)</w:t>
            </w:r>
          </w:p>
        </w:tc>
        <w:tc>
          <w:tcPr>
            <w:tcW w:w="6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(12,686)</w:t>
            </w:r>
          </w:p>
        </w:tc>
      </w:tr>
      <w:tr>
        <w:trPr>
          <w:trHeight w:val="196"/>
        </w:trPr>
        <w:tc>
          <w:tcPr>
            <w:tcW w:w="620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Outstanding as of December 31, 2025</w:t>
            </w:r>
          </w:p>
        </w:tc>
        <w:tc>
          <w:tcPr>
            <w:tcW w:w="25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7,398,185</w:t>
            </w:r>
          </w:p>
        </w:tc>
        <w:tc>
          <w:tcPr>
            <w:tcW w:w="340" w:type="dxa"/>
            <w:vAlign w:val="bottom"/>
            <w:tcBorders>
              <w:top w:val="single" w:sz="8" w:color="CFF0FC"/>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7,398,185</w:t>
            </w:r>
          </w:p>
        </w:tc>
        <w:tc>
          <w:tcPr>
            <w:tcW w:w="120" w:type="dxa"/>
            <w:vAlign w:val="bottom"/>
            <w:tcBorders>
              <w:top w:val="single" w:sz="8" w:color="CFF0FC"/>
            </w:tcBorders>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-162560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Compensation</w:t>
      </w:r>
    </w:p>
    <w:p>
      <w:pPr>
        <w:spacing w:after="0" w:line="6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January 2012, the Company adopted the Aura Biosciences 401(k) Profit Sharing Plan and Trust, or the 401(k) Plan, for its employees, which is designed to be qualified under Section 401(k) of the Code. Eligible employees are permitted to contribute to the 401(k) Plan within statutory and 401(k) Plan limits. The Company makes matching contributions of 100% on the first 6% of employee contributions. The Company made matching contributions of $1.1 million and $0.9 million for the years ended December 31, 2025 and 2024,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has historically entered into lease arrangements for its facilities. The Company has one operating lease for its office and laboratory facility with required future minimum payments as of December 31, 2025.</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On May 16, 2022, the Company entered into an office and laboratory lease in Boston, Massachusetts with an initial 10-year term and one renewal option to extend the lease for an additional seven years which has not been deemed probable of being exercised by the Company as of December 31, 2025. The lease commenced on August 1, 2022, and estimated payments due under the initial term are approximately $35.2 million. The lease requires a letter of credit totaling $0.8 million which is classified as long-term restricted cash and deposits on the consolidated balance sheets. The lease also provides for the landlord to reimburse the Company up to $0.5 million for certain costs related to expansion of the laboratory space. The Company has completed the expansion and has incurred and been fully reimbursed for $0.5 million of expenses in the year ended December 31, 2024.</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Company’s leases for the years ended December 31, 2025 and 2024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rPr>
              <w:t>Year Ended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gridSpan w:val="3"/>
          </w:tcPr>
          <w:p>
            <w:pPr>
              <w:jc w:val="center"/>
              <w:ind w:left="73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6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3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67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Lease Costs</w:t>
            </w:r>
          </w:p>
        </w:tc>
        <w:tc>
          <w:tcPr>
            <w:tcW w:w="7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Operating lease costs</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3,466</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3,509</w:t>
            </w:r>
          </w:p>
        </w:tc>
        <w:tc>
          <w:tcPr>
            <w:tcW w:w="100" w:type="dxa"/>
            <w:vAlign w:val="bottom"/>
          </w:tcPr>
          <w:p>
            <w:pPr>
              <w:spacing w:after="0"/>
              <w:rPr>
                <w:sz w:val="17"/>
                <w:szCs w:val="17"/>
                <w:color w:val="auto"/>
              </w:rPr>
            </w:pPr>
          </w:p>
        </w:tc>
      </w:tr>
      <w:tr>
        <w:trPr>
          <w:trHeight w:val="203"/>
        </w:trPr>
        <w:tc>
          <w:tcPr>
            <w:tcW w:w="6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Variable lease costs</w:t>
            </w:r>
          </w:p>
        </w:tc>
        <w:tc>
          <w:tcPr>
            <w:tcW w:w="7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1,964</w:t>
            </w:r>
          </w:p>
        </w:tc>
        <w:tc>
          <w:tcPr>
            <w:tcW w:w="34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40" w:type="dxa"/>
            <w:vAlign w:val="bottom"/>
          </w:tcPr>
          <w:p>
            <w:pPr>
              <w:spacing w:after="0" w:line="196" w:lineRule="exact"/>
              <w:rPr>
                <w:sz w:val="20"/>
                <w:szCs w:val="20"/>
                <w:color w:val="auto"/>
              </w:rPr>
            </w:pPr>
            <w:r>
              <w:rPr>
                <w:rFonts w:ascii="Arial" w:cs="Arial" w:eastAsia="Arial" w:hAnsi="Arial"/>
                <w:sz w:val="18"/>
                <w:szCs w:val="18"/>
                <w:color w:val="auto"/>
              </w:rPr>
              <w:t>Total lease costs</w:t>
            </w:r>
          </w:p>
        </w:tc>
        <w:tc>
          <w:tcPr>
            <w:tcW w:w="10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5,430</w:t>
            </w:r>
          </w:p>
        </w:tc>
        <w:tc>
          <w:tcPr>
            <w:tcW w:w="92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4,702</w:t>
            </w:r>
          </w:p>
        </w:tc>
        <w:tc>
          <w:tcPr>
            <w:tcW w:w="100" w:type="dxa"/>
            <w:vAlign w:val="bottom"/>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67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Cash paid for amounts included in the measurement of lease liabilities—operating</w:t>
            </w:r>
          </w:p>
        </w:tc>
        <w:tc>
          <w:tcPr>
            <w:tcW w:w="7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leases</w:t>
            </w:r>
          </w:p>
        </w:tc>
        <w:tc>
          <w:tcPr>
            <w:tcW w:w="7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3,306</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w:t>
            </w:r>
          </w:p>
        </w:tc>
        <w:tc>
          <w:tcPr>
            <w:tcW w:w="100" w:type="dxa"/>
            <w:vAlign w:val="bottom"/>
            <w:shd w:val="clear" w:color="auto" w:fill="CFF0FC"/>
          </w:tcPr>
          <w:p>
            <w:pPr>
              <w:spacing w:after="0"/>
              <w:rPr>
                <w:sz w:val="19"/>
                <w:szCs w:val="19"/>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Weighted-average remaining lease term—operating leases (years)</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6.59</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7.59</w:t>
            </w:r>
          </w:p>
        </w:tc>
        <w:tc>
          <w:tcPr>
            <w:tcW w:w="100" w:type="dxa"/>
            <w:vAlign w:val="bottom"/>
          </w:tcPr>
          <w:p>
            <w:pPr>
              <w:spacing w:after="0"/>
              <w:rPr>
                <w:sz w:val="17"/>
                <w:szCs w:val="17"/>
                <w:color w:val="auto"/>
              </w:rPr>
            </w:pPr>
          </w:p>
        </w:tc>
      </w:tr>
      <w:tr>
        <w:trPr>
          <w:trHeight w:val="202"/>
        </w:trPr>
        <w:tc>
          <w:tcPr>
            <w:tcW w:w="6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discount rate—operating leases</w:t>
            </w:r>
          </w:p>
        </w:tc>
        <w:tc>
          <w:tcPr>
            <w:tcW w:w="7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10.71%</w:t>
            </w:r>
          </w:p>
        </w:tc>
        <w:tc>
          <w:tcPr>
            <w:tcW w:w="3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10.71%</w:t>
            </w:r>
          </w:p>
        </w:tc>
      </w:tr>
      <w:tr>
        <w:trPr>
          <w:trHeight w:val="652"/>
        </w:trPr>
        <w:tc>
          <w:tcPr>
            <w:tcW w:w="6740" w:type="dxa"/>
            <w:vAlign w:val="bottom"/>
          </w:tcPr>
          <w:p>
            <w:pPr>
              <w:ind w:left="5440"/>
              <w:spacing w:after="0"/>
              <w:rPr>
                <w:sz w:val="20"/>
                <w:szCs w:val="20"/>
                <w:color w:val="auto"/>
              </w:rPr>
            </w:pPr>
            <w:r>
              <w:rPr>
                <w:rFonts w:ascii="Arial" w:cs="Arial" w:eastAsia="Arial" w:hAnsi="Arial"/>
                <w:sz w:val="18"/>
                <w:szCs w:val="18"/>
                <w:color w:val="auto"/>
              </w:rPr>
              <w:t>F-20</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6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-1704975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11240" w:type="dxa"/>
            <w:vAlign w:val="bottom"/>
            <w:gridSpan w:val="4"/>
          </w:tcPr>
          <w:p>
            <w:pPr>
              <w:ind w:left="520"/>
              <w:spacing w:after="0"/>
              <w:rPr>
                <w:sz w:val="20"/>
                <w:szCs w:val="20"/>
                <w:color w:val="auto"/>
              </w:rPr>
            </w:pPr>
            <w:r>
              <w:rPr>
                <w:rFonts w:ascii="Arial" w:cs="Arial" w:eastAsia="Arial" w:hAnsi="Arial"/>
                <w:sz w:val="18"/>
                <w:szCs w:val="18"/>
                <w:color w:val="auto"/>
              </w:rPr>
              <w:t>The following table reconciles the future minimum commitments to the Company’s operating lease liabilities at December 31, 2025 (in</w:t>
            </w:r>
          </w:p>
        </w:tc>
      </w:tr>
      <w:tr>
        <w:trPr>
          <w:trHeight w:val="239"/>
        </w:trPr>
        <w:tc>
          <w:tcPr>
            <w:tcW w:w="9220" w:type="dxa"/>
            <w:vAlign w:val="bottom"/>
          </w:tcPr>
          <w:p>
            <w:pPr>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9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Operating lease</w:t>
            </w:r>
          </w:p>
        </w:tc>
      </w:tr>
      <w:tr>
        <w:trPr>
          <w:trHeight w:val="203"/>
        </w:trPr>
        <w:tc>
          <w:tcPr>
            <w:tcW w:w="9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payments as of</w:t>
            </w:r>
          </w:p>
        </w:tc>
      </w:tr>
      <w:tr>
        <w:trPr>
          <w:trHeight w:val="221"/>
        </w:trPr>
        <w:tc>
          <w:tcPr>
            <w:tcW w:w="9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December 31, 2025</w:t>
            </w:r>
          </w:p>
        </w:tc>
      </w:tr>
      <w:tr>
        <w:trPr>
          <w:trHeight w:val="196"/>
        </w:trPr>
        <w:tc>
          <w:tcPr>
            <w:tcW w:w="9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2026</w:t>
            </w:r>
          </w:p>
        </w:tc>
        <w:tc>
          <w:tcPr>
            <w:tcW w:w="120" w:type="dxa"/>
            <w:vAlign w:val="bottom"/>
            <w:tcBorders>
              <w:top w:val="single" w:sz="8" w:color="auto"/>
            </w:tcBorders>
            <w:shd w:val="clear" w:color="auto" w:fill="CFF0FC"/>
          </w:tcPr>
          <w:p>
            <w:pPr>
              <w:spacing w:after="0"/>
              <w:rPr>
                <w:sz w:val="17"/>
                <w:szCs w:val="17"/>
                <w:color w:val="auto"/>
              </w:rPr>
            </w:pPr>
          </w:p>
        </w:tc>
        <w:tc>
          <w:tcPr>
            <w:tcW w:w="1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3,405</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12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3,508</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12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3,611</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12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3,715</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12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3,827</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6,280</w:t>
            </w:r>
          </w:p>
        </w:tc>
        <w:tc>
          <w:tcPr>
            <w:tcW w:w="100" w:type="dxa"/>
            <w:vAlign w:val="bottom"/>
          </w:tcPr>
          <w:p>
            <w:pPr>
              <w:spacing w:after="0"/>
              <w:rPr>
                <w:sz w:val="17"/>
                <w:szCs w:val="17"/>
                <w:color w:val="auto"/>
              </w:rPr>
            </w:pPr>
          </w:p>
        </w:tc>
      </w:tr>
      <w:tr>
        <w:trPr>
          <w:trHeight w:val="196"/>
        </w:trPr>
        <w:tc>
          <w:tcPr>
            <w:tcW w:w="9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24,346</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120" w:type="dxa"/>
            <w:vAlign w:val="bottom"/>
          </w:tcPr>
          <w:p>
            <w:pPr>
              <w:spacing w:after="0"/>
              <w:rPr>
                <w:sz w:val="17"/>
                <w:szCs w:val="17"/>
                <w:color w:val="auto"/>
              </w:rPr>
            </w:pPr>
          </w:p>
        </w:tc>
        <w:tc>
          <w:tcPr>
            <w:tcW w:w="1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(6,969)</w:t>
            </w:r>
          </w:p>
        </w:tc>
      </w:tr>
      <w:tr>
        <w:trPr>
          <w:trHeight w:val="196"/>
        </w:trPr>
        <w:tc>
          <w:tcPr>
            <w:tcW w:w="9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lease liabilities at December 31, 2025</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17,377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spacing w:after="0" w:line="196" w:lineRule="exact"/>
              <w:rPr>
                <w:sz w:val="20"/>
                <w:szCs w:val="20"/>
                <w:color w:val="auto"/>
              </w:rPr>
            </w:pPr>
            <w:r>
              <w:rPr>
                <w:rFonts w:ascii="Arial" w:cs="Arial" w:eastAsia="Arial" w:hAnsi="Arial"/>
                <w:sz w:val="18"/>
                <w:szCs w:val="18"/>
                <w:color w:val="auto"/>
              </w:rPr>
              <w:t>Less: current portion of lease liabilities</w:t>
            </w: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3,243</w:t>
            </w:r>
          </w:p>
        </w:tc>
        <w:tc>
          <w:tcPr>
            <w:tcW w:w="100" w:type="dxa"/>
            <w:vAlign w:val="bottom"/>
          </w:tcPr>
          <w:p>
            <w:pPr>
              <w:spacing w:after="0"/>
              <w:rPr>
                <w:sz w:val="17"/>
                <w:szCs w:val="17"/>
                <w:color w:val="auto"/>
              </w:rPr>
            </w:pPr>
          </w:p>
        </w:tc>
      </w:tr>
      <w:tr>
        <w:trPr>
          <w:trHeight w:val="236"/>
        </w:trPr>
        <w:tc>
          <w:tcPr>
            <w:tcW w:w="9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Lease liabilities, net of current portion</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14,134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the following key agreements that relate to the core technology under development:</w:t>
      </w:r>
    </w:p>
    <w:p>
      <w:pPr>
        <w:spacing w:after="0" w:line="21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Rakuten License and Supply Agreement</w:t>
      </w:r>
    </w:p>
    <w:p>
      <w:pPr>
        <w:spacing w:after="0" w:line="7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May 2024, the Company received notice from LI-COR, Inc., or LI-COR, that as of April 16, 2024, LI-COR assigned, and Rakuten Medical, Inc., or Rakuten, assumed, the 2014 Exclusive Agreement and the 2014 Non-Exclusive Agreement (each described below), each originally entered into by and between the Company and LI-COR. The 2014 Exclusive Agreement and 2014 Non-Exclusive Agreement were not otherwise modified by this assignment and assumption and remain in effect.</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auto"/>
        </w:rPr>
        <w:t>2014 Exclusive Agreement</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January 2014, the Company entered into an Exclusive License and Supply Agreement, or the 2014 Exclusive Agreement, with LI-COR for the license of IRDye 700DX and related licensed patent (now expired) for the treatment and diagnosis of ocular cancers in humans, as amended in January 2016, July 2017, April 2018 and April 2019. The 2014 Exclusive Agreement required a one-time upfront license issue fee of $0.1 million and aggregate milestone payments of up to $0.2 million upon certain regulatory and development milestones. The Company is also required to pay Rakuten low-single digit royalties on net sales. The term of the 2014 Exclusive Agreement expires on a country-by-country basis, until the longer of (i) ten years from the first commercial sale of a licensed product in such country and (ii) the last to expire valid claim in such country.</w:t>
      </w:r>
    </w:p>
    <w:p>
      <w:pPr>
        <w:spacing w:after="0" w:line="50"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Company recognized no expenses related to this agreement and related amendments for the years ended December 31, 2025 and 2024, respectively.</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auto"/>
        </w:rPr>
        <w:t>2014 Non-Exclusive Agreement</w:t>
      </w:r>
    </w:p>
    <w:p>
      <w:pPr>
        <w:spacing w:after="0" w:line="6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December 2014, the Company entered into a Non-Exclusive License Agreement, or the 2014 Non-Exclusive Agreement, with LI-COR for the supply of IRDye 700DX to the Company for the treatment and diagnosis of non-ocular solid tumor cancers in humans. Under the 2014 Non-Exclusive Agreement, the Company paid a license issue fee of $0.03 million on the effective date. The Company must also pay Rakuten a non-refundable, non-creditable fee of $0.03 million per each licensed product upon pre-IND designation, as defined of such licensed product, aggregate milestone payments of up to $0.3 million upon certain regulatory and development milestones; and during the term, the Company must pay Rakuten a low-single digit percentage royalty on net sales. Rakuten receives 10% of all sublicensee income within 30 days of the Company’s receipt from the sublicensee. The 2014 Non-Exclusive Agreement also required the Company to make certain payments upon the achievement of specified development and commercial milestones of up to $0.4 million in aggregate. During the years ended December 31, 2025 and 2024, the Company recognized no milestones related to this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35" w:name="page136"/>
    <w:bookmarkEnd w:id="135"/>
    <w:p>
      <w:pPr>
        <w:ind w:left="1020"/>
        <w:spacing w:after="0"/>
        <w:rPr>
          <w:sz w:val="20"/>
          <w:szCs w:val="20"/>
          <w:color w:val="auto"/>
        </w:rPr>
      </w:pPr>
      <w:r>
        <w:rPr>
          <w:rFonts w:ascii="Arial" w:cs="Arial" w:eastAsia="Arial" w:hAnsi="Arial"/>
          <w:sz w:val="18"/>
          <w:szCs w:val="18"/>
          <w:i w:val="1"/>
          <w:iCs w:val="1"/>
          <w:color w:val="auto"/>
        </w:rPr>
        <w:t>Life Technologies Corporation License Agreements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December 2014, the Company entered into a non-exclusive, perpetual license agreement with Life Technologies Corporation, or Life Technologies, which allows for five licensed products. Under this agreement the Company is required to pay an initial license fee of $0.1 million for each product. An annual development fee of $0.1 million is due within a year from payment of the initial license fee and due annually or earlier of (i) payment of a commercialization fee or (ii) all development work is terminated. The commercialization fee is a one-time, non-refundable, non-creditable fee of $0.3 million due upon receipt of approval of a licensed product. In the event of a change of control, there will be a change of control fee of $0.2 million.</w:t>
      </w:r>
    </w:p>
    <w:p>
      <w:pPr>
        <w:spacing w:after="0" w:line="4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January 2022, the Company entered into the First Amendment to the non-exclusive, perpetual license agreement with Life Technologies for use of the license in an additional indication. The cost of this amendment was a one-time fee of $0.05 million. During the years ended December 31, 2025 and 2024, the Company recognized no milestones related to this agreement.</w:t>
      </w:r>
    </w:p>
    <w:p>
      <w:pPr>
        <w:spacing w:after="0" w:line="2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Effective in September 2022, the Company entered into a new non-exclusive, perpetual license agreement with Life Technologies for licensed products. Under this agreement, the Company is required to pay an initial license fee of $0.4 million for the first licensed product and $0.5 million for each additional licensed product. In addition, the agreement allows the Company the right to sublicense which would lead to a $0.2 million payment for each sublicense per licensed product and a $0.03 million payment for use of the cell line document package. In the event of a change of control, there will be a change of control fee of $0.5 million. During the years ended December 31, 2025 and 2024, the Company recognized no expenses and $0.5 million of expenses related to this agreement, respectively.</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(NIH)-Collaboration Research and Development Agreement</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July 2011, the Company entered into a Collaboration Research and Development Agreement, or CRADA, with Dr. John Schiller at the NIH, for a period of two years with the rights to an exclusive license to all technology generated within the collaboration. Under this agreement, the Company is required to make annual payments of $0.03 million to fund the research activities, the first payment of which was paid within 30 days of the effective date. Subsequent payments are due within 30 days of the anniversary of the effective date. This agreement was previously amended in 2012, 2013, 2014, 2015, 2016, 2018, 2020, and 2022. During the years ended December 31, 2025 and 2024, the Company paid no research collaboration fees related to this agreement.</w:t>
      </w:r>
    </w:p>
    <w:p>
      <w:pPr>
        <w:spacing w:after="0" w:line="4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 ninth amendment was effective in September 2024, requiring payment of $0.06 million within 30 days of November 30, 2024, and payment of another $0.05 million within 30 days of September 30, 2025. This ninth amendment extended the term of the CRADA to September 30, 2026. During the years ended December 31, 2025 and 2024, the Company recognized $0.05 million and $0.1 million of expenses related to this agreement, respectively.</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(NIH)-Exclusive Patent License Agreement</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September 2013, the Company entered into an exclusive patent license agreement, or the NIH Exclusive License Agreement, with the NIH, that required the Company to pay a license issue royalty of $0.1 million and reimburse the NIH for any patent expenses incurred. Under the agreement, the Company is required to make low single-digit percentage royalty payments based on specified levels of annual net sales of licensed products subject to certain specified reductions. The Company is required to make development and regulatory milestone payments of up to $0.7 million in aggregate and sales milestone payments up to $0.6 million in the aggregate. The Company is also required to pay the NIH a mid-single to low teen-digit percentage of any sublicensing revenue the Company receives. Additionally, the Company’s payment obligations to the NIH are subject to an annual minimum royalty payment of low five figures. The Company recognized $0.04 million and $0.03 million for patent licensing fees for the years ended December 31, 2025 and 2024, respectively.</w:t>
      </w:r>
    </w:p>
    <w:p>
      <w:pPr>
        <w:spacing w:after="0" w:line="3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2015, 2018 and 2019, the Company amended its exclusive patent license to include updates on the status of the commercial development and update/expand the list of licensed patents and patent applications. Each of those amendments required a $0.03 million payment that the Company paid.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36" w:name="page137"/>
    <w:bookmarkEnd w:id="136"/>
    <w:p>
      <w:pPr>
        <w:ind w:left="1020"/>
        <w:spacing w:after="0"/>
        <w:rPr>
          <w:sz w:val="20"/>
          <w:szCs w:val="20"/>
          <w:color w:val="auto"/>
        </w:rPr>
      </w:pPr>
      <w:r>
        <w:rPr>
          <w:rFonts w:ascii="Arial" w:cs="Arial" w:eastAsia="Arial" w:hAnsi="Arial"/>
          <w:sz w:val="18"/>
          <w:szCs w:val="18"/>
          <w:i w:val="1"/>
          <w:iCs w:val="1"/>
          <w:color w:val="auto"/>
        </w:rPr>
        <w:t>Inserm-Transfert License Agreement</w:t>
      </w:r>
    </w:p>
    <w:p>
      <w:pPr>
        <w:spacing w:after="0" w:line="6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November 2009, the Company entered into an exclusive, royalty-bearing patent license agreement with Inserm-Transfert of France. The agreement expires on a country-by-country basis based on the last to expire of any patent encompassed within the scope of the patent rights or 10 years from the date of the first commercial sales by the Company, whichever is later. The IND filing milestone of €0.01 million was accrued in 2016 and paid in 2017 by the Company. The milestones for the successful Phase I, II and III clinical trials are based on receiving a final report and achieving the primary endpoints defined in that trial; the Phase I and Phase II milestones have been achieved as of December 31, 2025. Upon the sublicense by the Company of a product for which royalties are payable under the agreement, low- to mid-single-digit royalty payments would be due by the Company. The non-milestone payments in this agreement are subject to an anti-stacking clause. The Company did not incur any expenses related to milestones for the year ended December 31, 2025, and incurred $0.1 million in expenses related to this agreement for the year ended December 31, 2024.</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Clearside License Agreement</w:t>
      </w:r>
    </w:p>
    <w:p>
      <w:pPr>
        <w:spacing w:after="0" w:line="7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July 2019, the Company entered into an exclusive license agreement, as amended, or the Clearside License Agreement, with Clearside Biomedical, Inc., or Clearside Biomedical, for the license of Clearside’s Suprachoroidal Microneedle Technology for use in the treatment of indeterminate lesions and choroidal tumors. The Clearside License Agreement was subsequently assigned by Clearside Biomedical to Clearside Royalty LLC, or Clearside. Upon execution of the Clearside License Agreement, the Company paid Clearside Biomedical an upfront payment of $0.1 million which was expensed as incurred. Pursuant to an amendment to the Clearside License Agreement in March 2026, the Company paid Clearside an upfront payment of $1.0 million, and is required to make a one-time payment of $1.5 million upon the occurrence of a specified regulatory achievement. Under the Clearside License Agreement, the Company is also required to pay milestones up to $21.0 million in the aggregate upon the achievement of specified regulatory and development milestones, and upon the achievement of certain commercial sales milestones. The Company is also required to pay low to mid-single digit royalties on net sales. If the Company sublicenses a product for which royalties are payable, then the Company is required to pay the greater of 20% received or low single digit royalties on net sales.</w:t>
      </w:r>
    </w:p>
    <w:p>
      <w:pPr>
        <w:spacing w:after="0" w:line="37"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Clearside License Agreement expires on a country-by-country basis upon the later of the last to expire patent or ten years from the date of the first commercial sale of a product.</w:t>
      </w:r>
    </w:p>
    <w:p>
      <w:pPr>
        <w:spacing w:after="0" w:line="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did not recognize any expenses related to this agreement and related amendments for the years ended December 31, 2025 and 2024,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7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Basic net loss per share is calculated by dividing the net loss attributable to common stockholders by the weighted average number of shares of common stock outstanding during the period, without consideration for potentially dilutive securities. The Company has included the pre-funded warrants to purchase 3,571,435 shares of common stock issued at an exercise price of $0.00001 in connection with the 2025 Follow-On Offering in its computation of basic net loss per share. Diluted net loss per share is the same as basic net loss per share for the periods presented since the effects of potentially dilutive securities are antidilutive given the net loss of the Company.</w:t>
      </w:r>
    </w:p>
    <w:p>
      <w:pPr>
        <w:spacing w:after="0" w:line="176"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Company has calculated basic and diluted net loss per share for the years ended December 31, 2025 and 2024 as follows (in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Year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53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3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5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Numerator:</w:t>
            </w:r>
          </w:p>
        </w:tc>
        <w:tc>
          <w:tcPr>
            <w:tcW w:w="24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7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(106,191)</w:t>
            </w:r>
          </w:p>
        </w:tc>
        <w:tc>
          <w:tcPr>
            <w:tcW w:w="5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(86,919)</w:t>
            </w:r>
          </w:p>
        </w:tc>
      </w:tr>
      <w:tr>
        <w:trPr>
          <w:trHeight w:val="20"/>
        </w:trPr>
        <w:tc>
          <w:tcPr>
            <w:tcW w:w="5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3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Denominator:</w:t>
            </w:r>
          </w:p>
        </w:tc>
        <w:tc>
          <w:tcPr>
            <w:tcW w:w="24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Weighted-average common stock outstanding—basic and diluted</w:t>
            </w:r>
          </w:p>
        </w:tc>
        <w:tc>
          <w:tcPr>
            <w:tcW w:w="24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60,337,608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49,650,480</w:t>
            </w:r>
          </w:p>
        </w:tc>
        <w:tc>
          <w:tcPr>
            <w:tcW w:w="100" w:type="dxa"/>
            <w:vAlign w:val="bottom"/>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3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loss per common share—basic and diluted</w:t>
            </w:r>
          </w:p>
        </w:tc>
        <w:tc>
          <w:tcPr>
            <w:tcW w:w="24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8"/>
                <w:szCs w:val="18"/>
                <w:color w:val="auto"/>
              </w:rPr>
              <w:t>(1.76)</w:t>
            </w:r>
          </w:p>
        </w:tc>
        <w:tc>
          <w:tcPr>
            <w:tcW w:w="540" w:type="dxa"/>
            <w:vAlign w:val="bottom"/>
            <w:gridSpan w:val="2"/>
            <w:shd w:val="clear" w:color="auto" w:fill="CFF0FC"/>
          </w:tcPr>
          <w:p>
            <w:pPr>
              <w:jc w:val="right"/>
              <w:ind w:right="300"/>
              <w:spacing w:after="0" w:line="18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(1.75)</w:t>
            </w:r>
          </w:p>
        </w:tc>
      </w:tr>
      <w:tr>
        <w:trPr>
          <w:trHeight w:val="633"/>
        </w:trPr>
        <w:tc>
          <w:tcPr>
            <w:tcW w:w="5320" w:type="dxa"/>
            <w:vAlign w:val="bottom"/>
            <w:tcBorders>
              <w:top w:val="single" w:sz="8" w:color="CFF0FC"/>
            </w:tcBorders>
          </w:tcPr>
          <w:p>
            <w:pPr>
              <w:spacing w:after="0"/>
              <w:rPr>
                <w:sz w:val="24"/>
                <w:szCs w:val="24"/>
                <w:color w:val="auto"/>
              </w:rPr>
            </w:pPr>
          </w:p>
        </w:tc>
        <w:tc>
          <w:tcPr>
            <w:tcW w:w="242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F-23</w:t>
            </w:r>
          </w:p>
        </w:tc>
        <w:tc>
          <w:tcPr>
            <w:tcW w:w="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5"/>
        </w:trPr>
        <w:tc>
          <w:tcPr>
            <w:tcW w:w="53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-925195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-908050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137" w:name="page138"/>
    <w:bookmarkEnd w:id="137"/>
    <w:p>
      <w:pPr>
        <w:jc w:val="both"/>
        <w:ind w:firstLine="509"/>
        <w:spacing w:after="0" w:line="271" w:lineRule="auto"/>
        <w:rPr>
          <w:sz w:val="20"/>
          <w:szCs w:val="20"/>
          <w:color w:val="auto"/>
        </w:rPr>
      </w:pPr>
      <w:r>
        <w:rPr>
          <w:rFonts w:ascii="Arial" w:cs="Arial" w:eastAsia="Arial" w:hAnsi="Arial"/>
          <w:sz w:val="18"/>
          <w:szCs w:val="18"/>
          <w:color w:val="auto"/>
        </w:rPr>
        <w:t>The following potentially dilutive securities were excluded from the computation of the diluted net loss per share for the periods presented because their effect would have been antidilutive: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tcPr>
          <w:p>
            <w:pPr>
              <w:spacing w:after="0"/>
              <w:rPr>
                <w:sz w:val="17"/>
                <w:szCs w:val="17"/>
                <w:color w:val="auto"/>
              </w:rPr>
            </w:pPr>
          </w:p>
        </w:tc>
        <w:tc>
          <w:tcPr>
            <w:tcW w:w="272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w w:val="98"/>
              </w:rPr>
              <w:t>Year Ended</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140" w:type="dxa"/>
            <w:vAlign w:val="bottom"/>
          </w:tcPr>
          <w:p>
            <w:pPr>
              <w:spacing w:after="0"/>
              <w:rPr>
                <w:sz w:val="19"/>
                <w:szCs w:val="19"/>
                <w:color w:val="auto"/>
              </w:rPr>
            </w:pPr>
          </w:p>
        </w:tc>
        <w:tc>
          <w:tcPr>
            <w:tcW w:w="2720" w:type="dxa"/>
            <w:vAlign w:val="bottom"/>
            <w:tcBorders>
              <w:bottom w:val="single" w:sz="8" w:color="auto"/>
            </w:tcBorders>
            <w:gridSpan w:val="3"/>
          </w:tcPr>
          <w:p>
            <w:pPr>
              <w:jc w:val="center"/>
              <w:ind w:left="117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140" w:type="dxa"/>
            <w:vAlign w:val="bottom"/>
          </w:tcPr>
          <w:p>
            <w:pPr>
              <w:spacing w:after="0"/>
              <w:rPr>
                <w:sz w:val="17"/>
                <w:szCs w:val="17"/>
                <w:color w:val="auto"/>
              </w:rPr>
            </w:pPr>
          </w:p>
        </w:tc>
        <w:tc>
          <w:tcPr>
            <w:tcW w:w="188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6,467,582</w:t>
            </w: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5,522,353</w:t>
            </w:r>
          </w:p>
        </w:tc>
        <w:tc>
          <w:tcPr>
            <w:tcW w:w="100" w:type="dxa"/>
            <w:vAlign w:val="bottom"/>
            <w:shd w:val="clear" w:color="auto" w:fill="CFF0FC"/>
          </w:tcPr>
          <w:p>
            <w:pPr>
              <w:spacing w:after="0"/>
              <w:rPr>
                <w:sz w:val="17"/>
                <w:szCs w:val="17"/>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Restricted stock units that vest into common stock</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2,690,777</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1,589,042</w:t>
            </w:r>
          </w:p>
        </w:tc>
        <w:tc>
          <w:tcPr>
            <w:tcW w:w="100" w:type="dxa"/>
            <w:vAlign w:val="bottom"/>
          </w:tcPr>
          <w:p>
            <w:pPr>
              <w:spacing w:after="0"/>
              <w:rPr>
                <w:sz w:val="17"/>
                <w:szCs w:val="17"/>
                <w:color w:val="auto"/>
              </w:rPr>
            </w:pPr>
          </w:p>
        </w:tc>
      </w:tr>
      <w:tr>
        <w:trPr>
          <w:trHeight w:val="203"/>
        </w:trPr>
        <w:tc>
          <w:tcPr>
            <w:tcW w:w="71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7,398,185</w:t>
            </w:r>
          </w:p>
        </w:tc>
        <w:tc>
          <w:tcPr>
            <w:tcW w:w="24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40" w:type="dxa"/>
            <w:vAlign w:val="bottom"/>
          </w:tcPr>
          <w:p>
            <w:pPr>
              <w:spacing w:after="0" w:line="196" w:lineRule="exact"/>
              <w:rPr>
                <w:sz w:val="20"/>
                <w:szCs w:val="20"/>
                <w:color w:val="auto"/>
              </w:rPr>
            </w:pPr>
            <w:r>
              <w:rPr>
                <w:rFonts w:ascii="Arial" w:cs="Arial" w:eastAsia="Arial" w:hAnsi="Arial"/>
                <w:sz w:val="18"/>
                <w:szCs w:val="18"/>
                <w:color w:val="auto"/>
              </w:rPr>
              <w:t>Total potential dilutive shares</w:t>
            </w:r>
          </w:p>
        </w:tc>
        <w:tc>
          <w:tcPr>
            <w:tcW w:w="1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16,556,544</w:t>
            </w:r>
          </w:p>
        </w:tc>
        <w:tc>
          <w:tcPr>
            <w:tcW w:w="2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7,124,081</w:t>
            </w:r>
          </w:p>
        </w:tc>
        <w:tc>
          <w:tcPr>
            <w:tcW w:w="100" w:type="dxa"/>
            <w:vAlign w:val="bottom"/>
          </w:tcPr>
          <w:p>
            <w:pPr>
              <w:spacing w:after="0"/>
              <w:rPr>
                <w:sz w:val="17"/>
                <w:szCs w:val="17"/>
                <w:color w:val="auto"/>
              </w:rPr>
            </w:pPr>
          </w:p>
        </w:tc>
      </w:tr>
      <w:tr>
        <w:trPr>
          <w:trHeight w:val="20"/>
        </w:trPr>
        <w:tc>
          <w:tcPr>
            <w:tcW w:w="71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-162560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years ended December 31, 2025 and 2024, the loss before income taxes consisted of the following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60" w:type="dxa"/>
            <w:vAlign w:val="bottom"/>
            <w:vMerge w:val="restart"/>
          </w:tcPr>
          <w:p>
            <w:pPr>
              <w:spacing w:after="0"/>
              <w:rPr>
                <w:sz w:val="20"/>
                <w:szCs w:val="20"/>
                <w:color w:val="auto"/>
              </w:rPr>
            </w:pPr>
            <w:r>
              <w:rPr>
                <w:rFonts w:ascii="Arial" w:cs="Arial" w:eastAsia="Arial" w:hAnsi="Arial"/>
                <w:sz w:val="18"/>
                <w:szCs w:val="18"/>
                <w:color w:val="auto"/>
              </w:rPr>
              <w:t>Domestic</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760" w:type="dxa"/>
            <w:vAlign w:val="bottom"/>
            <w:vMerge w:val="continue"/>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(106,911)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(86,185)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828</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(106,083)</w:t>
            </w:r>
          </w:p>
        </w:tc>
        <w:tc>
          <w:tcPr>
            <w:tcW w:w="44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(86,807)</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-162560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9" w:lineRule="exact"/>
        <w:rPr>
          <w:sz w:val="20"/>
          <w:szCs w:val="20"/>
          <w:color w:val="auto"/>
        </w:rPr>
      </w:pPr>
    </w:p>
    <w:p>
      <w:pPr>
        <w:jc w:val="both"/>
        <w:ind w:right="20" w:firstLine="509"/>
        <w:spacing w:after="0" w:line="247" w:lineRule="auto"/>
        <w:rPr>
          <w:sz w:val="20"/>
          <w:szCs w:val="20"/>
          <w:color w:val="auto"/>
        </w:rPr>
      </w:pPr>
      <w:r>
        <w:rPr>
          <w:rFonts w:ascii="Arial" w:cs="Arial" w:eastAsia="Arial" w:hAnsi="Arial"/>
          <w:sz w:val="18"/>
          <w:szCs w:val="18"/>
          <w:color w:val="auto"/>
        </w:rPr>
        <w:t>The Company has recorded a $0.1 million tax provision for the periods presented due to the current state income taxes and the losses incurred, the need for a full valuation allowance on net deferred tax assets, and for the current foreign income taxes. The difference between the income tax provision at the U.S. federal statutory rate and the recorded provision is primarily due to the valuation allowance recorded on all deferred tax assets.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income tax provision, net consisted of the following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00" w:type="dxa"/>
            <w:vAlign w:val="bottom"/>
            <w:vMerge w:val="restart"/>
          </w:tcPr>
          <w:p>
            <w:pPr>
              <w:spacing w:after="0"/>
              <w:rPr>
                <w:sz w:val="20"/>
                <w:szCs w:val="20"/>
                <w:color w:val="auto"/>
              </w:rPr>
            </w:pPr>
            <w:r>
              <w:rPr>
                <w:rFonts w:ascii="Arial" w:cs="Arial" w:eastAsia="Arial" w:hAnsi="Arial"/>
                <w:sz w:val="18"/>
                <w:szCs w:val="18"/>
                <w:color w:val="auto"/>
              </w:rPr>
              <w:t>Components of income tax provision:</w:t>
            </w:r>
          </w:p>
        </w:tc>
        <w:tc>
          <w:tcPr>
            <w:tcW w:w="4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2025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200" w:type="dxa"/>
            <w:vAlign w:val="bottom"/>
            <w:vMerge w:val="continue"/>
          </w:tcPr>
          <w:p>
            <w:pPr>
              <w:spacing w:after="0"/>
              <w:rPr>
                <w:sz w:val="17"/>
                <w:szCs w:val="17"/>
                <w:color w:val="auto"/>
              </w:rPr>
            </w:pPr>
          </w:p>
        </w:tc>
        <w:tc>
          <w:tcPr>
            <w:tcW w:w="356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w:t>
            </w:r>
          </w:p>
        </w:tc>
        <w:tc>
          <w:tcPr>
            <w:tcW w:w="35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200"/>
              <w:spacing w:after="0" w:line="202" w:lineRule="exact"/>
              <w:rPr>
                <w:sz w:val="20"/>
                <w:szCs w:val="20"/>
                <w:color w:val="auto"/>
              </w:rPr>
            </w:pPr>
            <w:r>
              <w:rPr>
                <w:rFonts w:ascii="Arial" w:cs="Arial" w:eastAsia="Arial" w:hAnsi="Arial"/>
                <w:sz w:val="18"/>
                <w:szCs w:val="18"/>
                <w:color w:val="auto"/>
              </w:rPr>
              <w:t>Federal</w:t>
            </w:r>
          </w:p>
        </w:tc>
        <w:tc>
          <w:tcPr>
            <w:tcW w:w="4660" w:type="dxa"/>
            <w:vAlign w:val="bottom"/>
            <w:gridSpan w:val="2"/>
          </w:tcPr>
          <w:p>
            <w:pPr>
              <w:jc w:val="right"/>
              <w:ind w:right="100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State</w:t>
            </w:r>
          </w:p>
        </w:tc>
        <w:tc>
          <w:tcPr>
            <w:tcW w:w="35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200"/>
              <w:spacing w:after="0" w:line="202" w:lineRule="exact"/>
              <w:rPr>
                <w:sz w:val="20"/>
                <w:szCs w:val="20"/>
                <w:color w:val="auto"/>
              </w:rPr>
            </w:pPr>
            <w:r>
              <w:rPr>
                <w:rFonts w:ascii="Arial" w:cs="Arial" w:eastAsia="Arial" w:hAnsi="Arial"/>
                <w:sz w:val="18"/>
                <w:szCs w:val="18"/>
                <w:color w:val="auto"/>
              </w:rPr>
              <w:t>Foreign</w:t>
            </w:r>
          </w:p>
        </w:tc>
        <w:tc>
          <w:tcPr>
            <w:tcW w:w="3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w:t>
            </w:r>
          </w:p>
        </w:tc>
        <w:tc>
          <w:tcPr>
            <w:tcW w:w="356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Deferred:</w:t>
            </w:r>
          </w:p>
        </w:tc>
        <w:tc>
          <w:tcPr>
            <w:tcW w:w="3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Federal</w:t>
            </w:r>
          </w:p>
        </w:tc>
        <w:tc>
          <w:tcPr>
            <w:tcW w:w="35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00" w:type="dxa"/>
            <w:vAlign w:val="bottom"/>
          </w:tcPr>
          <w:p>
            <w:pPr>
              <w:ind w:left="200"/>
              <w:spacing w:after="0" w:line="202" w:lineRule="exact"/>
              <w:rPr>
                <w:sz w:val="20"/>
                <w:szCs w:val="20"/>
                <w:color w:val="auto"/>
              </w:rPr>
            </w:pPr>
            <w:r>
              <w:rPr>
                <w:rFonts w:ascii="Arial" w:cs="Arial" w:eastAsia="Arial" w:hAnsi="Arial"/>
                <w:sz w:val="18"/>
                <w:szCs w:val="18"/>
                <w:color w:val="auto"/>
              </w:rPr>
              <w:t>State</w:t>
            </w:r>
          </w:p>
        </w:tc>
        <w:tc>
          <w:tcPr>
            <w:tcW w:w="3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w:t>
            </w:r>
          </w:p>
        </w:tc>
        <w:tc>
          <w:tcPr>
            <w:tcW w:w="35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line="196" w:lineRule="exact"/>
              <w:rPr>
                <w:sz w:val="20"/>
                <w:szCs w:val="20"/>
                <w:color w:val="auto"/>
              </w:rPr>
            </w:pPr>
            <w:r>
              <w:rPr>
                <w:rFonts w:ascii="Arial" w:cs="Arial" w:eastAsia="Arial" w:hAnsi="Arial"/>
                <w:sz w:val="18"/>
                <w:szCs w:val="18"/>
                <w:color w:val="auto"/>
              </w:rPr>
              <w:t>Total Deferred</w:t>
            </w:r>
          </w:p>
        </w:tc>
        <w:tc>
          <w:tcPr>
            <w:tcW w:w="35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Income Tax Provision</w:t>
            </w:r>
          </w:p>
        </w:tc>
        <w:tc>
          <w:tcPr>
            <w:tcW w:w="4660" w:type="dxa"/>
            <w:vAlign w:val="bottom"/>
            <w:gridSpan w:val="2"/>
            <w:shd w:val="clear" w:color="auto" w:fill="CFF0FC"/>
          </w:tcPr>
          <w:p>
            <w:pPr>
              <w:jc w:val="right"/>
              <w:ind w:right="1000"/>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w:t>
            </w:r>
          </w:p>
        </w:tc>
        <w:tc>
          <w:tcPr>
            <w:tcW w:w="620" w:type="dxa"/>
            <w:vAlign w:val="bottom"/>
            <w:gridSpan w:val="3"/>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32"/>
        </w:trPr>
        <w:tc>
          <w:tcPr>
            <w:tcW w:w="4200" w:type="dxa"/>
            <w:vAlign w:val="bottom"/>
            <w:tcBorders>
              <w:top w:val="single" w:sz="8" w:color="CFF0FC"/>
            </w:tcBorders>
          </w:tcPr>
          <w:p>
            <w:pPr>
              <w:spacing w:after="0"/>
              <w:rPr>
                <w:sz w:val="24"/>
                <w:szCs w:val="24"/>
                <w:color w:val="auto"/>
              </w:rPr>
            </w:pPr>
          </w:p>
        </w:tc>
        <w:tc>
          <w:tcPr>
            <w:tcW w:w="3560" w:type="dxa"/>
            <w:vAlign w:val="bottom"/>
            <w:tcBorders>
              <w:top w:val="single" w:sz="8" w:color="CFF0FC"/>
            </w:tcBorders>
          </w:tcPr>
          <w:p>
            <w:pPr>
              <w:ind w:left="1240"/>
              <w:spacing w:after="0"/>
              <w:rPr>
                <w:sz w:val="20"/>
                <w:szCs w:val="20"/>
                <w:color w:val="auto"/>
              </w:rPr>
            </w:pPr>
            <w:r>
              <w:rPr>
                <w:rFonts w:ascii="Arial" w:cs="Arial" w:eastAsia="Arial" w:hAnsi="Arial"/>
                <w:sz w:val="18"/>
                <w:szCs w:val="18"/>
                <w:color w:val="auto"/>
              </w:rPr>
              <w:t>F-24</w:t>
            </w:r>
          </w:p>
        </w:tc>
        <w:tc>
          <w:tcPr>
            <w:tcW w:w="1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20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-1199515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-925195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-908050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8" w:name="page139"/>
    <w:bookmarkEnd w:id="138"/>
    <w:p>
      <w:pPr>
        <w:jc w:val="both"/>
        <w:ind w:firstLine="509"/>
        <w:spacing w:after="0" w:line="271" w:lineRule="auto"/>
        <w:rPr>
          <w:sz w:val="20"/>
          <w:szCs w:val="20"/>
          <w:color w:val="auto"/>
        </w:rPr>
      </w:pPr>
      <w:r>
        <w:rPr>
          <w:rFonts w:ascii="Arial" w:cs="Arial" w:eastAsia="Arial" w:hAnsi="Arial"/>
          <w:sz w:val="18"/>
          <w:szCs w:val="18"/>
          <w:color w:val="auto"/>
        </w:rPr>
        <w:t>A reconciliation of the federal statutory income tax rate to the Company’s effective tax rate as of December 31, 2025 and 2024 is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2025</w:t>
            </w:r>
          </w:p>
        </w:tc>
        <w:tc>
          <w:tcPr>
            <w:tcW w:w="11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2024</w:t>
            </w: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5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tax provision at statutory rate</w:t>
            </w:r>
          </w:p>
        </w:tc>
        <w:tc>
          <w:tcPr>
            <w:tcW w:w="46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(22,278)</w:t>
            </w:r>
          </w:p>
        </w:tc>
        <w:tc>
          <w:tcPr>
            <w:tcW w:w="1440" w:type="dxa"/>
            <w:vAlign w:val="bottom"/>
            <w:tcBorders>
              <w:right w:val="single" w:sz="8" w:color="CFF0FC"/>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21.0%</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(18,229)</w:t>
            </w:r>
          </w:p>
        </w:tc>
        <w:tc>
          <w:tcPr>
            <w:tcW w:w="4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21.0%</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State and local taxes, net of federal benefit</w:t>
            </w:r>
          </w:p>
        </w:tc>
        <w:tc>
          <w:tcPr>
            <w:tcW w:w="4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10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(0.1)%</w:t>
            </w: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(0.1)%</w:t>
            </w: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tax effects</w:t>
            </w: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03"/>
        </w:trPr>
        <w:tc>
          <w:tcPr>
            <w:tcW w:w="5460" w:type="dxa"/>
            <w:vAlign w:val="bottom"/>
          </w:tcPr>
          <w:p>
            <w:pPr>
              <w:ind w:left="140"/>
              <w:spacing w:after="0" w:line="202" w:lineRule="exact"/>
              <w:rPr>
                <w:sz w:val="20"/>
                <w:szCs w:val="20"/>
                <w:color w:val="auto"/>
              </w:rPr>
            </w:pPr>
            <w:r>
              <w:rPr>
                <w:rFonts w:ascii="Arial" w:cs="Arial" w:eastAsia="Arial" w:hAnsi="Arial"/>
                <w:sz w:val="18"/>
                <w:szCs w:val="18"/>
                <w:color w:val="auto"/>
              </w:rPr>
              <w:t>Other foreign jurisdictions</w:t>
            </w:r>
          </w:p>
        </w:tc>
        <w:tc>
          <w:tcPr>
            <w:tcW w:w="46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(144)</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0.1%</w:t>
            </w: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(0.2)%</w:t>
            </w: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Tax credits</w:t>
            </w: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03"/>
        </w:trPr>
        <w:tc>
          <w:tcPr>
            <w:tcW w:w="5460" w:type="dxa"/>
            <w:vAlign w:val="bottom"/>
          </w:tcPr>
          <w:p>
            <w:pPr>
              <w:ind w:left="140"/>
              <w:spacing w:after="0" w:line="202" w:lineRule="exact"/>
              <w:rPr>
                <w:sz w:val="20"/>
                <w:szCs w:val="20"/>
                <w:color w:val="auto"/>
              </w:rPr>
            </w:pPr>
            <w:r>
              <w:rPr>
                <w:rFonts w:ascii="Arial" w:cs="Arial" w:eastAsia="Arial" w:hAnsi="Arial"/>
                <w:sz w:val="18"/>
                <w:szCs w:val="18"/>
                <w:color w:val="auto"/>
              </w:rPr>
              <w:t>Research and development credits</w:t>
            </w:r>
          </w:p>
        </w:tc>
        <w:tc>
          <w:tcPr>
            <w:tcW w:w="4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2,729</w:t>
            </w:r>
          </w:p>
        </w:tc>
        <w:tc>
          <w:tcPr>
            <w:tcW w:w="10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36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(3,088)</w:t>
            </w:r>
          </w:p>
        </w:tc>
        <w:tc>
          <w:tcPr>
            <w:tcW w:w="46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w:t>
            </w:r>
          </w:p>
        </w:tc>
      </w:tr>
      <w:tr>
        <w:trPr>
          <w:trHeight w:val="203"/>
        </w:trPr>
        <w:tc>
          <w:tcPr>
            <w:tcW w:w="54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Orphan drug credits</w:t>
            </w:r>
          </w:p>
        </w:tc>
        <w:tc>
          <w:tcPr>
            <w:tcW w:w="4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(20,441)</w:t>
            </w:r>
          </w:p>
        </w:tc>
        <w:tc>
          <w:tcPr>
            <w:tcW w:w="1440" w:type="dxa"/>
            <w:vAlign w:val="bottom"/>
            <w:tcBorders>
              <w:right w:val="single" w:sz="8" w:color="CFF0FC"/>
            </w:tcBorders>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19.3%</w:t>
            </w:r>
          </w:p>
        </w:tc>
        <w:tc>
          <w:tcPr>
            <w:tcW w:w="36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Nontaxable or nondeductible items</w:t>
            </w:r>
          </w:p>
        </w:tc>
        <w:tc>
          <w:tcPr>
            <w:tcW w:w="4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1,786</w:t>
            </w:r>
          </w:p>
        </w:tc>
        <w:tc>
          <w:tcPr>
            <w:tcW w:w="10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w:t>
            </w: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1,184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w:t>
            </w: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Changes in valuation allowance</w:t>
            </w: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35,097</w:t>
            </w:r>
          </w:p>
        </w:tc>
        <w:tc>
          <w:tcPr>
            <w:tcW w:w="100" w:type="dxa"/>
            <w:vAlign w:val="bottom"/>
            <w:shd w:val="clear" w:color="auto" w:fill="CFF0FC"/>
          </w:tcPr>
          <w:p>
            <w:pPr>
              <w:spacing w:after="0"/>
              <w:rPr>
                <w:sz w:val="17"/>
                <w:szCs w:val="17"/>
                <w:color w:val="auto"/>
              </w:rPr>
            </w:pPr>
          </w:p>
        </w:tc>
        <w:tc>
          <w:tcPr>
            <w:tcW w:w="144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(33.1)%</w:t>
            </w: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19,630</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(22.6)%</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Other items</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54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NOL adjustment - Section 382 study</w:t>
            </w: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3,157</w:t>
            </w:r>
          </w:p>
        </w:tc>
        <w:tc>
          <w:tcPr>
            <w:tcW w:w="100" w:type="dxa"/>
            <w:vAlign w:val="bottom"/>
            <w:shd w:val="clear" w:color="auto" w:fill="CFF0FC"/>
          </w:tcPr>
          <w:p>
            <w:pPr>
              <w:spacing w:after="0"/>
              <w:rPr>
                <w:sz w:val="17"/>
                <w:szCs w:val="17"/>
                <w:color w:val="auto"/>
              </w:rPr>
            </w:pPr>
          </w:p>
        </w:tc>
        <w:tc>
          <w:tcPr>
            <w:tcW w:w="144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(2.9)%</w:t>
            </w:r>
          </w:p>
        </w:tc>
        <w:tc>
          <w:tcPr>
            <w:tcW w:w="36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5460" w:type="dxa"/>
            <w:vAlign w:val="bottom"/>
          </w:tcPr>
          <w:p>
            <w:pPr>
              <w:ind w:left="140"/>
              <w:spacing w:after="0" w:line="202" w:lineRule="exact"/>
              <w:rPr>
                <w:sz w:val="20"/>
                <w:szCs w:val="20"/>
                <w:color w:val="auto"/>
              </w:rPr>
            </w:pPr>
            <w:r>
              <w:rPr>
                <w:rFonts w:ascii="Arial" w:cs="Arial" w:eastAsia="Arial" w:hAnsi="Arial"/>
                <w:sz w:val="18"/>
                <w:szCs w:val="18"/>
                <w:color w:val="auto"/>
              </w:rPr>
              <w:t>Other</w:t>
            </w:r>
          </w:p>
        </w:tc>
        <w:tc>
          <w:tcPr>
            <w:tcW w:w="4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10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(0.1)%</w:t>
            </w: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(0.3)%</w:t>
            </w:r>
          </w:p>
        </w:tc>
      </w:tr>
      <w:tr>
        <w:trPr>
          <w:trHeight w:val="20"/>
        </w:trPr>
        <w:tc>
          <w:tcPr>
            <w:tcW w:w="5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6"/>
        </w:trPr>
        <w:tc>
          <w:tcPr>
            <w:tcW w:w="5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46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8"/>
                <w:szCs w:val="18"/>
                <w:color w:val="auto"/>
              </w:rPr>
            </w:pPr>
          </w:p>
        </w:tc>
        <w:tc>
          <w:tcPr>
            <w:tcW w:w="1440" w:type="dxa"/>
            <w:vAlign w:val="bottom"/>
            <w:tcBorders>
              <w:right w:val="single" w:sz="8" w:color="CFF0FC"/>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(0.0)%</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0.0%</w:t>
            </w: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-25400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15430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15430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15430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-8255</wp:posOffset>
            </wp:positionV>
            <wp:extent cx="15430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majority of the effect of state and local taxes, net of federal benefit, comes from the jurisdiction of Massachusetts.</w:t>
      </w:r>
    </w:p>
    <w:p>
      <w:pPr>
        <w:spacing w:after="0" w:line="198"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paid $0.1 million for income taxes during each of the years ended December 31, 2025 and 2024. The majority of the income taxes paid during each of the years ended December 31, 2025 and 2024 were for state income taxes related to the jurisdiction of Massachusetts. Income taxes paid related to other jurisdictions during each of the years ended December 31, 2025 and 2024 were not material to the consolidated financial statements.</w:t>
      </w:r>
    </w:p>
    <w:p>
      <w:pPr>
        <w:spacing w:after="0" w:line="16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Temporary differences that give rise to significant deferred tax assets (liabilities) as of December 31, 2025 and 2024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carryforwards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84,238</w:t>
            </w:r>
          </w:p>
        </w:tc>
        <w:tc>
          <w:tcPr>
            <w:tcW w:w="180" w:type="dxa"/>
            <w:vAlign w:val="bottom"/>
          </w:tcPr>
          <w:p>
            <w:pPr>
              <w:spacing w:after="0"/>
              <w:rPr>
                <w:sz w:val="17"/>
                <w:szCs w:val="17"/>
                <w:color w:val="auto"/>
              </w:rPr>
            </w:pPr>
          </w:p>
        </w:tc>
        <w:tc>
          <w:tcPr>
            <w:tcW w:w="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55,826</w:t>
            </w: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3,009</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2,450</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Capitalized research and development expenses</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24,440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32,422</w:t>
            </w: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Tax credit carryforwards</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31,980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13,582</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1,025</w:t>
            </w: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 liability</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4,520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4,903</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938</w:t>
            </w:r>
          </w:p>
        </w:tc>
        <w:tc>
          <w:tcPr>
            <w:tcW w:w="100" w:type="dxa"/>
            <w:vAlign w:val="bottom"/>
          </w:tcPr>
          <w:p>
            <w:pPr>
              <w:spacing w:after="0"/>
              <w:rPr>
                <w:sz w:val="17"/>
                <w:szCs w:val="17"/>
                <w:color w:val="auto"/>
              </w:rPr>
            </w:pPr>
          </w:p>
        </w:tc>
      </w:tr>
      <w:tr>
        <w:trPr>
          <w:trHeight w:val="196"/>
        </w:trPr>
        <w:tc>
          <w:tcPr>
            <w:tcW w:w="776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rPr>
              <w:t>Total deferred tax assets</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150,548</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111,146</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Right-of-use assets</w:t>
            </w: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(4,117)</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(4,540)</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Depreciable assets</w:t>
            </w:r>
          </w:p>
        </w:tc>
        <w:tc>
          <w:tcPr>
            <w:tcW w:w="34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(312)</w:t>
            </w: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(433)</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(443)</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(145,732)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(105,851)</w:t>
            </w:r>
          </w:p>
        </w:tc>
      </w:tr>
      <w:tr>
        <w:trPr>
          <w:trHeight w:val="20"/>
        </w:trPr>
        <w:tc>
          <w:tcPr>
            <w:tcW w:w="7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6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rPr>
              <w:t>Net deferred tax assets</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of December 31, 2025, the Company had accumulated federal net operating loss, NOL, carryforwards of approximately $318.9 million which may be available to offset future taxable income, of which $32.4 million begin to expire in 2034 and go through 2037 and $286.5 million do not expire. The Company had accumulated state NOL carryforwards of $274.4 million, which may be available to offset future taxable income and begin to expire in 2030, except for $2.2 million of state NOLs that do not expire. As of December 31, 2025, the Company had federal and state research and development credit carryforwards of $8.5 million and $3.8 million, respectively, which may be available to offset future income tax liabilities and begin to expire in 2038 and 2034, respectively. Additionally, the Company had $20.4 million of federal orphan drug credits that begin to expire in 2039.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39" w:name="page140"/>
    <w:bookmarkEnd w:id="139"/>
    <w:p>
      <w:pPr>
        <w:jc w:val="both"/>
        <w:ind w:firstLine="509"/>
        <w:spacing w:after="0" w:line="238" w:lineRule="auto"/>
        <w:rPr>
          <w:sz w:val="20"/>
          <w:szCs w:val="20"/>
          <w:color w:val="auto"/>
        </w:rPr>
      </w:pPr>
      <w:r>
        <w:rPr>
          <w:rFonts w:ascii="Arial" w:cs="Arial" w:eastAsia="Arial" w:hAnsi="Arial"/>
          <w:sz w:val="18"/>
          <w:szCs w:val="18"/>
          <w:color w:val="auto"/>
        </w:rPr>
        <w:t>The Company’s NOL and tax credit carryforwards may become subject to an annual limitation in the event of certain cumulative changes in the ownership interest of significant shareholders over a three-year period in excess of 50 percent as defined under Section 382 and 383 of the U.S. Internal Revenue Code of 1986, as amended, as well as similar state provisions. The amount of the annual limitation is determined based on the value of the Company immediately prior to the ownership change. The Company conducted a Section 382 study covering the period of January 15, 2009 through December 31, 2024. The study concluded that ownership changes occurred during that period which limit the amount of the Company’s NOLs and tax credit carryforwards that can be utilized before expiring. The NOL and credit carryforwards disclosed in the financial statements represent the amount of attributes that can be utilized before expiration based on the results of the study. The Company has not yet completed an analysis of ownership changes for the year ended December 31, 2025 and there could be material changes to NOLs depending on the results of the analysis when performed. The Company also conducted a study of its research and development credit and orphan drug credit carryforwards. The study resulted in a net increase to its federal and state credit carryforwards of $12.1 million and $0.2 million, respectively, that was recorded during the period ending December 31, 2025. A full valuation allowance has been recorded against the Company’s credit carryforwards, so there is no net impact to the consolidated balance sheets or statements of operations and comprehensive loss.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Management has evaluated the positive and negative evidence bearing upon the realizability of its deferred tax assets, which are principally comprised of NOL carryforwards, tax credit carryforwards, and capitalized research and development expenses. Management has determined that it is more likely than not that the Company will not realize the benefits of its deferred tax assets, and as a result, a valuation allowance of $145.7 million has been recorded at December 31, 2025. The increase in the valuation allowance of $39.9 million during the year ended December 31, 2025 was primarily due to the increase in NOLs and tax credit carryforwards generated by the Company.</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As of December 31, 2025 and 2024, the Company had no unrecognized tax benefits. Interest and penalty charges, if any, related to income taxes would be classified as a component of the income tax provision in the consolidated statements of operations and comprehensive loss.</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files income tax returns in the United States federal tax jurisdiction and several state tax jurisdictions as well as in the Netherlands and Germany for its foreign subsidiaries. Since the Company is in a loss carryforward position, it is generally subject to examination by federal and state tax authorities for all tax years in which a loss carryforward is available.</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With respect to the income of its foreign subsidiaries, the Company asserts the position that the undistributed earnings of its foreign subsidiaries are permanently invested in each jurisdiction. As a result, no additional income taxes have been provided on the possible repatriation of these earnings to the parent company. The Company does not have any unremitted earnings as of December 31, 2025.</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15. Segment Reporting</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Segment reporting is prepared on the same basis that the Company's Chief Executive Officer, who is its chief operating decision maker, or CODM, manages the business and makes operating decisions to allocate resources across departments and functions in line with the Company's strategic goals. The Company operates in one reportable segment which includes all activities related to the research and development of ocular and urologic oncology targeted therapies for a range of cancer indications with high unmet medical need. The CODM assesses performance and allocates resources based on comparing actual consolidated net loss to the budget. The measure of segment assets used in determining how to manage and allocate resources is reported within the Company's consolidated balance sheets as cash and cash equivalents and marketable securities.</w:t>
      </w:r>
    </w:p>
    <w:p>
      <w:pPr>
        <w:spacing w:after="0" w:line="5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a single reportable segment entity, the Company’s segment performance measure is consolidated net loss. Significant segment expenses are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Year Ended</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7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7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r>
      <w:tr>
        <w:trPr>
          <w:trHeight w:val="196"/>
        </w:trPr>
        <w:tc>
          <w:tcPr>
            <w:tcW w:w="7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(in</w:t>
            </w:r>
          </w:p>
        </w:tc>
        <w:tc>
          <w:tcPr>
            <w:tcW w:w="780" w:type="dxa"/>
            <w:vAlign w:val="bottom"/>
            <w:gridSpan w:val="3"/>
          </w:tcPr>
          <w:p>
            <w:pPr>
              <w:jc w:val="right"/>
              <w:ind w:right="40"/>
              <w:spacing w:after="0" w:line="196" w:lineRule="exact"/>
              <w:rPr>
                <w:sz w:val="20"/>
                <w:szCs w:val="20"/>
                <w:color w:val="auto"/>
              </w:rPr>
            </w:pPr>
            <w:r>
              <w:rPr>
                <w:rFonts w:ascii="Arial" w:cs="Arial" w:eastAsia="Arial" w:hAnsi="Arial"/>
                <w:sz w:val="18"/>
                <w:szCs w:val="18"/>
                <w:b w:val="1"/>
                <w:bCs w:val="1"/>
                <w:color w:val="auto"/>
                <w:w w:val="74"/>
              </w:rPr>
              <w:t>thousands)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7"/>
                <w:szCs w:val="17"/>
                <w:color w:val="auto"/>
              </w:rPr>
              <w:t xml:space="preserve">Clinical, Preclinical, and R&amp;D Operations </w:t>
            </w:r>
            <w:r>
              <w:rPr>
                <w:rFonts w:ascii="Arial" w:cs="Arial" w:eastAsia="Arial" w:hAnsi="Arial"/>
                <w:sz w:val="23"/>
                <w:szCs w:val="23"/>
                <w:color w:val="auto"/>
                <w:vertAlign w:val="superscript"/>
              </w:rPr>
              <w:t>(1)</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(63,154)</w:t>
            </w:r>
          </w:p>
        </w:tc>
        <w:tc>
          <w:tcPr>
            <w:tcW w:w="620" w:type="dxa"/>
            <w:vAlign w:val="bottom"/>
            <w:gridSpan w:val="2"/>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(49,550)</w:t>
            </w: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7"/>
                <w:szCs w:val="17"/>
                <w:color w:val="auto"/>
              </w:rPr>
              <w:t xml:space="preserve">Chemistry, Manufacturing, and Controls </w:t>
            </w:r>
            <w:r>
              <w:rPr>
                <w:rFonts w:ascii="Arial" w:cs="Arial" w:eastAsia="Arial" w:hAnsi="Arial"/>
                <w:sz w:val="23"/>
                <w:szCs w:val="23"/>
                <w:color w:val="auto"/>
                <w:vertAlign w:val="superscript"/>
              </w:rPr>
              <w:t>(1)</w:t>
            </w:r>
          </w:p>
        </w:tc>
        <w:tc>
          <w:tcPr>
            <w:tcW w:w="340" w:type="dxa"/>
            <w:vAlign w:val="bottom"/>
          </w:tcPr>
          <w:p>
            <w:pPr>
              <w:spacing w:after="0"/>
              <w:rPr>
                <w:sz w:val="17"/>
                <w:szCs w:val="17"/>
                <w:color w:val="auto"/>
              </w:rPr>
            </w:pPr>
          </w:p>
        </w:tc>
        <w:tc>
          <w:tcPr>
            <w:tcW w:w="1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(27,145)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(23,752)</w:t>
            </w: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7"/>
                <w:szCs w:val="17"/>
                <w:color w:val="auto"/>
              </w:rPr>
              <w:t xml:space="preserve">General and Administrative </w:t>
            </w:r>
            <w:r>
              <w:rPr>
                <w:rFonts w:ascii="Arial" w:cs="Arial" w:eastAsia="Arial" w:hAnsi="Arial"/>
                <w:sz w:val="23"/>
                <w:szCs w:val="23"/>
                <w:color w:val="auto"/>
                <w:vertAlign w:val="superscript"/>
              </w:rPr>
              <w:t>(1)</w:t>
            </w:r>
          </w:p>
        </w:tc>
        <w:tc>
          <w:tcPr>
            <w:tcW w:w="3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(22,491)</w:t>
            </w: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(22,814)</w:t>
            </w: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7"/>
                <w:szCs w:val="17"/>
                <w:color w:val="auto"/>
              </w:rPr>
              <w:t xml:space="preserve">Other Segment Items </w:t>
            </w:r>
            <w:r>
              <w:rPr>
                <w:rFonts w:ascii="Arial" w:cs="Arial" w:eastAsia="Arial" w:hAnsi="Arial"/>
                <w:sz w:val="23"/>
                <w:szCs w:val="23"/>
                <w:color w:val="auto"/>
                <w:vertAlign w:val="superscript"/>
              </w:rPr>
              <w:t>(2)</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6,599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9,197</w:t>
            </w:r>
          </w:p>
        </w:tc>
        <w:tc>
          <w:tcPr>
            <w:tcW w:w="120" w:type="dxa"/>
            <w:vAlign w:val="bottom"/>
          </w:tcPr>
          <w:p>
            <w:pPr>
              <w:spacing w:after="0"/>
              <w:rPr>
                <w:sz w:val="17"/>
                <w:szCs w:val="17"/>
                <w:color w:val="auto"/>
              </w:rPr>
            </w:pPr>
          </w:p>
        </w:tc>
      </w:tr>
      <w:tr>
        <w:trPr>
          <w:trHeight w:val="216"/>
        </w:trPr>
        <w:tc>
          <w:tcPr>
            <w:tcW w:w="772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rPr>
              <w:t>Net loss</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(106,191)</w:t>
            </w:r>
          </w:p>
        </w:tc>
        <w:tc>
          <w:tcPr>
            <w:tcW w:w="620" w:type="dxa"/>
            <w:vAlign w:val="bottom"/>
            <w:gridSpan w:val="2"/>
            <w:shd w:val="clear" w:color="auto" w:fill="CFF0FC"/>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(86,919)</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6" w:lineRule="exact"/>
        <w:rPr>
          <w:sz w:val="20"/>
          <w:szCs w:val="20"/>
          <w:color w:val="auto"/>
        </w:rPr>
      </w:pPr>
    </w:p>
    <w:p>
      <w:pPr>
        <w:ind w:left="220" w:hanging="212"/>
        <w:spacing w:after="0"/>
        <w:tabs>
          <w:tab w:leader="none" w:pos="2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Includes depreciation expense directly allocated to respective activities.</w:t>
      </w:r>
    </w:p>
    <w:p>
      <w:pPr>
        <w:spacing w:after="0" w:line="11" w:lineRule="exact"/>
        <w:rPr>
          <w:rFonts w:ascii="Arial" w:cs="Arial" w:eastAsia="Arial" w:hAnsi="Arial"/>
          <w:sz w:val="13"/>
          <w:szCs w:val="13"/>
          <w:color w:val="auto"/>
        </w:rPr>
      </w:pPr>
    </w:p>
    <w:p>
      <w:pPr>
        <w:ind w:left="220" w:hanging="212"/>
        <w:spacing w:after="0"/>
        <w:tabs>
          <w:tab w:leader="none" w:pos="2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Other segment items primarily include interest and accretion income, realized gains and losses, and income taxes.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63"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Subsequent events have been evaluated through the date of filing of the consolidated financial statements. The Company has not identified any subsequent events that require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902335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04" w:lineRule="exact"/>
        <w:rPr>
          <w:sz w:val="20"/>
          <w:szCs w:val="20"/>
          <w:color w:val="auto"/>
        </w:rPr>
      </w:pPr>
    </w:p>
    <w:p>
      <w:pPr>
        <w:ind w:firstLine="509"/>
        <w:spacing w:after="0" w:line="28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Aura Biosciences, Inc.</w:t>
      </w:r>
    </w:p>
    <w:p>
      <w:pPr>
        <w:spacing w:after="0" w:line="198" w:lineRule="exact"/>
        <w:rPr>
          <w:sz w:val="20"/>
          <w:szCs w:val="20"/>
          <w:color w:val="auto"/>
        </w:rPr>
      </w:pPr>
    </w:p>
    <w:p>
      <w:pPr>
        <w:spacing w:after="0"/>
        <w:tabs>
          <w:tab w:leader="none" w:pos="5400" w:val="left"/>
          <w:tab w:leader="none" w:pos="7660" w:val="left"/>
        </w:tabs>
        <w:rPr>
          <w:sz w:val="20"/>
          <w:szCs w:val="20"/>
          <w:color w:val="auto"/>
        </w:rPr>
      </w:pPr>
      <w:r>
        <w:rPr>
          <w:rFonts w:ascii="Arial" w:cs="Arial" w:eastAsia="Arial" w:hAnsi="Arial"/>
          <w:sz w:val="18"/>
          <w:szCs w:val="18"/>
          <w:color w:val="auto"/>
        </w:rPr>
        <w:t>Date: March 30,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8890</wp:posOffset>
            </wp:positionV>
            <wp:extent cx="330009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Elisabet de los Pinos</w:t>
      </w:r>
    </w:p>
    <w:p>
      <w:pPr>
        <w:jc w:val="center"/>
        <w:ind w:left="6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86"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93" w:right="339" w:bottom="1440" w:gutter="0" w:footer="0" w:header="0"/>
        </w:sectPr>
      </w:pPr>
    </w:p>
    <w:p>
      <w:pPr>
        <w:spacing w:after="0" w:line="190" w:lineRule="exact"/>
        <w:rPr>
          <w:sz w:val="20"/>
          <w:szCs w:val="20"/>
          <w:color w:val="auto"/>
        </w:rPr>
      </w:pPr>
    </w:p>
    <w:p>
      <w:pPr>
        <w:ind w:left="1660"/>
        <w:spacing w:after="0"/>
        <w:tabs>
          <w:tab w:leader="none" w:pos="61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5206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w w:val="99"/>
              </w:rPr>
              <w:t>President and Chief Executive Officer (Principal Executive</w:t>
            </w:r>
          </w:p>
        </w:tc>
        <w:tc>
          <w:tcPr>
            <w:tcW w:w="0" w:type="dxa"/>
            <w:vAlign w:val="bottom"/>
          </w:tcPr>
          <w:p>
            <w:pPr>
              <w:spacing w:after="0"/>
              <w:rPr>
                <w:sz w:val="1"/>
                <w:szCs w:val="1"/>
                <w:color w:val="auto"/>
              </w:rPr>
            </w:pPr>
          </w:p>
        </w:tc>
      </w:tr>
      <w:tr>
        <w:trPr>
          <w:trHeight w:val="22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Elisabet de los Pinos</w:t>
            </w:r>
          </w:p>
        </w:tc>
        <w:tc>
          <w:tcPr>
            <w:tcW w:w="4800" w:type="dxa"/>
            <w:vAlign w:val="bottom"/>
          </w:tcPr>
          <w:p>
            <w:pPr>
              <w:ind w:left="1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Elisabet de los Pinos</w:t>
            </w: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99"/>
              </w:rPr>
              <w:t>/s/ Anthony Gibney</w:t>
            </w:r>
          </w:p>
        </w:tc>
        <w:tc>
          <w:tcPr>
            <w:tcW w:w="4800" w:type="dxa"/>
            <w:vAlign w:val="bottom"/>
          </w:tcPr>
          <w:p>
            <w:pPr>
              <w:ind w:left="120"/>
              <w:spacing w:after="0"/>
              <w:rPr>
                <w:sz w:val="20"/>
                <w:szCs w:val="20"/>
                <w:color w:val="auto"/>
              </w:rPr>
            </w:pPr>
            <w:r>
              <w:rPr>
                <w:rFonts w:ascii="Arial" w:cs="Arial" w:eastAsia="Arial" w:hAnsi="Arial"/>
                <w:sz w:val="18"/>
                <w:szCs w:val="18"/>
                <w:color w:val="auto"/>
              </w:rPr>
              <w:t>Chief Financial and Business Officer (Principal Financial</w:t>
            </w:r>
          </w:p>
        </w:tc>
        <w:tc>
          <w:tcPr>
            <w:tcW w:w="0" w:type="dxa"/>
            <w:vAlign w:val="bottom"/>
          </w:tcPr>
          <w:p>
            <w:pPr>
              <w:spacing w:after="0"/>
              <w:rPr>
                <w:sz w:val="1"/>
                <w:szCs w:val="1"/>
                <w:color w:val="auto"/>
              </w:rPr>
            </w:pPr>
          </w:p>
        </w:tc>
      </w:tr>
      <w:tr>
        <w:trPr>
          <w:trHeight w:val="213"/>
        </w:trPr>
        <w:tc>
          <w:tcPr>
            <w:tcW w:w="3720" w:type="dxa"/>
            <w:vAlign w:val="bottom"/>
            <w:tcBorders>
              <w:bottom w:val="single" w:sz="8" w:color="auto"/>
            </w:tcBorders>
            <w:vMerge w:val="continue"/>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21"/>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Anthony Gibney</w:t>
            </w:r>
          </w:p>
        </w:tc>
        <w:tc>
          <w:tcPr>
            <w:tcW w:w="4800" w:type="dxa"/>
            <w:vAlign w:val="bottom"/>
            <w:vMerge w:val="restart"/>
          </w:tcPr>
          <w:p>
            <w:pPr>
              <w:ind w:left="120"/>
              <w:spacing w:after="0"/>
              <w:rPr>
                <w:sz w:val="20"/>
                <w:szCs w:val="20"/>
                <w:color w:val="auto"/>
              </w:rPr>
            </w:pPr>
            <w:r>
              <w:rPr>
                <w:rFonts w:ascii="Arial" w:cs="Arial" w:eastAsia="Arial" w:hAnsi="Arial"/>
                <w:sz w:val="18"/>
                <w:szCs w:val="18"/>
                <w:color w:val="auto"/>
              </w:rPr>
              <w:t>Senior Vice President, Finance (Principal Accounting</w:t>
            </w:r>
          </w:p>
        </w:tc>
        <w:tc>
          <w:tcPr>
            <w:tcW w:w="0" w:type="dxa"/>
            <w:vAlign w:val="bottom"/>
          </w:tcPr>
          <w:p>
            <w:pPr>
              <w:spacing w:after="0"/>
              <w:rPr>
                <w:sz w:val="1"/>
                <w:szCs w:val="1"/>
                <w:color w:val="auto"/>
              </w:rPr>
            </w:pPr>
          </w:p>
        </w:tc>
      </w:tr>
      <w:tr>
        <w:trPr>
          <w:trHeight w:val="159"/>
        </w:trPr>
        <w:tc>
          <w:tcPr>
            <w:tcW w:w="372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Amy Elazzouzi</w:t>
            </w:r>
          </w:p>
        </w:tc>
        <w:tc>
          <w:tcPr>
            <w:tcW w:w="4800" w:type="dxa"/>
            <w:vAlign w:val="bottom"/>
          </w:tcPr>
          <w:p>
            <w:pPr>
              <w:ind w:left="1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Amy Elazzouzi</w:t>
            </w: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David Johnson</w:t>
            </w:r>
          </w:p>
        </w:tc>
        <w:tc>
          <w:tcPr>
            <w:tcW w:w="4800" w:type="dxa"/>
            <w:vAlign w:val="bottom"/>
          </w:tcPr>
          <w:p>
            <w:pPr>
              <w:ind w:left="18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David Johnson</w:t>
            </w: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Teresa Bitetti</w:t>
            </w:r>
          </w:p>
        </w:tc>
        <w:tc>
          <w:tcPr>
            <w:tcW w:w="48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Teresa Bitetti</w:t>
            </w: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Giovanni Mariggi</w:t>
            </w:r>
          </w:p>
        </w:tc>
        <w:tc>
          <w:tcPr>
            <w:tcW w:w="48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Giovanni Mariggi</w:t>
            </w: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Antony Mattessich</w:t>
            </w:r>
          </w:p>
        </w:tc>
        <w:tc>
          <w:tcPr>
            <w:tcW w:w="48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Antony Mattessich</w:t>
            </w: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Sapna Srivastava</w:t>
            </w:r>
          </w:p>
        </w:tc>
        <w:tc>
          <w:tcPr>
            <w:tcW w:w="48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Sapna Srivastava</w:t>
            </w: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Karan Takhar</w:t>
            </w:r>
          </w:p>
        </w:tc>
        <w:tc>
          <w:tcPr>
            <w:tcW w:w="48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Karan Takhar</w:t>
            </w: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985520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right"/>
        <w:ind w:right="106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54305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March 30,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March 30, 2026</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March 30,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30,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30,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30,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30,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30,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30, 2026</w:t>
      </w:r>
    </w:p>
    <w:p>
      <w:pPr>
        <w:sectPr>
          <w:pgSz w:w="11900" w:h="16838" w:orient="portrait"/>
          <w:cols w:equalWidth="0" w:num="2">
            <w:col w:w="8520" w:space="300"/>
            <w:col w:w="2420"/>
          </w:cols>
          <w:pgMar w:left="320" w:top="1093" w:right="339" w:bottom="1440" w:gutter="0" w:footer="0" w:header="0"/>
          <w:type w:val="continuous"/>
        </w:sectPr>
      </w:pPr>
    </w:p>
    <w:bookmarkStart w:id="142" w:name="page143"/>
    <w:bookmarkEnd w:id="142"/>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ind w:right="20" w:firstLine="988"/>
        <w:spacing w:after="0" w:line="255" w:lineRule="auto"/>
        <w:rPr>
          <w:sz w:val="20"/>
          <w:szCs w:val="20"/>
          <w:color w:val="auto"/>
        </w:rPr>
      </w:pPr>
      <w:r>
        <w:rPr>
          <w:rFonts w:ascii="Times New Roman" w:cs="Times New Roman" w:eastAsia="Times New Roman" w:hAnsi="Times New Roman"/>
          <w:sz w:val="18"/>
          <w:szCs w:val="18"/>
          <w:color w:val="auto"/>
        </w:rPr>
        <w:t>The summary of the general terms and provisions of the registered securities of Aura Biosciences, Inc. (the “Company,” “we,” “us,” and “our”) set forth below does not purport to be complete. It is subject to and qualified in its entirety by reference to our Tenth Amended and Restated Certificate of Incorporation, as amended (“certificate of incorporation”), our Amended and Restated Bylaws (“bylaws”), our pre-funded warrants to purchase shares of common stock ( “Pre-Funded Warrants”) and common warrants to purchase shares of common stock (the “Common Warrants”), each of which are incorporated by reference as an exhibit to the Annual Report on Form 10-K of which this Exhibit 4.1 is a part, and by applicable law. We encourage you to read our certificate of incorporation, our bylaws, the Pre-Funded Warrants, the Common Warrants and the applicable provisions of the Delaware General Corporation Law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150,000,000 shares of common stock, par value $0.00001 per share, and 10,000,000 shares of preferred stock, par value $0.00001 per share, all of which shares of preferred stock are undesignated.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common stockholders. The holders of our common stock do not have any cumulative voting rights. The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of preferred stock are outstanding as of the date of our Annual Report on Form 10-K with which this Exhibit 4.1 is filed as an exhibit.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Associated with May 2025 Follow-On Offering</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May 15, 2025, we entered into an underwriting agreement (the “Underwriting Agreement”) with Leerink Partners LLC, as representative of the several underwriters named therein (the “Underwriters”), pursuant to which we sold (i) 11,735,565 shares of our common stock, (ii) Pre-Funded Warrants to purchase up to 3,571,435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common stock and (iii) accompanying Common Warrants to purchase an aggregate of 3,826,750 shares of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Pre-Funded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Pre-Funded Warrants will expire on the date the warrant is exercised in full.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16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our common stock purchased upon such exercise. However, the holder would receive upon such exercise, the net number of shares of our common stock determined according to the formula set forth in the Pre-Funded Warrant. No fractional shares of our common stock will be issued in connection with the exercise of a Pre-Funded Warrant. In lieu of any fractional shares, we will pay cash equal to the product of such fraction multiplied by the fair market value of one share underlying such Pre-Funded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Limitations</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Pre-Funded Warrants, we may not effect the exercise of any Pre-Funded Warrants, and a holder will not be entitled to exercise any portion of any Pre-Funded Warrant, which, upon giving effect to such exercise, would cause the aggregate number of shares of our common stock beneficially owned by the holder (together with its affiliates) to exceed 9.99% of the number of shares of our common stock outstanding immediately after giving effect to the exercise, as such percentage ownership is determined in accordance with the terms of the Pre-Funded Warrants. However, any holder may increase or decrease such percentage to any other percentage not in excess of 19.99% upon at least 61 days’ prior notice from the holder to us.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Price</w:t>
      </w:r>
    </w:p>
    <w:p>
      <w:pPr>
        <w:spacing w:after="0" w:line="1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purchasable upon the exercise of the Pre-Funded Warrants is $0.00001 per share of common stock. The exercise price of the Pre-Funded Warrants and the number of shares of our common stock issuable upon exercise of the Pre-Funded Warrants is subject to appropriate adjustment in the event of certain stock dividends, subdivisions, stock splits, stock combinations, reclassifications, reorganizations or similar events affecting our common stock.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6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Subject to applicable laws and the restrictions on transfer set forth in the Pre-Funded Warrants, the Pre-Funded Warrants may be offered for sale, sold, transferred or assigned without our consent.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Listing</w:t>
      </w:r>
    </w:p>
    <w:p>
      <w:pPr>
        <w:spacing w:after="0" w:line="16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do not plan on applying to list the Pre-Funded Warrants on The Nasdaq Global Market, any other national securities exchange or any other nationally recognized trading system.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14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the event of a change of control, which generally includes a merger or consolidation resulting in the sale of 50% or more of the voting securities of the Company, the sale of all or substantially all of the assets or voting securities of the Company, or other change of control transaction, the holders of the pre funded warrants will be entitled to receive upon exercise of the Pre-Funded Warrants the kind and amount of securities, cash or other property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959485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44" w:name="page145"/>
    <w:bookmarkEnd w:id="144"/>
    <w:p>
      <w:pPr>
        <w:ind w:right="80"/>
        <w:spacing w:after="0" w:line="261" w:lineRule="auto"/>
        <w:rPr>
          <w:sz w:val="20"/>
          <w:szCs w:val="20"/>
          <w:color w:val="auto"/>
        </w:rPr>
      </w:pPr>
      <w:r>
        <w:rPr>
          <w:rFonts w:ascii="Times New Roman" w:cs="Times New Roman" w:eastAsia="Times New Roman" w:hAnsi="Times New Roman"/>
          <w:sz w:val="18"/>
          <w:szCs w:val="18"/>
          <w:color w:val="auto"/>
        </w:rPr>
        <w:t>holders would have received had they exercised the Pre-Funded Warrants immediately prior to such change of control without regard to any limitations on exercise contained in the pre-funded warrants (the “Alternate Consideration”). If holders of our common stock are given any choice as to the securities, cash or property to be received in a change of control, then the holder will be given the same choice as to the Alternate Consideration it receives upon any exercise of the Pre-Funded Warrants following such change of control.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Rights as a Stockholder</w:t>
      </w:r>
    </w:p>
    <w:p>
      <w:pPr>
        <w:spacing w:after="0" w:line="14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 Pre-Funded Warrant does not have the rights or privileges of a holder of our common stock, including any voting rights, until the holder exercises the Pre-Funded Warrant. In the event of certain distributions, including cash dividends, if any, to all holders of our common stock for no consideration, the holder of a Pre-Funded Warrant shall be entitled to participate in such distributions to the same extent as if a holder of shares of our common stock, subject to not exceeding the ownership limitations described above under “— Description of Pre-Funded Warrants—Exercise Limitations,” in which case such distribution shall be held in abeyance for the benefit of such holder until the earlier of such time as the ownership limitations would not be exceeded or the warrant is exercised. In the event of certain distributions, including cash dividends, if any, to all holders of our common stock for no consideration, the holder of a Pre-Funded Warrant shall be entitled to participate in such distributions to the same extent as if a holder of shares of our common stock, subject to not exceeding the ownership limitations described above under “— Description of Pre-Funded Warrants—Exercise Limitations,” in which case such distribution shall be held in abeyance for the benefit of such holder until the earlier of such time as the ownership limitations would not be exceeded or the warrant is exercised.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Common Stock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Warrants will expire on May 16, 2030.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Common Warrants are exercisable at any time after their original issuance. The Common Warrants are exercisable, at the option of each holder, in whole or in part by delivering to us a duly executed exercise notice and by payment in full of the applicable exercise price in immediately available funds for the number of shares of our common stock purchased upon such exercise. The holder may elect to exercise the common stock warrant through a cashless exercise, in which the holder would receive upon such exercise the net number of shares of our common stock determined according to the formula set forth in the common stock warrant. No fractional shares of our common stock will be issued in connection with the exercise of a common stock warrant. In lieu of any fractional shares, we will pay cash equal to the product of such fraction multiplied by the fair market value of one share underlying such Common Warrants.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Limitations</w:t>
      </w:r>
    </w:p>
    <w:p>
      <w:pPr>
        <w:spacing w:after="0" w:line="16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Common Warrants, we may not effect the exercise of any Common Warrants, and a holder will not be entitled to exercise any portion of any common stock warrant, which, upon giving effect to such exercise, would cause the aggregate number of shares of our common stock beneficially owned by the holder (together with its affiliates) to exceed 9.99% of the number of shares of our common stock outstanding immediately after giving effect to the exercise, as such percentage ownership is determined in accordance with the terms of the Common Warrants. However, any holder may increase such percentage up to 19.99% of the number of shares of common stock outstanding immediately after giving effect to the exercise, as such percentage ownership is determined in accordance with the terms of the Common Warrants, upon at least 61 days’ prior notice from the holder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i w:val="1"/>
          <w:iCs w:val="1"/>
          <w:color w:val="auto"/>
        </w:rPr>
        <w:t>Exercise Price</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initial exercise price per whole share of our common stock purchasable upon the exercise of the Common Warrants is $4.90 per share of common stock. The exercise price of the Common Warrants and the number of shares of our common stock issuable upon exercise of the Common Warrants is subject to appropriate adjustment in the event of certain stock dividends, subdivisions, stock splits, stock combinations, reclassifications, reorganizations or similar events affecting our common stock.</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6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Subject to applicable laws and the restrictions on transfer set forth in the Common Warrants, the Common Warrants may be offered for sale, sold, transferred or assigned without our consent.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Listing</w:t>
      </w:r>
    </w:p>
    <w:p>
      <w:pPr>
        <w:spacing w:after="0" w:line="14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do not plan on applying to list the common stock warrants on The Nasdaq Global Market, any other national securities exchange or any other nationally recognized trading system.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Common Warrants, which generally includes a merger or consolidation resulting in the sale of 50% or more of the voting securities of the Company, the sale of all or substantially all of the assets or voting securities of the Company, or other change of control transaction, the holders of the Common Warrants will be entitled to receive upon exercise of the Common Warrants the kind and amount of securities, cash or other property that the holders would have received had they exercised the Common Warrants immediately prior to such change of control without regard to any limitations on exercise contained in the common stock warrants. Notwithstanding the foregoing, as more fully described in the Common Warrants, in the event of certain fundamental transactions, the holders of the common stock warrants will be entitled to receive consideration in an amount equal to the Black Scholes value of the Common Warrants.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Rights as a Stockholder</w:t>
      </w:r>
    </w:p>
    <w:p>
      <w:pPr>
        <w:spacing w:after="0" w:line="16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 Common Warrant does not have the rights or privileges of a holder of our common stock, including any voting rights, until the holder exercises the Common Warrant to receive shares of our common stock. In the event of certain distributions, including cash dividends, if any, to all holders of our common stock for no consideration, the holder of a Common Warrant shall be entitled to participate in such distributions to the same extent as if a holder of shares of our common stock, subject to not exceeding the ownership limitations described above under “—Description of Common Warrants—Exercise Limitations,” in which case such distribution shall be held in abeyance for the benefit of such holder until the earlier of such time as the ownership limitations would not be exceeded or the warrant is exercised. In the event of certain distributions, including cash dividends, if any, to all holders of our common stock for no consideration, the holder of a Common Warrant shall be entitled to participate in such distributions to the same extent as if a holder of shares of our common stock, subject to not exceeding the ownership limitations described above under “—Description of Common Warrants—Exercise Limitations,” in which case such distribution shall be held in abeyance for the benefit of such holder until the earlier of such time as the ownership limitations would not be exceeded or the warrant is exercised.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of our stockholders are entitled to rights with respect to the registration of these securities under the Securities Act. These rights are provided under the terms of our Fifth Amended and Restated Investors’ Rights Agreement, dated as of March 18, 2021 (the “Investors’ Rights Agreement”), entered into between us and the holders of our preferred stock. The Investors’ Rights Agreement includes demand registration rights, short-form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146" w:name="page147"/>
    <w:bookmarkEnd w:id="146"/>
    <w:p>
      <w:pPr>
        <w:spacing w:after="0" w:line="282" w:lineRule="auto"/>
        <w:rPr>
          <w:sz w:val="20"/>
          <w:szCs w:val="20"/>
          <w:color w:val="auto"/>
        </w:rPr>
      </w:pPr>
      <w:r>
        <w:rPr>
          <w:rFonts w:ascii="Times New Roman" w:cs="Times New Roman" w:eastAsia="Times New Roman" w:hAnsi="Times New Roman"/>
          <w:sz w:val="18"/>
          <w:szCs w:val="18"/>
          <w:color w:val="auto"/>
        </w:rPr>
        <w:t>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Certain of our stockholders are entitled to demand registration rights. Under the terms of our Investors’ Rights Agreement, we will be required, upon the written request of a majority of holders of the registrable securities then outstanding that would result in an aggregate offering price of at least $5.0 million, to file a registration statement and to use commercially reasonable efforts to effect the registration of all or a portion of these shares for public resale.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Short-Form Registration Rights</w:t>
      </w:r>
    </w:p>
    <w:p>
      <w:pPr>
        <w:spacing w:after="0" w:line="229"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Pursuant to the Investors’ Rights Agreement, if we are eligible to file a registration statement on Form S-3, upon the written request from any such holder to sell registrable securities at an aggregate price of at least $3.0 million, we will be required to use commercially reasonable efforts to effect a registration of such shares. We are required to effect only two registrations in any twelve-month period pursuant to this provision of the Investors’ Rights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Expiration of Registration Rights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demand registration rights and short-form registration rights granted under the Investors’ Rights Agreement will terminate upon the earlier of (i) November 2, 2026, (ii) a liquidation event and (iii) with respect to any particular stockholder, when such stockholder is able to sell all of its shares pursuant to Rule 144 or any similar exemption under the Securities Act during any three-month period without registration.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 and Delaware Law</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47" w:name="page148"/>
    <w:bookmarkEnd w:id="147"/>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of Stockholders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Certificate of Incorporation and Bylaws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8" w:name="page149"/>
    <w:bookmarkEnd w:id="148"/>
    <w:p>
      <w:pPr>
        <w:ind w:right="100"/>
        <w:spacing w:after="0" w:line="261" w:lineRule="auto"/>
        <w:rPr>
          <w:sz w:val="20"/>
          <w:szCs w:val="20"/>
          <w:color w:val="auto"/>
        </w:rPr>
      </w:pPr>
      <w:r>
        <w:rPr>
          <w:rFonts w:ascii="Times New Roman" w:cs="Times New Roman" w:eastAsia="Times New Roman" w:hAnsi="Times New Roman"/>
          <w:sz w:val="18"/>
          <w:szCs w:val="18"/>
          <w:color w:val="auto"/>
        </w:rPr>
        <w:t>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 (3) any action asserting a claim arising pursuant to the Delaware General Corporation Law or our certificate of incorporation or bylaws (including the interpretation, validity or enforceability thereof); or</w:t>
      </w:r>
    </w:p>
    <w:p>
      <w:pPr>
        <w:spacing w:after="0" w:line="3" w:lineRule="exact"/>
        <w:rPr>
          <w:sz w:val="20"/>
          <w:szCs w:val="20"/>
          <w:color w:val="auto"/>
        </w:rPr>
      </w:pPr>
    </w:p>
    <w:p>
      <w:pPr>
        <w:ind w:right="220" w:firstLine="8"/>
        <w:spacing w:after="0" w:line="252"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that is governed by the internal affairs doctrine; provided, however, that this provision shall not apply to any causes of action arising under the Securities Act or the Exchange Act. In addition, our bylaws provide that, unless we consent to an alternative forum, the federal district courts of the United States shall be the sole and exclusive forum for resolving any complaint asserting a cause of action under the Securities Act (the “Federal Forum Provision”). Any person or entity purchasing or otherwise acquiring any interest in our securities shall be deemed to have notice of and consented to these forum provisions. These forum provisions may impose additional costs on stockholders and may limit our stockholders’ ability to bring a claim in a forum they find favorable, and the designated courts may reach different judgements or results than other courts. In addition, there is uncertainty as to whether our Federal Forum Provision will be enforced, which may impose additional costs on us and our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of the Delaware General Corporation Law</w:t>
      </w:r>
    </w:p>
    <w:p>
      <w:pPr>
        <w:spacing w:after="0" w:line="22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3" w:lineRule="exact"/>
        <w:rPr>
          <w:sz w:val="20"/>
          <w:szCs w:val="20"/>
          <w:color w:val="auto"/>
        </w:rPr>
      </w:pPr>
    </w:p>
    <w:p>
      <w:pPr>
        <w:ind w:left="760" w:hanging="378"/>
        <w:spacing w:after="0" w:line="250"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ind w:left="760" w:right="60" w:hanging="378"/>
        <w:spacing w:after="0" w:line="250"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 w:lineRule="exact"/>
        <w:rPr>
          <w:rFonts w:ascii="Times New Roman" w:cs="Times New Roman" w:eastAsia="Times New Roman" w:hAnsi="Times New Roman"/>
          <w:sz w:val="18"/>
          <w:szCs w:val="18"/>
          <w:color w:val="auto"/>
        </w:rPr>
      </w:pPr>
    </w:p>
    <w:p>
      <w:pPr>
        <w:ind w:left="760" w:right="60" w:hanging="378"/>
        <w:spacing w:after="0" w:line="265" w:lineRule="auto"/>
        <w:tabs>
          <w:tab w:leader="none" w:pos="7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w:t>
      </w:r>
    </w:p>
    <w:p>
      <w:pPr>
        <w:ind w:left="760"/>
        <w:spacing w:after="0"/>
        <w:rPr>
          <w:sz w:val="20"/>
          <w:szCs w:val="20"/>
          <w:color w:val="auto"/>
        </w:rPr>
      </w:pPr>
      <w:r>
        <w:rPr>
          <w:rFonts w:ascii="Times New Roman" w:cs="Times New Roman" w:eastAsia="Times New Roman" w:hAnsi="Times New Roman"/>
          <w:sz w:val="18"/>
          <w:szCs w:val="18"/>
          <w:color w:val="auto"/>
        </w:rPr>
        <w:t>the interested stockholder.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9" w:lineRule="exact"/>
        <w:rPr>
          <w:sz w:val="20"/>
          <w:szCs w:val="20"/>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w:t>
      </w:r>
    </w:p>
    <w:p>
      <w:pPr>
        <w:spacing w:after="0" w:line="9" w:lineRule="exact"/>
        <w:rPr>
          <w:rFonts w:ascii="Times New Roman" w:cs="Times New Roman" w:eastAsia="Times New Roman" w:hAnsi="Times New Roman"/>
          <w:sz w:val="18"/>
          <w:szCs w:val="18"/>
          <w:color w:val="auto"/>
        </w:rPr>
      </w:pPr>
    </w:p>
    <w:p>
      <w:pPr>
        <w:ind w:left="760" w:right="260" w:hanging="378"/>
        <w:spacing w:after="0" w:line="250"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ind w:left="760" w:right="140" w:hanging="378"/>
        <w:spacing w:after="0" w:line="250"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ind w:left="760" w:right="380" w:hanging="378"/>
        <w:spacing w:after="0" w:line="260"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9" w:name="page150"/>
    <w:bookmarkEnd w:id="149"/>
    <w:p>
      <w:pPr>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trading symbol “AURA.”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 and registrar’s address is 150 Royall Street, Canton, Massachusetts 02021, and its telephone number is (800) 736-3001.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17" w:right="61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3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consent to the incorporation by reference in the following Registration Statements:</w:t>
      </w:r>
    </w:p>
    <w:p>
      <w:pPr>
        <w:spacing w:after="0" w:line="233" w:lineRule="exact"/>
        <w:rPr>
          <w:sz w:val="20"/>
          <w:szCs w:val="20"/>
          <w:color w:val="auto"/>
        </w:rPr>
      </w:pPr>
    </w:p>
    <w:p>
      <w:pPr>
        <w:jc w:val="both"/>
        <w:ind w:left="760" w:hanging="378"/>
        <w:spacing w:after="0" w:line="238" w:lineRule="auto"/>
        <w:tabs>
          <w:tab w:leader="none" w:pos="7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333-260589) pertaining to the 2009 Amended and Restated Stock Option and Restricted Stock Plan, 2018 Equity Incentive Plan, Aura Biosciences, Inc. 2021 Stock Option and Incentive Plan, and Aura Biosciences, Inc. 2021 Employee Stock Purchase Plan,</w:t>
      </w:r>
    </w:p>
    <w:p>
      <w:pPr>
        <w:ind w:left="760" w:hanging="378"/>
        <w:spacing w:after="0" w:line="230" w:lineRule="auto"/>
        <w:tabs>
          <w:tab w:leader="none" w:pos="7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333-263801) pertaining to the Aura Biosciences, Inc. 2021 Stock Option and Incentive Plan and Aura Biosciences, Inc. 2021 Employee Stock Purchase Plan,</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333-270571) pertaining to the Aura Biosciences, Inc. 2021 Stock Option and Incentive Plan and the Aura Biosciences, Inc. 2021 Employee Stock Purchase Plan,</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333-278252) pertaining to the Aura Biosciences, Inc. 2021 Stock Option and Incentive Plan and the Aura Biosciences, Inc. 2021 Employee Stock Purchase Plan,</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333-286061) pertaining to the Aura Biosciences, Inc. 2021 Stock Option and Incentive Plan and the Aura Biosciences, Inc. 2021 Employee Stock Purchase Plan, and</w:t>
      </w:r>
    </w:p>
    <w:p>
      <w:pPr>
        <w:spacing w:after="0" w:line="1"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 No. 333-278253) of Aura Biosciences, Inc.</w:t>
      </w:r>
    </w:p>
    <w:p>
      <w:pPr>
        <w:spacing w:after="0" w:line="2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of our report dated March 30, 2026, with respect to the consolidated financial statements of Aura Biosciences, Inc. included in this Annual Report (Form 10-K) of Aura Biosciences, Inc. for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Massachusetts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6"/>
          <w:szCs w:val="16"/>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Elisabet de los Pinos, certify that:</w:t>
      </w:r>
    </w:p>
    <w:p>
      <w:pPr>
        <w:spacing w:after="0" w:line="221" w:lineRule="exact"/>
        <w:rPr>
          <w:sz w:val="20"/>
          <w:szCs w:val="20"/>
          <w:color w:val="auto"/>
        </w:rPr>
      </w:pPr>
    </w:p>
    <w:p>
      <w:pPr>
        <w:ind w:left="360" w:hanging="352"/>
        <w:spacing w:after="0"/>
        <w:tabs>
          <w:tab w:leader="none" w:pos="3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Aura Biosciences, Inc;</w:t>
      </w:r>
    </w:p>
    <w:p>
      <w:pPr>
        <w:spacing w:after="0" w:line="221" w:lineRule="exact"/>
        <w:rPr>
          <w:rFonts w:ascii="Arial" w:cs="Arial" w:eastAsia="Arial" w:hAnsi="Arial"/>
          <w:sz w:val="16"/>
          <w:szCs w:val="16"/>
          <w:color w:val="auto"/>
        </w:rPr>
      </w:pPr>
    </w:p>
    <w:p>
      <w:pPr>
        <w:ind w:right="280" w:firstLine="8"/>
        <w:spacing w:after="0" w:line="286" w:lineRule="auto"/>
        <w:tabs>
          <w:tab w:leader="none" w:pos="3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6"/>
          <w:szCs w:val="16"/>
          <w:color w:val="auto"/>
        </w:rPr>
      </w:pPr>
    </w:p>
    <w:p>
      <w:pPr>
        <w:ind w:right="520" w:firstLine="8"/>
        <w:spacing w:after="0" w:line="286" w:lineRule="auto"/>
        <w:tabs>
          <w:tab w:leader="none" w:pos="3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ind w:firstLine="8"/>
        <w:spacing w:after="0" w:line="266" w:lineRule="auto"/>
        <w:tabs>
          <w:tab w:leader="none" w:pos="3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ind w:right="200" w:firstLine="368"/>
        <w:spacing w:after="0" w:line="266" w:lineRule="auto"/>
        <w:tabs>
          <w:tab w:leader="none" w:pos="7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720" w:hanging="352"/>
        <w:spacing w:after="0"/>
        <w:tabs>
          <w:tab w:leader="none" w:pos="7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21" w:lineRule="exact"/>
        <w:rPr>
          <w:rFonts w:ascii="Arial" w:cs="Arial" w:eastAsia="Arial" w:hAnsi="Arial"/>
          <w:sz w:val="16"/>
          <w:szCs w:val="16"/>
          <w:color w:val="auto"/>
        </w:rPr>
      </w:pPr>
    </w:p>
    <w:p>
      <w:pPr>
        <w:ind w:right="120"/>
        <w:spacing w:after="0" w:line="265" w:lineRule="auto"/>
        <w:rPr>
          <w:rFonts w:ascii="Arial" w:cs="Arial" w:eastAsia="Arial" w:hAnsi="Arial"/>
          <w:sz w:val="16"/>
          <w:szCs w:val="16"/>
          <w:color w:val="auto"/>
        </w:rPr>
      </w:pPr>
      <w:r>
        <w:rPr>
          <w:rFonts w:ascii="Arial" w:cs="Arial" w:eastAsia="Arial" w:hAnsi="Arial"/>
          <w:sz w:val="16"/>
          <w:szCs w:val="16"/>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ind w:right="780" w:firstLine="368"/>
        <w:spacing w:after="0" w:line="286" w:lineRule="auto"/>
        <w:tabs>
          <w:tab w:leader="none" w:pos="7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right="20" w:firstLine="368"/>
        <w:spacing w:after="0" w:line="266" w:lineRule="auto"/>
        <w:tabs>
          <w:tab w:leader="none" w:pos="7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6"/>
          <w:szCs w:val="16"/>
          <w:color w:val="auto"/>
        </w:rPr>
      </w:pPr>
    </w:p>
    <w:p>
      <w:pPr>
        <w:ind w:right="280" w:firstLine="8"/>
        <w:spacing w:after="0" w:line="286" w:lineRule="auto"/>
        <w:tabs>
          <w:tab w:leader="none" w:pos="3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right="380" w:firstLine="368"/>
        <w:spacing w:after="0" w:line="286" w:lineRule="auto"/>
        <w:tabs>
          <w:tab w:leader="none" w:pos="7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right="320" w:firstLine="368"/>
        <w:spacing w:after="0" w:line="286" w:lineRule="auto"/>
        <w:tabs>
          <w:tab w:leader="none" w:pos="7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Aura Biosciences, Inc.</w:t>
      </w:r>
    </w:p>
    <w:p>
      <w:pPr>
        <w:spacing w:after="0" w:line="194" w:lineRule="exact"/>
        <w:rPr>
          <w:sz w:val="20"/>
          <w:szCs w:val="20"/>
          <w:color w:val="auto"/>
        </w:rPr>
      </w:pPr>
    </w:p>
    <w:p>
      <w:pPr>
        <w:ind w:left="60"/>
        <w:spacing w:after="0"/>
        <w:tabs>
          <w:tab w:leader="none" w:pos="620" w:val="left"/>
          <w:tab w:leader="none" w:pos="5900" w:val="left"/>
          <w:tab w:leader="none" w:pos="7880" w:val="left"/>
        </w:tabs>
        <w:rPr>
          <w:sz w:val="20"/>
          <w:szCs w:val="20"/>
          <w:color w:val="auto"/>
        </w:rPr>
      </w:pPr>
      <w:r>
        <w:rPr>
          <w:rFonts w:ascii="Arial" w:cs="Arial" w:eastAsia="Arial" w:hAnsi="Arial"/>
          <w:sz w:val="16"/>
          <w:szCs w:val="16"/>
          <w:color w:val="auto"/>
        </w:rPr>
        <w:t>Date:</w:t>
        <w:tab/>
        <w:t>March 30,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12065</wp:posOffset>
            </wp:positionV>
            <wp:extent cx="306006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5" w:lineRule="exact"/>
        <w:rPr>
          <w:sz w:val="20"/>
          <w:szCs w:val="20"/>
          <w:color w:val="auto"/>
        </w:rPr>
      </w:pPr>
    </w:p>
    <w:p>
      <w:pPr>
        <w:jc w:val="center"/>
        <w:ind w:left="6260"/>
        <w:spacing w:after="0"/>
        <w:rPr>
          <w:sz w:val="20"/>
          <w:szCs w:val="20"/>
          <w:color w:val="auto"/>
        </w:rPr>
      </w:pPr>
      <w:r>
        <w:rPr>
          <w:rFonts w:ascii="Arial" w:cs="Arial" w:eastAsia="Arial" w:hAnsi="Arial"/>
          <w:sz w:val="16"/>
          <w:szCs w:val="16"/>
          <w:b w:val="1"/>
          <w:bCs w:val="1"/>
          <w:color w:val="auto"/>
        </w:rPr>
        <w:t>Elisabet de los Pinos</w:t>
      </w:r>
    </w:p>
    <w:p>
      <w:pPr>
        <w:spacing w:after="0" w:line="5" w:lineRule="exact"/>
        <w:rPr>
          <w:sz w:val="20"/>
          <w:szCs w:val="20"/>
          <w:color w:val="auto"/>
        </w:rPr>
      </w:pPr>
    </w:p>
    <w:p>
      <w:pPr>
        <w:jc w:val="center"/>
        <w:ind w:left="62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Anthony Gibney, certify that:</w:t>
      </w:r>
    </w:p>
    <w:p>
      <w:pPr>
        <w:spacing w:after="0" w:line="221" w:lineRule="exact"/>
        <w:rPr>
          <w:sz w:val="20"/>
          <w:szCs w:val="20"/>
          <w:color w:val="auto"/>
        </w:rPr>
      </w:pPr>
    </w:p>
    <w:p>
      <w:pPr>
        <w:ind w:left="360" w:hanging="352"/>
        <w:spacing w:after="0"/>
        <w:tabs>
          <w:tab w:leader="none" w:pos="3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Aura Biosciences, Inc;</w:t>
      </w:r>
    </w:p>
    <w:p>
      <w:pPr>
        <w:spacing w:after="0" w:line="221" w:lineRule="exact"/>
        <w:rPr>
          <w:rFonts w:ascii="Arial" w:cs="Arial" w:eastAsia="Arial" w:hAnsi="Arial"/>
          <w:sz w:val="16"/>
          <w:szCs w:val="16"/>
          <w:color w:val="auto"/>
        </w:rPr>
      </w:pPr>
    </w:p>
    <w:p>
      <w:pPr>
        <w:ind w:right="280" w:firstLine="8"/>
        <w:spacing w:after="0" w:line="286" w:lineRule="auto"/>
        <w:tabs>
          <w:tab w:leader="none" w:pos="3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6"/>
          <w:szCs w:val="16"/>
          <w:color w:val="auto"/>
        </w:rPr>
      </w:pPr>
    </w:p>
    <w:p>
      <w:pPr>
        <w:ind w:right="520" w:firstLine="8"/>
        <w:spacing w:after="0" w:line="286" w:lineRule="auto"/>
        <w:tabs>
          <w:tab w:leader="none" w:pos="3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ind w:firstLine="8"/>
        <w:spacing w:after="0" w:line="266" w:lineRule="auto"/>
        <w:tabs>
          <w:tab w:leader="none" w:pos="3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ind w:right="200" w:firstLine="368"/>
        <w:spacing w:after="0" w:line="266" w:lineRule="auto"/>
        <w:tabs>
          <w:tab w:leader="none" w:pos="7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720" w:hanging="352"/>
        <w:spacing w:after="0"/>
        <w:tabs>
          <w:tab w:leader="none" w:pos="7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21" w:lineRule="exact"/>
        <w:rPr>
          <w:rFonts w:ascii="Arial" w:cs="Arial" w:eastAsia="Arial" w:hAnsi="Arial"/>
          <w:sz w:val="16"/>
          <w:szCs w:val="16"/>
          <w:color w:val="auto"/>
        </w:rPr>
      </w:pPr>
    </w:p>
    <w:p>
      <w:pPr>
        <w:ind w:right="120"/>
        <w:spacing w:after="0" w:line="265" w:lineRule="auto"/>
        <w:rPr>
          <w:rFonts w:ascii="Arial" w:cs="Arial" w:eastAsia="Arial" w:hAnsi="Arial"/>
          <w:sz w:val="16"/>
          <w:szCs w:val="16"/>
          <w:color w:val="auto"/>
        </w:rPr>
      </w:pPr>
      <w:r>
        <w:rPr>
          <w:rFonts w:ascii="Arial" w:cs="Arial" w:eastAsia="Arial" w:hAnsi="Arial"/>
          <w:sz w:val="16"/>
          <w:szCs w:val="16"/>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ind w:right="780" w:firstLine="368"/>
        <w:spacing w:after="0" w:line="286" w:lineRule="auto"/>
        <w:tabs>
          <w:tab w:leader="none" w:pos="7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right="20" w:firstLine="368"/>
        <w:spacing w:after="0" w:line="266" w:lineRule="auto"/>
        <w:tabs>
          <w:tab w:leader="none" w:pos="7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6"/>
          <w:szCs w:val="16"/>
          <w:color w:val="auto"/>
        </w:rPr>
      </w:pPr>
    </w:p>
    <w:p>
      <w:pPr>
        <w:ind w:right="280" w:firstLine="8"/>
        <w:spacing w:after="0" w:line="286" w:lineRule="auto"/>
        <w:tabs>
          <w:tab w:leader="none" w:pos="3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right="380" w:firstLine="368"/>
        <w:spacing w:after="0" w:line="286" w:lineRule="auto"/>
        <w:tabs>
          <w:tab w:leader="none" w:pos="7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right="320" w:firstLine="368"/>
        <w:spacing w:after="0" w:line="286" w:lineRule="auto"/>
        <w:tabs>
          <w:tab w:leader="none" w:pos="7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Aura Biosciences, Inc.</w:t>
      </w:r>
    </w:p>
    <w:p>
      <w:pPr>
        <w:spacing w:after="0" w:line="194" w:lineRule="exact"/>
        <w:rPr>
          <w:sz w:val="20"/>
          <w:szCs w:val="20"/>
          <w:color w:val="auto"/>
        </w:rPr>
      </w:pPr>
    </w:p>
    <w:p>
      <w:pPr>
        <w:ind w:left="60"/>
        <w:spacing w:after="0"/>
        <w:tabs>
          <w:tab w:leader="none" w:pos="620" w:val="left"/>
          <w:tab w:leader="none" w:pos="5900" w:val="left"/>
          <w:tab w:leader="none" w:pos="8060" w:val="left"/>
        </w:tabs>
        <w:rPr>
          <w:sz w:val="20"/>
          <w:szCs w:val="20"/>
          <w:color w:val="auto"/>
        </w:rPr>
      </w:pPr>
      <w:r>
        <w:rPr>
          <w:rFonts w:ascii="Arial" w:cs="Arial" w:eastAsia="Arial" w:hAnsi="Arial"/>
          <w:sz w:val="16"/>
          <w:szCs w:val="16"/>
          <w:color w:val="auto"/>
        </w:rPr>
        <w:t>Date:</w:t>
        <w:tab/>
        <w:t>March 30,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Anthony Gibney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12065</wp:posOffset>
            </wp:positionV>
            <wp:extent cx="306006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5" w:lineRule="exact"/>
        <w:rPr>
          <w:sz w:val="20"/>
          <w:szCs w:val="20"/>
          <w:color w:val="auto"/>
        </w:rPr>
      </w:pPr>
    </w:p>
    <w:p>
      <w:pPr>
        <w:jc w:val="center"/>
        <w:ind w:left="6260"/>
        <w:spacing w:after="0"/>
        <w:rPr>
          <w:sz w:val="20"/>
          <w:szCs w:val="20"/>
          <w:color w:val="auto"/>
        </w:rPr>
      </w:pPr>
      <w:r>
        <w:rPr>
          <w:rFonts w:ascii="Arial" w:cs="Arial" w:eastAsia="Arial" w:hAnsi="Arial"/>
          <w:sz w:val="16"/>
          <w:szCs w:val="16"/>
          <w:b w:val="1"/>
          <w:bCs w:val="1"/>
          <w:color w:val="auto"/>
        </w:rPr>
        <w:t>Anthony Gibney</w:t>
      </w:r>
    </w:p>
    <w:p>
      <w:pPr>
        <w:spacing w:after="0" w:line="5" w:lineRule="exact"/>
        <w:rPr>
          <w:sz w:val="20"/>
          <w:szCs w:val="20"/>
          <w:color w:val="auto"/>
        </w:rPr>
      </w:pPr>
    </w:p>
    <w:p>
      <w:pPr>
        <w:jc w:val="center"/>
        <w:ind w:left="6220"/>
        <w:spacing w:after="0"/>
        <w:rPr>
          <w:sz w:val="20"/>
          <w:szCs w:val="20"/>
          <w:color w:val="auto"/>
        </w:rPr>
      </w:pPr>
      <w:r>
        <w:rPr>
          <w:rFonts w:ascii="Arial" w:cs="Arial" w:eastAsia="Arial" w:hAnsi="Arial"/>
          <w:sz w:val="16"/>
          <w:szCs w:val="16"/>
          <w:b w:val="1"/>
          <w:bCs w:val="1"/>
          <w:color w:val="auto"/>
        </w:rPr>
        <w:t>Chief Financial and Business Officer (Principal Financial</w:t>
      </w:r>
    </w:p>
    <w:p>
      <w:pPr>
        <w:spacing w:after="0" w:line="5" w:lineRule="exact"/>
        <w:rPr>
          <w:sz w:val="20"/>
          <w:szCs w:val="20"/>
          <w:color w:val="auto"/>
        </w:rPr>
      </w:pPr>
    </w:p>
    <w:p>
      <w:pPr>
        <w:jc w:val="center"/>
        <w:ind w:left="6260"/>
        <w:spacing w:after="0"/>
        <w:rPr>
          <w:sz w:val="20"/>
          <w:szCs w:val="20"/>
          <w:color w:val="auto"/>
        </w:rPr>
      </w:pPr>
      <w:r>
        <w:rPr>
          <w:rFonts w:ascii="Arial" w:cs="Arial" w:eastAsia="Arial" w:hAnsi="Arial"/>
          <w:sz w:val="16"/>
          <w:szCs w:val="16"/>
          <w:b w:val="1"/>
          <w:b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6"/>
          <w:szCs w:val="16"/>
          <w:b w:val="1"/>
          <w:bCs w:val="1"/>
          <w:color w:val="auto"/>
        </w:rPr>
        <w:t>Exhibit 32.1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In connection with the Annual Report on Form 10-K of Aura Biosciences, Inc. (the “Company”) for the year ended December 31, 2025 as filed with the Securities and Exchange Commission on the date hereof (the “Report”), each of the undersigned certifies, pursuant to 18 U.S.C. §1350, as adopted pursuant to §906 of the Sarbanes-Oxley Act of 2002, that, to the best of her knowledge:</w:t>
      </w:r>
    </w:p>
    <w:p>
      <w:pPr>
        <w:spacing w:after="0" w:line="385" w:lineRule="exact"/>
        <w:rPr>
          <w:sz w:val="20"/>
          <w:szCs w:val="20"/>
          <w:color w:val="auto"/>
        </w:rPr>
      </w:pPr>
    </w:p>
    <w:p>
      <w:pPr>
        <w:ind w:left="760" w:hanging="378"/>
        <w:spacing w:after="0"/>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92" w:lineRule="exact"/>
        <w:rPr>
          <w:rFonts w:ascii="Arial" w:cs="Arial" w:eastAsia="Arial" w:hAnsi="Arial"/>
          <w:sz w:val="18"/>
          <w:szCs w:val="18"/>
          <w:color w:val="auto"/>
        </w:rPr>
      </w:pPr>
    </w:p>
    <w:p>
      <w:pPr>
        <w:ind w:left="760" w:right="220" w:hanging="378"/>
        <w:spacing w:after="0" w:line="271" w:lineRule="auto"/>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Aura Biosciences, Inc.</w:t>
      </w:r>
    </w:p>
    <w:p>
      <w:pPr>
        <w:spacing w:after="0" w:line="198" w:lineRule="exact"/>
        <w:rPr>
          <w:sz w:val="20"/>
          <w:szCs w:val="20"/>
          <w:color w:val="auto"/>
        </w:rPr>
      </w:pPr>
    </w:p>
    <w:p>
      <w:pPr>
        <w:ind w:left="60"/>
        <w:spacing w:after="0"/>
        <w:tabs>
          <w:tab w:leader="none" w:pos="740" w:val="left"/>
          <w:tab w:leader="none" w:pos="5840" w:val="left"/>
          <w:tab w:leader="none" w:pos="7760" w:val="left"/>
        </w:tabs>
        <w:rPr>
          <w:sz w:val="20"/>
          <w:szCs w:val="20"/>
          <w:color w:val="auto"/>
        </w:rPr>
      </w:pPr>
      <w:r>
        <w:rPr>
          <w:rFonts w:ascii="Arial" w:cs="Arial" w:eastAsia="Arial" w:hAnsi="Arial"/>
          <w:sz w:val="18"/>
          <w:szCs w:val="18"/>
          <w:color w:val="auto"/>
        </w:rPr>
        <w:t>Date:</w:t>
        <w:tab/>
        <w:t>March 30,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8890</wp:posOffset>
            </wp:positionV>
            <wp:extent cx="30943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3">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Elisabet de los Pinos</w:t>
      </w:r>
    </w:p>
    <w:p>
      <w:pPr>
        <w:jc w:val="center"/>
        <w:ind w:left="62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383" w:lineRule="exact"/>
        <w:rPr>
          <w:sz w:val="20"/>
          <w:szCs w:val="20"/>
          <w:color w:val="auto"/>
        </w:rPr>
      </w:pPr>
    </w:p>
    <w:p>
      <w:pPr>
        <w:ind w:left="60"/>
        <w:spacing w:after="0"/>
        <w:tabs>
          <w:tab w:leader="none" w:pos="740" w:val="left"/>
          <w:tab w:leader="none" w:pos="5840" w:val="left"/>
          <w:tab w:leader="none" w:pos="7960" w:val="left"/>
        </w:tabs>
        <w:rPr>
          <w:sz w:val="20"/>
          <w:szCs w:val="20"/>
          <w:color w:val="auto"/>
        </w:rPr>
      </w:pPr>
      <w:r>
        <w:rPr>
          <w:rFonts w:ascii="Arial" w:cs="Arial" w:eastAsia="Arial" w:hAnsi="Arial"/>
          <w:sz w:val="18"/>
          <w:szCs w:val="18"/>
          <w:color w:val="auto"/>
        </w:rPr>
        <w:t>Date:</w:t>
        <w:tab/>
        <w:t>March 30,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Anthony Gibney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8890</wp:posOffset>
            </wp:positionV>
            <wp:extent cx="30943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Anthony Gibney</w:t>
      </w:r>
    </w:p>
    <w:p>
      <w:pPr>
        <w:jc w:val="center"/>
        <w:ind w:left="6180"/>
        <w:spacing w:after="0" w:line="234" w:lineRule="auto"/>
        <w:rPr>
          <w:sz w:val="20"/>
          <w:szCs w:val="20"/>
          <w:color w:val="auto"/>
        </w:rPr>
      </w:pPr>
      <w:r>
        <w:rPr>
          <w:rFonts w:ascii="Arial" w:cs="Arial" w:eastAsia="Arial" w:hAnsi="Arial"/>
          <w:sz w:val="18"/>
          <w:szCs w:val="18"/>
          <w:b w:val="1"/>
          <w:bCs w:val="1"/>
          <w:color w:val="auto"/>
        </w:rPr>
        <w:t>Chief Financial and Business Officer (Principal Financial</w:t>
      </w:r>
    </w:p>
    <w:p>
      <w:pPr>
        <w:spacing w:after="0" w:line="1"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1108075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54" w:name="page155"/>
    <w:bookmarkEnd w:id="1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amp;"/>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1)"/>
      <w:numFmt w:val="lowerRoman"/>
      <w:start w:val="4"/>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lowerLetter"/>
      <w:start w:val="1"/>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4"/>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png"/><Relationship Id="rId309"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392" Type="http://schemas.openxmlformats.org/officeDocument/2006/relationships/image" Target="media/image359.png"/><Relationship Id="rId393" Type="http://schemas.openxmlformats.org/officeDocument/2006/relationships/image" Target="media/image360.png"/><Relationship Id="rId394" Type="http://schemas.openxmlformats.org/officeDocument/2006/relationships/image" Target="media/image361.png"/><Relationship Id="rId395" Type="http://schemas.openxmlformats.org/officeDocument/2006/relationships/image" Target="media/image362.png"/><Relationship Id="rId168" Type="http://schemas.openxmlformats.org/officeDocument/2006/relationships/hyperlink" Target="https://www.sec.gov/Archives/edgar/data/0001501796/000095017024093308/aura-ex3_1.htm" TargetMode="External"/><Relationship Id="rId169" Type="http://schemas.openxmlformats.org/officeDocument/2006/relationships/hyperlink" Target="https://www.sec.gov/Archives/edgar/data/1501796/000095017022004425/aura-ex3_2.htm" TargetMode="External"/><Relationship Id="rId170" Type="http://schemas.openxmlformats.org/officeDocument/2006/relationships/hyperlink" Target="https://www.sec.gov/Archives/edgar/data/1501796/000119312521295543/d209588dex42.htm" TargetMode="External"/><Relationship Id="rId171" Type="http://schemas.openxmlformats.org/officeDocument/2006/relationships/hyperlink" Target="https://www.sec.gov/Archives/edgar/data/1501796/000119312525121677/d213451dex41.htm" TargetMode="External"/><Relationship Id="rId172" Type="http://schemas.openxmlformats.org/officeDocument/2006/relationships/hyperlink" Target="https://www.sec.gov/Archives/edgar/data/1501796/000119312525121677/d213451dex42.htm" TargetMode="External"/><Relationship Id="rId173" Type="http://schemas.openxmlformats.org/officeDocument/2006/relationships/hyperlink" Target="https://www.sec.gov/Archives/edgar/data/0001501796/000119312521295543/d209588dex101.htm" TargetMode="External"/><Relationship Id="rId174" Type="http://schemas.openxmlformats.org/officeDocument/2006/relationships/hyperlink" Target="https://www.sec.gov/Archives/edgar/data/0001501796/000119312521295543/d209588dex102.htm" TargetMode="External"/><Relationship Id="rId175" Type="http://schemas.openxmlformats.org/officeDocument/2006/relationships/hyperlink" Target="https://www.sec.gov/Archives/edgar/data/1501796/000119312521313316/d249509dex101.htm" TargetMode="External"/><Relationship Id="rId176" Type="http://schemas.openxmlformats.org/officeDocument/2006/relationships/hyperlink" Target="https://www.sec.gov/Archives/edgar/data/1501796/000119312521305934/d209588dex104.htm" TargetMode="External"/><Relationship Id="rId177" Type="http://schemas.openxmlformats.org/officeDocument/2006/relationships/hyperlink" Target="https://www.sec.gov/Archives/edgar/data/0001501796/000095017024093308/aura-ex10_1.htm" TargetMode="External"/><Relationship Id="rId178" Type="http://schemas.openxmlformats.org/officeDocument/2006/relationships/hyperlink" Target="https://www.sec.gov/Archives/edgar/data/1501796/000119312521305934/d209588dex106.htm" TargetMode="External"/><Relationship Id="rId179" Type="http://schemas.openxmlformats.org/officeDocument/2006/relationships/hyperlink" Target="https://www.sec.gov/Archives/edgar/data/1501796/000119312521305934/d209588dex107.htm" TargetMode="External"/><Relationship Id="rId180" Type="http://schemas.openxmlformats.org/officeDocument/2006/relationships/hyperlink" Target="https://www.sec.gov/Archives/edgar/data/1501796/000119312521305934/d209588dex108.htm" TargetMode="External"/><Relationship Id="rId181" Type="http://schemas.openxmlformats.org/officeDocument/2006/relationships/hyperlink" Target="https://www.sec.gov/Archives/edgar/data/0001501796/000095017024056265/aura-ex10_1.htm" TargetMode="External"/><Relationship Id="rId184" Type="http://schemas.openxmlformats.org/officeDocument/2006/relationships/hyperlink" Target="https://www.sec.gov/Archives/edgar/data/0001501796/000119312521295543/d209588dex1011.htm" TargetMode="External"/><Relationship Id="rId185" Type="http://schemas.openxmlformats.org/officeDocument/2006/relationships/hyperlink" Target="https://www.sec.gov/Archives/edgar/data/0001501796/000119312521295543/d209588dex1012.htm" TargetMode="External"/><Relationship Id="rId186" Type="http://schemas.openxmlformats.org/officeDocument/2006/relationships/hyperlink" Target="https://www.sec.gov/Archives/edgar/data/0001501796/000119312521295543/d209588dex1013.htm" TargetMode="External"/><Relationship Id="rId187" Type="http://schemas.openxmlformats.org/officeDocument/2006/relationships/hyperlink" Target="https://www.sec.gov/Archives/edgar/data/1501796/000095017025043943/aura-ex10_14.htm" TargetMode="External"/><Relationship Id="rId188" Type="http://schemas.openxmlformats.org/officeDocument/2006/relationships/hyperlink" Target="https://www.sec.gov/Archives/edgar/data/1501796/000095017022016911/aura-ex10_1.htm" TargetMode="External"/><Relationship Id="rId189" Type="http://schemas.openxmlformats.org/officeDocument/2006/relationships/hyperlink" Target="https://www.sec.gov/Archives/edgar/data/1501796/000095017023062097/aura-ex10_1.htm" TargetMode="External"/><Relationship Id="rId190" Type="http://schemas.openxmlformats.org/officeDocument/2006/relationships/hyperlink" Target="https://www.sec.gov/Archives/edgar/data/0001501796/000095017024036814/aura-ex10_17.htm" TargetMode="External"/><Relationship Id="rId191" Type="http://schemas.openxmlformats.org/officeDocument/2006/relationships/hyperlink" Target="https://www.sec.gov/Archives/edgar/data/0001501796/000095017024125428/aura-ex10_3.htm" TargetMode="External"/><Relationship Id="rId192" Type="http://schemas.openxmlformats.org/officeDocument/2006/relationships/hyperlink" Target="https://www.sec.gov/Archives/edgar/data/1501796/000095017025071907/aura-ex10_1.htm" TargetMode="External"/><Relationship Id="rId193" Type="http://schemas.openxmlformats.org/officeDocument/2006/relationships/hyperlink" Target="https://www.sec.gov/Archives/edgar/data/1501796/000095017025043943/aura-ex19_1.htm" TargetMode="External"/><Relationship Id="rId194" Type="http://schemas.openxmlformats.org/officeDocument/2006/relationships/hyperlink" Target="https://www.sec.gov/Archives/edgar/data/1501796/000095017025043943/aura-ex21_1.htm" TargetMode="External"/><Relationship Id="rId195" Type="http://schemas.openxmlformats.org/officeDocument/2006/relationships/hyperlink" Target="https://www.sec.gov/Archives/edgar/data/0001501796/000095017024036814/aura-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2026-03-30T06:20:55Z</dcterms:created>
  <dcterms:modified xsi:type="dcterms:W3CDTF">2026-03-30T06:20:55Z</dcterms:modified>
</cp:coreProperties>
</file>