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37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37984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Johnson David Michael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Aura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AURA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AURA BIOSCIENCES, INC.</w:t>
            </w:r>
          </w:p>
        </w:tc>
        <w:tc>
          <w:tcPr>
            <w:tcW w:w="120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80 GUEST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1300" w:type="dxa"/>
            <w:vAlign w:val="bottom"/>
            <w:gridSpan w:val="2"/>
          </w:tcPr>
          <w:p>
            <w:pPr>
              <w:ind w:left="28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1660" w:type="dxa"/>
            <w:vAlign w:val="bottom"/>
            <w:gridSpan w:val="4"/>
          </w:tcPr>
          <w:p>
            <w:pPr>
              <w:ind w:left="60"/>
              <w:spacing w:after="0"/>
              <w:rPr>
                <w:sz w:val="20"/>
                <w:szCs w:val="20"/>
                <w:color w:val="auto"/>
              </w:rPr>
            </w:pPr>
            <w:r>
              <w:rPr>
                <w:rFonts w:ascii="Arial" w:cs="Arial" w:eastAsia="Arial" w:hAnsi="Arial"/>
                <w:sz w:val="12"/>
                <w:szCs w:val="12"/>
                <w:b w:val="1"/>
                <w:bCs w:val="1"/>
                <w:color w:val="auto"/>
                <w:w w:val="97"/>
              </w:rPr>
              <w:t>4. Securities Acquired (A) or</w:t>
            </w:r>
          </w:p>
        </w:tc>
        <w:tc>
          <w:tcPr>
            <w:tcW w:w="2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46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gridSpan w:val="2"/>
          </w:tcPr>
          <w:p>
            <w:pPr>
              <w:ind w:left="380"/>
              <w:spacing w:after="0" w:line="128"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2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8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20" w:type="dxa"/>
            <w:vAlign w:val="bottom"/>
            <w:gridSpan w:val="3"/>
          </w:tcPr>
          <w:p>
            <w:pPr>
              <w:ind w:left="380"/>
              <w:spacing w:after="0" w:line="129"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 or Indirect</w:t>
            </w:r>
          </w:p>
        </w:tc>
        <w:tc>
          <w:tcPr>
            <w:tcW w:w="14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6"/>
              </w:rPr>
              <w:t>Owned Following</w:t>
            </w: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60" w:type="dxa"/>
            <w:vAlign w:val="bottom"/>
            <w:gridSpan w:val="3"/>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3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06/11/2026</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15,000</w:t>
            </w:r>
            <w:r>
              <w:rPr>
                <w:rFonts w:ascii="Times New Roman" w:cs="Times New Roman" w:eastAsia="Times New Roman" w:hAnsi="Times New Roman"/>
                <w:sz w:val="21"/>
                <w:szCs w:val="21"/>
                <w:color w:val="008000"/>
                <w:vertAlign w:val="superscript"/>
              </w:rPr>
              <w:t>(1)</w:t>
            </w: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142"/>
              <w:spacing w:after="0"/>
              <w:rPr>
                <w:sz w:val="20"/>
                <w:szCs w:val="20"/>
                <w:color w:val="auto"/>
              </w:rPr>
            </w:pPr>
            <w:r>
              <w:rPr>
                <w:rFonts w:ascii="Times New Roman" w:cs="Times New Roman" w:eastAsia="Times New Roman" w:hAnsi="Times New Roman"/>
                <w:sz w:val="17"/>
                <w:szCs w:val="17"/>
                <w:color w:val="0000FF"/>
                <w:w w:val="97"/>
              </w:rPr>
              <w:t>194,167</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By NEJ09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center"/>
              <w:ind w:right="142"/>
              <w:spacing w:after="0"/>
              <w:rPr>
                <w:sz w:val="20"/>
                <w:szCs w:val="20"/>
                <w:color w:val="auto"/>
              </w:rPr>
            </w:pPr>
            <w:r>
              <w:rPr>
                <w:rFonts w:ascii="Times New Roman" w:cs="Times New Roman" w:eastAsia="Times New Roman" w:hAnsi="Times New Roman"/>
                <w:sz w:val="17"/>
                <w:szCs w:val="17"/>
                <w:color w:val="0000FF"/>
                <w:w w:val="98"/>
              </w:rPr>
              <w:t>75,000</w:t>
            </w:r>
          </w:p>
        </w:tc>
        <w:tc>
          <w:tcPr>
            <w:tcW w:w="92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w w:val="91"/>
              </w:rPr>
              <w:t>TRUST</w:t>
            </w:r>
            <w:r>
              <w:rPr>
                <w:rFonts w:ascii="Times New Roman" w:cs="Times New Roman" w:eastAsia="Times New Roman" w:hAnsi="Times New Roman"/>
                <w:sz w:val="21"/>
                <w:szCs w:val="21"/>
                <w:color w:val="008000"/>
                <w:w w:val="91"/>
                <w:vertAlign w:val="superscript"/>
              </w:rPr>
              <w:t>(2)</w:t>
            </w: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By NEJ12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center"/>
              <w:ind w:right="142"/>
              <w:spacing w:after="0"/>
              <w:rPr>
                <w:sz w:val="20"/>
                <w:szCs w:val="20"/>
                <w:color w:val="auto"/>
              </w:rPr>
            </w:pPr>
            <w:r>
              <w:rPr>
                <w:rFonts w:ascii="Times New Roman" w:cs="Times New Roman" w:eastAsia="Times New Roman" w:hAnsi="Times New Roman"/>
                <w:sz w:val="17"/>
                <w:szCs w:val="17"/>
                <w:color w:val="0000FF"/>
                <w:w w:val="98"/>
              </w:rPr>
              <w:t>75,000</w:t>
            </w:r>
          </w:p>
        </w:tc>
        <w:tc>
          <w:tcPr>
            <w:tcW w:w="92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w w:val="91"/>
              </w:rPr>
              <w:t>TRUST</w:t>
            </w:r>
            <w:r>
              <w:rPr>
                <w:rFonts w:ascii="Times New Roman" w:cs="Times New Roman" w:eastAsia="Times New Roman" w:hAnsi="Times New Roman"/>
                <w:sz w:val="21"/>
                <w:szCs w:val="21"/>
                <w:color w:val="008000"/>
                <w:w w:val="91"/>
                <w:vertAlign w:val="superscript"/>
              </w:rPr>
              <w:t>(3)</w:t>
            </w: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By Velocity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center"/>
              <w:ind w:right="142"/>
              <w:spacing w:after="0"/>
              <w:rPr>
                <w:sz w:val="20"/>
                <w:szCs w:val="20"/>
                <w:color w:val="auto"/>
              </w:rPr>
            </w:pPr>
            <w:r>
              <w:rPr>
                <w:rFonts w:ascii="Times New Roman" w:cs="Times New Roman" w:eastAsia="Times New Roman" w:hAnsi="Times New Roman"/>
                <w:sz w:val="17"/>
                <w:szCs w:val="17"/>
                <w:color w:val="0000FF"/>
                <w:w w:val="97"/>
              </w:rPr>
              <w:t>139,672</w:t>
            </w:r>
          </w:p>
        </w:tc>
        <w:tc>
          <w:tcPr>
            <w:tcW w:w="92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Capital</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100"/>
              <w:spacing w:after="0"/>
              <w:rPr>
                <w:sz w:val="20"/>
                <w:szCs w:val="20"/>
                <w:color w:val="auto"/>
              </w:rPr>
            </w:pPr>
            <w:r>
              <w:rPr>
                <w:rFonts w:ascii="Times New Roman" w:cs="Times New Roman" w:eastAsia="Times New Roman" w:hAnsi="Times New Roman"/>
                <w:sz w:val="17"/>
                <w:szCs w:val="17"/>
                <w:color w:val="0000FF"/>
              </w:rPr>
              <w:t>Management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2"/>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4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6. Date Exercisable and</w:t>
            </w:r>
          </w:p>
        </w:tc>
        <w:tc>
          <w:tcPr>
            <w:tcW w:w="100" w:type="dxa"/>
            <w:vAlign w:val="bottom"/>
          </w:tcPr>
          <w:p>
            <w:pPr>
              <w:spacing w:after="0"/>
              <w:rPr>
                <w:sz w:val="14"/>
                <w:szCs w:val="14"/>
                <w:color w:val="auto"/>
              </w:rPr>
            </w:pP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3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Form:</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20"/>
              <w:spacing w:after="0" w:line="129"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300" w:type="dxa"/>
            <w:vAlign w:val="bottom"/>
          </w:tcPr>
          <w:p>
            <w:pPr>
              <w:spacing w:after="0"/>
              <w:rPr>
                <w:sz w:val="16"/>
                <w:szCs w:val="16"/>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0000FF"/>
              </w:rPr>
              <w:t>06/11/2036</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4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w w:val="98"/>
              </w:rPr>
              <w:t>30,000</w:t>
            </w:r>
          </w:p>
        </w:tc>
        <w:tc>
          <w:tcPr>
            <w:tcW w:w="780" w:type="dxa"/>
            <w:vAlign w:val="bottom"/>
            <w:gridSpan w:val="2"/>
          </w:tcPr>
          <w:p>
            <w:pPr>
              <w:jc w:val="right"/>
              <w:ind w:right="2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30,000</w:t>
            </w:r>
          </w:p>
        </w:tc>
        <w:tc>
          <w:tcPr>
            <w:tcW w:w="76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("RSU") award under the Issuer's 2021 Stock Option and Incentive Plan. Each RSU represents the right to receive one share of the Issuer's Common Stock. These RSUs vest in full upon the earlier to occur of (a) June 11, 2027 or (b) the next annual meeting of the Issuer's stockholders, subject to the Reporting Person's continued service as of such vesting date.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NEJ09 IRREVOCABLE TRUST dated December 24, 2020, of which the Reporting Person is a trustee.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NEJ12 IRREVOCABLE TRUST dated December 24, 2020, of which the Reporting Person is a trustee.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Velosity Capital Management LLC is an entity that the Reporting Person is the sole member of.</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will vest and become exercisable in full upon the earlier to occur of (a) June 11, 2027 or (b) the next annual meeting of the Issuer's stockholders, subject to the Reporting Person's continued service as of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Conor Kilroy,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08098" TargetMode="External"/><Relationship Id="rId14" Type="http://schemas.openxmlformats.org/officeDocument/2006/relationships/hyperlink" Target="http://www.sec.gov/cgi-bin/browse-edgar?action=getcompany&amp;CIK=00015017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2026-06-15T15:45:53Z</dcterms:created>
  <dcterms:modified xsi:type="dcterms:W3CDTF">2026-06-15T15:45:53Z</dcterms:modified>
</cp:coreProperties>
</file>