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6477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47763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Feder Julie B</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AURA BIOSCIENCES,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 GUEST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Aura Biosciences,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AURA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10/18/2024</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60" w:type="dxa"/>
            <w:vAlign w:val="bottom"/>
            <w:gridSpan w:val="6"/>
          </w:tcPr>
          <w:p>
            <w:pPr>
              <w:jc w:val="center"/>
              <w:spacing w:after="0"/>
              <w:rPr>
                <w:sz w:val="20"/>
                <w:szCs w:val="20"/>
                <w:color w:val="auto"/>
              </w:rPr>
            </w:pPr>
            <w:r>
              <w:rPr>
                <w:rFonts w:ascii="Arial" w:cs="Arial" w:eastAsia="Arial" w:hAnsi="Arial"/>
                <w:sz w:val="13"/>
                <w:szCs w:val="13"/>
                <w:color w:val="auto"/>
                <w:w w:val="98"/>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01235</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jc w:val="center"/>
              <w:ind w:left="45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70"/>
              <w:spacing w:after="0"/>
              <w:rPr>
                <w:sz w:val="20"/>
                <w:szCs w:val="20"/>
                <w:color w:val="auto"/>
              </w:rPr>
            </w:pPr>
            <w:r>
              <w:rPr>
                <w:rFonts w:ascii="Times New Roman" w:cs="Times New Roman" w:eastAsia="Times New Roman" w:hAnsi="Times New Roman"/>
                <w:sz w:val="17"/>
                <w:szCs w:val="17"/>
                <w:color w:val="0000FF"/>
                <w:w w:val="98"/>
              </w:rPr>
              <w:t>10/18/2024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17,500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2.74</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151,776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70"/>
              <w:spacing w:after="0"/>
              <w:rPr>
                <w:sz w:val="20"/>
                <w:szCs w:val="20"/>
                <w:color w:val="auto"/>
              </w:rPr>
            </w:pPr>
            <w:r>
              <w:rPr>
                <w:rFonts w:ascii="Times New Roman" w:cs="Times New Roman" w:eastAsia="Times New Roman" w:hAnsi="Times New Roman"/>
                <w:sz w:val="17"/>
                <w:szCs w:val="17"/>
                <w:color w:val="0000FF"/>
                <w:w w:val="98"/>
              </w:rPr>
              <w:t>10/18/2024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2,631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4.25</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154,407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70"/>
              <w:spacing w:after="0"/>
              <w:rPr>
                <w:sz w:val="20"/>
                <w:szCs w:val="20"/>
                <w:color w:val="auto"/>
              </w:rPr>
            </w:pPr>
            <w:r>
              <w:rPr>
                <w:rFonts w:ascii="Times New Roman" w:cs="Times New Roman" w:eastAsia="Times New Roman" w:hAnsi="Times New Roman"/>
                <w:sz w:val="17"/>
                <w:szCs w:val="17"/>
                <w:color w:val="0000FF"/>
                <w:w w:val="98"/>
              </w:rPr>
              <w:t>10/18/2024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5.48</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159,407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70"/>
              <w:spacing w:after="0"/>
              <w:rPr>
                <w:sz w:val="20"/>
                <w:szCs w:val="20"/>
                <w:color w:val="auto"/>
              </w:rPr>
            </w:pPr>
            <w:r>
              <w:rPr>
                <w:rFonts w:ascii="Times New Roman" w:cs="Times New Roman" w:eastAsia="Times New Roman" w:hAnsi="Times New Roman"/>
                <w:sz w:val="17"/>
                <w:szCs w:val="17"/>
                <w:color w:val="0000FF"/>
                <w:w w:val="98"/>
              </w:rPr>
              <w:t>10/18/2024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25,131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12.0314</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134,276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2.74</w:t>
            </w:r>
          </w:p>
        </w:tc>
        <w:tc>
          <w:tcPr>
            <w:tcW w:w="1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10/18/2024</w:t>
            </w:r>
          </w:p>
        </w:tc>
        <w:tc>
          <w:tcPr>
            <w:tcW w:w="1140" w:type="dxa"/>
            <w:vAlign w:val="bottom"/>
          </w:tcPr>
          <w:p>
            <w:pPr>
              <w:spacing w:after="0"/>
              <w:rPr>
                <w:sz w:val="16"/>
                <w:szCs w:val="16"/>
                <w:color w:val="auto"/>
              </w:rPr>
            </w:pPr>
          </w:p>
        </w:tc>
        <w:tc>
          <w:tcPr>
            <w:tcW w:w="44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00" w:type="dxa"/>
            <w:vAlign w:val="bottom"/>
          </w:tcPr>
          <w:p>
            <w:pPr>
              <w:spacing w:after="0"/>
              <w:rPr>
                <w:sz w:val="16"/>
                <w:szCs w:val="16"/>
                <w:color w:val="auto"/>
              </w:rPr>
            </w:pPr>
          </w:p>
        </w:tc>
        <w:tc>
          <w:tcPr>
            <w:tcW w:w="700" w:type="dxa"/>
            <w:vAlign w:val="bottom"/>
          </w:tcPr>
          <w:p>
            <w:pPr>
              <w:jc w:val="center"/>
              <w:ind w:left="240"/>
              <w:spacing w:after="0"/>
              <w:rPr>
                <w:sz w:val="20"/>
                <w:szCs w:val="20"/>
                <w:color w:val="auto"/>
              </w:rPr>
            </w:pPr>
            <w:r>
              <w:rPr>
                <w:rFonts w:ascii="Times New Roman" w:cs="Times New Roman" w:eastAsia="Times New Roman" w:hAnsi="Times New Roman"/>
                <w:sz w:val="13"/>
                <w:szCs w:val="13"/>
                <w:color w:val="0000FF"/>
              </w:rPr>
              <w:t>17,500</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10/03/2028</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0000FF"/>
                <w:w w:val="98"/>
              </w:rPr>
              <w:t>17,500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rPr>
              <w:t>68,257</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4.25</w:t>
            </w:r>
          </w:p>
        </w:tc>
        <w:tc>
          <w:tcPr>
            <w:tcW w:w="1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10/18/2024</w:t>
            </w:r>
          </w:p>
        </w:tc>
        <w:tc>
          <w:tcPr>
            <w:tcW w:w="1140" w:type="dxa"/>
            <w:vAlign w:val="bottom"/>
          </w:tcPr>
          <w:p>
            <w:pPr>
              <w:spacing w:after="0"/>
              <w:rPr>
                <w:sz w:val="12"/>
                <w:szCs w:val="12"/>
                <w:color w:val="auto"/>
              </w:rPr>
            </w:pPr>
          </w:p>
        </w:tc>
        <w:tc>
          <w:tcPr>
            <w:tcW w:w="440" w:type="dxa"/>
            <w:vAlign w:val="bottom"/>
            <w:gridSpan w:val="2"/>
            <w:vMerge w:val="restart"/>
          </w:tcPr>
          <w:p>
            <w:pPr>
              <w:ind w:left="80"/>
              <w:spacing w:after="0" w:line="27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400" w:type="dxa"/>
            <w:vAlign w:val="bottom"/>
          </w:tcPr>
          <w:p>
            <w:pPr>
              <w:spacing w:after="0"/>
              <w:rPr>
                <w:sz w:val="12"/>
                <w:szCs w:val="12"/>
                <w:color w:val="auto"/>
              </w:rPr>
            </w:pPr>
          </w:p>
        </w:tc>
        <w:tc>
          <w:tcPr>
            <w:tcW w:w="700" w:type="dxa"/>
            <w:vAlign w:val="bottom"/>
            <w:vMerge w:val="restart"/>
          </w:tcPr>
          <w:p>
            <w:pPr>
              <w:jc w:val="center"/>
              <w:ind w:left="260"/>
              <w:spacing w:after="0"/>
              <w:rPr>
                <w:sz w:val="20"/>
                <w:szCs w:val="20"/>
                <w:color w:val="auto"/>
              </w:rPr>
            </w:pPr>
            <w:r>
              <w:rPr>
                <w:rFonts w:ascii="Times New Roman" w:cs="Times New Roman" w:eastAsia="Times New Roman" w:hAnsi="Times New Roman"/>
                <w:sz w:val="13"/>
                <w:szCs w:val="13"/>
                <w:color w:val="0000FF"/>
              </w:rPr>
              <w:t>2,631</w:t>
            </w: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03/16/2030</w:t>
            </w:r>
          </w:p>
        </w:tc>
        <w:tc>
          <w:tcPr>
            <w:tcW w:w="56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2,631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jc w:val="center"/>
              <w:ind w:left="160"/>
              <w:spacing w:after="0"/>
              <w:rPr>
                <w:sz w:val="20"/>
                <w:szCs w:val="20"/>
                <w:color w:val="auto"/>
              </w:rPr>
            </w:pPr>
            <w:r>
              <w:rPr>
                <w:rFonts w:ascii="Times New Roman" w:cs="Times New Roman" w:eastAsia="Times New Roman" w:hAnsi="Times New Roman"/>
                <w:sz w:val="13"/>
                <w:szCs w:val="13"/>
                <w:color w:val="0000FF"/>
              </w:rPr>
              <w:t>32,359</w:t>
            </w:r>
          </w:p>
        </w:tc>
        <w:tc>
          <w:tcPr>
            <w:tcW w:w="26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6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5.48</w:t>
            </w:r>
          </w:p>
        </w:tc>
        <w:tc>
          <w:tcPr>
            <w:tcW w:w="1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10/18/2024</w:t>
            </w:r>
          </w:p>
        </w:tc>
        <w:tc>
          <w:tcPr>
            <w:tcW w:w="1140" w:type="dxa"/>
            <w:vAlign w:val="bottom"/>
          </w:tcPr>
          <w:p>
            <w:pPr>
              <w:spacing w:after="0"/>
              <w:rPr>
                <w:sz w:val="12"/>
                <w:szCs w:val="12"/>
                <w:color w:val="auto"/>
              </w:rPr>
            </w:pPr>
          </w:p>
        </w:tc>
        <w:tc>
          <w:tcPr>
            <w:tcW w:w="440" w:type="dxa"/>
            <w:vAlign w:val="bottom"/>
            <w:gridSpan w:val="2"/>
            <w:vMerge w:val="restart"/>
          </w:tcPr>
          <w:p>
            <w:pPr>
              <w:ind w:left="80"/>
              <w:spacing w:after="0" w:line="27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400" w:type="dxa"/>
            <w:vAlign w:val="bottom"/>
          </w:tcPr>
          <w:p>
            <w:pPr>
              <w:spacing w:after="0"/>
              <w:rPr>
                <w:sz w:val="12"/>
                <w:szCs w:val="12"/>
                <w:color w:val="auto"/>
              </w:rPr>
            </w:pPr>
          </w:p>
        </w:tc>
        <w:tc>
          <w:tcPr>
            <w:tcW w:w="700" w:type="dxa"/>
            <w:vAlign w:val="bottom"/>
            <w:vMerge w:val="restart"/>
          </w:tcPr>
          <w:p>
            <w:pPr>
              <w:jc w:val="center"/>
              <w:ind w:left="260"/>
              <w:spacing w:after="0"/>
              <w:rPr>
                <w:sz w:val="20"/>
                <w:szCs w:val="20"/>
                <w:color w:val="auto"/>
              </w:rPr>
            </w:pPr>
            <w:r>
              <w:rPr>
                <w:rFonts w:ascii="Times New Roman" w:cs="Times New Roman" w:eastAsia="Times New Roman" w:hAnsi="Times New Roman"/>
                <w:sz w:val="13"/>
                <w:szCs w:val="13"/>
                <w:color w:val="0000FF"/>
              </w:rPr>
              <w:t>5,000</w:t>
            </w: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06/28/2031</w:t>
            </w:r>
          </w:p>
        </w:tc>
        <w:tc>
          <w:tcPr>
            <w:tcW w:w="56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jc w:val="center"/>
              <w:ind w:left="140"/>
              <w:spacing w:after="0"/>
              <w:rPr>
                <w:sz w:val="20"/>
                <w:szCs w:val="20"/>
                <w:color w:val="auto"/>
              </w:rPr>
            </w:pPr>
            <w:r>
              <w:rPr>
                <w:rFonts w:ascii="Times New Roman" w:cs="Times New Roman" w:eastAsia="Times New Roman" w:hAnsi="Times New Roman"/>
                <w:sz w:val="13"/>
                <w:szCs w:val="13"/>
                <w:color w:val="0000FF"/>
                <w:w w:val="99"/>
              </w:rPr>
              <w:t>120,547</w:t>
            </w:r>
          </w:p>
        </w:tc>
        <w:tc>
          <w:tcPr>
            <w:tcW w:w="26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transactions were effected pursuant to a Rule 10b5-1 trading plan dated June 23, 2023 previously adopted by the reporting person.</w:t>
      </w:r>
    </w:p>
    <w:p>
      <w:pPr>
        <w:spacing w:after="0" w:line="43" w:lineRule="exact"/>
        <w:rPr>
          <w:rFonts w:ascii="Times New Roman" w:cs="Times New Roman" w:eastAsia="Times New Roman" w:hAnsi="Times New Roman"/>
          <w:sz w:val="13"/>
          <w:szCs w:val="13"/>
          <w:color w:val="008000"/>
        </w:rPr>
      </w:pPr>
    </w:p>
    <w:p>
      <w:pPr>
        <w:ind w:left="40" w:right="16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$12.0000 to $12.3000,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is fully vested.</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vest in 48 monthly installments, equal to 2.0833% of the shares, over the 48 months following June 28, 2021.</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 Power of Attorney</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Conor Kilroy, as Attorney-</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10/21/2024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10" w:lineRule="exact"/>
        <w:rPr>
          <w:sz w:val="20"/>
          <w:szCs w:val="20"/>
          <w:color w:val="auto"/>
        </w:rPr>
      </w:pPr>
    </w:p>
    <w:p>
      <w:pPr>
        <w:ind w:right="40" w:firstLine="732"/>
        <w:spacing w:after="0" w:line="255" w:lineRule="auto"/>
        <w:rPr>
          <w:sz w:val="20"/>
          <w:szCs w:val="20"/>
          <w:color w:val="auto"/>
        </w:rPr>
      </w:pPr>
      <w:r>
        <w:rPr>
          <w:rFonts w:ascii="Times New Roman" w:cs="Times New Roman" w:eastAsia="Times New Roman" w:hAnsi="Times New Roman"/>
          <w:sz w:val="18"/>
          <w:szCs w:val="18"/>
          <w:color w:val="auto"/>
        </w:rPr>
        <w:t>Know all by these present, that I, the undersigned director and/or officer of Aura Biosciences, Inc., a Delaware corporation (the “Company”), hereby constitute and appoint each of Conor Kilroy and Amy Elazzouzi as my true and lawful attorneys-in-fact and agent, with full power to act, together or each without the other, with full power of substitution and resubstitution, for me and in my name, place and stead, in any and all capacities:</w:t>
      </w:r>
    </w:p>
    <w:p>
      <w:pPr>
        <w:spacing w:after="0" w:line="269" w:lineRule="exact"/>
        <w:rPr>
          <w:sz w:val="20"/>
          <w:szCs w:val="20"/>
          <w:color w:val="auto"/>
        </w:rPr>
      </w:pPr>
    </w:p>
    <w:p>
      <w:pPr>
        <w:jc w:val="both"/>
        <w:ind w:firstLine="735"/>
        <w:spacing w:after="0" w:line="250" w:lineRule="auto"/>
        <w:tabs>
          <w:tab w:leader="none" w:pos="9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execute and file for and on behalf of the undersigned any reports on Forms 3, 4 and 5 (including any amendments thereto and any successors to such Forms) with respect to ownership acquisition or disposition of securities of the Company that the undersigned may be required to file with the U.S. Securities and Exchange Commission (the “SEC”) in accordance with Section 16(a) of the Securities Exchange Act of 1934, as amended (the “Exchange Act”), and the rules promulgated thereunder;</w:t>
      </w:r>
    </w:p>
    <w:p>
      <w:pPr>
        <w:spacing w:after="0" w:line="272" w:lineRule="exact"/>
        <w:rPr>
          <w:rFonts w:ascii="Times New Roman" w:cs="Times New Roman" w:eastAsia="Times New Roman" w:hAnsi="Times New Roman"/>
          <w:sz w:val="18"/>
          <w:szCs w:val="18"/>
          <w:color w:val="auto"/>
        </w:rPr>
      </w:pPr>
    </w:p>
    <w:p>
      <w:pPr>
        <w:ind w:left="1000" w:hanging="265"/>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execute and file for and on behalf of the undersigned any voluntary filings under Section 16(a) of the Exchange Act;</w:t>
      </w:r>
    </w:p>
    <w:p>
      <w:pPr>
        <w:spacing w:after="0" w:line="309" w:lineRule="exact"/>
        <w:rPr>
          <w:sz w:val="20"/>
          <w:szCs w:val="20"/>
          <w:color w:val="auto"/>
        </w:rPr>
      </w:pPr>
    </w:p>
    <w:p>
      <w:pPr>
        <w:ind w:right="20" w:firstLine="732"/>
        <w:spacing w:after="0" w:line="271" w:lineRule="auto"/>
        <w:rPr>
          <w:sz w:val="20"/>
          <w:szCs w:val="20"/>
          <w:color w:val="auto"/>
        </w:rPr>
      </w:pPr>
      <w:r>
        <w:rPr>
          <w:rFonts w:ascii="Times New Roman" w:cs="Times New Roman" w:eastAsia="Times New Roman" w:hAnsi="Times New Roman"/>
          <w:sz w:val="18"/>
          <w:szCs w:val="18"/>
          <w:color w:val="auto"/>
        </w:rPr>
        <w:t>(iii)to request electronic filing codes from the SEC by filing the Form ID (including amendments thereto) and any other documents necessary or appropriate to obtain codes and passwords enabling the undersigned to file such reports electronically;</w:t>
      </w:r>
    </w:p>
    <w:p>
      <w:pPr>
        <w:spacing w:after="0" w:line="255" w:lineRule="exact"/>
        <w:rPr>
          <w:sz w:val="20"/>
          <w:szCs w:val="20"/>
          <w:color w:val="auto"/>
        </w:rPr>
      </w:pPr>
    </w:p>
    <w:p>
      <w:pPr>
        <w:ind w:right="160" w:firstLine="732"/>
        <w:spacing w:after="0" w:line="255" w:lineRule="auto"/>
        <w:rPr>
          <w:sz w:val="20"/>
          <w:szCs w:val="20"/>
          <w:color w:val="auto"/>
        </w:rPr>
      </w:pPr>
      <w:r>
        <w:rPr>
          <w:rFonts w:ascii="Times New Roman" w:cs="Times New Roman" w:eastAsia="Times New Roman" w:hAnsi="Times New Roman"/>
          <w:sz w:val="18"/>
          <w:szCs w:val="18"/>
          <w:color w:val="auto"/>
        </w:rPr>
        <w:t>(iv)to prepare, file, and submit any documents or reports that may be required under SEC Rule 144 to permit the undersigned to sell Company common stock without registration under the Securities Act of 1933, as amended (the “Securities Act”) in reliance on Rule 144 as amended from time to time; or</w:t>
      </w:r>
    </w:p>
    <w:p>
      <w:pPr>
        <w:spacing w:after="0" w:line="269" w:lineRule="exact"/>
        <w:rPr>
          <w:sz w:val="20"/>
          <w:szCs w:val="20"/>
          <w:color w:val="auto"/>
        </w:rPr>
      </w:pPr>
    </w:p>
    <w:p>
      <w:pPr>
        <w:jc w:val="both"/>
        <w:ind w:right="100" w:firstLine="735"/>
        <w:spacing w:after="0" w:line="250" w:lineRule="auto"/>
        <w:tabs>
          <w:tab w:leader="none" w:pos="9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69" w:lineRule="exact"/>
        <w:rPr>
          <w:sz w:val="20"/>
          <w:szCs w:val="20"/>
          <w:color w:val="auto"/>
        </w:rPr>
      </w:pPr>
    </w:p>
    <w:p>
      <w:pPr>
        <w:ind w:right="160" w:firstLine="732"/>
        <w:spacing w:after="0" w:line="250"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Section 16(a) of the Exchange Act or the Securities Act. The Company will use all reasonable efforts to apprise the undersigned of applicable filing requirements for purposes of Section 16(a) of the Exchange Act or the Securities Act.</w:t>
      </w:r>
    </w:p>
    <w:p>
      <w:pPr>
        <w:spacing w:after="0" w:line="169" w:lineRule="exact"/>
        <w:rPr>
          <w:sz w:val="20"/>
          <w:szCs w:val="20"/>
          <w:color w:val="auto"/>
        </w:rPr>
      </w:pPr>
    </w:p>
    <w:p>
      <w:pPr>
        <w:ind w:right="180" w:firstLine="732"/>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with respect to the undersigned's holdings and transactions in securities issued by the Company, unless earlier revoked by the undersigned in a signed writing delivered to the foregoing attorneys-in-fact. This Power of Attorney revokes and replaces any prior Power of Attorney executed by the undersigned with respect to the ownership, acquisition or disposition of securities of the Company.</w:t>
      </w:r>
    </w:p>
    <w:p>
      <w:pPr>
        <w:spacing w:after="0" w:line="16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October 21, 2024.</w:t>
      </w:r>
    </w:p>
    <w:p>
      <w:pPr>
        <w:spacing w:after="0" w:line="20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/s/ Julie Feder</w:t>
      </w:r>
    </w:p>
    <w:p>
      <w:pPr>
        <w:spacing w:after="0" w:line="2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-124460</wp:posOffset>
            </wp:positionV>
            <wp:extent cx="17443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74434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Julie Feder</w:t>
      </w:r>
    </w:p>
    <w:p>
      <w:pPr>
        <w:spacing w:after="0" w:line="2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-124460</wp:posOffset>
            </wp:positionV>
            <wp:extent cx="17443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74434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836930</wp:posOffset>
            </wp:positionV>
            <wp:extent cx="699389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93890" cy="41910"/>
                    </a:xfrm>
                    <a:prstGeom prst="rect">
                      <a:avLst/>
                    </a:prstGeom>
                    <a:noFill/>
                  </pic:spPr>
                </pic:pic>
              </a:graphicData>
            </a:graphic>
          </wp:anchor>
        </w:drawing>
      </w:r>
    </w:p>
    <w:sectPr>
      <w:pgSz w:w="11900" w:h="16838" w:orient="portrait"/>
      <w:cols w:equalWidth="0" w:num="1">
        <w:col w:w="10980"/>
      </w:cols>
      <w:pgMar w:left="460" w:top="103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10237" TargetMode="External"/><Relationship Id="rId14" Type="http://schemas.openxmlformats.org/officeDocument/2006/relationships/hyperlink" Target="http://www.sec.gov/cgi-bin/browse-edgar?action=getcompany&amp;CIK=00015017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2024-10-21T17:25:19Z</dcterms:created>
  <dcterms:modified xsi:type="dcterms:W3CDTF">2024-10-21T17:25:19Z</dcterms:modified>
</cp:coreProperties>
</file>