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628015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61595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83820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p>
    <w:p>
      <w:pPr>
        <w:ind w:left="4020" w:right="3220" w:hanging="3999"/>
        <w:spacing w:after="0" w:line="307" w:lineRule="auto"/>
        <w:tabs>
          <w:tab w:leader="none" w:pos="484"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2023</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OR</w:t>
      </w:r>
    </w:p>
    <w:p>
      <w:pPr>
        <w:spacing w:after="0" w:line="70" w:lineRule="exact"/>
        <w:rPr>
          <w:sz w:val="24"/>
          <w:szCs w:val="24"/>
          <w:color w:val="auto"/>
        </w:rPr>
      </w:pPr>
    </w:p>
    <w:p>
      <w:pPr>
        <w:ind w:left="480" w:right="20" w:hanging="459"/>
        <w:spacing w:after="0" w:line="268" w:lineRule="auto"/>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 FROM TO</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60325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AURA BIOSCIENCES, INC.</w:t>
      </w:r>
    </w:p>
    <w:p>
      <w:pPr>
        <w:sectPr>
          <w:pgSz w:w="11900" w:h="16838" w:orient="portrait"/>
          <w:cols w:equalWidth="0" w:num="1">
            <w:col w:w="11240"/>
          </w:cols>
          <w:pgMar w:left="320" w:top="1068" w:right="339" w:bottom="1440" w:gutter="0" w:footer="0" w:header="0"/>
        </w:sectPr>
      </w:pPr>
    </w:p>
    <w:p>
      <w:pPr>
        <w:spacing w:after="0" w:line="34"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38100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0"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Delaware</w:t>
      </w:r>
    </w:p>
    <w:p>
      <w:pPr>
        <w:spacing w:after="0" w:line="38"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(State or other jurisdiction of</w:t>
      </w:r>
    </w:p>
    <w:p>
      <w:pPr>
        <w:spacing w:after="0" w:line="14"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incorporation or organization)</w:t>
      </w:r>
    </w:p>
    <w:p>
      <w:pPr>
        <w:spacing w:after="0" w:line="83"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80 Guest Street</w:t>
      </w:r>
    </w:p>
    <w:p>
      <w:pPr>
        <w:spacing w:after="0" w:line="34" w:lineRule="exact"/>
        <w:rPr>
          <w:sz w:val="24"/>
          <w:szCs w:val="24"/>
          <w:color w:val="auto"/>
        </w:rPr>
      </w:pPr>
    </w:p>
    <w:p>
      <w:pPr>
        <w:jc w:val="center"/>
        <w:ind w:right="190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32-0271970</w:t>
      </w:r>
    </w:p>
    <w:p>
      <w:pPr>
        <w:spacing w:after="0" w:line="4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(I.R.S. Employer</w:t>
      </w:r>
    </w:p>
    <w:p>
      <w:pPr>
        <w:spacing w:after="0" w:line="21"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Identification No.)</w:t>
      </w:r>
    </w:p>
    <w:p>
      <w:pPr>
        <w:spacing w:after="0" w:line="285"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02135</w:t>
      </w:r>
    </w:p>
    <w:p>
      <w:pPr>
        <w:spacing w:after="0" w:line="38" w:lineRule="exact"/>
        <w:rPr>
          <w:sz w:val="24"/>
          <w:szCs w:val="24"/>
          <w:color w:val="auto"/>
        </w:rPr>
      </w:pPr>
    </w:p>
    <w:p>
      <w:pPr>
        <w:sectPr>
          <w:pgSz w:w="11900" w:h="16838" w:orient="portrait"/>
          <w:cols w:equalWidth="0" w:num="2">
            <w:col w:w="7540" w:space="220"/>
            <w:col w:w="3480"/>
          </w:cols>
          <w:pgMar w:left="320" w:top="1068"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(617) 500-8864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66040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spacing w:after="0"/>
              <w:rPr>
                <w:sz w:val="16"/>
                <w:szCs w:val="16"/>
                <w:color w:val="auto"/>
              </w:rPr>
            </w:pPr>
          </w:p>
        </w:tc>
      </w:tr>
      <w:tr>
        <w:trPr>
          <w:trHeight w:val="214"/>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185"/>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8"/>
        </w:trPr>
        <w:tc>
          <w:tcPr>
            <w:tcW w:w="4280" w:type="dxa"/>
            <w:vAlign w:val="bottom"/>
          </w:tcPr>
          <w:p>
            <w:pPr>
              <w:ind w:left="20"/>
              <w:spacing w:after="0"/>
              <w:rPr>
                <w:sz w:val="20"/>
                <w:szCs w:val="20"/>
                <w:color w:val="auto"/>
              </w:rPr>
            </w:pPr>
            <w:r>
              <w:rPr>
                <w:rFonts w:ascii="Arial" w:cs="Arial" w:eastAsia="Arial" w:hAnsi="Arial"/>
                <w:sz w:val="14"/>
                <w:szCs w:val="14"/>
                <w:color w:val="auto"/>
              </w:rPr>
              <w:t>Common Stock, par value $0.00001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AURA</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4"/>
                <w:szCs w:val="14"/>
                <w:color w:val="auto"/>
              </w:rPr>
              <w:t>Nasdaq Global Market LLC</w:t>
            </w:r>
          </w:p>
        </w:tc>
      </w:tr>
    </w:tbl>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35" w:lineRule="exact"/>
        <w:rPr>
          <w:sz w:val="24"/>
          <w:szCs w:val="24"/>
          <w:color w:val="auto"/>
        </w:rPr>
      </w:pPr>
    </w:p>
    <w:p>
      <w:pPr>
        <w:ind w:right="2680"/>
        <w:spacing w:after="0" w:line="20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7" w:lineRule="exact"/>
        <w:rPr>
          <w:sz w:val="24"/>
          <w:szCs w:val="24"/>
          <w:color w:val="auto"/>
        </w:rPr>
      </w:pPr>
    </w:p>
    <w:p>
      <w:pPr>
        <w:ind w:right="20"/>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17"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ind w:right="20"/>
        <w:spacing w:after="0" w:line="26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9"/>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6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189"/>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6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241"/>
        </w:trPr>
        <w:tc>
          <w:tcPr>
            <w:tcW w:w="18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516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46"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188" w:lineRule="exact"/>
        <w:tabs>
          <w:tab w:leader="none" w:pos="79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61"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As of June 30, 2023 (the last business day of the Registrant’s most recently completed second fiscal quarter), the Registrant's aggregate market value of its voting common equity held by non-affiliates was $224.6 million based on the closing sale price of $12.35 per share as reported on the Nasdaq Global Market on that date.</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20, 2024 was 49,504,405.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0" w:type="dxa"/>
            <w:vAlign w:val="bottom"/>
            <w:gridSpan w:val="10"/>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580" w:type="dxa"/>
            <w:vAlign w:val="bottom"/>
            <w:vMerge w:val="restart"/>
          </w:tcPr>
          <w:p>
            <w:pPr>
              <w:spacing w:after="0"/>
              <w:rPr>
                <w:sz w:val="20"/>
                <w:szCs w:val="20"/>
                <w:color w:val="auto"/>
              </w:rPr>
            </w:pPr>
            <w:r>
              <w:rPr>
                <w:rFonts w:ascii="Arial" w:cs="Arial" w:eastAsia="Arial" w:hAnsi="Arial"/>
                <w:sz w:val="18"/>
                <w:szCs w:val="18"/>
                <w:b w:val="1"/>
                <w:bCs w:val="1"/>
                <w:color w:val="0000FF"/>
                <w:w w:val="94"/>
              </w:rPr>
              <w:t>PART I</w:t>
            </w:r>
          </w:p>
        </w:tc>
        <w:tc>
          <w:tcPr>
            <w:tcW w:w="660" w:type="dxa"/>
            <w:vAlign w:val="bottom"/>
            <w:gridSpan w:val="5"/>
            <w:vMerge w:val="restart"/>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580" w:type="dxa"/>
            <w:vAlign w:val="bottom"/>
            <w:tcBorders>
              <w:bottom w:val="single" w:sz="8" w:color="0000FF"/>
            </w:tcBorders>
            <w:vMerge w:val="continue"/>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9200" w:type="dxa"/>
            <w:vAlign w:val="bottom"/>
            <w:gridSpan w:val="24"/>
            <w:vMerge w:val="restart"/>
          </w:tcPr>
          <w:p>
            <w:pPr>
              <w:spacing w:after="0"/>
              <w:rPr>
                <w:sz w:val="20"/>
                <w:szCs w:val="20"/>
                <w:color w:val="auto"/>
              </w:rPr>
            </w:pPr>
            <w:r>
              <w:rPr>
                <w:rFonts w:ascii="Arial" w:cs="Arial" w:eastAsia="Arial" w:hAnsi="Arial"/>
                <w:sz w:val="18"/>
                <w:szCs w:val="18"/>
                <w:color w:val="0000FF"/>
              </w:rPr>
              <w:t>Business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w:t>
            </w:r>
          </w:p>
        </w:tc>
        <w:tc>
          <w:tcPr>
            <w:tcW w:w="9200" w:type="dxa"/>
            <w:vAlign w:val="bottom"/>
            <w:gridSpan w:val="24"/>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1A.</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Risk Factors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1B.</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Unresolved Staff Comments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1C.</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Cybersecurity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2.</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Properties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3.</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Legal Proceedings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4.</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Mine Safety Disclosures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spacing w:after="0"/>
              <w:rPr>
                <w:sz w:val="20"/>
                <w:szCs w:val="20"/>
                <w:color w:val="auto"/>
              </w:rPr>
            </w:pPr>
            <w:r>
              <w:rPr>
                <w:rFonts w:ascii="Arial" w:cs="Arial" w:eastAsia="Arial" w:hAnsi="Arial"/>
                <w:sz w:val="18"/>
                <w:szCs w:val="18"/>
                <w:b w:val="1"/>
                <w:bCs w:val="1"/>
                <w:color w:val="0000FF"/>
              </w:rPr>
              <w:t>PART II</w:t>
            </w:r>
          </w:p>
        </w:tc>
        <w:tc>
          <w:tcPr>
            <w:tcW w:w="6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240" w:type="dxa"/>
            <w:vAlign w:val="bottom"/>
            <w:gridSpan w:val="6"/>
            <w:vMerge w:val="continue"/>
          </w:tcPr>
          <w:p>
            <w:pPr>
              <w:spacing w:after="0"/>
              <w:rPr>
                <w:sz w:val="24"/>
                <w:szCs w:val="24"/>
                <w:color w:val="auto"/>
              </w:rPr>
            </w:pPr>
          </w:p>
        </w:tc>
        <w:tc>
          <w:tcPr>
            <w:tcW w:w="9200" w:type="dxa"/>
            <w:vAlign w:val="bottom"/>
            <w:gridSpan w:val="24"/>
            <w:vMerge w:val="restart"/>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0" w:type="dxa"/>
            <w:vAlign w:val="bottom"/>
            <w:gridSpan w:val="24"/>
            <w:vMerge w:val="continue"/>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5.</w:t>
            </w:r>
          </w:p>
        </w:tc>
        <w:tc>
          <w:tcPr>
            <w:tcW w:w="9200" w:type="dxa"/>
            <w:vAlign w:val="bottom"/>
            <w:gridSpan w:val="24"/>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6.</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Reserved]</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7.</w:t>
            </w:r>
          </w:p>
        </w:tc>
        <w:tc>
          <w:tcPr>
            <w:tcW w:w="60" w:type="dxa"/>
            <w:vAlign w:val="bottom"/>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7A.</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8.</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9.</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9A.</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Controls and Procedures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9B.</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Other Information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9C.</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vMerge w:val="restart"/>
          </w:tcPr>
          <w:p>
            <w:pPr>
              <w:spacing w:after="0"/>
              <w:rPr>
                <w:sz w:val="20"/>
                <w:szCs w:val="20"/>
                <w:color w:val="auto"/>
              </w:rPr>
            </w:pPr>
            <w:r>
              <w:rPr>
                <w:rFonts w:ascii="Arial" w:cs="Arial" w:eastAsia="Arial" w:hAnsi="Arial"/>
                <w:sz w:val="18"/>
                <w:szCs w:val="18"/>
                <w:b w:val="1"/>
                <w:bCs w:val="1"/>
                <w:color w:val="0000FF"/>
                <w:w w:val="95"/>
              </w:rPr>
              <w:t>PART III</w:t>
            </w:r>
          </w:p>
        </w:tc>
        <w:tc>
          <w:tcPr>
            <w:tcW w:w="20" w:type="dxa"/>
            <w:vAlign w:val="bottom"/>
            <w:vMerge w:val="restart"/>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680" w:type="dxa"/>
            <w:vAlign w:val="bottom"/>
            <w:tcBorders>
              <w:bottom w:val="single" w:sz="8" w:color="0000FF"/>
            </w:tcBorders>
            <w:gridSpan w:val="3"/>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540" w:type="dxa"/>
            <w:vAlign w:val="bottom"/>
            <w:gridSpan w:val="2"/>
            <w:vMerge w:val="continue"/>
          </w:tcPr>
          <w:p>
            <w:pPr>
              <w:spacing w:after="0"/>
              <w:rPr>
                <w:sz w:val="24"/>
                <w:szCs w:val="24"/>
                <w:color w:val="auto"/>
              </w:rPr>
            </w:pPr>
          </w:p>
        </w:tc>
        <w:tc>
          <w:tcPr>
            <w:tcW w:w="9200" w:type="dxa"/>
            <w:vAlign w:val="bottom"/>
            <w:gridSpan w:val="24"/>
            <w:vMerge w:val="restart"/>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10.</w:t>
            </w:r>
          </w:p>
        </w:tc>
        <w:tc>
          <w:tcPr>
            <w:tcW w:w="9200" w:type="dxa"/>
            <w:vAlign w:val="bottom"/>
            <w:gridSpan w:val="24"/>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11.</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Executive Compensation</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12.</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13.</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14.</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Principal Accounting Fees and Services</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vMerge w:val="restart"/>
          </w:tcPr>
          <w:p>
            <w:pPr>
              <w:spacing w:after="0"/>
              <w:rPr>
                <w:sz w:val="20"/>
                <w:szCs w:val="20"/>
                <w:color w:val="auto"/>
              </w:rPr>
            </w:pPr>
            <w:r>
              <w:rPr>
                <w:rFonts w:ascii="Arial" w:cs="Arial" w:eastAsia="Arial" w:hAnsi="Arial"/>
                <w:sz w:val="18"/>
                <w:szCs w:val="18"/>
                <w:b w:val="1"/>
                <w:bCs w:val="1"/>
                <w:color w:val="0000FF"/>
                <w:w w:val="95"/>
              </w:rPr>
              <w:t>PART IV</w:t>
            </w: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700" w:type="dxa"/>
            <w:vAlign w:val="bottom"/>
            <w:tcBorders>
              <w:bottom w:val="single" w:sz="8" w:color="0000FF"/>
            </w:tcBorders>
            <w:gridSpan w:val="4"/>
            <w:vMerge w:val="continue"/>
          </w:tcPr>
          <w:p>
            <w:pPr>
              <w:spacing w:after="0"/>
              <w:rPr>
                <w:sz w:val="24"/>
                <w:szCs w:val="24"/>
                <w:color w:val="auto"/>
              </w:rPr>
            </w:pPr>
          </w:p>
        </w:tc>
        <w:tc>
          <w:tcPr>
            <w:tcW w:w="20" w:type="dxa"/>
            <w:vAlign w:val="bottom"/>
            <w:tcBorders>
              <w:bottom w:val="single" w:sz="8" w:color="0000EE"/>
            </w:tcBorders>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9200" w:type="dxa"/>
            <w:vAlign w:val="bottom"/>
            <w:gridSpan w:val="24"/>
            <w:vMerge w:val="restart"/>
          </w:tcPr>
          <w:p>
            <w:pPr>
              <w:spacing w:after="0"/>
              <w:rPr>
                <w:sz w:val="20"/>
                <w:szCs w:val="20"/>
                <w:color w:val="auto"/>
              </w:rPr>
            </w:pPr>
            <w:r>
              <w:rPr>
                <w:rFonts w:ascii="Arial" w:cs="Arial" w:eastAsia="Arial" w:hAnsi="Arial"/>
                <w:sz w:val="18"/>
                <w:szCs w:val="18"/>
                <w:color w:val="0000FF"/>
              </w:rPr>
              <w:t>Exhibits, Financial Statement Schedules</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15.</w:t>
            </w:r>
          </w:p>
        </w:tc>
        <w:tc>
          <w:tcPr>
            <w:tcW w:w="9200" w:type="dxa"/>
            <w:vAlign w:val="bottom"/>
            <w:gridSpan w:val="24"/>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8"/>
                <w:szCs w:val="18"/>
                <w:color w:val="auto"/>
              </w:rPr>
              <w:t>Item 16.</w:t>
            </w: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40" w:type="dxa"/>
            <w:vAlign w:val="bottom"/>
            <w:gridSpan w:val="6"/>
            <w:vMerge w:val="continue"/>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Form 10-K Summary</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EE"/>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0" w:type="dxa"/>
            <w:vAlign w:val="bottom"/>
            <w:gridSpan w:val="24"/>
          </w:tcPr>
          <w:p>
            <w:pPr>
              <w:spacing w:after="0" w:line="195" w:lineRule="exact"/>
              <w:rPr>
                <w:sz w:val="20"/>
                <w:szCs w:val="20"/>
                <w:color w:val="auto"/>
              </w:rPr>
            </w:pPr>
            <w:r>
              <w:rPr>
                <w:rFonts w:ascii="Arial" w:cs="Arial" w:eastAsia="Arial" w:hAnsi="Arial"/>
                <w:sz w:val="18"/>
                <w:szCs w:val="18"/>
                <w:color w:val="0000FF"/>
              </w:rPr>
              <w:t>Signatures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9"/>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Form 10-K, or Annual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statements about:</w:t>
      </w:r>
    </w:p>
    <w:p>
      <w:pPr>
        <w:spacing w:after="0" w:line="7" w:lineRule="exact"/>
        <w:rPr>
          <w:sz w:val="20"/>
          <w:szCs w:val="20"/>
          <w:color w:val="auto"/>
        </w:rPr>
      </w:pPr>
    </w:p>
    <w:p>
      <w:pPr>
        <w:jc w:val="both"/>
        <w:ind w:left="1020" w:hanging="368"/>
        <w:spacing w:after="0" w:line="244"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2"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ind w:left="1020" w:hanging="368"/>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368"/>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ind w:left="1020" w:hanging="368"/>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macroeconomic conditions, including rising interest rates and inflation, on our business operations;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78" w:lineRule="exact"/>
        <w:rPr>
          <w:sz w:val="20"/>
          <w:szCs w:val="20"/>
          <w:color w:val="auto"/>
        </w:rPr>
      </w:pPr>
    </w:p>
    <w:p>
      <w:pPr>
        <w:spacing w:after="0" w:line="249" w:lineRule="auto"/>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 These risks are described more fully in Part II, “Item 1A—Risk Factors,” in this Annual Report on Form 10-K and include, but are not limited to, the following:</w:t>
      </w:r>
    </w:p>
    <w:p>
      <w:pPr>
        <w:spacing w:after="0" w:line="1" w:lineRule="exact"/>
        <w:rPr>
          <w:sz w:val="20"/>
          <w:szCs w:val="20"/>
          <w:color w:val="auto"/>
        </w:rPr>
      </w:pP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ind w:left="1020" w:hanging="368"/>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and regulatory approval and commercialization of our product candidates.</w:t>
      </w: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AU-011, or bel-sar, our only product candidate to date.</w:t>
      </w:r>
    </w:p>
    <w:p>
      <w:pPr>
        <w:spacing w:after="0" w:line="34" w:lineRule="exact"/>
        <w:rPr>
          <w:rFonts w:ascii="Times New Roman" w:cs="Times New Roman" w:eastAsia="Times New Roman" w:hAnsi="Times New Roman"/>
          <w:sz w:val="18"/>
          <w:szCs w:val="18"/>
          <w:color w:val="auto"/>
        </w:rPr>
      </w:pPr>
    </w:p>
    <w:p>
      <w:pPr>
        <w:jc w:val="both"/>
        <w:ind w:left="1020" w:hanging="368"/>
        <w:spacing w:after="0" w:line="249"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2" w:lineRule="exact"/>
        <w:rPr>
          <w:rFonts w:ascii="Times New Roman" w:cs="Times New Roman" w:eastAsia="Times New Roman" w:hAnsi="Times New Roman"/>
          <w:sz w:val="18"/>
          <w:szCs w:val="18"/>
          <w:color w:val="auto"/>
        </w:rPr>
      </w:pPr>
    </w:p>
    <w:p>
      <w:pPr>
        <w:ind w:left="1020" w:right="20" w:hanging="368"/>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initiated but not yet completed a pivotal clinical trial nor have we commercialized any pharmaceutical products, which may make it difficult to evaluate our future prospects.</w:t>
      </w: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jc w:val="both"/>
        <w:ind w:left="1020" w:hanging="368"/>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U.S Food and Drug Administration’s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jc w:val="both"/>
        <w:ind w:left="1020" w:hanging="368"/>
        <w:spacing w:after="0" w:line="249"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2"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3" w:lineRule="exact"/>
        <w:rPr>
          <w:rFonts w:ascii="Times New Roman" w:cs="Times New Roman" w:eastAsia="Times New Roman" w:hAnsi="Times New Roman"/>
          <w:sz w:val="18"/>
          <w:szCs w:val="18"/>
          <w:color w:val="auto"/>
        </w:rPr>
      </w:pPr>
    </w:p>
    <w:p>
      <w:pPr>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jc w:val="both"/>
        <w:ind w:left="1020" w:hanging="368"/>
        <w:spacing w:after="0" w:line="249"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2"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ind w:left="1020" w:hanging="368"/>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ind w:left="1020" w:hanging="368"/>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4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a clinical-stage biotechnology company developing precision immunotherapies to treat a range of solid tumors designed to preserve the function of organs afflicted with cancer. Our lead candidate bel-sar is in late-stage clinical development for the treatment of patients with primary choroidal melanoma, and other ocular oncology indications as well as in early-stage clinical development in bladder cancer. 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blindness.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early-stage choroidal melanoma. Moreover, we intend to assess the safety and efficacy of bel-sar in treating a range of other solid tumors, including bladder cancer as an alternative to Bacillus Calmette–Guérin, or BCG, therapy. We believe bel-sar, if approved, has the potential to change the current treatment paradigm for patients with ocular cancers and other solid tumors.</w:t>
      </w:r>
    </w:p>
    <w:p>
      <w:pPr>
        <w:spacing w:after="0" w:line="3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Bel-sar has shown clinical benefit and has been generally well-tolerated in clinical trials to date. Interim 12-month results from a Phase 2 trial that evaluated 22 patients in an open label dose escalation study of bel-sar delivered via suprachoroidal, or SC, injection followed by laser light activation was presented at the 2023 American Academy of Ophthalmology. The results demonstrated that patients who received three cycles of bel-sar therapy showed a local complete response with a tumor control rate of 80% (8/10) and a visual acuity preservation rate of 90% (9/10). The majority of patients were at high-risk for vision loss with tumors close to the fovea or optic disk. For 80% of patients that showed a local complete response, data showed a statistically significant reduction in tumor growth rate (-0.382 mm/yr, p = &lt;0.0001) compared to each patient’s documented growth rate at study entry. The overall tolerability profile of bel-sar was favorable, with no dose-limiting toxicities, treatment-related serious adverse events or significant adverse events reported as of August 3, 2023. The interim Phase 2 results demonstrated an improved risk-benefit profile over intravitreal therapy or, IVT, administration and confirmed the SC delivery route of administration for the Phase 3 program. Final Phase 2 data from this study is expected to be presented by the end of 2024.</w:t>
      </w:r>
    </w:p>
    <w:p>
      <w:pPr>
        <w:spacing w:after="0" w:line="3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are developing a pipeline of virus-like drug conjugates or, VDCs, a novel class of drugs with a dual mechanism of action, that promote cancer cell death by both the delivery of the cytotoxic payload to generate acute necrosis and activation of a secondary immune mediated response. Bel-sar, our lead VDC candidate, consists of an HPV, or human papilloma virus-derived virus-like particle or, VLP, conjugated to hundreds of infrared laser-activated molecules. The VDC is designed in a way that prevents the conjugation from interfering with tumor binding enabling its selectivity to tumor cells but not to normal cells.</w:t>
      </w:r>
    </w:p>
    <w:p>
      <w:pPr>
        <w:spacing w:after="0" w:line="4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Laser activation of bel-sar is designed to result in precise tumor cell killing with minimal damage to surrounding healthy tissues. In the absence of bel-sar activation or binding to the tumor cell membrane, there is no cytotoxic effect. Multiple laser treatments,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 VDCs is driven by the selective binding of the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spacing w:after="0" w:line="3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goal is to develop precision oncology immunotherapeutics in solid cancer indications where we can preserve the function of the organ afflicted by the cancer. We are developing bel-sar in a number of indications in ocular oncology, with the goal of preserving vision and preventing blindness in patients. Our lead indication is a potential multi-billion dollar market opportunity. We are also evaluating bel-sar in urologic oncology indications, initially in bladder cancer, which is one of the most expensive cancers to treat on a per patient basis. The global market for bladder cancer is expected to be greater than $8.0 billion by 2032.</w:t>
      </w:r>
    </w:p>
    <w:p>
      <w:pPr>
        <w:spacing w:after="0" w:line="31"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initial focus is in ocular and urologic oncology, both areas of high unmet medical need where local targeted therapies may enable early intervention, as shown in our pipeline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884555</wp:posOffset>
            </wp:positionH>
            <wp:positionV relativeFrom="page">
              <wp:posOffset>705485</wp:posOffset>
            </wp:positionV>
            <wp:extent cx="5753735" cy="2149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753735" cy="214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envision the potential for development of additional therapeutic areas in addition to ocular and urologic cancers.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Team</w:t>
      </w:r>
    </w:p>
    <w:p>
      <w:pPr>
        <w:spacing w:after="0" w:line="6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management team includes industry executives with extensive biopharmaceutical experience in developing and commercializing drugs in oncology and ophthalmology. Elisabet de los Pinos, Ph.D., our Chief Executive Officer and Founder, led the marketing strategy and European commercialization of Alimta® for the treatment of lung cancer at Eli Lilly and Company. Our Chief Medical Officer and President of Research &amp; Development, J. Jill Hopkins, M.D., is an ophthalmologist and retinal specialist with more than 30 years of experience in ophthalmology, including serving as Senior Vice President, Global Head of Ophthalmology and Exploratory Development at Novartis AG, or Novartis, and Chief Executive Officer of Gyroscope Therapeutics, a Novartis company, where she was responsible for the global ophthalmic pipeline. Julie Feder, our Chief Financial Officer, previously served as Chief Financial Officer at Verastem Oncology, or Verastem, the Clinton Health Access Initiative, and was instrumental in the integration of Genzyme Corporation and Sanofi. Mark Plavsic, Ph.D. is our Chief Technology Officer, and brings 30 years of global biopharmaceutical experience including end-to-end technical operations in the United States, Europe, and Australasia and successful translation and scale-up of complex biologics from preclinical development through commercial launch and distribution. He previously served as Chief Technology Officer at Fate Therapeutics, Inc. and at Lysogene. We believe the breadth and depth of experience amongst our management team will enable us to advance the clinical and development strategy for bel-sar and, if approved, its commercialization. Our Chairman of the Board of Directors, David Johnson, is a biopharmaceutical industry veteran with more than 25 years of experience in drug development. Mr. Johnson is currently Chief Executive Officer and founder of Solve Therapeutics, Inc., a biotechnology company developing next-generation mAb-based oncology therapeutics. Prior to founding Solve Therapeutics, he was Chief Executive Officer of VelosBio Inc., an oncology company acquired by Merck &amp; Co. for $2.75 billion in 2020. He was also Chief Executive Officer at Acerta Pharma, which was acquired by AstraZeneca for $7 billion. Mr. Johnson has extensive experience leading the development of first-in-class cancer therapies, and has made significant contributions to drugs which ultimately garnered regulatory approvals, including bortezomib (Velcade®), romidepsin (Istodax®), idelalisib (Zydelig®), and acalabrutinib (Calquence®).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At Aura Biosciences, our goal is to develop first-in-class precision oncology immunotherapeutics to treat cancer, with an initial focus on ocular cancers to prevent blindness. Key elements of our strategy to accomplish this objective include: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left="1020" w:hanging="368"/>
        <w:spacing w:after="0" w:line="239"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Complete the ongoing global Phase 3 CoMpass trial of bel-sar as a first-line treatment of small choroidal melanoma and/or indeterminate lesions and pursue FDA approval. </w:t>
      </w:r>
      <w:r>
        <w:rPr>
          <w:rFonts w:ascii="Arial" w:cs="Arial" w:eastAsia="Arial" w:hAnsi="Arial"/>
          <w:sz w:val="18"/>
          <w:szCs w:val="18"/>
          <w:color w:val="auto"/>
        </w:rPr>
        <w:t>If approved, this would represent the first therapy for primary</w:t>
      </w:r>
      <w:r>
        <w:rPr>
          <w:rFonts w:ascii="Arial" w:cs="Arial" w:eastAsia="Arial" w:hAnsi="Arial"/>
          <w:sz w:val="18"/>
          <w:szCs w:val="18"/>
          <w:b w:val="1"/>
          <w:bCs w:val="1"/>
          <w:color w:val="auto"/>
        </w:rPr>
        <w:t xml:space="preserve"> </w:t>
      </w:r>
      <w:r>
        <w:rPr>
          <w:rFonts w:ascii="Arial" w:cs="Arial" w:eastAsia="Arial" w:hAnsi="Arial"/>
          <w:sz w:val="18"/>
          <w:szCs w:val="18"/>
          <w:color w:val="auto"/>
        </w:rPr>
        <w:t>choroidal melanomas as a potential first-line treatment option for small tumors and indeterminate lesions, reserving radiotherapy for a second-line treatment option. If approved, we see the potential to independently commercialize bel-sar in choroidal melanoma, which has an incidence of 11,000 patients diagnosed per year in the United States and Europe. There are approximately 50 ocular oncologists in the United States and approximately 50 ocular oncologists in Europe, representing a focused call point and providing an opportunity for our company to capture the value of the market with a manageable sales team globally.</w:t>
      </w:r>
    </w:p>
    <w:p>
      <w:pPr>
        <w:spacing w:after="0" w:line="4" w:lineRule="exact"/>
        <w:rPr>
          <w:rFonts w:ascii="Times New Roman" w:cs="Times New Roman" w:eastAsia="Times New Roman" w:hAnsi="Times New Roman"/>
          <w:sz w:val="18"/>
          <w:szCs w:val="18"/>
          <w:color w:val="auto"/>
        </w:rPr>
      </w:pPr>
    </w:p>
    <w:p>
      <w:pPr>
        <w:jc w:val="both"/>
        <w:ind w:left="1020" w:hanging="368"/>
        <w:spacing w:after="0" w:line="238"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Expand the development of bel-sar in additional ocular oncology indications, starting with choroidal metastasis and cancers of the ocular surface</w:t>
      </w:r>
      <w:r>
        <w:rPr>
          <w:rFonts w:ascii="Arial" w:cs="Arial" w:eastAsia="Arial" w:hAnsi="Arial"/>
          <w:sz w:val="18"/>
          <w:szCs w:val="18"/>
          <w:color w:val="auto"/>
        </w:rPr>
        <w:t>. We believe bel-sar's dual mechanism of action has potential to treat tumors while preserving</w:t>
      </w:r>
      <w:r>
        <w:rPr>
          <w:rFonts w:ascii="Arial" w:cs="Arial" w:eastAsia="Arial" w:hAnsi="Arial"/>
          <w:sz w:val="18"/>
          <w:szCs w:val="18"/>
          <w:b w:val="1"/>
          <w:bCs w:val="1"/>
          <w:color w:val="auto"/>
        </w:rPr>
        <w:t xml:space="preserve"> </w:t>
      </w:r>
      <w:r>
        <w:rPr>
          <w:rFonts w:ascii="Arial" w:cs="Arial" w:eastAsia="Arial" w:hAnsi="Arial"/>
          <w:sz w:val="18"/>
          <w:szCs w:val="18"/>
          <w:color w:val="auto"/>
        </w:rPr>
        <w:t>key ocular structures, in other ocular cancers that affect a large number of patients. We plan to initiate a Phase 2 clinical trial in choroidal metastases in 2024, which has an annual incidence rate of 20,000 patients in the Unites States and Europe. In addition, we plan to develop bel-sar for tumors of the ocular surface, including both melanomas and squamous cell carcinomas, that has an incidence rate of 35,000 patients a year in the United States and Europe, based on strong interest from the ocular oncology community to develop better treatment options for patients.</w:t>
      </w:r>
    </w:p>
    <w:p>
      <w:pPr>
        <w:spacing w:after="0" w:line="9" w:lineRule="exact"/>
        <w:rPr>
          <w:rFonts w:ascii="Times New Roman" w:cs="Times New Roman" w:eastAsia="Times New Roman" w:hAnsi="Times New Roman"/>
          <w:sz w:val="18"/>
          <w:szCs w:val="18"/>
          <w:color w:val="auto"/>
        </w:rPr>
      </w:pPr>
    </w:p>
    <w:p>
      <w:pPr>
        <w:jc w:val="both"/>
        <w:ind w:left="1020" w:hanging="368"/>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Evaluate bel-sar in bladder cancer. </w:t>
      </w:r>
      <w:r>
        <w:rPr>
          <w:rFonts w:ascii="Arial" w:cs="Arial" w:eastAsia="Arial" w:hAnsi="Arial"/>
          <w:sz w:val="18"/>
          <w:szCs w:val="18"/>
          <w:color w:val="auto"/>
        </w:rPr>
        <w:t>We are currently enrolling patients in an ongoing Phase 1 study evaluating the safety and</w:t>
      </w:r>
      <w:r>
        <w:rPr>
          <w:rFonts w:ascii="Arial" w:cs="Arial" w:eastAsia="Arial" w:hAnsi="Arial"/>
          <w:sz w:val="18"/>
          <w:szCs w:val="18"/>
          <w:b w:val="1"/>
          <w:bCs w:val="1"/>
          <w:color w:val="auto"/>
        </w:rPr>
        <w:t xml:space="preserve"> </w:t>
      </w:r>
      <w:r>
        <w:rPr>
          <w:rFonts w:ascii="Arial" w:cs="Arial" w:eastAsia="Arial" w:hAnsi="Arial"/>
          <w:sz w:val="18"/>
          <w:szCs w:val="18"/>
          <w:color w:val="auto"/>
        </w:rPr>
        <w:t>antitumor activity of bel-sar in both Non-Muscle Invasive Bladder Cancer or NMIBC, as well as in Muscle Invasive Bladder Cancer or MIBC, which represent areas of high unmet medical need. We expect to present early study data in mid-2024. Bel-sar has received FDA Fast Track Designation in NMIBC.</w:t>
      </w:r>
    </w:p>
    <w:p>
      <w:pPr>
        <w:jc w:val="both"/>
        <w:ind w:left="1020" w:hanging="368"/>
        <w:spacing w:after="0" w:line="244"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Continue to evaluate bel-sar, to potentially further enhance its clinical utility across additional solid cancers based on its mechanism of action. </w:t>
      </w:r>
      <w:r>
        <w:rPr>
          <w:rFonts w:ascii="Arial" w:cs="Arial" w:eastAsia="Arial" w:hAnsi="Arial"/>
          <w:sz w:val="18"/>
          <w:szCs w:val="18"/>
          <w:color w:val="auto"/>
        </w:rPr>
        <w:t>Due to our preclinical data and robust publications in collaboration with our scientific founder at the</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Institutes of Health, or NIH, demonstrating the binding of our proprietary VLPs to tumor associated GAGs across a wide range of solid tumors, we plan to expand our clinical pipeline across multiple solid cancer indications.</w:t>
      </w:r>
    </w:p>
    <w:p>
      <w:pPr>
        <w:spacing w:after="0" w:line="2"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Build our operational capabilities to successfully commercialize bel-sar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-750570</wp:posOffset>
            </wp:positionV>
            <wp:extent cx="317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 in Ocular Oncology</w:t>
      </w:r>
    </w:p>
    <w:p>
      <w:pPr>
        <w:spacing w:after="0" w:line="76"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Bel-sar, our lead VDC candidate, is in clinical development in multiple indications in ocular oncology: primary choroidal melanoma, choroidal metastases, and cancers of the ocular surface. We believe bel-sar is differentiated by several strengths that support our goal of developing bel-sar as a potential vision-sparing therapy in ocular oncology, including:</w:t>
      </w:r>
    </w:p>
    <w:p>
      <w:pPr>
        <w:spacing w:after="0" w:line="2" w:lineRule="exact"/>
        <w:rPr>
          <w:sz w:val="20"/>
          <w:szCs w:val="20"/>
          <w:color w:val="auto"/>
        </w:rPr>
      </w:pPr>
    </w:p>
    <w:p>
      <w:pPr>
        <w:ind w:left="1020" w:hanging="368"/>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clinical utility in choroidal melanoma, with interim results of patients at twelve months of follow-up who received three cycles of therapy in Cohorts 5 and 6, and who match the criteria for the global Phase 3 trial.</w:t>
      </w:r>
    </w:p>
    <w:p>
      <w:pPr>
        <w:ind w:left="102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Tumor control rate of 80% (8/10) and visual acuity preservation rate of 90% (9/10), with the majority of patients being at high-risk for vision loss with tumors close to the fovea or optic disk.</w:t>
      </w:r>
    </w:p>
    <w:p>
      <w:pPr>
        <w:ind w:left="1020" w:hanging="368"/>
        <w:spacing w:after="0" w:line="279"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Favorable tolerability profile, with no dose-limiting toxicities, treatment-related serious adverse events or significant adverse events reported as of August 3, 2023</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-670560</wp:posOffset>
            </wp:positionV>
            <wp:extent cx="317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Choroidal Melanoma</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Primary choroidal melanoma is our most advanced clinical program, with an ongoing global Phase 3 trial. We have received Orphan Drug Designation, or ODD, for the treatment of choroidal (also referred to as uveal) melanoma from the U.S Food and Drug Administration, or the FDA, and the European Medicines Agency, or EMA, and Fast Track Designation from the FDA for the treatment of choroidal melanoma. SC administration of bel-sar in a Phase 2 trial, provided data which supported this SC route of administration in the Phase 3 trial.</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have received written agreement from the FDA under a Special Protocol Assessment, or SPA, for the design and planned analysis of the global Phase 3 trial indicating concurrence by the FDA with the adequacy of the study, if successful, to address the objectives necessary to support our planned biologics license application, or BLA, submission. Disease state overview and the clinical development plan with key findings and updates from each stage of development are found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i w:val="1"/>
          <w:iCs w:val="1"/>
          <w:u w:val="single" w:color="auto"/>
          <w:color w:val="auto"/>
        </w:rPr>
        <w:t>Choroidal Melanoma Overview</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Choroidal melanoma is the most common primary malignant intraocular tumor and the second most common type of primary malignant melanoma in the body. More than 11,000 patients are diagnosed annually in the United States and Europe. This comprises approximately 90% of all cases of uveal melanoma, consisting of melanomas in the choroid, ciliary body and iris, which are collectively referred to as the uvea. Most choroidal melanomas result from transformation of a benign choroidal nevus. In early-stage lesions, most of the tumor is composed of benign nevus cells with a small cluster of malignant melanoma cells. Benign choroidal nevi are found in approximately 5% of adults in the United States 40 years or older. Most cases are found in adults with a median age of 55, light eye color and fair skin. It is often discovered in patients who are asymptomatic, although some patients report decreased vision or non-specific visual symptoms such as flashes, floaters, blurry or distorted vision or visual field defects and are referred to the ocular oncologist.</w:t>
      </w:r>
    </w:p>
    <w:p>
      <w:pPr>
        <w:spacing w:after="0" w:line="5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Most patients with choroidal melanoma are diagnosed with early stage disease localized to the eye with no evidence of metastatic disease. It is estimated that 96% of patients are diagnosed without clinical evidence of metastatic disease. These patients are not treated immediately as there are no effective targeted therapies that can preserve vision. Early stage patients are defined as patients with small choroidal melanoma and/or indeterminate lesions representing approximately 8,000 patients in the United States and Europe. The only current treatment option for patients with primary choroidal melanoma is radiotherapy which leaves patients with vision loss and other comorbidities. Approximately 2,300 patients are diagnosed with medium to large tumors and are treated with radiotherapy or enucleation, or full surgical removal of the eye, which results in total vision loss and is irreversible.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161925</wp:posOffset>
            </wp:positionV>
            <wp:extent cx="5385435" cy="1438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85435" cy="143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Distribution of Stages of Choroidal Melanoma Cases</w:t>
      </w:r>
    </w:p>
    <w:p>
      <w:pPr>
        <w:spacing w:after="0" w:line="21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are developing bel -sar as a potential first line vision-sparing treatment option for early intervention in small choroidal melanoma and/or indeterminate lesions, avoiding the need for radiotherapy and reducing the risk for metastasis for these patients. Earlier diagnosis and treatment intervention of lesions in the eye has the potential to dramatically improve outcomes for patients, and reduce the risk of blindness caused by radiotherapy.</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Current Treatment Options for Primary Choroidal Melanoma</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There are no FDA-approved therapies for primary choroidal melanoma. There are three common treatments routinely used as SoC for local control of choroidal melanoma: plaque brachytherapy; proton beam irradiation; and enucleation, or removal of the affected eye, each of which represent invasive surgical procedures and are associated with significant vision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1149985</wp:posOffset>
            </wp:positionH>
            <wp:positionV relativeFrom="page">
              <wp:posOffset>833755</wp:posOffset>
            </wp:positionV>
            <wp:extent cx="5222875" cy="1832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222875" cy="1832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2. Three Treatment Options for Primary Choroidal Melanoma</w:t>
      </w:r>
    </w:p>
    <w:p>
      <w:pPr>
        <w:spacing w:after="0" w:line="21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are limited treatment options to treat primary choroidal melanoma, which pose a challenge to clinicians and patients. The current treatments are invasive procedures and are associated with irreversible loss of visual acuity and other side effects. Lesions that are detected early are often monitored without treatment, since the current SoC is invasive and causes vision loss, and is therefore typically reserved for medium to large or growing lesions. As choroidal melanoma tends to metastasize early, even with radical treatments such as enucleation, metastatic disease still occurs, which results in a high degree of mortality. There is an urgent unmet medical need for an effective, vision-sparing therapy and the availability of such a therapy may encourage treatment of small choroidal melanomas and indeterminate lesions at the time of early detection. This could subsequently increase the awareness of the importance of early diagnosis and intervention for this life-threatening disease, and increase the number of patients treated annually.</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Bel-sar in Primary Choroidal Melanoma</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Bel-sar is a VDC consisting of an HPV-derived VLP and a phthalocyanine dye, a laser activated cytotoxic payload. Our VLP was created using the capsid proteins of HPV that have been genetically modified to avoid cross-reactivity with pre-existing immunity against the virus and bind with high affinity to modified tumor associated GAGs that are part of the heparan sulphate chain of HSPGs expressed on the surface of tumors cells, including ocular melanoma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115570</wp:posOffset>
            </wp:positionV>
            <wp:extent cx="4794885" cy="19691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9488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line="257" w:lineRule="auto"/>
        <w:rPr>
          <w:sz w:val="20"/>
          <w:szCs w:val="20"/>
          <w:color w:val="auto"/>
        </w:rPr>
      </w:pPr>
      <w:r>
        <w:rPr>
          <w:rFonts w:ascii="Arial" w:cs="Arial" w:eastAsia="Arial" w:hAnsi="Arial"/>
          <w:sz w:val="18"/>
          <w:szCs w:val="18"/>
          <w:b w:val="1"/>
          <w:bCs w:val="1"/>
          <w:color w:val="auto"/>
        </w:rPr>
        <w:t>Figure 3. Bel-sar, Administered by Intraocular Injection, Binds to Tumor Cells. Activation Using an Ophthalmic Laser Leads to Rupture of the Tumor Cell Membrane, Acute Necrosis and a Secondary Immune Activation Leading to Long Term Antitumor Immunity.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ind w:left="1020"/>
        <w:spacing w:after="0"/>
        <w:rPr>
          <w:sz w:val="20"/>
          <w:szCs w:val="20"/>
          <w:color w:val="auto"/>
        </w:rPr>
      </w:pPr>
      <w:r>
        <w:rPr>
          <w:rFonts w:ascii="Arial" w:cs="Arial" w:eastAsia="Arial" w:hAnsi="Arial"/>
          <w:sz w:val="18"/>
          <w:szCs w:val="18"/>
          <w:i w:val="1"/>
          <w:iCs w:val="1"/>
          <w:u w:val="single" w:color="auto"/>
          <w:color w:val="auto"/>
        </w:rPr>
        <w:t>Goal of Treatment with Bel-sar</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ocular oncology, early detection, and timely local intervention has the goal of achieving a local complete response, or CR, which in ocular oncology is described as tumor control. This involves completely halting tumor growth while safeguarding critical ocular structures, such as the retina, essential for maintaining visual function. Early treatment is believed to reduce the risk of metastasis. After treatment, if tumors do not have an increase in thickness by ultrasound or an increase in diameter as evaluated with digital photography, it is believed that the malignant cells have been killed, and a local complete response has been achieved and the treatment is considered equivalent to a local cure. Ocular oncologists measure the antitumor activity after plaque brachytherapy by evaluating tumor control as well as systemic disease to detect the presence of metastasis.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1066800</wp:posOffset>
            </wp:positionH>
            <wp:positionV relativeFrom="paragraph">
              <wp:posOffset>119380</wp:posOffset>
            </wp:positionV>
            <wp:extent cx="4983480" cy="1960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83480" cy="196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0"/>
        <w:spacing w:after="0" w:line="280" w:lineRule="auto"/>
        <w:rPr>
          <w:sz w:val="20"/>
          <w:szCs w:val="20"/>
          <w:color w:val="auto"/>
        </w:rPr>
      </w:pPr>
      <w:r>
        <w:rPr>
          <w:rFonts w:ascii="Arial" w:cs="Arial" w:eastAsia="Arial" w:hAnsi="Arial"/>
          <w:sz w:val="18"/>
          <w:szCs w:val="18"/>
          <w:b w:val="1"/>
          <w:bCs w:val="1"/>
          <w:color w:val="auto"/>
        </w:rPr>
        <w:t>Figure 4. Goal of Treatment with Bel-sar is a Local Complete Response Achieving Tumor Control with Targeted Killing of Melanoma Cells and Preservation of Key Ocular Structures.</w:t>
      </w:r>
    </w:p>
    <w:p>
      <w:pPr>
        <w:spacing w:after="0" w:line="13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believe that patients with small choroidal melanoma or indeterminate lesions would gain the most advantage from bel-sar treatment. These tumors are not only the most likely to respond to our therapy but, based on historic data, these patients also have the lowest risk of having developed life-threatening metastatic disease, and as such, bel-sar has the potential to confer the greatest long-term benefit.</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Clinical Development Plan in Primary Choroidal Melanoma:</w:t>
      </w:r>
    </w:p>
    <w:p>
      <w:pPr>
        <w:spacing w:after="0" w:line="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b w:val="1"/>
          <w:bCs w:val="1"/>
          <w:color w:val="auto"/>
        </w:rPr>
        <w:t xml:space="preserve">Phase 1b/2 Intravitreal Study: </w:t>
      </w:r>
      <w:r>
        <w:rPr>
          <w:rFonts w:ascii="Arial" w:cs="Arial" w:eastAsia="Arial" w:hAnsi="Arial"/>
          <w:sz w:val="18"/>
          <w:szCs w:val="18"/>
          <w:color w:val="auto"/>
        </w:rPr>
        <w:t>This study evaluated the safety and efficacy of bel-sar delivered via intravitreal, or IVT,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followed by laser light activation in a dose escalation design in 56 patients. The majority of patients treated at the therapeutic regimen with two cycles of therapy at the highest dose achieved a local complete response showing a tumor control rate of 70% at 12 months. Visual acuity preservation was demonstrated in &gt;70% including a high percentage of patients with tumors close to the fovea or optic disk considered at high risk for vision loss when treated with radiotherapy. Treatment with bel-sar was generally well-tolerated at all doses including the highest treatment regimen with two cycles of therapy. Adverse events were generally mild or moderate, transient and manageable with SoC treatments in most patients. Adverse events of vitreous inflammation, anterior chamber inflammation and increased intraocular pressure were manageable with steroid treatment and ocular antihypertensives. There were only two drug-related serious adverse events of vision loss related to pigmentary changes around the edge of the tumor.</w:t>
      </w:r>
    </w:p>
    <w:p>
      <w:pPr>
        <w:spacing w:after="0" w:line="18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b w:val="1"/>
          <w:bCs w:val="1"/>
          <w:color w:val="auto"/>
        </w:rPr>
        <w:t xml:space="preserve">Phase 2 Suprachoroidal Study: </w:t>
      </w:r>
      <w:r>
        <w:rPr>
          <w:rFonts w:ascii="Arial" w:cs="Arial" w:eastAsia="Arial" w:hAnsi="Arial"/>
          <w:sz w:val="18"/>
          <w:szCs w:val="18"/>
          <w:color w:val="auto"/>
        </w:rPr>
        <w:t>We also evaluated and developed the SC route of administration to optimize the delivery of bel-sar</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to the choroid where the tumor is located. The suprachoroidal space, or SCS, is a potential space bound between the external surface of the choroid and the internal surface of the sclera and encompasses the full circumference of the posterior segment of the eye. (ClinicalTrials.gov ID: NCT04417530)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2759710</wp:posOffset>
            </wp:positionH>
            <wp:positionV relativeFrom="page">
              <wp:posOffset>833755</wp:posOffset>
            </wp:positionV>
            <wp:extent cx="1995170" cy="2440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995170" cy="244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SC Administration with SCS Microinjector</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w:t>
      </w:r>
    </w:p>
    <w:p>
      <w:pPr>
        <w:spacing w:after="0" w:line="15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Phase 2 SC trial, evaluated 22 patients in an open label dose escalation study of bel-sar delivered via SC injection followed by laser light activation. Enrollment is complete in this trial, and data with 12 months of follow up in 90% of patients was presented on November 6, 2023, at the American Academy of Ophthalmology. The results, in patients who received three cycles of therapy in Cohorts 5 and 6, and who match the criteria for the global Phase 3 trial, showed a high local complete response with a tumor control rate of 80% (8/10) and a visual acuity preservation rate of 90% (9/10). This visual acuity rate was higher than the visual acuity rate observed in the IVT study and it is important to highlight that the majority of patients were at high-risk for vision loss with tumors close to the fovea or optic disk. For the 80% of patients that showed a local complete response, data showed a statistically significant reduction in tumor growth rate (-0.382 mm/yr, p = &lt;0.0001) compared to each patient’s documented growth rate at study entry. The overall tolerability profile of bel-sar was favorable, with no dose-limiting toxicities, treatment-related serious adverse events or significant adverse events reported as of August 3, 2023. The interim Phase 2 results demonstrated an improved risk-benefit profile over IVT administration, and confirmed the suprachoroidal delivery route of administration for the Phase 3 program. We plan to present final study data by year end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119380</wp:posOffset>
            </wp:positionV>
            <wp:extent cx="5753735" cy="2072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3735" cy="207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6. Adverse Events among the 22 Patients Enrolled in the Phase 2 SC Trial to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1090295</wp:posOffset>
            </wp:positionH>
            <wp:positionV relativeFrom="page">
              <wp:posOffset>833755</wp:posOffset>
            </wp:positionV>
            <wp:extent cx="5342890" cy="21405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42890" cy="214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7. Dose Response and Interim Tumor Control Rates Demonstrate Meaningful Clinical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137160</wp:posOffset>
            </wp:positionV>
            <wp:extent cx="5753735" cy="2371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3735"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8. High Vision Preservation Rates with 8-9 Months of Follow Up.</w:t>
      </w:r>
    </w:p>
    <w:p>
      <w:pPr>
        <w:spacing w:after="0" w:line="21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b w:val="1"/>
          <w:bCs w:val="1"/>
          <w:color w:val="auto"/>
        </w:rPr>
        <w:t xml:space="preserve">Phase 3 Randomized Controlled Trial: </w:t>
      </w:r>
      <w:r>
        <w:rPr>
          <w:rFonts w:ascii="Arial" w:cs="Arial" w:eastAsia="Arial" w:hAnsi="Arial"/>
          <w:sz w:val="18"/>
          <w:szCs w:val="18"/>
          <w:color w:val="auto"/>
        </w:rPr>
        <w:t>The Phase 3 trial is designed as a superiority trial comparing bel-sar versus sham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via SC injection followed by laser light activation. The trial is a global, randomized, multi-center, masked study. It is intended to enroll approximately 100 patients randomized 2:1:2 to receive the high dose regimen of bel-sar, low dose regimen of bel-sar, or a sham control. The primary endpoint is time to tumor progression, and the first key secondary endpoint is a composite time to event analysis. Endpoints will only compare the bel-sar high dose regimen to sham when the last patient completes 15 months of follow up. The trial is powered at greater than 90%. (ClinicalTrials.gov ID: NCT06007690)</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design of the trial and the endpoints utilized have been agreed upon through an SPA with the FDA.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884555</wp:posOffset>
            </wp:positionH>
            <wp:positionV relativeFrom="page">
              <wp:posOffset>833755</wp:posOffset>
            </wp:positionV>
            <wp:extent cx="5753735" cy="2183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753735" cy="218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9. Global Phase 3 Trial Design</w:t>
      </w:r>
    </w:p>
    <w:p>
      <w:pPr>
        <w:spacing w:after="0" w:line="21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trial is patient, assessor (VA examiners and Independent Reading Center, or IRC, readers) and sponsor-masked. Masked readers at the IRC will assess the imaging data-based efficacy assessments including tumor thickness and largest basal diameter, or LBD, during the trial. Best corrected visual acuity will be assessed using the ETDRS protocol by masked, certified, VA examiners. All measures will be taken to mask the patients during their trial participation period including the use of sham SC injections and sham laser on assigned treatment days.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Any patient in the trial who meets the tumor progression definition will be treated with SoC therapies as rescue treatment per Investigator judgment. SoC therapies will include, but are not limited to, brachytherapy and proton beam therapy. This will ensure that no patient has a delayed treatment if the tumor is progressing, and importantly, that all of the sham patients receive their SoC treatment in a timely manner and no later than in regular clinical practice.</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trial has a power of &gt;90% to meet the primary endpoint. Since there is no drug approved for the treatment of choroidal melanoma, we have aligned with FDA that a statistically significant difference on the primary endpoint will provide support from a regulatory perspective to meet the requirement of clinical effectiveness. Based on the SPA, the FDA has agreed that the design and planned analysis of the study can adequately address objectives in support of a regulatory submission.</w:t>
      </w:r>
    </w:p>
    <w:p>
      <w:pPr>
        <w:spacing w:after="0" w:line="1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warranted by the data, we plan to submit the results of the Phase 3 trial to support approval of bel-sar for the treatment of primary small choroidal melanoma and indeterminate lesions. Based on the results of the Phase 3 trial, if positive, and a lack of therapies approved for the treatment of this rare disease, with the current SoC with radiotherapy causing patients irreversible vision loss, the FDA and EMA may agree to grant approval based on a single Phase 3 trial. However, the FDA and/or EMA may require two Phase 3 trials for approval, which will be addressed subsequent to reviewing the data from the Phase 3 trial with the regulators.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have been in communication with the World Health Organization, or WHO, and due to an administrative error in the original INN application (INN: belzupacap sarotalocan) we are in the process of resubmitting an updated application. We will continue to use bel-sar and AU-011 pending confirmation of a new INN. For avoidance of doubt, this has no impact to our study timelines, potential approval timelines or drug material.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Registry Study</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Based on discussions with the FDA and EMA, we will monitor all patients, in a Phase 4 Registry safety study, for a total of five years after start of dosing to primarily evaluate long term safety but additionally to identify the metastatic and mortality risks.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January 11, 2024, all 57 patients enrolled in the Phase 1b/2 trial (AU-011-101) with intravitreal administration had completed the trial and 45/57 have entered the Registry study. In addition, 16/22 patients from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ind w:right="20"/>
        <w:spacing w:after="0" w:line="271" w:lineRule="auto"/>
        <w:rPr>
          <w:sz w:val="20"/>
          <w:szCs w:val="20"/>
          <w:color w:val="auto"/>
        </w:rPr>
      </w:pPr>
      <w:r>
        <w:rPr>
          <w:rFonts w:ascii="Arial" w:cs="Arial" w:eastAsia="Arial" w:hAnsi="Arial"/>
          <w:sz w:val="18"/>
          <w:szCs w:val="18"/>
          <w:color w:val="auto"/>
        </w:rPr>
        <w:t>the ongoing Phase 2 trial (AU-011-202) with SC administration had also entered the Registry study. The data collected in the Registry is intended to assess the long-term (5 total years) safety, rate of metastatic disease, and mortality from bel-sar treatment.</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Matched Case Control Study</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ability to demonstrate tumor control with long-term visual acuity preservation supports the potential of bel-sar to become the SoC for the first-line treatment of patients with small choroidal melanoma/indeterminate lesions compared to an invasive radiotherapy procedure that leaves most patients with irreversible vision loss and other long-term comorbidities. To demonstrate the long-term value of visual acuity preservation for patients treated with bel-sar, we have conducted a retrospective matched case control study to provide an estimate of the vision benefit of bel-sar, with IVT administration versus brachytherapy. This study is discussed below.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Retrospective Matched Case Control Study with Intravitreal Administration</w:t>
      </w:r>
    </w:p>
    <w:p>
      <w:pPr>
        <w:spacing w:after="0" w:line="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To assess the vision preservation benefit of bel-sar compared to brachytherapy we conducted a retrospective MCC analysis comparing the group of patients in our Phase 1b/2 trial who had tumors at high risk for vision loss due to its location close to the fovea or optic disk and were treated with bel-sar (n=43) to patients with tumors of similar size and location previously treated with brachytherapy at the Wills Eye Hospital Ocular Oncology Service led by Dr. Carol Shields. This study matched patients up to 5:1 using the key baseline characteristics that impact long-term visual acuity – tumor location, tumor size and baseline visual acuity – and we are comparing the visual acuity after treatment with each therapy in terms of a change from baseline in vision and absolute vision every year for 5 years. As shown in Figure 10, the initial trial results showed a statistically significant vision preservation benefit for bel-sar compared to brachytherapy at year 2. Importantly, the data showed that vision after treatment with bel-sar remained stable through the first and second year demonstrating the long-term visual acuity benefit of the treatment with bel-sar. In the current analysis the vision results from year 2 with bel-sar were extrapolated to compare against the vision data with brachytherapy through year 5 (Figure 10). By year 5 there was over an 8-line benefit (&gt;0.8 logMAR difference) of vision preservation comparing bel-sar (orange bar) to brachytherapy (blue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119380</wp:posOffset>
            </wp:positionV>
            <wp:extent cx="3288030" cy="2371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88030" cy="237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60"/>
        <w:spacing w:after="0" w:line="280" w:lineRule="auto"/>
        <w:rPr>
          <w:sz w:val="20"/>
          <w:szCs w:val="20"/>
          <w:color w:val="auto"/>
        </w:rPr>
      </w:pPr>
      <w:r>
        <w:rPr>
          <w:rFonts w:ascii="Arial" w:cs="Arial" w:eastAsia="Arial" w:hAnsi="Arial"/>
          <w:sz w:val="18"/>
          <w:szCs w:val="18"/>
          <w:b w:val="1"/>
          <w:bCs w:val="1"/>
          <w:color w:val="auto"/>
        </w:rPr>
        <w:t>Figure 10. Comparison of Visual Acuity Outcomes (LogMAR Vision) after Treatment with Bel-sar Versus Treatment with Brachytherapy</w:t>
      </w:r>
    </w:p>
    <w:p>
      <w:pPr>
        <w:spacing w:after="0" w:line="137"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8"/>
          <w:szCs w:val="18"/>
          <w:color w:val="auto"/>
        </w:rPr>
        <w:t>We believe that the results of this retrospective study validate and strengthen our data supporting that the treatment with bel-sar results in durable preservation of visual acuity which provides an important advantage to brachytherapy as a first line treatment option for early-stage disease.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4" w:name="page15"/>
    <w:bookmarkEnd w:id="14"/>
    <w:p>
      <w:pPr>
        <w:jc w:val="both"/>
        <w:ind w:firstLine="509"/>
        <w:spacing w:after="0" w:line="271" w:lineRule="auto"/>
        <w:rPr>
          <w:sz w:val="20"/>
          <w:szCs w:val="20"/>
          <w:color w:val="auto"/>
        </w:rPr>
      </w:pPr>
      <w:r>
        <w:rPr>
          <w:rFonts w:ascii="Arial" w:cs="Arial" w:eastAsia="Arial" w:hAnsi="Arial"/>
          <w:sz w:val="18"/>
          <w:szCs w:val="18"/>
          <w:color w:val="auto"/>
        </w:rPr>
        <w:t>As SC delivery of bel-sar has now replaced IVT in the choroidal melanoma clinical development program, we will develop a long-term follow up plan to assess visual acuity and other outcomes from Phase 2 and Phase 3 trials compared to SoC brachytherapy.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Choroidal Metastases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Choroidal metastasis, where different types of primary cancers from elsewhere in the body (e.g., breast and lung cancer) metastasize to the eye, is an even more common cause of intraocular malignancy than primary choroidal melanoma. There is a high unmet need in these patients, as current therapy consists primarily of external radiotherapy, which comes with a very high treatment burden and with ocular morbidity. As such, an easier-to-apply treatment that preserves vision is needed. These patients are treated by the same ocular oncologists that treat choroidal melanoma, and SC administration of bel-sar followed by laser light activation will be the mode of administration studied in this indication. We have an open Investigational New Drug application, or IND, in the United States and have received Fast Track Designation from the FDA’s Division of Oncology. We are on track to initiate the Phase 2 trial in 2024, with initial data by the end of 2024.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Cancers of the Ocular Surface</w:t>
      </w:r>
    </w:p>
    <w:p>
      <w:pPr>
        <w:spacing w:after="0" w:line="7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212121"/>
        </w:rPr>
        <w:t>We are also evaluating the development of bel-sar in other eye cancer indications like cancers of the ocular surface. Ocular surface tumors are tumors that start in the conjunctiva and are treated by the same ocular oncologists that treat choroidal melanoma and choroidal metastasis. These tumors are life threatening and are diagnosed early, when they are not yet metastatic, not unlike choroidal melanoma. Ocular surface tumors are known to be immunologically ‘hot’, that is, susceptible to control through normal immune mechanisms and immune-modulating therapies. This could allow us to benefit from the immune activation that is part of our mechanism of action, as we have demonstrated with bladder tumors (see below).</w:t>
      </w:r>
    </w:p>
    <w:p>
      <w:pPr>
        <w:spacing w:after="0" w:line="18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242424"/>
        </w:rPr>
        <w:t>There are currently no drugs approved for cancers of the ocular surface, and patients are treated with surgery and off-label chemotherapy. The readily accessible location of these tumors, on the surface of the eye, facilitates local treatment with bel-sar in clinic. We are currently evaluating how to most efficiently leverage existing bel-sar data to facilitate and expedite development in cancers of the ocular surface.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Urologic Oncology</w:t>
      </w:r>
    </w:p>
    <w:p>
      <w:pPr>
        <w:spacing w:after="0" w:line="63"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We are concurrently leveraging our precision oncology immunotherapy platform to develop bel-sar in the field of urologic oncology with ongoing clinical development in the treatment of NMIBC and MIBC.</w:t>
      </w:r>
    </w:p>
    <w:p>
      <w:pPr>
        <w:spacing w:after="0" w:line="15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Bladder cancer is the most common malignancy involving the urinary system and is the eighth most common cause of cancer death in men in the United States. While metastatic bladder cancer has several approved therapies, there are limited options for the treatment of intermediate and high-risk NMIBC.</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have generated nonclinical in vivo data that supports that bel-sar’s dual mechanism of action can lead to cytotoxicity and long-term antitumor immunity which may further reduce the risk of recurrence and metastases. We have also shown that bel-sar is highly synergistic with checkpoint inhibitors that are already approved for a subset of patients with NMIBC. We believe this immune response can play an important role in bladder cancer, given that bladder cancer has a well-documented response to immune activation. We are currently enrolling a Phase 1 trial and plan to present early data from this trial in mid-2024.</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b w:val="1"/>
          <w:bCs w:val="1"/>
          <w:color w:val="auto"/>
        </w:rPr>
        <w:t xml:space="preserve">Phase 1 Open Label Study: </w:t>
      </w:r>
      <w:r>
        <w:rPr>
          <w:rFonts w:ascii="Arial" w:cs="Arial" w:eastAsia="Arial" w:hAnsi="Arial"/>
          <w:sz w:val="18"/>
          <w:szCs w:val="18"/>
          <w:color w:val="auto"/>
        </w:rPr>
        <w:t>We received Fast Track Designation from the FDA for bel-sar for the treatment of NMIBC in June 2022,</w:t>
      </w:r>
      <w:r>
        <w:rPr>
          <w:rFonts w:ascii="Arial" w:cs="Arial" w:eastAsia="Arial" w:hAnsi="Arial"/>
          <w:sz w:val="18"/>
          <w:szCs w:val="18"/>
          <w:b w:val="1"/>
          <w:bCs w:val="1"/>
          <w:color w:val="auto"/>
        </w:rPr>
        <w:t xml:space="preserve"> </w:t>
      </w:r>
      <w:r>
        <w:rPr>
          <w:rFonts w:ascii="Arial" w:cs="Arial" w:eastAsia="Arial" w:hAnsi="Arial"/>
          <w:sz w:val="18"/>
          <w:szCs w:val="18"/>
          <w:color w:val="auto"/>
        </w:rPr>
        <w:t>and in September 2023 we updated the protocol to include patients with MIBC. The ongoing Phase 1 multi-center, open-label clinical trial is expected to enroll approximately 21 adult patients and will evaluate the feasibility and safety of local administration, and early tumor response by histopathology. The trial has completed enrollment of the bel-sar only cohort (bel-sar injection without light activation). Protocol mandated safety review found no safety issues and the study has proceeded to the bel-sar injection plus light activation cohorts in patients with either NMIBC or MIBC. Preliminary data from the first patient in the light activated cohort of the trial, utilizing a single dose of bel-sar with light activation, produced a clinical complete response demonstrated by absence of cancer cells on histopathology with evidence of extensive necrosis and immune activation.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5" w:name="page16"/>
    <w:bookmarkEnd w:id="15"/>
    <w:p>
      <w:pPr>
        <w:jc w:val="both"/>
        <w:ind w:firstLine="509"/>
        <w:spacing w:after="0" w:line="238" w:lineRule="auto"/>
        <w:rPr>
          <w:sz w:val="20"/>
          <w:szCs w:val="20"/>
          <w:color w:val="auto"/>
        </w:rPr>
      </w:pPr>
      <w:r>
        <w:rPr>
          <w:rFonts w:ascii="Arial" w:cs="Arial" w:eastAsia="Arial" w:hAnsi="Arial"/>
          <w:sz w:val="18"/>
          <w:szCs w:val="18"/>
          <w:color w:val="auto"/>
        </w:rPr>
        <w:t>Bel-sar has been observed to be highly selective, through both its specific binding to a subset of modified tumor associated GAGs that are part of the heparan sulphate chain of HSPGs expressed on the surface of cancer cells, combined with focused laser activation leading to cytotoxicity and subsequent immune activation. We believe the immune response could play an even larger role in bladder cancer, given that bladder cancer has a well-documented response to immune activation. This immune sensitivity is substantiated by the effectiveness of immune modulatory agents like BCG. We have observed in nonclinical experiments that bel-sar was able to target bladder cancer cells in both in vitro and in vivo tumor models. Laser activation of bel -sar resulted in cell killing of bladder tumor cells while sparing other normal surrounding cells as a single agent. This cell killing induced a pro-immunogenic antitumor response that resulted in complete and durable tumor regressions in mouse xenograft models as well as the prevention of tumor re-implantation. This highlights the value of bel-sar to generate antitumor immunity and prevent tumor recurrence. Based on our nonclinical data, bel-sar was also observed to be highly synergistic with checkpoint inhibitors that have the same mechanism of action as drugs that have already been approved and are in development for the treatment of bladder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119380</wp:posOffset>
            </wp:positionV>
            <wp:extent cx="5753735" cy="3194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3735" cy="319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11. Overview of Bel-sar’s Dual Mechanism of Action with Acute Tumor Cell Necrosis and Secondary Antitumor Immunity.</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Clinical Plans in Bladder Cancer</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are currently enrolling a Phase 1 trial (NCT05483868) in NMIBC and MIBC patients that are either candidates for transurethral resection of the bladder tumor, or TURBT, or cystectomy. The trial has the goal to demonstrate feasibility and safety and early tumor response by histopathology after local administration. Design is presented in Figure 12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1595120</wp:posOffset>
            </wp:positionH>
            <wp:positionV relativeFrom="page">
              <wp:posOffset>833755</wp:posOffset>
            </wp:positionV>
            <wp:extent cx="4332605" cy="1386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332605" cy="138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60"/>
        <w:spacing w:after="0" w:line="280" w:lineRule="auto"/>
        <w:rPr>
          <w:sz w:val="20"/>
          <w:szCs w:val="20"/>
          <w:color w:val="auto"/>
        </w:rPr>
      </w:pPr>
      <w:r>
        <w:rPr>
          <w:rFonts w:ascii="Arial" w:cs="Arial" w:eastAsia="Arial" w:hAnsi="Arial"/>
          <w:sz w:val="18"/>
          <w:szCs w:val="18"/>
          <w:b w:val="1"/>
          <w:bCs w:val="1"/>
          <w:color w:val="auto"/>
        </w:rPr>
        <w:t>Figure 12. Phase 1 Window of Opportunity Trial to Establish Safety and Tumor Response by Histopathology after Focal Administration.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HSPG-Expressing Tumors</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HPV-derived VLPs have a unique tropism towards cancer cells based on their multivalent binding to modified HSPGs that are specifically found in tumor cells. In vitro, we have observed our VLPs bind to multiple cancer cell lines. In vivo</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also observed binding using our HPV-derived VLPs using xenografts of human tumor cell lines and allografts of murine tumor cell lines, like lung, ovarian, bladder, melanoma and colon. These results help to corroborate the thesis that multiple tumors appear to consistently express and specifically modify HSPGs. Accordingly, we believe we may be able treat a broad spectrum of solid tumors.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biotechnology and pharmaceutical industries are characterized by rapid innovation of new technologies, fierce competition and a strong defense of intellectual property. While we believe that bel-sar’s mechanism of action provides the opportunity and competitive advantage for an early intervention approach in cancer indications that do not have existing approved therapies, we may face competition from major pharmaceutical and biotechnology companies, academic institutions, governmental agencies and public and private research institutions, among others.</w:t>
      </w:r>
    </w:p>
    <w:p>
      <w:pPr>
        <w:spacing w:after="0" w:line="17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compete in the segments of the pharmaceutical, biotechnology, and companies focusing on developing oncology therapies.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 future from segments of the pharmaceutical, biotechnology and other related markets that pursue oncology therapeutics. Key product features that would affect our ability to effectively compete with other therapeutics include the efficacy, safety and convenience of our products.</w:t>
      </w:r>
    </w:p>
    <w:p>
      <w:pPr>
        <w:spacing w:after="0" w:line="18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bel-sar and any future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ind w:left="1020"/>
        <w:spacing w:after="0"/>
        <w:rPr>
          <w:sz w:val="20"/>
          <w:szCs w:val="20"/>
          <w:color w:val="auto"/>
        </w:rPr>
      </w:pPr>
      <w:r>
        <w:rPr>
          <w:rFonts w:ascii="Arial" w:cs="Arial" w:eastAsia="Arial" w:hAnsi="Arial"/>
          <w:sz w:val="18"/>
          <w:szCs w:val="18"/>
          <w:i w:val="1"/>
          <w:iCs w:val="1"/>
          <w:color w:val="auto"/>
        </w:rPr>
        <w:t>Ocular Oncology</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Currently we are not aware of any other company that has a drug in clinical development for early intervention in small choroidal melanoma or indeterminate lesions, or for the treatment of choroidal metastasis, which are our first two planned ocular oncology indications. The SoC as a first line treatment for patients is plaque brachytherapy or proton beam therapy. Verteporfin (Visudyne) is currently used off label in some cases of early-stage disease alone or in combination with transpupillary thermotherapy. It is possible that there may be other companies with compounds in preclinical development but we are not aware of any data that has been published or presented at any conference. Given our stage of development, we believe we are the furthest along in development. Our focus in ocular oncology is the early treatment of the primary cancer in the eye before it metastasizes. Immunocore Holdings PLC, or Immunocore, recently received FDA approval for KIMMTRAK® (tebentafusp-tebn) injection for metastatic uveal melanoma. Immunocore’s drug is indicated for the treatment of HLA-A*02:01-positive adult patients with unresectable or metastatic uveal melanoma and has not been developed to treat early-stage disease in the eye. Ideaya Biosciences is in Phase 2 clinical development to treat metastatic uveal melanoma. In addition, they have initiated a study with neoadjuvant treatment in patients that are selected to receive enucleation or radiotherapy with the goal of either preserving the eye or reducing the dose of radiotherapy. Neither of those drugs and the patient population they target overlap with our development plan and path to approval.</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Urologic Oncology</w:t>
      </w:r>
    </w:p>
    <w:p>
      <w:pPr>
        <w:spacing w:after="0" w:line="7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There are multiple companies that have drugs in clinical development for the treatment of NMIBC and MIBC. Pembrolizumab has been approved for the treatment of BCG-unresponsive NMIBC with carcinoma in situ, or CIS, (with or without papillary tumors) for patients who are unfit or unwilling to undergo radical cystectomy. Ferring Pharmaceuticals has obtained FDA approval for ADSTILADRIN for the treatment of adult patients with high-risk BCG-unresponsive NMIBC with CIS, with or without papillary tumors. ImmunityBio, Inc. has presented Phase 2/3 data for their drug Anktiva in combination with BCG in patients with BCG unresponsive NMIBC and has submitted a BLA with a PDUFA date of April 23, 2024. CG Oncology’s cretostimogene grenadenorepvec, or CG0070, has presented data in a global Phase 3 clinical trial as a monotherapy for the treatment of BCG-unresponsive NMIBC and has received breakthrough therapy designation and Fast Track Designation. The same drug is being studied in combination with KEYTRUDA in a Phase 2 trial in the same indication and in combination with Nivolumab in MIBC. TAR-200 (from Janssen) has also received breakthrough therapy designation for BCG unresponsive NMIBC and is being studied in multiple trials in NMIBC and MIBC. UroGen Pharma Ltd. has a drug Jelmyto, a gel reformulation of mitomycin that is currently approved to treat low grade upper tract urothelial cancer, and has announced that another drug, UGN-102, has met its primary endpoint in a phase 3 study for NMIBC. In addition, there are several additional immune checkpoint inhibitors, or ICIs, in development as a monotherapy and there are a number of combination trials with ICIs in an effort to improve efficacy and durability of response. In addition, there are several early-stage treatments in clinical development such as Protara Therapeutics, Inc.’s TARA-002 and Asieris Pharmaceuticals’ APL-1202. While there are multiple drugs in development we believe our competitive advantage as an early intervention approach may help reduce the risk of recurrence and metastasis. In addition, the utilization of bel-sar may be synergistic with other approved therapies like checkpoint inhibitors.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License Agreements</w:t>
      </w:r>
    </w:p>
    <w:p>
      <w:pPr>
        <w:spacing w:after="0" w:line="6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NIH Patent License Agreement</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September 2013, we entered into an exclusive patent license agreement, or the NIH License Agreement, with the NIH for certain intellectual property rights, which was amended in September 2015, August 2018 and April 2019. Under the NIH License Agreement, NIH granted us a worldwide, exclusive, sublicensable license to certain patent rights related to VLPs and papilloma pseudovirus for our development and use in combination with our proprietary nanoparticle encapsulation technology both (1) for the treatment, diagnosis and imaging of cancer tumors and metastases as well as their respective pre-cursor dysplasia states and (2) conjugated with light activated drugs for the diagnosis and treatment of cancer tumors and metastases as well as their respective pre-cursor dysplasia states.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jc w:val="both"/>
        <w:ind w:firstLine="509"/>
        <w:spacing w:after="0" w:line="246" w:lineRule="auto"/>
        <w:rPr>
          <w:sz w:val="20"/>
          <w:szCs w:val="20"/>
          <w:color w:val="auto"/>
        </w:rPr>
      </w:pPr>
      <w:r>
        <w:rPr>
          <w:rFonts w:ascii="Arial" w:cs="Arial" w:eastAsia="Arial" w:hAnsi="Arial"/>
          <w:sz w:val="18"/>
          <w:szCs w:val="18"/>
          <w:color w:val="auto"/>
        </w:rPr>
        <w:t>Pursuant to the NIH License Agreement, we are required to use commercially reasonable efforts to develop the licensed products using the licensed processes to make the licensed products available to the United States public on reasonable terms, including by adhering to a commercial development plan and meeting specified benchmarks with regards to specified deadlines for regulatory filings, initiation of clinical trials, and gaining regulatory approval for the licensed products.</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consideration of the rights granted under the NIH License Agreement, we paid NIH a one-time upfront payment of $0.1 million. We are required to make low single-digit percentage royalty payments based on specified levels of annual net sales of licensed products subject to certain specified reductions. We are required to make development and regulatory milestone payments up to $0.7 million in the aggregate and sales milestone payments up to $0.6 million in the aggregate. We are also required to pay NIH a mid-single to low teen-digit percentage of any sublicensing revenue we receive. Additionally, our payment obligations to NIH are subject to an annual minimum royalty payment of low five figures. We recognized milestones related to this agreement and related amendments of $0.2 million and $0.02 million for the years ended December 31, 2023 and 2022. In addition to milestones under the agreement, we reimburse NIH for any patent prosecution costs incurred.</w:t>
      </w:r>
    </w:p>
    <w:p>
      <w:pPr>
        <w:spacing w:after="0" w:line="18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NIH License Agreement will terminate upon the last expiration of the patent rights, or we may terminate the entirety of the agreement upon written notice thereof to NIH. The expiry of the last to expire patent licensed under the agreement is September 2034.</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LI-COR Exclusive License and Supply Agreement</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January 2014, we entered into an Exclusive License and Supply Agreement, or the LI-COR Exclusive License Agreement, with LI-COR, Inc., or LI-COR, for the license of IRDye 700DX and a related licensed patent for the treatment and diagnosis of ocular cancers, ocular pre-cancer and indeterminate lesions in humans, and as amended in January 2016, July 2017, April 2018 and April 2019. The LI-COR Exclusive License Agreement required a one-time upfront license issue fee of $0.1 million and requires aggregate milestone payments of up to $0.2 million upon certain regulatory and development milestones. We are also required to pay LI-COR low-single digit royalties on net sales.</w:t>
      </w:r>
    </w:p>
    <w:p>
      <w:pPr>
        <w:spacing w:after="0" w:line="18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term of the LI-COR Exclusive Agreement expires on a country-by-country basis, until the longer of (i) ten years from the first commercial sale of a licensed product in such country and (ii) the last to expire valid claim in such country. The expiry of the sole patent licensed under the agreement was December 19, 2023.</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Clearside License Agreement</w:t>
      </w:r>
    </w:p>
    <w:p>
      <w:pPr>
        <w:spacing w:after="0" w:line="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July 2019, we entered into a license agreement, or the Clearside License Agreement, with Clearside Biomedical, Inc., or Clearside, for the license of Clearside’s SC microinjector technology. Upon execution of the Clearside License Agreement, we paid Clearside a one-time upfront payment of $0.1 million. Under the Clearside License Agreement, we are required to pay milestones up to $21.0 million in the aggregate to Clearside upon the achievement of specified regulatory and development milestones, and upon the achievement of certain commercial sales milestones. We are also required to pay low to mid-single digit royalties on net sales. If we sublicense a product for which royalties are payable, then we are required to pay the greater of 20% received or low single digit royalties on net sales.</w:t>
      </w:r>
    </w:p>
    <w:p>
      <w:pPr>
        <w:spacing w:after="0" w:line="182"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 The expiry of the last to expire patent licensed under the agreement is August 2034.</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recognized $ 1.0 million and $0 million in expense related to this agreement and related amendments for the years ended December 31, 2023 and 2022.</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Intellectual Property</w:t>
      </w:r>
    </w:p>
    <w:p>
      <w:pPr>
        <w:spacing w:after="0" w:line="6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success depends in part on our abilities to (1) obtain and maintain proprietary protection for our lead virus-like drug conjugate product candidate bel-sar, (2) defend and enforce our intellectual property rights, in particular, our patent rights, (3) preserve the confidentiality of our know-how relating to, for example, certain manufacturing steps, material components and characteristics of our formulations, and (4) operate without infringing valid and enforceable intellectual property rights of others. We seek to protect our proprietary position by, among other things, exclusively licensing United States and certain foreign patents and patent applications and filing United States and certain foreign patent applications related to bel-sar, where patent protection is available. We also rely on know-how, continuing technological innovation and confidential information as well as pursue licensing opportunities to develop and maintain our proprietary position and protect aspects of our business that are not amenable to, or that we do not consider appropriate for, patent protection. We seek to protect our proprietary technology,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by maintaining physical security of our premises and physical and electronic security of our information technology systems.</w:t>
      </w:r>
    </w:p>
    <w:p>
      <w:pPr>
        <w:spacing w:after="0" w:line="18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cannot be sure that patents will be granted with respect to any patent applications we have licensed or filed or may license or file in the future, and we cannot be sure that any patents we have licensed or which have been granted to us, or patents that may be licensed or granted to us in the future, will not be challenged, invalidated or circumvented or that such patents will be commercially useful in protecting our technology. For more information regarding the risks related to our intellectual property, see “</w:t>
      </w:r>
      <w:r>
        <w:rPr>
          <w:rFonts w:ascii="Arial" w:cs="Arial" w:eastAsia="Arial" w:hAnsi="Arial"/>
          <w:sz w:val="18"/>
          <w:szCs w:val="18"/>
          <w:i w:val="1"/>
          <w:iCs w:val="1"/>
          <w:color w:val="auto"/>
        </w:rPr>
        <w:t>Risk factors—Risks related to our intellectual</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w:t>
      </w:r>
      <w:r>
        <w:rPr>
          <w:rFonts w:ascii="Arial" w:cs="Arial" w:eastAsia="Arial" w:hAnsi="Arial"/>
          <w:sz w:val="18"/>
          <w:szCs w:val="18"/>
          <w:color w:val="auto"/>
        </w:rPr>
        <w:t>.”</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patent portfolio includes a combination of issued patents and pending patent applications that are owned by us, co-owned by us or licensed by us from third parties. As of March 22, 2024, we have an exclusive license (with regard to ocular cancers) and a non-exclusive license (with regard to solid tumors in humans for a specific indication) from LI-COR under one United States patent, which expired December 19, 2023; an exclusive license from NIH under four issued United States patents and three issued foreign patents; an exclusive license from INSERM-TRANSFERT, or Inserm, under three issued United States patents, and six granted foreign patents; and exclusive rights under a Cooperative Research and Development Agreement, or CRADA, with the United States Department of Health and Human Services, or DHHS, as represented by the National Cancer Institute, and Institute, Center, or Division of the NIH, under four issued United States patents, three pending non-provisional United States patent applications, eleven foreign patents, and ten pending foreign patent applications.</w:t>
      </w:r>
    </w:p>
    <w:p>
      <w:pPr>
        <w:spacing w:after="0" w:line="18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addition, as of March 22, 2024, we solely own four issued United States patents, one pending non-provisional United States patent application, and six pending foreign patent applications. We intend to pursue, when possible, additional patent protection, including composition of matter, method of use and process claims related to bel-sar.</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Families</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license one patent family from LI-COR and one patent family from the NIH, co-own and license one patent family from Inserm, co-own two patent families with DHHS/NIH and have exclusive rights under a CRADA, and solely own two patent families, all of which are generally directed to the bel-sar product and related methods of use and production.</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first family, licensed from LI-COR, includes one United States patent, which expired December 19, 2023. This patent includes claims directed to (1) fluorescent phthalocyanine dyes and (2) processes for making the dyes (e.g., the IRDye 700DX® dye molecules used in bel-sar).</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second family, licensed from NIH, includes four issued United States patents, one issued European patent, and one issued patent in each of Australia and Canada. Patents in this family include claims directed to (1) methods for inhibiting the proliferation of and/or killing cancer cells using a therapeutic agent formulated with a papilloma VLP, (2) methods that include administering to a patient (e.g., a patient having a melanoma) a papilloma VLP having a fluorescent dye and exposing the dye to an excitation wavelength of light, and (3) methods for detecting cancer cells using a papilloma VLP having a detectable label. The patents in this patent family have a standard expiration date of May 1, 2028, subject to potential extensions.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0" w:name="page21"/>
    <w:bookmarkEnd w:id="20"/>
    <w:p>
      <w:pPr>
        <w:jc w:val="both"/>
        <w:ind w:firstLine="509"/>
        <w:spacing w:after="0" w:line="241" w:lineRule="auto"/>
        <w:rPr>
          <w:sz w:val="20"/>
          <w:szCs w:val="20"/>
          <w:color w:val="auto"/>
        </w:rPr>
      </w:pPr>
      <w:r>
        <w:rPr>
          <w:rFonts w:ascii="Arial" w:cs="Arial" w:eastAsia="Arial" w:hAnsi="Arial"/>
          <w:sz w:val="18"/>
          <w:szCs w:val="18"/>
          <w:color w:val="auto"/>
        </w:rPr>
        <w:t>The third family, which we co-own with and license from Inserm, includes three issued United States patents, two issued European patents, an issued patent in each of Canada, Hong Kong, India and Japan. Patents in this family include claims directed to (1) a modified papillomavirus (HPV16) L1 protein having reduced immunogenicity relative to wild-type HPV16 L1 protein and an FG loop having the specific amino acid sequence that is present in bel-sar, (2) nanoparticles comprising the modified L1 protein, (3) methods of using the modified L1 protein to deliver therapeutic agents, and/or (4) methods of producing nanoparticles comprising the modified L1 protein. The patents in this patent family have a standard expiration date of July 24, 2029, subject to potential extensions.</w:t>
      </w:r>
    </w:p>
    <w:p>
      <w:pPr>
        <w:spacing w:after="0" w:line="182"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fourth patent family, which we own, includes four issued United States patents. Patents in this family include claims directed to (1) codon-optimized nucleic acids having the particular nucleotide sequence that encodes the modified papillomavirus (HPV16) L1 protein present in bel-sar, (2) methods of producing nanoparticles that include the modified HPV16 L1 protein encoded by the codon-optimized nucleic acids, and (3) methods of using the nanoparticles that include the modified HPV16 L1 protein encoded by the codon-optimized nucleic acids to deliver a therapeutic agent to a patient having cancer. The patents in this patent family have a standard expiration date of February 7, 2033, subject to potential extensions.</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fifth patent family, which we co-own with DHHS/NIH and have exclusive rights under a CRADA, includes four issued United States patents, two issued patents in each of Europe, Australia, and Japan, an issued patent in each of Brazil, Canada, Hong Kong, Republic of Korea and Mexico, two pending patent applications in the United States, and one pending patent application in each of Australia, China and Europe. Patents in this family include claims directed to (1) tumor-targeting papilloma VLPs containing near infrared phthalocyanine dye molecules that become toxic or produce a toxic molecule upon light activation, (2) methods that include delivering the papilloma VLPs to an ocular tumor, and/or (3) methods of producing tumor-targeting bioconjugates that include the papilloma VLPs and near infrared phthalocyanine dye molecules. The patents in this patent family have a standard expiration date of September 18, 2034, subject to potential extensions.</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sixth patent family, which we own, includes a pending patent application in each of the United States, Australia, Canada, China, Europe, Japan and Republic of Korea with claims directed to an ophthalmic composition that includes a near-isotonic solution of VLP drug conjugates in suspension. Patents issuing from national stage applications based on this international application would have a standard expiration date of March 25, 2040, subject to potential extensions.</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seventh patent family, which we co-own with DHHS/NIH and have exclusive rights under a CRADA, includes a pending patent application in each of the United States, Australia, Brazil, Canada, China, Europe, Israel and Japan. Patent applications in this family include claims to a combination therapy that uses (1) tumor-targeting papillomavirus nanoparticles containing photosensitive molecules and (2) a checkpoint inhibitor. Patents issuing from this family would have a standard expiration date of April 11, 2038, subject to potential extensions.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jc w:val="both"/>
        <w:ind w:firstLine="509"/>
        <w:spacing w:after="0" w:line="246" w:lineRule="auto"/>
        <w:rPr>
          <w:sz w:val="20"/>
          <w:szCs w:val="20"/>
          <w:color w:val="auto"/>
        </w:rPr>
      </w:pPr>
      <w:r>
        <w:rPr>
          <w:rFonts w:ascii="Arial" w:cs="Arial" w:eastAsia="Arial" w:hAnsi="Arial"/>
          <w:sz w:val="18"/>
          <w:szCs w:val="18"/>
          <w:color w:val="auto"/>
        </w:rPr>
        <w:t>In the United States, where we initially focused our product development, the FDA regulates biologics under the Federal Food, Drug, and Cosmetic Act, or FDCA, and the Public Health Service Act, or PHSA, and their implementing regulations. Biologics are also subject to other federal, state and local statutes and regulations. Our product candidate, bel-sar, has not been approved by the FDA for marketing in the United States.</w:t>
      </w:r>
    </w:p>
    <w:p>
      <w:pPr>
        <w:spacing w:after="0" w:line="1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process required by the FDA before any product candidates we develop are approved for therapeutic indications and may be marketed in the United States generally involves the following:</w:t>
      </w:r>
    </w:p>
    <w:p>
      <w:pPr>
        <w:spacing w:after="0" w:line="2" w:lineRule="exact"/>
        <w:rPr>
          <w:sz w:val="20"/>
          <w:szCs w:val="20"/>
          <w:color w:val="auto"/>
        </w:rPr>
      </w:pPr>
    </w:p>
    <w:p>
      <w:pPr>
        <w:ind w:left="1020" w:right="20" w:hanging="368"/>
        <w:spacing w:after="0" w:line="255"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ind w:left="1020" w:hanging="368"/>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ind w:left="1020" w:hanging="368"/>
        <w:spacing w:after="0" w:line="257"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jc w:val="both"/>
        <w:ind w:left="1020" w:hanging="368"/>
        <w:spacing w:after="0" w:line="248"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ind w:left="1020" w:hanging="368"/>
        <w:spacing w:after="0"/>
        <w:tabs>
          <w:tab w:leader="none" w:pos="10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preparation and submission to the FDA of a BLA after completion of all pivotal trials, accompanied by payment of FDA user fees;</w:t>
      </w:r>
    </w:p>
    <w:p>
      <w:pPr>
        <w:spacing w:after="0" w:line="50"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48" w:lineRule="exact"/>
        <w:rPr>
          <w:rFonts w:ascii="Times New Roman" w:cs="Times New Roman" w:eastAsia="Times New Roman" w:hAnsi="Times New Roman"/>
          <w:sz w:val="18"/>
          <w:szCs w:val="18"/>
          <w:color w:val="auto"/>
        </w:rPr>
      </w:pPr>
    </w:p>
    <w:p>
      <w:pPr>
        <w:jc w:val="both"/>
        <w:ind w:left="1020" w:hanging="368"/>
        <w:spacing w:after="0" w:line="248"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ind w:left="1020" w:hanging="368"/>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38" w:lineRule="exact"/>
        <w:rPr>
          <w:rFonts w:ascii="Times New Roman" w:cs="Times New Roman" w:eastAsia="Times New Roman" w:hAnsi="Times New Roman"/>
          <w:sz w:val="18"/>
          <w:szCs w:val="18"/>
          <w:color w:val="auto"/>
        </w:rPr>
      </w:pPr>
    </w:p>
    <w:p>
      <w:pPr>
        <w:ind w:left="1020" w:right="20" w:hanging="368"/>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BLA, including consideration of the views of any FDA advisory committee, prior to any commercial marketing or sale of the biologic in the United States.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Nonclinical Studies and Clinical Trials for Biologics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Before testing any drug or biologic in humans, the product candidate must undergo rigorous nonclinical testing. Nonclinical studies include laboratory evaluations of chemistry, formulation and stability, as well as in vitro and animal studies to assess safety and in some cases to establish the rationale for therapeutic use. The conduct of nonclinical studies is subject to federal and state regulations and requirements, including GLP requirements for safety and toxicology studies. The results of the nonclinical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protocol(s) for the initial clinical trial and the general investigational plan.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protocol submission to an existing IND must also be made for each successive clinical trial conducted in the United States, each of which may begin following a 30 day period unless the FDA issues a clinical hold on the clinical trial.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2" w:name="page23"/>
    <w:bookmarkEnd w:id="22"/>
    <w:p>
      <w:pPr>
        <w:jc w:val="both"/>
        <w:ind w:firstLine="509"/>
        <w:spacing w:after="0" w:line="237" w:lineRule="auto"/>
        <w:rPr>
          <w:sz w:val="20"/>
          <w:szCs w:val="20"/>
          <w:color w:val="auto"/>
        </w:rPr>
      </w:pPr>
      <w:r>
        <w:rPr>
          <w:rFonts w:ascii="Arial" w:cs="Arial" w:eastAsia="Arial" w:hAnsi="Arial"/>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to be conducted in the United States, and any subsequent amendments to the protocol, must be submitted to the FDA as an amendment to the IND. Furthermore, each clinical trial must be reviewed and approved by an IRB for each institution at which the clinical trial will be conducted, or by a central IRB,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www.clinicaltrials.gov website.</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sponsor who wishes to conduct a clinical trial outside of the United States under its IND may need to obtain waivers for certain regulatory compliance requirements such as those requiring IRB review and approval. However, the FDA does not require that all foreign clinical trials be conducted under United States INDs.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Clinical trials to evaluate therapeutic indications to support BLAs for marketing approval are typically conducted in three sequential phases, which phases may overlap or be conducted in combination.</w:t>
      </w:r>
    </w:p>
    <w:p>
      <w:pPr>
        <w:spacing w:after="0" w:line="2" w:lineRule="exact"/>
        <w:rPr>
          <w:sz w:val="20"/>
          <w:szCs w:val="20"/>
          <w:color w:val="auto"/>
        </w:rPr>
      </w:pPr>
    </w:p>
    <w:p>
      <w:pPr>
        <w:jc w:val="both"/>
        <w:ind w:left="1020" w:hanging="368"/>
        <w:spacing w:after="0" w:line="244"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Phase 1—Phase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2" w:lineRule="exact"/>
        <w:rPr>
          <w:rFonts w:ascii="Times New Roman" w:cs="Times New Roman" w:eastAsia="Times New Roman" w:hAnsi="Times New Roman"/>
          <w:sz w:val="18"/>
          <w:szCs w:val="18"/>
          <w:color w:val="auto"/>
        </w:rPr>
      </w:pPr>
    </w:p>
    <w:p>
      <w:pPr>
        <w:jc w:val="both"/>
        <w:ind w:left="1020" w:hanging="368"/>
        <w:spacing w:after="0" w:line="24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4" w:lineRule="exact"/>
        <w:rPr>
          <w:rFonts w:ascii="Times New Roman" w:cs="Times New Roman" w:eastAsia="Times New Roman" w:hAnsi="Times New Roman"/>
          <w:sz w:val="18"/>
          <w:szCs w:val="18"/>
          <w:color w:val="auto"/>
        </w:rPr>
      </w:pPr>
    </w:p>
    <w:p>
      <w:pPr>
        <w:jc w:val="both"/>
        <w:ind w:left="1020" w:hanging="368"/>
        <w:spacing w:after="0" w:line="241"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Phase 3—Phase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 although there are known exceptions, particularly for rare diseases.</w:t>
      </w:r>
    </w:p>
    <w:p>
      <w:pPr>
        <w:spacing w:after="0" w:line="18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3" w:name="page24"/>
    <w:bookmarkEnd w:id="23"/>
    <w:p>
      <w:pPr>
        <w:jc w:val="both"/>
        <w:ind w:firstLine="509"/>
        <w:spacing w:after="0"/>
        <w:rPr>
          <w:sz w:val="20"/>
          <w:szCs w:val="20"/>
          <w:color w:val="auto"/>
        </w:rPr>
      </w:pPr>
      <w:r>
        <w:rPr>
          <w:rFonts w:ascii="Arial" w:cs="Arial" w:eastAsia="Arial" w:hAnsi="Arial"/>
          <w:sz w:val="18"/>
          <w:szCs w:val="18"/>
          <w:color w:val="auto"/>
        </w:rPr>
        <w:t>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in vitro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Expanded Access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Expanded access, sometimes called “compassionate use,” is the use of investigational products outside of intended clinical development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for the following expanded access requests: individual patients (single-patient IND applications for treatment in emergency settings and non-emergency settings); intermediate-size patient populations; and larger populations for use of the investigational product under a treatment protocol or treatment IND application. There is no requirement for a company to provide expanded access to its investigational product.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7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BLA.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18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A sponsor who is planning to submit a marketing application for a biological product that includes a new clinically active component,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4" w:name="page25"/>
    <w:bookmarkEnd w:id="24"/>
    <w:p>
      <w:pPr>
        <w:jc w:val="both"/>
        <w:ind w:firstLine="509"/>
        <w:spacing w:after="0" w:line="239" w:lineRule="auto"/>
        <w:rPr>
          <w:sz w:val="20"/>
          <w:szCs w:val="20"/>
          <w:color w:val="auto"/>
        </w:rPr>
      </w:pPr>
      <w:r>
        <w:rPr>
          <w:rFonts w:ascii="Arial" w:cs="Arial" w:eastAsia="Arial" w:hAnsi="Arial"/>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18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FDA may refer an application for a biologic to an advisory committee. An advisory committee is a panel of independent experts, including clinicians and other scientific experts, which reviews, evaluates and provides a recommendation, for example, as to whether the biologic is sufficiently safe and efficacious in a given indication for a given population and under what conditions. The FDA is not bound by the recommendations of an advisory committee, but it considers such recommendations carefully when making marketing approval decisions.</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5" w:name="page26"/>
    <w:bookmarkEnd w:id="25"/>
    <w:p>
      <w:pPr>
        <w:jc w:val="both"/>
        <w:ind w:firstLine="509"/>
        <w:spacing w:after="0" w:line="239" w:lineRule="auto"/>
        <w:rPr>
          <w:sz w:val="20"/>
          <w:szCs w:val="20"/>
          <w:color w:val="auto"/>
        </w:rPr>
      </w:pPr>
      <w:r>
        <w:rPr>
          <w:rFonts w:ascii="Arial" w:cs="Arial" w:eastAsia="Arial" w:hAnsi="Arial"/>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 for Biologics</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1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6" w:name="page27"/>
    <w:bookmarkEnd w:id="26"/>
    <w:p>
      <w:pPr>
        <w:jc w:val="both"/>
        <w:ind w:firstLine="509"/>
        <w:spacing w:after="0" w:line="238" w:lineRule="auto"/>
        <w:rPr>
          <w:sz w:val="20"/>
          <w:szCs w:val="20"/>
          <w:color w:val="auto"/>
        </w:rPr>
      </w:pPr>
      <w:r>
        <w:rPr>
          <w:rFonts w:ascii="Arial" w:cs="Arial" w:eastAsia="Arial" w:hAnsi="Arial"/>
          <w:sz w:val="18"/>
          <w:szCs w:val="18"/>
          <w:color w:val="auto"/>
        </w:rPr>
        <w:t>Accelerated approval is usually contingent on a sponsor’s agreement to conduct additional post-approval studies to verify and describe the product’s clinical benefit. Under the Food and Drug Omnibus Reform Act of 2022, or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8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 for Biologics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18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7" w:name="page28"/>
    <w:bookmarkEnd w:id="27"/>
    <w:p>
      <w:pPr>
        <w:jc w:val="both"/>
        <w:ind w:firstLine="509"/>
        <w:spacing w:after="0" w:line="236" w:lineRule="auto"/>
        <w:rPr>
          <w:sz w:val="20"/>
          <w:szCs w:val="20"/>
          <w:color w:val="auto"/>
        </w:rPr>
      </w:pPr>
      <w:r>
        <w:rPr>
          <w:rFonts w:ascii="Arial" w:cs="Arial" w:eastAsia="Arial" w:hAnsi="Arial"/>
          <w:sz w:val="18"/>
          <w:szCs w:val="18"/>
          <w:color w:val="auto"/>
        </w:rPr>
        <w:t>In addition, drug and biologics manufacturers and their subcontractors involved in the manufacture and distribution of approved products, including those supplying products, ingredients, and components of such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8" w:lineRule="exact"/>
        <w:rPr>
          <w:sz w:val="20"/>
          <w:szCs w:val="20"/>
          <w:color w:val="auto"/>
        </w:rPr>
      </w:pPr>
    </w:p>
    <w:p>
      <w:pPr>
        <w:ind w:left="1020" w:hanging="368"/>
        <w:spacing w:after="0" w:line="255"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ind w:left="1020" w:right="20" w:hanging="368"/>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holds on clinical trials;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applications or supplements to approved applications, or suspension or revocation of product approvals;</w:t>
      </w: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Under the Orphan Drug Act, the FDA may grant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clinically active component for the disease for which it has such designation, the product is entitled to orphan drug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8" w:name="page29"/>
    <w:bookmarkEnd w:id="28"/>
    <w:p>
      <w:pPr>
        <w:jc w:val="both"/>
        <w:ind w:firstLine="509"/>
        <w:spacing w:after="0" w:line="246"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Patent Protection and Affordable Care Act, as amended by the Health Care and Education Reconciliation Act, or collectively, the ACA,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8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6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for all formulations, dosage forms, and indications of the biologic. This six-month exclusivity, which runs from the end of other exclusivity protection, may be granted based on the voluntary completion of a pediatric study in accordance with an FDA-issued “Written Request” for such a study, provided that at the time pediatric exclusivity is granted there is not less than nine months of term remaining.</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7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by different centers at the FDA. These products are known as combination products. Specifically, under regulations issued by the FDA, a combination product may be:</w:t>
      </w:r>
    </w:p>
    <w:p>
      <w:pPr>
        <w:spacing w:after="0" w:line="2" w:lineRule="exact"/>
        <w:rPr>
          <w:sz w:val="20"/>
          <w:szCs w:val="20"/>
          <w:color w:val="auto"/>
        </w:rPr>
      </w:pPr>
    </w:p>
    <w:p>
      <w:pPr>
        <w:ind w:left="1020" w:hanging="368"/>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ind w:left="1020" w:hanging="368"/>
        <w:spacing w:after="0" w:line="257"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jc w:val="both"/>
        <w:ind w:left="1020" w:hanging="368"/>
        <w:spacing w:after="0" w:line="243"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9" w:name="page30"/>
    <w:bookmarkEnd w:id="29"/>
    <w:p>
      <w:pPr>
        <w:jc w:val="both"/>
        <w:ind w:left="1020" w:hanging="368"/>
        <w:spacing w:after="0" w:line="25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7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is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 combination product with a biologic primary mode of action generally would be reviewed and approved pursuant to FDA’s biologic approval processes. In reviewing the BLA application for such a product, however, FDA reviewers in the biologics center could consult with their counterparts in the device center to ensure that the device component of the combination product met applicable requirements regarding safety, effectiveness, durability and performance. In addition, under FDA’s regulations, combination products are subject to applicable current GMP requirements for drugs, biologics and devices, including the Quality System regulations applicable to medical devices.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DHHS,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the DHHS. CMS decides whether and to what extent a new medicine will be covered and reimbursed under Medicare and private payors tend to follow CMS to a substantial degree.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36" w:lineRule="exact"/>
        <w:rPr>
          <w:sz w:val="20"/>
          <w:szCs w:val="20"/>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0" w:name="page31"/>
    <w:bookmarkEnd w:id="30"/>
    <w:p>
      <w:pPr>
        <w:ind w:left="1020" w:hanging="368"/>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18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in some foreign countries, the proposed pricing for a drug must be approved before it may be lawfully marketed. The requirements governing drug pricing vary widely from country to country. For example, the European Union, or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An EU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w:t>
      </w:r>
    </w:p>
    <w:p>
      <w:pPr>
        <w:spacing w:after="0" w:line="1" w:lineRule="exact"/>
        <w:rPr>
          <w:sz w:val="20"/>
          <w:szCs w:val="20"/>
          <w:color w:val="auto"/>
        </w:rPr>
      </w:pPr>
    </w:p>
    <w:p>
      <w:pPr>
        <w:jc w:val="both"/>
        <w:ind w:left="1020" w:hanging="368"/>
        <w:spacing w:after="0" w:line="239"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jc w:val="both"/>
        <w:ind w:left="1020" w:hanging="368"/>
        <w:spacing w:after="0" w:line="237"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false claims and civil monetary penalties laws, including the False Claims Act, prohibit individuals or entities from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1" w:name="page32"/>
    <w:bookmarkEnd w:id="31"/>
    <w:p>
      <w:pPr>
        <w:jc w:val="both"/>
        <w:ind w:left="368" w:hanging="368"/>
        <w:spacing w:after="0" w:line="242" w:lineRule="auto"/>
        <w:tabs>
          <w:tab w:leader="none" w:pos="36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among other things,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3" w:lineRule="exact"/>
        <w:rPr>
          <w:rFonts w:ascii="Times New Roman" w:cs="Times New Roman" w:eastAsia="Times New Roman" w:hAnsi="Times New Roman"/>
          <w:sz w:val="18"/>
          <w:szCs w:val="18"/>
          <w:color w:val="auto"/>
        </w:rPr>
      </w:pPr>
    </w:p>
    <w:p>
      <w:pPr>
        <w:jc w:val="both"/>
        <w:ind w:left="368" w:hanging="368"/>
        <w:spacing w:after="0" w:line="239" w:lineRule="auto"/>
        <w:tabs>
          <w:tab w:leader="none" w:pos="36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DHHS information related to payments and other transfers of value made to physician (defined to include doctors, dentists, optometrists, podiatrists and chiropractors), certain other licensed health care practitioners and teaching hospitals; as well as the ownership and investment interests of such physicians and their immediate family members;</w:t>
      </w:r>
    </w:p>
    <w:p>
      <w:pPr>
        <w:spacing w:after="0" w:line="7" w:lineRule="exact"/>
        <w:rPr>
          <w:rFonts w:ascii="Times New Roman" w:cs="Times New Roman" w:eastAsia="Times New Roman" w:hAnsi="Times New Roman"/>
          <w:sz w:val="18"/>
          <w:szCs w:val="18"/>
          <w:color w:val="auto"/>
        </w:rPr>
      </w:pPr>
    </w:p>
    <w:p>
      <w:pPr>
        <w:jc w:val="both"/>
        <w:ind w:left="368" w:hanging="368"/>
        <w:spacing w:after="0" w:line="238" w:lineRule="auto"/>
        <w:tabs>
          <w:tab w:leader="none" w:pos="36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6" w:lineRule="exact"/>
        <w:rPr>
          <w:rFonts w:ascii="Times New Roman" w:cs="Times New Roman" w:eastAsia="Times New Roman" w:hAnsi="Times New Roman"/>
          <w:sz w:val="18"/>
          <w:szCs w:val="18"/>
          <w:color w:val="auto"/>
        </w:rPr>
      </w:pPr>
    </w:p>
    <w:p>
      <w:pPr>
        <w:jc w:val="both"/>
        <w:ind w:left="368" w:hanging="368"/>
        <w:spacing w:after="0" w:line="255" w:lineRule="auto"/>
        <w:tabs>
          <w:tab w:leader="none" w:pos="36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ind w:left="368" w:hanging="368"/>
        <w:spacing w:after="0" w:line="252" w:lineRule="auto"/>
        <w:tabs>
          <w:tab w:leader="none" w:pos="36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jc w:val="both"/>
        <w:ind w:left="368" w:hanging="368"/>
        <w:spacing w:after="0" w:line="241" w:lineRule="auto"/>
        <w:tabs>
          <w:tab w:leader="none" w:pos="36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6" w:lineRule="exact"/>
        <w:rPr>
          <w:rFonts w:ascii="Times New Roman" w:cs="Times New Roman" w:eastAsia="Times New Roman" w:hAnsi="Times New Roman"/>
          <w:sz w:val="18"/>
          <w:szCs w:val="18"/>
          <w:color w:val="auto"/>
        </w:rPr>
      </w:pPr>
    </w:p>
    <w:p>
      <w:pPr>
        <w:jc w:val="both"/>
        <w:ind w:left="368" w:hanging="368"/>
        <w:spacing w:after="0"/>
        <w:tabs>
          <w:tab w:leader="none" w:pos="36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state laws governing the privacy and security of health information in certain circumstances, many of which differ from each other in significant ways and often are not preempted by HIPAA, thus complicating compliance efforts, and analogous foreign laws and regulations. If our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and exclusion from participation in federal and state healthcare programs, and responsible individuals may be subject to imprisonment.</w:t>
      </w:r>
    </w:p>
    <w:p>
      <w:pPr>
        <w:spacing w:after="0" w:line="182" w:lineRule="exact"/>
        <w:rPr>
          <w:sz w:val="20"/>
          <w:szCs w:val="20"/>
          <w:color w:val="auto"/>
        </w:rPr>
      </w:pPr>
    </w:p>
    <w:p>
      <w:pPr>
        <w:ind w:left="4868"/>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475615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8"/>
          </w:cols>
          <w:pgMar w:left="972" w:top="1132" w:right="339" w:bottom="1440" w:gutter="0" w:footer="0" w:header="0"/>
        </w:sectPr>
      </w:pPr>
    </w:p>
    <w:bookmarkStart w:id="32" w:name="page33"/>
    <w:bookmarkEnd w:id="32"/>
    <w:p>
      <w:pPr>
        <w:ind w:left="520"/>
        <w:spacing w:after="0"/>
        <w:rPr>
          <w:sz w:val="20"/>
          <w:szCs w:val="20"/>
          <w:color w:val="auto"/>
        </w:rPr>
      </w:pPr>
      <w:r>
        <w:rPr>
          <w:rFonts w:ascii="Arial" w:cs="Arial" w:eastAsia="Arial" w:hAnsi="Arial"/>
          <w:sz w:val="18"/>
          <w:szCs w:val="18"/>
          <w:b w:val="1"/>
          <w:bCs w:val="1"/>
          <w:i w:val="1"/>
          <w:iCs w:val="1"/>
          <w:color w:val="auto"/>
        </w:rPr>
        <w:t>Health Care Reform &amp; Legislative Updates</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ACA was enacted, which,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This includes aggregate reductions of Medicare payments to providers up to 2% per fiscal year. Subsequent legislation extended the 2% payment reduction which remains in effect through 2031. Under current legislation the actual reduction in Medicare payments will vary from 1% in 2022 to up to 4% in the final fiscal year of this sequester. Due to the Statutory Pay-As-You-Go Act of 2010, estimated budget deficit increases resulting from the American Rescue Plan Act of 2021, and subsequent legislation,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 The American Rescue Plan Act of 2021 eliminates the statutory Medicaid drug rebate cap, currently set at 100% of a drug’s average manufacturer price, for single source and innovator multiple source drugs, beginning January 1, 2024.</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Inflation Reduction Act of 2022, or IRA, includes several provisions that may impact our business to varying degrees. This includes provisions that reduce the out-of-pocket cap for Medicare Part D beneficiaries to $2,000 starting in 2025; impose new manufacturer financial liability on certain drugs under Medicare Part D; and require companies to pay rebates to Medicare for certain drugs whose prices have increased faster than inflation. The IRA also allows DHHS to negotiate Medicare Part B and Part D price caps for certain high -cost drugs and biologics without generic or biosimilar competition. For a biological product to be selected for participation in the Medicare drug price negotiation program, at least 11 years must have elapsed since the biological product was licensed by FDA for its first indication. FDA approval of future indications or changes to a formulation of a product will not delay or halt this timing. Further, under the IRA, orphan drugs are exempted from the Medicare drug price negotiation program, but only if they have one orphan designation and for which the only approved indication is for that rare disease or condition. If a product receives multiple orphan designations or has multiple approved indications, it may not qualify for the orphan drug exemption. The implementation of the IRA is currently subject to ongoing litigation that challenges the constitutionality of the IRA’s drug price negotiation program provisions. The outcome of this litigation as well as the effects of the IRA on our business and the healthcare industry in general are not yet known.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Regulation in the EU</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Similar to the United States, the various phases of preclinical and clinical research in the EU are subject to significant regulatory controls. In April 2014, the EU adopted a Clinical Trials Regulation (EU) No 536/2014, which replaced the Clinical Trials Directive 2001/20/EC on January 31, 2022. The Clinical Trials Regulation is directly applicable in all Member States (and so does not require national implementing legislation in each Member State), and aims at simplifying and streamlining the approval of clinical studies in the EU. For example, a single application is now made through the Clinical Trials Information System, or CTIS, for clinical trial authorization in up to 30 European Economic Area (i.e. the EU Member States plus Iceland, Liechtenstein and Norway), or EEA, countries at the same time and with a single set of documentation.</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continues to be governed by the national law of the concerned EU Member State, however overall related timelines are defined by the Clinical Trials Regulation. The Clinical Trials Regulation also provides for simplified reporting procedures for clinical trial sponsors.</w:t>
      </w:r>
    </w:p>
    <w:p>
      <w:pPr>
        <w:spacing w:after="0" w:line="18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have a SME status with the EMA as a small and medium-sized enterprise. This enables us to continue to have access to administrative, regulatory and financial support, including fee reductions for scientific advice and regulatory procedures.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Drug Review and Approval</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EU, medicinal products can only be commercialized after obtaining an MA. There are two types of MAs.</w:t>
      </w:r>
    </w:p>
    <w:p>
      <w:pPr>
        <w:spacing w:after="0" w:line="32" w:lineRule="exact"/>
        <w:rPr>
          <w:sz w:val="20"/>
          <w:szCs w:val="20"/>
          <w:color w:val="auto"/>
        </w:rPr>
      </w:pPr>
    </w:p>
    <w:p>
      <w:pPr>
        <w:jc w:val="both"/>
        <w:ind w:left="1020" w:hanging="368"/>
        <w:spacing w:after="0" w:line="23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centralized MA is issued by the European Commission through the centralized procedure,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 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We therefore consider our product candidates would fall within the mandatory scope of the centralized procedure. The centralized procedure is optional for products containing a new active substance not yet authorized in the EU, or for products that constitute a significant therapeutic, scientific or technical innovation or which are in the interest of public health in the EU. Under the centralized procedure, the maximum timeframe for the evaluation of an MA application by the EMA is 210 days, excluding clock stops, when additional written or oral information is to be provided by the applicant in response to questions asked by the CHMP. Clock stops may extend the timeframe of evaluation of an MA application considerably beyond 210 days. Where the CHMP gives a positive opinion, the EMA provides the opinion together with supporting documentation to the European Commission, who makes the final decision to grant an MA,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an MA application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6" w:lineRule="exact"/>
        <w:rPr>
          <w:rFonts w:ascii="Times New Roman" w:cs="Times New Roman" w:eastAsia="Times New Roman" w:hAnsi="Times New Roman"/>
          <w:sz w:val="18"/>
          <w:szCs w:val="18"/>
          <w:color w:val="auto"/>
        </w:rPr>
      </w:pPr>
    </w:p>
    <w:p>
      <w:pPr>
        <w:jc w:val="both"/>
        <w:ind w:left="1020" w:hanging="368"/>
        <w:spacing w:after="0" w:line="243"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4" w:name="page35"/>
    <w:bookmarkEnd w:id="34"/>
    <w:p>
      <w:pPr>
        <w:jc w:val="both"/>
        <w:ind w:firstLine="509"/>
        <w:spacing w:after="0" w:line="252"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part of its marketing authorization process, the EMA may grant MAs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CHMP to recommend the granting of an MA, subject to certain specific obligations to be reviewed annually, which is referred to as a conditional MA. This may apply to medicinal products for human use that fall under the jurisdiction of the EMA, including those that are aimed at the treatment, the prevention, or the medical diagnosis of seriously debilitating or life-threatening diseases.</w:t>
      </w:r>
    </w:p>
    <w:p>
      <w:pPr>
        <w:spacing w:after="0" w:line="18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Regulation (EC) No 1901/2006 provides that prior to obtaining an MA in the EU, applicants have to demonstrate compliance with all measures included in an EMA-approved pediatric investigation plan, or PIP, covering all subsets of the pediatric population, unless the EMA has granted: (1) a product-specific waiver, (2) a class waiver or (3) a deferral for one or more of the measures included in the PIP.</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Chemical Entity Exclusivity</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EU, innovative medicinal products approved on the basis of a complete and independent data package qualify for eight years of data exclusivity upon the grant of an MA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 for a period of eight years from the date on which the reference product was first authorized in the EU. During the additional two-year period of market exclusivity, a generic or biosimilar MA can be submitted and authorized, and the innovator’s data may be referenced, but no generic or biosimilar product can be placed on the EU market until the expiration of the market exclusivity period. The overall ten-year period will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exclusivity, another company may market another version of the product if such company obtained an MA based on an application with a complete and independent data package of pharmaceutical tests, preclinical tests and clinical trials.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the EU, the European Commission grants an orphan designation in respect of a product if its sponsor can establish that the product is intended for the diagnosis, prevention or treatment of a life-threatening or chronically debilitating condition and either (i) such condition affects no more than 5 in 10,000 persons in the EU when the application is made, or (ii) without incentives, it is unlikely that the marketing of the medicine would generate sufficient return in the EU to justify the necessary investment in its development. In each case, there must be no satisfactory method of diagnosis, prevention or treatment of the condition which has been authorized (or, if such a method exists, the product in question would be of significant benefit to those affected by the applicable condition).</w:t>
      </w:r>
    </w:p>
    <w:p>
      <w:pPr>
        <w:spacing w:after="0" w:line="18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EU, orphan designation entitles a party to financial incentives such as reduction of fees or fee waivers and ten years of market exclusivity is granted following the grant of an MA for the orphan product. This period may be reduced to six years if, at the end of the fifth year, it is established that the orphan designation criteria are no longer met, including where it is shown that the product is sufficiently profitable not to justify maintenance of market exclusivity. During the period of market exclusivity, an MA may only be granted to a “similar medicinal product” for the same therapeutic indication as an authorized orphan product if: (i) a second applicant can establish that its product, although similar to the authorized product, is safer, more effective or otherwise clinically superior; (ii) the MA holder for the authorized product consents to a second orphan medicinal product application; or (iii) the MA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Orphan designation must be requested before submitting an application for an MA. Orphan designation does not convey any advantage in, or shorten the duration of, the regulatory review and approval process.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All new MA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conducting of additional clinical trials or post-authorization safety studies.</w:t>
      </w:r>
    </w:p>
    <w:p>
      <w:pPr>
        <w:spacing w:after="0" w:line="17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usually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8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Regulation of Combination Products</w:t>
      </w:r>
    </w:p>
    <w:p>
      <w:pPr>
        <w:spacing w:after="0" w:line="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 In the case of drug-delivery products intended to administer a medicinal product where the device and the medicinal product do not form a single integral product (i.e. where the medicinal product and the device do not form a single product which is intended exclusively for use in the given combination and which is not reusable), the medicinal product is regulated in accordance with the aforementioned rules while the device part is regulated as a medical device and will have to comply with all the requirements set forth by Regulation 2017/745, or the Medical Devices Regulation (which became applicable on May 26, 2021 and repealed the EU Council Directive 93/42/EEC, or the Medical Devices Directive). There is a transition period until December 31, 2028 at the latest during which certificates issued under the Medical Devices Directive remain valid, to ensure that there is sufficient time for devices to be re-certified subject to certain conditions (including compliance with requirements for market surveillance and quality management systems under the Medical Devices Regulation, and engagement with notified bodies).</w:t>
      </w:r>
    </w:p>
    <w:p>
      <w:pPr>
        <w:spacing w:after="0" w:line="18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jc w:val="both"/>
        <w:spacing w:after="0" w:line="246" w:lineRule="auto"/>
        <w:rPr>
          <w:sz w:val="20"/>
          <w:szCs w:val="20"/>
          <w:color w:val="auto"/>
        </w:rPr>
      </w:pPr>
      <w:r>
        <w:rPr>
          <w:rFonts w:ascii="Arial" w:cs="Arial" w:eastAsia="Arial" w:hAnsi="Arial"/>
          <w:sz w:val="18"/>
          <w:szCs w:val="18"/>
          <w:color w:val="auto"/>
        </w:rPr>
        <w:t>device is specifically provided for in the product information of the medicinal product, additional information may need to be provided in the MA application for the medicinal product on the characteristics of the medical device(s) that may impact on the quality, safety and/or efficacy of the medicinal product. The requirements regarding quality aspects for integral drug-device combination products, including devices that are co-packaged with medicinal products, are outlined in an EMA guideline which came into effect on January 1, 2022.</w:t>
      </w:r>
    </w:p>
    <w:p>
      <w:pPr>
        <w:spacing w:after="0" w:line="17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For a medical device to obtain a CE mark under the Medical Devices Regulation, the device must meet the relevant general safety and performance requirements laid down in Annex I of the Medical Devices Regulation. The most fundamental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laid down in Annex I to the Medical Devices Regulation, medical device manufacturers must undergo a conformity assessment procedure, which varies according to the type of medical device and its (risk) classification. Conformity assessment procedures require an assessment of available clinical evidence, literature data for the product, and post-market experience in respect of similar products already marketed. Except for low-risk medical devices (Class I non-sterile, non-measuring devices), where the manufacturer can self-declare the conformity of its products with the general safety and performance requirements (except for any parts which relate to sterility or metrology), a conformity assessment procedure requires the intervention of a notified body. Notified bodies are independent organizations designated by EU countries to assess the conformity of devices before being placed on the market.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8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aforementioned EU rules are generally applicable in the EEA.</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Reform of the Regulatory Framework in the European Union</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European Commission introduced legislative proposals in April 2023 that, if implemented, will replace the current regulatory framework in the EU for all medicines (including those for rare diseases and for children). The European Commission has provided the legislative proposals to the European Parliament and the European Council for their review and approval. In October 2023, the European Parliament published draft reports proposing amendments to the legislative proposals, which will be debated by the European Parliament. Once the European Commission’s legislative proposals are approved (with or without amendment), they will be adopted into EU law.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EU, pricing and reimbursement schemes vary widely from country to country.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Some countries provide that products may be marketed only after a reimbursement price has been agreed. Some countries may require the completion of additional studies that compare the cost-effectiveness of a particular product candidate to currently available therapies (so-called health technology assessments) in order to obtain reimbursement or pricing approval.</w:t>
      </w:r>
    </w:p>
    <w:p>
      <w:pPr>
        <w:spacing w:after="0" w:line="18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EU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7" w:name="page38"/>
    <w:bookmarkEnd w:id="37"/>
    <w:p>
      <w:pPr>
        <w:jc w:val="both"/>
        <w:spacing w:after="0" w:line="238" w:lineRule="auto"/>
        <w:rPr>
          <w:sz w:val="20"/>
          <w:szCs w:val="20"/>
          <w:color w:val="auto"/>
        </w:rPr>
      </w:pPr>
      <w:r>
        <w:rPr>
          <w:rFonts w:ascii="Arial" w:cs="Arial" w:eastAsia="Arial" w:hAnsi="Arial"/>
          <w:sz w:val="18"/>
          <w:szCs w:val="18"/>
          <w:color w:val="auto"/>
        </w:rPr>
        <w:t>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Special pricing and reimbursement rules may apply to orphan medicinal products. Inclusion of orphan medicinal products in reimbursement systems tend to focus on the medical usefulness, need, quality and economic benefits to patients and the healthcare system as for any medicinal product. Acceptance of any medicinal product for reimbursement may come with cost, use and often volume restrictions, which again can vary by country. In addition, results-based rules of reimbursement may apply.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European Data Collection</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collection, use, or other processing of personal data, including clinical trial data, regarding individuals in the EEA is governed by the EU General Data Protection Regulation, or GDPR, and similar processing of personal data regarding individuals in the UK, is governed by the UK General Data Protection Regulation, or UK GDPR, and the UK Data Protection Act 2018. In this document, “GDPR” refers to both the EU GDPR and the UK GDPR, unless specified otherwise. The GDPR applies to any company established in the EEA/UK and to companies established outside the EEA/UK that process personal data in connection with the offering of goods or services to, or the monitoring of the behavior of data subjects in the EEA/UK. The GDPR enhances data protection obligations for companies processing personal data, including stringent requirements relating to ensuring an appropriate legal basis applies to the processing of personal data, expanded disclosures about how personal data is used, requirements to conduct data protection impact assessments for “high risk” processing, limitations on retention of personal data, special provisions for “sensitive information” including health and genetic information of data subjects, mandatory data breach notification and “privacy by design” requirements and direct obligations on service providers acting as processors. The GDPR also imposes strict rules and restrictions on the transfer of personal data outside of the EEA/UK to countries that do not ensure an adequate level of protection, like the United States. Failure to comply with the requirements of the GDPR and the related national data protection laws of the EEA Member States/UK may result in fines up to 20 million euros (£17.5 million under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infringement of the GDPR.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the UK</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Brexit and the Regulatory Framework in the UK</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UK formally left the EU on January 31, 2020, and the UK and the EU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EU Clinical Trials Regulation,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a new framework mentioned below which was put in place by the Medicines and Healthcare products Regulatory Agency, or MHRA, the UK medicines regulator, on January 1, 2024, the MHRA may take into account decisions on the approval of MAs from the EMA (and certain other regulators) when considering an application for a Great Britain MA.</w:t>
      </w:r>
    </w:p>
    <w:p>
      <w:pPr>
        <w:spacing w:after="0" w:line="18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8" w:name="page39"/>
    <w:bookmarkEnd w:id="38"/>
    <w:p>
      <w:pPr>
        <w:jc w:val="both"/>
        <w:spacing w:after="0" w:line="241" w:lineRule="auto"/>
        <w:rPr>
          <w:sz w:val="20"/>
          <w:szCs w:val="20"/>
          <w:color w:val="auto"/>
        </w:rPr>
      </w:pPr>
      <w:r>
        <w:rPr>
          <w:rFonts w:ascii="Arial" w:cs="Arial" w:eastAsia="Arial" w:hAnsi="Arial"/>
          <w:sz w:val="18"/>
          <w:szCs w:val="18"/>
          <w:color w:val="auto"/>
        </w:rPr>
        <w:t>including with respect to the regulation of medicinal products in the UK. In particular, the MHRA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Data Privacy and Security Laws and Regulations</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collect, store, transmit and process sensitive and confidential data and information, including health information, and personal data. As we seek to expand our business, we are, and will increasingly become, subject to numerous state, federal and foreign laws, regulations, rules and government and industry standards relating to the collection, use, retention, security, disclosure, transfer and other processing of sensitive and personal information in the jurisdictions in which we operate. The regulatory framework for data privacy, data security and data transfers worldwide is rapidly evolving, and there has been an increasing focus on privacy and data protection issues.</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health information. HIPAA, as amended by HITECH, and their implementing regulations impose obligations on covered entities, such as health plans, healthcare clearinghouses and certain healthcare providers, as well as business associates that provide services involving the use or disclosure of personal health information to or on behalf of covered entities. These obligations, such as mandatory contractual terms, relate to safeguarding the privacy and security of protected health information. Many states also have laws governing the privacy and security of health information in certain circumstances, many of which differ from each other in significant ways and often are not preempted by HIPAA. In addition, many states and foreign countries in which we operate have laws that protect the privacy and security of sensitive and personal information. Certain of these laws may be more stringent or broader in scope, or offer greater individual rights, with respect to sensitive and personal information than federal, international or other state laws, and such laws may differ from each other.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of February 29, 2024, we had 88 full-time employees and 1 part-time employee, of which 21 have M.D. (or its equivalent), Ph.D. or J.D. degrees. Within our workforce, 69 employees are engaged in research and development and 20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stockholder value and the success of our company by motivating such individuals to perform to the best of their abilities and achieve our objectives.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Internet address is www.aurabiosciences.com. Our Annual Reports on Form 10-K, Quarterly Reports on Form 10-Q, Current Reports on Form 8-K, including exhibits, proxy and information statements and amendments to those reports filed or furnished pursuant to Sections 13(a), 14, and 15(d) of the Exchange Act are available through the “Investors &amp; Media” portion of our website free of charge as soon as reasonably practicable after we electronically file such material with, or furnish it to, the Securities and Exchange Commission, or SEC. Information on our website is not part of this Annual Report or any of our other securities filings unless specifically incorporated herein by reference. We have included our website address in this Annual Report solely as an inactive textual reference. Our filings with the SEC may be accessed through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1A. Risk Factors.</w:t>
      </w:r>
    </w:p>
    <w:p>
      <w:pPr>
        <w:spacing w:after="0" w:line="6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Annual Report on Form 10-K, including our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7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$76.4 million and $58.8 million for the years ended December 31, 2023 and 2022, respectively. As of December 31, 2023, we had an accumulated deficit of $287.3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We have no products approved for commercial sale and, therefore, have never generated any revenue from product sales, and we do not expect to in the foreseeable future. Even if we do become profitable, we may not be able to sustain or increase our profitability on a quarterly or annual basis.</w:t>
      </w:r>
    </w:p>
    <w:p>
      <w:pPr>
        <w:spacing w:after="0" w:line="18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product sales. We have no products approved for commercial sale,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 w:lineRule="exact"/>
        <w:rPr>
          <w:sz w:val="20"/>
          <w:szCs w:val="20"/>
          <w:color w:val="auto"/>
        </w:rPr>
      </w:pPr>
    </w:p>
    <w:p>
      <w:pPr>
        <w:jc w:val="both"/>
        <w:ind w:left="1020" w:hanging="368"/>
        <w:spacing w:after="0" w:line="248"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bel-sar in primary choroidal melanoma and, additional oncology indications, including NMIBC, other research programs from our VDC technology platform and any future product candidates;</w:t>
      </w: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3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 CDMO for bel-sar and any future product candidates, including establishing and maintaining commercially viable supply and manufacturing relationships with third parties;</w:t>
      </w:r>
    </w:p>
    <w:p>
      <w:pPr>
        <w:ind w:left="1020" w:hanging="368"/>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ind w:left="1020" w:hanging="368"/>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0" w:name="page41"/>
    <w:bookmarkEnd w:id="40"/>
    <w:p>
      <w:pPr>
        <w:jc w:val="both"/>
        <w:ind w:firstLine="509"/>
        <w:spacing w:after="0" w:line="246"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1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our current operating plan, we believe that our existing cash and cash equivalents and marketable securities will be sufficient to fund our operating expenses and capital expenditures into the second half of 2026.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and commercialization of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1" w:name="page42"/>
    <w:bookmarkEnd w:id="41"/>
    <w:p>
      <w:pPr>
        <w:jc w:val="both"/>
        <w:ind w:firstLine="509"/>
        <w:spacing w:after="0" w:line="237"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18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4" w:lineRule="exact"/>
        <w:rPr>
          <w:sz w:val="20"/>
          <w:szCs w:val="20"/>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2" w:name="page43"/>
    <w:bookmarkEnd w:id="42"/>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regulatory approval and commercialization of our product candidates.</w:t>
      </w:r>
    </w:p>
    <w:p>
      <w:pPr>
        <w:spacing w:after="0" w:line="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4" w:lineRule="exact"/>
        <w:rPr>
          <w:sz w:val="20"/>
          <w:szCs w:val="20"/>
          <w:color w:val="auto"/>
        </w:rPr>
      </w:pPr>
    </w:p>
    <w:p>
      <w:pPr>
        <w:jc w:val="both"/>
        <w:ind w:left="1020" w:hanging="368"/>
        <w:spacing w:after="0" w:line="24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bel-sar in indeterminate lesions and primary choroidal melanoma and additional oncology indications, including but not limited to bladder cancer, other research programs from our VDC technology platform, and any other future programs;</w:t>
      </w:r>
    </w:p>
    <w:p>
      <w:pPr>
        <w:ind w:left="1020" w:hanging="368"/>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ind w:left="1020" w:hanging="368"/>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ind w:left="1020" w:hanging="368"/>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 CDMO including obtaining finished products that are appropriately packaged for sale;</w:t>
      </w:r>
    </w:p>
    <w:p>
      <w:pPr>
        <w:jc w:val="both"/>
        <w:ind w:left="1020" w:hanging="368"/>
        <w:spacing w:after="0" w:line="249"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ind w:left="1020" w:hanging="368"/>
        <w:spacing w:after="0" w:line="255"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8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2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4" w:name="page45"/>
    <w:bookmarkEnd w:id="44"/>
    <w:p>
      <w:pPr>
        <w:jc w:val="both"/>
        <w:ind w:firstLine="509"/>
        <w:spacing w:after="0" w:line="238"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spacing w:after="0" w:line="10" w:lineRule="exact"/>
        <w:rPr>
          <w:sz w:val="20"/>
          <w:szCs w:val="20"/>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34"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1020" w:right="20" w:hanging="368"/>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4"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20" w:right="20" w:hanging="368"/>
        <w:spacing w:after="0" w:line="257"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ind w:left="1020" w:right="20" w:hanging="368"/>
        <w:spacing w:after="0" w:line="255"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ind w:left="1020" w:hanging="368"/>
        <w:spacing w:after="0" w:line="259"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7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5" w:name="page46"/>
    <w:bookmarkEnd w:id="45"/>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have initiated but not yet completed a pivotal clinical trial nor have we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indeterminate lesions and primary choroidal melanoma. We have not yet demonstrated an ability to successfully complete pivotal clinical trials, though we have an ongoing global Phase 3 trial in small choroidal melanomas and indeterminate lesions,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our first pivotal trial based on an adaptive design, which could increase the time spent on or costs associated with this trial. We are in the process of transferring our intended commercial manufacturing process to our intended external CDMO commercial manufacturing site. During this transfer process, some modifications may be needed to ensure manufacturability and ability to scale-up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develop additional product candidates, or obtain additional indications of our first product candidate, our commercial opportunity could be limited.</w:t>
      </w:r>
    </w:p>
    <w:p>
      <w:pPr>
        <w:spacing w:after="0" w:line="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SCS and activation by a laser. For ocular oncology indications, we use Clearside’s SCS Microinjector®, or the SCS Microinjector, to deliver bel-sar into the SCS. In the United States, we plan to submit a single BLA for the review and approval of this combination of bel-sar with the SCS Microinjector and the laser(s) in our initial target indication of indeterminate lesions and small choroidal melanoma, but subsequent indications and delivery systems may require different or additional applications for marketing authorization. The SCS Microinjector was approved by FDA in October 2021 as a constituent of the drug/device combination product XIPERE®.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 medical devices must be authorized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p>
    <w:p>
      <w:pPr>
        <w:spacing w:after="0" w:line="1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primary choroidal melanoma is a rare disease and as such clinical trial recruitment estimates may be inaccurate and such recruitment may take longer than expected.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4"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trials with similar eligibility criteria;</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p>
    <w:p>
      <w:pPr>
        <w:spacing w:after="0" w:line="1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currently conducting a clinical trial at sites in Ireland, the UK, Canada, Australia, Austria, Italy, Greece, South Korea, Israel, Germany, France, Spain, Denmark, Sweden, Belgium, and the Czech Republic, and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48" w:name="page49"/>
    <w:bookmarkEnd w:id="48"/>
    <w:p>
      <w:pPr>
        <w:jc w:val="both"/>
        <w:ind w:firstLine="509"/>
        <w:spacing w:after="0" w:line="243"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49" w:name="page50"/>
    <w:bookmarkEnd w:id="49"/>
    <w:p>
      <w:pPr>
        <w:jc w:val="both"/>
        <w:ind w:firstLine="509"/>
        <w:spacing w:after="0" w:line="238"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when studied in a controlled environment with a placebo or active control.</w:t>
      </w:r>
    </w:p>
    <w:p>
      <w:pPr>
        <w:spacing w:after="0" w:line="18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 -sar has been evaluated in clinical trials, unexpected side effects may still arise in our ongoing or any future clinical trials. These side effects have included pigmentary changes around the tumor margin and vision loss.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83" w:lineRule="exact"/>
        <w:rPr>
          <w:sz w:val="20"/>
          <w:szCs w:val="20"/>
          <w:color w:val="auto"/>
        </w:rPr>
      </w:pPr>
    </w:p>
    <w:p>
      <w:pPr>
        <w:jc w:val="both"/>
        <w:ind w:right="20" w:firstLine="509"/>
        <w:spacing w:after="0" w:line="250"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4"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jc w:val="both"/>
        <w:ind w:left="1020" w:hanging="368"/>
        <w:spacing w:after="0" w:line="249"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spacing w:after="0" w:line="2"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0" w:name="page51"/>
    <w:bookmarkEnd w:id="50"/>
    <w:p>
      <w:pPr>
        <w:jc w:val="both"/>
        <w:ind w:firstLine="509"/>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5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4" w:lineRule="exact"/>
        <w:rPr>
          <w:sz w:val="20"/>
          <w:szCs w:val="20"/>
          <w:color w:val="auto"/>
        </w:rPr>
      </w:pPr>
    </w:p>
    <w:p>
      <w:pPr>
        <w:ind w:left="1020" w:hanging="368"/>
        <w:spacing w:after="0" w:line="257"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ind w:left="1020" w:hanging="368"/>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IRBs or ethics committees may delay or may not authorize us or our investigators to commence a clinical trial or conduct a clinical trial at a prospective trial site;</w:t>
      </w:r>
    </w:p>
    <w:p>
      <w:pPr>
        <w:jc w:val="both"/>
        <w:ind w:left="1020" w:hanging="368"/>
        <w:spacing w:after="0" w:line="24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1020" w:hanging="368"/>
        <w:spacing w:after="0" w:line="249"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2"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jc w:val="both"/>
        <w:ind w:left="1020" w:hanging="368"/>
        <w:spacing w:after="0" w:line="24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jc w:val="both"/>
        <w:ind w:left="1020" w:hanging="368"/>
        <w:spacing w:after="0" w:line="24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jc w:val="both"/>
        <w:ind w:left="1020" w:hanging="368"/>
        <w:spacing w:after="0" w:line="248"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ind w:left="1020" w:hanging="368"/>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jc w:val="both"/>
        <w:ind w:left="1020" w:right="20" w:hanging="368"/>
        <w:spacing w:after="0" w:line="248"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ind w:left="1020" w:hanging="368"/>
        <w:spacing w:after="0"/>
        <w:tabs>
          <w:tab w:leader="none" w:pos="1020" w:val="left"/>
        </w:tabs>
        <w:numPr>
          <w:ilvl w:val="0"/>
          <w:numId w:val="25"/>
        </w:numPr>
        <w:rPr>
          <w:rFonts w:ascii="Times New Roman" w:cs="Times New Roman" w:eastAsia="Times New Roman" w:hAnsi="Times New Roman"/>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1" w:name="page52"/>
    <w:bookmarkEnd w:id="51"/>
    <w:p>
      <w:pPr>
        <w:jc w:val="both"/>
        <w:ind w:firstLine="509"/>
        <w:spacing w:after="0" w:line="239"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 w:lineRule="exact"/>
        <w:rPr>
          <w:sz w:val="20"/>
          <w:szCs w:val="20"/>
          <w:color w:val="auto"/>
        </w:rPr>
      </w:pPr>
    </w:p>
    <w:p>
      <w:pPr>
        <w:ind w:left="1020" w:right="20" w:hanging="368"/>
        <w:spacing w:after="0" w:line="270"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2" w:name="page53"/>
    <w:bookmarkEnd w:id="52"/>
    <w:p>
      <w:pPr>
        <w:ind w:left="1020" w:hanging="368"/>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1020" w:hanging="368"/>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48"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FDCA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unable to obtain ODD for additional indications,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3" w:name="page54"/>
    <w:bookmarkEnd w:id="53"/>
    <w:p>
      <w:pPr>
        <w:jc w:val="both"/>
        <w:ind w:firstLine="509"/>
        <w:spacing w:after="0" w:line="241"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ODDs for some or all of our current or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5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4" w:name="page55"/>
    <w:bookmarkEnd w:id="54"/>
    <w:p>
      <w:pPr>
        <w:jc w:val="both"/>
        <w:ind w:firstLine="509"/>
        <w:spacing w:after="0" w:line="239"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choroidal metastasis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FDA’s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spacing w:after="0" w:line="2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have obtained agreement from the FDA on the design and planned analysis of our global Phase 3 trial of bel-sar for the treatment of early-stage choroidal melanoma through an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spacing w:after="0" w:line="17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5" w:name="page56"/>
    <w:bookmarkEnd w:id="55"/>
    <w:p>
      <w:pPr>
        <w:jc w:val="both"/>
        <w:ind w:firstLine="509"/>
        <w:spacing w:after="0" w:line="246" w:lineRule="auto"/>
        <w:rPr>
          <w:sz w:val="20"/>
          <w:szCs w:val="20"/>
          <w:color w:val="auto"/>
        </w:rPr>
      </w:pPr>
      <w:r>
        <w:rPr>
          <w:rFonts w:ascii="Arial" w:cs="Arial" w:eastAsia="Arial" w:hAnsi="Arial"/>
          <w:sz w:val="18"/>
          <w:szCs w:val="18"/>
          <w:color w:val="auto"/>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7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Moreover, if the FDA revokes or alters its agreement under the SPA, or interprets the data collected from the clinical trial differently than we do, the FDA may not deem the data sufficient to support an application for regulatory approval of bel-sar for the treatment of indeterminate lesions and choroidal melanoma.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2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plan to use a clinical CRO for the pivotal trial for bel-sar for the treatment of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56" w:name="page57"/>
    <w:bookmarkEnd w:id="56"/>
    <w:p>
      <w:pPr>
        <w:jc w:val="both"/>
        <w:spacing w:after="0" w:line="252" w:lineRule="auto"/>
        <w:rPr>
          <w:sz w:val="20"/>
          <w:szCs w:val="20"/>
          <w:color w:val="auto"/>
        </w:rPr>
      </w:pPr>
      <w:r>
        <w:rPr>
          <w:rFonts w:ascii="Arial" w:cs="Arial" w:eastAsia="Arial" w:hAnsi="Arial"/>
          <w:sz w:val="18"/>
          <w:szCs w:val="18"/>
          <w:color w:val="auto"/>
        </w:rPr>
        <w:t>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1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8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79"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7"/>
          <w:szCs w:val="17"/>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5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2" w:lineRule="exact"/>
        <w:rPr>
          <w:sz w:val="20"/>
          <w:szCs w:val="20"/>
          <w:color w:val="auto"/>
        </w:rPr>
      </w:pPr>
    </w:p>
    <w:p>
      <w:pPr>
        <w:ind w:left="5520" w:right="1760" w:hanging="4868"/>
        <w:spacing w:after="0" w:line="536" w:lineRule="auto"/>
        <w:tabs>
          <w:tab w:leader="none" w:pos="1022"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57" w:name="page58"/>
    <w:bookmarkEnd w:id="57"/>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third-party manufacturers;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34" w:lineRule="exact"/>
        <w:rPr>
          <w:rFonts w:ascii="Times New Roman" w:cs="Times New Roman" w:eastAsia="Times New Roman" w:hAnsi="Times New Roman"/>
          <w:sz w:val="18"/>
          <w:szCs w:val="18"/>
          <w:color w:val="auto"/>
        </w:rPr>
      </w:pPr>
    </w:p>
    <w:p>
      <w:pPr>
        <w:ind w:left="1020" w:right="20" w:hanging="368"/>
        <w:spacing w:after="0" w:line="257"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1" w:lineRule="exact"/>
        <w:rPr>
          <w:sz w:val="20"/>
          <w:szCs w:val="20"/>
          <w:color w:val="auto"/>
        </w:rPr>
      </w:pPr>
    </w:p>
    <w:p>
      <w:pPr>
        <w:ind w:left="5520" w:right="3680" w:hanging="4868"/>
        <w:spacing w:after="0" w:line="536" w:lineRule="auto"/>
        <w:tabs>
          <w:tab w:leader="none" w:pos="1022"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bel-sar and our VLP technology, and any future product candidates;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292735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8" w:name="page59"/>
    <w:bookmarkEnd w:id="58"/>
    <w:p>
      <w:pPr>
        <w:ind w:left="1020" w:hanging="368"/>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38" w:lineRule="exact"/>
        <w:rPr>
          <w:rFonts w:ascii="Times New Roman" w:cs="Times New Roman" w:eastAsia="Times New Roman" w:hAnsi="Times New Roman"/>
          <w:sz w:val="18"/>
          <w:szCs w:val="18"/>
          <w:color w:val="auto"/>
        </w:rPr>
      </w:pPr>
    </w:p>
    <w:p>
      <w:pPr>
        <w:jc w:val="both"/>
        <w:ind w:left="1020" w:hanging="368"/>
        <w:spacing w:after="0" w:line="249"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spacing w:after="0" w:line="2" w:lineRule="exact"/>
        <w:rPr>
          <w:rFonts w:ascii="Times New Roman" w:cs="Times New Roman" w:eastAsia="Times New Roman" w:hAnsi="Times New Roman"/>
          <w:sz w:val="18"/>
          <w:szCs w:val="18"/>
          <w:color w:val="auto"/>
        </w:rPr>
      </w:pPr>
    </w:p>
    <w:p>
      <w:pPr>
        <w:jc w:val="both"/>
        <w:ind w:left="1020" w:hanging="368"/>
        <w:spacing w:after="0" w:line="248"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SoC for the targeted indications for bel-sar and any future product candidates, which could reduce the marketing impact of any claims that we could make following FDA approval or approval by comparable foreign regulatory authorities, if obtained;</w:t>
      </w:r>
    </w:p>
    <w:p>
      <w:pPr>
        <w:ind w:left="1020" w:hanging="368"/>
        <w:spacing w:after="0" w:line="252"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3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ind w:left="1020" w:hanging="368"/>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bel-sar or competing products and treatments;</w:t>
      </w:r>
    </w:p>
    <w:p>
      <w:pPr>
        <w:spacing w:after="0" w:line="34"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48"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ind w:left="1020" w:hanging="368"/>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2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59" w:name="page60"/>
    <w:bookmarkEnd w:id="59"/>
    <w:p>
      <w:pPr>
        <w:jc w:val="both"/>
        <w:ind w:firstLine="509"/>
        <w:spacing w:after="0" w:line="239" w:lineRule="auto"/>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choroidal melanoma, in the future our competitors may be able to develop other compounds or drugs that are able to achieve similar or better results than us. There are multiple companies that have drugs in clinical development for the treatment of NMIBC that are unresponsive to BCG,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9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w:t>
      </w:r>
      <w:r>
        <w:rPr>
          <w:rFonts w:ascii="Arial" w:cs="Arial" w:eastAsia="Arial" w:hAnsi="Arial"/>
          <w:sz w:val="18"/>
          <w:szCs w:val="18"/>
          <w:i w:val="1"/>
          <w:iCs w:val="1"/>
          <w:color w:val="auto"/>
        </w:rPr>
        <w:t>“Business—Competition</w:t>
      </w:r>
      <w:r>
        <w:rPr>
          <w:rFonts w:ascii="Arial" w:cs="Arial" w:eastAsia="Arial" w:hAnsi="Arial"/>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60" w:name="page61"/>
    <w:bookmarkEnd w:id="60"/>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“Business—Government Regulation—Coverage and Reimbursement.”</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primary choroidal melanoma. Our projections of both the number of people who have choroidal melanoma, as well as additional ocular oncology and bladder cancer indications, are based on our estimates.</w:t>
      </w:r>
    </w:p>
    <w:p>
      <w:pPr>
        <w:spacing w:after="0" w:line="17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choroidal metastasis, and NMIBC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w:t>
      </w:r>
      <w:r>
        <w:rPr>
          <w:rFonts w:ascii="Arial" w:cs="Arial" w:eastAsia="Arial" w:hAnsi="Arial"/>
          <w:sz w:val="18"/>
          <w:szCs w:val="18"/>
          <w:i w:val="1"/>
          <w:iCs w:val="1"/>
          <w:color w:val="auto"/>
        </w:rPr>
        <w:t>Business –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Health Care Laws and Regulations.”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jc w:val="both"/>
        <w:ind w:firstLine="509"/>
        <w:spacing w:after="0" w:line="237"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“Business—Government Regulation—Health Care Reform &amp; Legislative Updates.”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62" w:name="page63"/>
    <w:bookmarkEnd w:id="62"/>
    <w:p>
      <w:pPr>
        <w:jc w:val="both"/>
        <w:ind w:firstLine="509"/>
        <w:spacing w:after="0" w:line="239" w:lineRule="auto"/>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4" w:lineRule="exact"/>
        <w:rPr>
          <w:sz w:val="20"/>
          <w:szCs w:val="20"/>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3" w:lineRule="exact"/>
        <w:rPr>
          <w:sz w:val="20"/>
          <w:szCs w:val="20"/>
          <w:color w:val="auto"/>
        </w:rPr>
      </w:pPr>
    </w:p>
    <w:p>
      <w:pPr>
        <w:ind w:left="1020" w:hanging="368"/>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ind w:left="1020" w:hanging="368"/>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2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63" w:name="page64"/>
    <w:bookmarkEnd w:id="63"/>
    <w:p>
      <w:pPr>
        <w:jc w:val="both"/>
        <w:ind w:firstLine="509"/>
        <w:spacing w:after="0" w:line="24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8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64" w:name="page65"/>
    <w:bookmarkEnd w:id="64"/>
    <w:p>
      <w:pPr>
        <w:jc w:val="both"/>
        <w:spacing w:after="0" w:line="249"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6" w:lineRule="exact"/>
        <w:rPr>
          <w:sz w:val="20"/>
          <w:szCs w:val="20"/>
          <w:color w:val="auto"/>
        </w:rPr>
      </w:pP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48"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ind w:left="1020" w:hanging="368"/>
        <w:spacing w:after="0" w:line="252"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48"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ind w:left="1020" w:hanging="368"/>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1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8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5" w:name="page66"/>
    <w:bookmarkEnd w:id="65"/>
    <w:p>
      <w:pPr>
        <w:jc w:val="both"/>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our bel-sar or a future product candidate, thereby potentially extending the term of marketing exclusivity for such product, our business may be harmed.</w:t>
      </w:r>
    </w:p>
    <w:p>
      <w:pPr>
        <w:spacing w:after="0" w:line="1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8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6" w:name="page67"/>
    <w:bookmarkEnd w:id="66"/>
    <w:p>
      <w:pPr>
        <w:jc w:val="both"/>
        <w:spacing w:after="0" w:line="249"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7" w:name="page68"/>
    <w:bookmarkEnd w:id="67"/>
    <w:p>
      <w:pPr>
        <w:jc w:val="both"/>
        <w:spacing w:after="0" w:line="272"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spacing w:after="0" w:line="17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8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LI-COR maintains its manufacture of IRDye 700DX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8" w:name="page69"/>
    <w:bookmarkEnd w:id="68"/>
    <w:p>
      <w:pPr>
        <w:jc w:val="both"/>
        <w:ind w:firstLine="509"/>
        <w:spacing w:after="0" w:line="239" w:lineRule="auto"/>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69" w:name="page70"/>
    <w:bookmarkEnd w:id="69"/>
    <w:p>
      <w:pPr>
        <w:jc w:val="both"/>
        <w:ind w:firstLine="509"/>
        <w:spacing w:after="0" w:line="237"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9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70" w:name="page71"/>
    <w:bookmarkEnd w:id="70"/>
    <w:p>
      <w:pPr>
        <w:jc w:val="both"/>
        <w:spacing w:after="0" w:line="271" w:lineRule="auto"/>
        <w:rPr>
          <w:sz w:val="20"/>
          <w:szCs w:val="20"/>
          <w:color w:val="auto"/>
        </w:rPr>
      </w:pPr>
      <w:r>
        <w:rPr>
          <w:rFonts w:ascii="Arial" w:cs="Arial" w:eastAsia="Arial" w:hAnsi="Arial"/>
          <w:sz w:val="18"/>
          <w:szCs w:val="18"/>
          <w:color w:val="auto"/>
        </w:rPr>
        <w:t>future. For example, under Section 174 of the Code, in taxable years beginning after December 31, 2021, expenses that are incurred for research and development in the U.S. will be capitalized and amortized, which may have an adverse effect on our cash flow.</w:t>
      </w:r>
    </w:p>
    <w:p>
      <w:pPr>
        <w:spacing w:after="0" w:line="15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3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breaches from inadvertent or intentional actions (such as error or theft) by our employees, contractors, consultants, business partners, and/or other third parties, phishing attacks, ransomware, denial-of-service attacks, social engineering schemes (including phishing attacks) and other means that affect service reliability and threaten the confidentiality, integrity and availability of information), which may compromise our system infrastructure as well as lead to unauthorized access, disclosure, misuse or acquisition of information.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p>
    <w:p>
      <w:pPr>
        <w:spacing w:after="0" w:line="19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breach or other data and cybersecurity issues. To the extent that any disruption or cybersecurity incident or breach results in a loss of, or damage to, our data or applications, or inappropriate disclosure or misuse of or access to confidential or proprietary information, we could incur liability and the further development of our future product candidates could be delayed.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71" w:name="page72"/>
    <w:bookmarkEnd w:id="71"/>
    <w:p>
      <w:pPr>
        <w:jc w:val="both"/>
        <w:ind w:firstLine="509"/>
        <w:spacing w:after="0" w:line="237"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breach were to occur and the confidentiality, integrity or availability of our data or the data of our collaborators were disrupted, we could incur significant liability, which could negatively affect our business and damage our reputation.</w:t>
      </w:r>
    </w:p>
    <w:p>
      <w:pPr>
        <w:spacing w:after="0" w:line="1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72" w:name="page73"/>
    <w:bookmarkEnd w:id="72"/>
    <w:p>
      <w:pPr>
        <w:jc w:val="both"/>
        <w:ind w:firstLine="509"/>
        <w:spacing w:after="0" w:line="238"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HITECH.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CCPA, which went into effect on January 1, 2020, established a comprehensive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Although there are limited exemptions for protected health information covered under HIPAA and clinical trial data, the CCPA may increase our compliance costs and potential liability. The CCPA was expanded on January 1, 2023, when the California Privacy Rights Act of 2020, or CPRA, became operative. The amendments introduced by the CPRA expanded the scope of the CCPA in a number of ways, including by providing California residents the ability to limit use of certain sensitive information, establishing restrictions on the retention of personal data, expanding the types of data breaches subject to the CCPA’s private right of action and establishing a California Privacy Protection Agency to implement and enforce the legislation.</w:t>
      </w:r>
    </w:p>
    <w:p>
      <w:pPr>
        <w:spacing w:after="0" w:line="18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 comprehensive consumer privacy laws have been passed in numerous other states and a number of other states have proposed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 state recently passed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73" w:name="page74"/>
    <w:bookmarkEnd w:id="73"/>
    <w:p>
      <w:pPr>
        <w:jc w:val="both"/>
        <w:ind w:firstLine="509"/>
        <w:spacing w:after="0" w:line="238"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or personal data. These obligations include, without limitation, several requirements relating to transparency related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spacing w:after="0" w:line="18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UK Government has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74" w:name="page75"/>
    <w:bookmarkEnd w:id="74"/>
    <w:p>
      <w:pPr>
        <w:jc w:val="both"/>
        <w:ind w:firstLine="509"/>
        <w:spacing w:after="0"/>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75" w:name="page76"/>
    <w:bookmarkEnd w:id="75"/>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integrate generative artificial intelligence tools into our systems for specific use cases reviewed by legal and information security. In addition,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AI Act, the world’s first comprehensive AI law,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84"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1"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ind w:left="1020" w:hanging="368"/>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48"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ind w:left="1020" w:hanging="368"/>
        <w:spacing w:after="0" w:line="252"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ind w:left="1020" w:hanging="368"/>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6" w:name="page77"/>
    <w:bookmarkEnd w:id="76"/>
    <w:p>
      <w:pPr>
        <w:ind w:left="1020" w:hanging="368"/>
        <w:spacing w:after="0" w:line="255"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ind w:left="1020" w:hanging="368"/>
        <w:spacing w:after="0" w:line="259"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1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4" w:lineRule="exact"/>
        <w:rPr>
          <w:sz w:val="20"/>
          <w:szCs w:val="20"/>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We do not yet maintain product liability insurance, and we anticipate that we will need to increase our insurance coverage when we begin clinical trials and if we successfully commercialize any product candidate.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77" w:name="page78"/>
    <w:bookmarkEnd w:id="77"/>
    <w:p>
      <w:pPr>
        <w:jc w:val="both"/>
        <w:ind w:right="20"/>
        <w:spacing w:after="0" w:line="271" w:lineRule="auto"/>
        <w:rPr>
          <w:sz w:val="20"/>
          <w:szCs w:val="20"/>
          <w:color w:val="auto"/>
        </w:rPr>
      </w:pPr>
      <w:r>
        <w:rPr>
          <w:rFonts w:ascii="Arial" w:cs="Arial" w:eastAsia="Arial" w:hAnsi="Arial"/>
          <w:sz w:val="18"/>
          <w:szCs w:val="18"/>
          <w:color w:val="auto"/>
        </w:rPr>
        <w:t>Insurance coverage is increasingly expensive. We may not be able to maintain product liability insurance coverage at a reasonable cost or in an amount adequate to satisfy any liability that may arise.</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Based on the beneficial ownership of our common stock as of December 31, 2023, our executive officers, directors, holders of 5% or more of our capital stock and their respective affiliates beneficially owned approximately 51.0%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2023, we had federal gross operating loss carryforwards of approximately $174.4 million, state gross operating loss carryforwards of $148.5 million, and foreign gross operating loss carryforwards of $0.1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NOLs is limited to 80% of our taxable income in such taxable years.</w:t>
      </w:r>
    </w:p>
    <w:p>
      <w:pPr>
        <w:spacing w:after="0" w:line="19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For a further description of our dividend policy, please refer to the section titled “</w:t>
      </w:r>
      <w:r>
        <w:rPr>
          <w:rFonts w:ascii="Arial" w:cs="Arial" w:eastAsia="Arial" w:hAnsi="Arial"/>
          <w:sz w:val="18"/>
          <w:szCs w:val="18"/>
          <w:i w:val="1"/>
          <w:iCs w:val="1"/>
          <w:color w:val="auto"/>
        </w:rPr>
        <w:t>Dividend Policy</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2" w:lineRule="exact"/>
        <w:rPr>
          <w:sz w:val="20"/>
          <w:szCs w:val="20"/>
          <w:color w:val="auto"/>
        </w:rPr>
      </w:pPr>
    </w:p>
    <w:p>
      <w:pPr>
        <w:ind w:left="1020" w:hanging="368"/>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8" w:lineRule="exact"/>
        <w:rPr>
          <w:rFonts w:ascii="Times New Roman" w:cs="Times New Roman" w:eastAsia="Times New Roman" w:hAnsi="Times New Roman"/>
          <w:sz w:val="18"/>
          <w:szCs w:val="18"/>
          <w:color w:val="auto"/>
        </w:rPr>
      </w:pPr>
    </w:p>
    <w:p>
      <w:pPr>
        <w:ind w:left="1020" w:hanging="368"/>
        <w:spacing w:after="0" w:line="255"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ind w:left="1020" w:hanging="368"/>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ind w:left="1020" w:hanging="368"/>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ind w:left="1020" w:hanging="368"/>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4"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ind w:left="1020" w:right="20" w:hanging="368"/>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ind w:left="1020" w:hanging="368"/>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79" w:name="page80"/>
    <w:bookmarkEnd w:id="79"/>
    <w:p>
      <w:pPr>
        <w:jc w:val="both"/>
        <w:ind w:firstLine="509"/>
        <w:spacing w:after="0" w:line="246"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8"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2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fourth amended and restated certificate of incorporation and amended and restated bylaws contain provisions that could delay or prevent a change of control of our company or changes in our Board that our stockholders might consider favorable. Some of these provisions include:</w:t>
      </w:r>
    </w:p>
    <w:p>
      <w:pPr>
        <w:spacing w:after="0" w:line="2" w:lineRule="exact"/>
        <w:rPr>
          <w:sz w:val="20"/>
          <w:szCs w:val="20"/>
          <w:color w:val="auto"/>
        </w:rPr>
      </w:pPr>
    </w:p>
    <w:p>
      <w:pPr>
        <w:ind w:left="1020" w:right="20" w:hanging="368"/>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ind w:left="1020" w:hanging="368"/>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80" w:name="page81"/>
    <w:bookmarkEnd w:id="80"/>
    <w:p>
      <w:pPr>
        <w:jc w:val="both"/>
        <w:ind w:left="1020" w:hanging="368"/>
        <w:spacing w:after="0" w:line="248"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ind w:left="1020" w:hanging="368"/>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38" w:lineRule="exact"/>
        <w:rPr>
          <w:rFonts w:ascii="Times New Roman" w:cs="Times New Roman" w:eastAsia="Times New Roman" w:hAnsi="Times New Roman"/>
          <w:sz w:val="18"/>
          <w:szCs w:val="18"/>
          <w:color w:val="auto"/>
        </w:rPr>
      </w:pPr>
    </w:p>
    <w:p>
      <w:pPr>
        <w:jc w:val="both"/>
        <w:ind w:left="1020" w:right="20" w:hanging="368"/>
        <w:spacing w:after="0" w:line="249"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2" w:lineRule="exact"/>
        <w:rPr>
          <w:rFonts w:ascii="Times New Roman" w:cs="Times New Roman" w:eastAsia="Times New Roman" w:hAnsi="Times New Roman"/>
          <w:sz w:val="18"/>
          <w:szCs w:val="18"/>
          <w:color w:val="auto"/>
        </w:rPr>
      </w:pPr>
    </w:p>
    <w:p>
      <w:pPr>
        <w:jc w:val="both"/>
        <w:ind w:left="1020" w:hanging="368"/>
        <w:spacing w:after="0" w:line="248"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ind w:left="1020" w:hanging="368"/>
        <w:spacing w:after="0" w:line="259"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November 2022, we filed a registration statement on Form S-3 relating to the registration of our common stock, preferred stock, debt securities, warrants and units or any combination thereof. Concurrently with the filing of such registration statement, we engaged in an “at-the-market” offering, or ATM,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December 31, 2023, we have 49,350,788 shares of common stock outstanding. Significant portions of these shares are held by a small number of stockholders, including persons who were our stockholders prior to our initial public offering, or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General Risk Factors</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our company’s current and projected business operations and its financial condition and results of operations.</w:t>
      </w:r>
    </w:p>
    <w:p>
      <w:pPr>
        <w:spacing w:after="0" w:line="10"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7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our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our company has financial or business relationships, but could also include factors involving financial markets or the financial services industry generally.</w:t>
      </w:r>
    </w:p>
    <w:p>
      <w:pPr>
        <w:spacing w:after="0" w:line="181"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ind w:left="1020" w:hanging="368"/>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4"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ind w:left="1020" w:hanging="368"/>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contractual obligations that require our company to maintain letters or credit or other credit support arrangements;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82" w:name="page83"/>
    <w:bookmarkEnd w:id="82"/>
    <w:p>
      <w:pPr>
        <w:ind w:left="1020" w:hanging="368"/>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48"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our company and may material adverse impacts on our business.</w:t>
      </w:r>
    </w:p>
    <w:p>
      <w:pPr>
        <w:spacing w:after="0" w:line="183"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caused significant volatility and uncertainty in the U.S. and international markets. 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3" w:name="page84"/>
    <w:bookmarkEnd w:id="83"/>
    <w:p>
      <w:pPr>
        <w:jc w:val="both"/>
        <w:spacing w:after="0" w:line="272"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or Section 404,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4" w:name="page85"/>
    <w:bookmarkEnd w:id="84"/>
    <w:p>
      <w:pPr>
        <w:jc w:val="both"/>
        <w:spacing w:after="0" w:line="252" w:lineRule="auto"/>
        <w:rPr>
          <w:sz w:val="20"/>
          <w:szCs w:val="20"/>
          <w:color w:val="auto"/>
        </w:rPr>
      </w:pPr>
      <w:r>
        <w:rPr>
          <w:rFonts w:ascii="Arial" w:cs="Arial" w:eastAsia="Arial" w:hAnsi="Arial"/>
          <w:sz w:val="18"/>
          <w:szCs w:val="18"/>
          <w:color w:val="auto"/>
        </w:rPr>
        <w:t>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their common stock at or above the price you paid for your common stock. The market price for our common stock may be influenced by many factors, including the other risks described in the section of this Annual Report on Form 10-K titled “Risk Factors” and the following:</w:t>
      </w:r>
    </w:p>
    <w:p>
      <w:pPr>
        <w:spacing w:after="0" w:line="1" w:lineRule="exact"/>
        <w:rPr>
          <w:sz w:val="20"/>
          <w:szCs w:val="20"/>
          <w:color w:val="auto"/>
        </w:rPr>
      </w:pPr>
    </w:p>
    <w:p>
      <w:pPr>
        <w:ind w:left="1020" w:hanging="368"/>
        <w:spacing w:after="0" w:line="257"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ind w:left="1020" w:hanging="368"/>
        <w:spacing w:after="0" w:line="255"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3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ind w:left="1020" w:hanging="368"/>
        <w:spacing w:after="0" w:line="255"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3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ind w:left="1020" w:hanging="368"/>
        <w:spacing w:after="0" w:line="255"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34" w:lineRule="exact"/>
        <w:rPr>
          <w:rFonts w:ascii="Times New Roman" w:cs="Times New Roman" w:eastAsia="Times New Roman" w:hAnsi="Times New Roman"/>
          <w:sz w:val="18"/>
          <w:szCs w:val="18"/>
          <w:color w:val="auto"/>
        </w:rPr>
      </w:pPr>
    </w:p>
    <w:p>
      <w:pPr>
        <w:ind w:left="1020" w:right="20" w:hanging="368"/>
        <w:spacing w:after="0" w:line="257"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ind w:left="1020" w:hanging="368"/>
        <w:spacing w:after="0" w:line="255" w:lineRule="auto"/>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85" w:name="page86"/>
    <w:bookmarkEnd w:id="85"/>
    <w:p>
      <w:pPr>
        <w:ind w:left="1020" w:hanging="368"/>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5"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 Israel-Hamas conflict; and</w:t>
      </w:r>
    </w:p>
    <w:p>
      <w:pPr>
        <w:ind w:left="1020" w:hanging="368"/>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1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insubstantial costs and a diversion of management’s attention and our resources, which could harm our business.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Russia-Ukraine and Israel-Hamas conflicts, could adversely affect our business, financial condition, results of operations or prospects.</w:t>
      </w:r>
    </w:p>
    <w:p>
      <w:pPr>
        <w:spacing w:after="0" w:line="2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and Israel-Hamas conflicts,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Risk Management and Strategy</w:t>
      </w:r>
    </w:p>
    <w:p>
      <w:pPr>
        <w:spacing w:after="0" w:line="19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have implemented cybersecurity risk management procedures, in accordance with our risk profile and business size, that are designed to identify, assess, and mitigate risks from current and emerging cybersecurity threats. Our cybersecurity procedures, which are informed by the National Institute of Standards and Technology cybersecurity framework, are supported by a third-party managed services provider that assists us in managing our information technology systems.</w:t>
      </w:r>
    </w:p>
    <w:p>
      <w:pPr>
        <w:spacing w:after="0" w:line="1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cybersecurity procedures are comprised of a variety of tools designed to protect our data and information technology systems, including but not limited to endpoint protection and network security measures, that are supported by our third-party service providers. We also have a process to require our employees to undergo cybersecurity awareness training. Further, we have a process to review risks to our company in connection with certain third-party providers and vendors, which we assess through vendor questionnaires, as appropriate.</w:t>
      </w:r>
    </w:p>
    <w:p>
      <w:pPr>
        <w:spacing w:after="0" w:line="1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To date, 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information technology service providers and vendors have from time to time experienced threats that could affect our information or systems. For more information, see, “</w:t>
      </w:r>
      <w:r>
        <w:rPr>
          <w:rFonts w:ascii="Arial" w:cs="Arial" w:eastAsia="Arial" w:hAnsi="Arial"/>
          <w:sz w:val="18"/>
          <w:szCs w:val="18"/>
          <w:i w:val="1"/>
          <w:iCs w:val="1"/>
          <w:color w:val="auto"/>
        </w:rPr>
        <w:t>Risk Factors</w:t>
      </w:r>
      <w:r>
        <w:rPr>
          <w:rFonts w:ascii="Arial" w:cs="Arial" w:eastAsia="Arial" w:hAnsi="Arial"/>
          <w:sz w:val="18"/>
          <w:szCs w:val="18"/>
          <w:color w:val="auto"/>
        </w:rPr>
        <w:t>,” in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Governance</w:t>
      </w:r>
    </w:p>
    <w:p>
      <w:pPr>
        <w:spacing w:after="0" w:line="19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cybersecurity program is managed and directed by our Head of Information Technology, or IT, who has nearly thirty years of experience in information technology and information systems management. Our Head of IT reports to our Chief Financial Officer. Our Cybersecurity Governance Team, which is made up of representatives from across the organization, is responsible for oversight of cybersecurity risks and addressing potential cybersecurity risks to business programs, employees, clients, vendors and partners.</w:t>
      </w:r>
    </w:p>
    <w:p>
      <w:pPr>
        <w:spacing w:after="0" w:line="16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Our Board has delegated oversight of our cybersecurity risk management program to our Audit Committee, per the Audit Committee charter. Our Head of IT provides periodic updates to the Audit Committee regarding our cybersecurity risk management program, including information about cybersecurity risk management governance, as well as status updates on plans intended to enhance the overall cybersecurity posture of our company, as applicable. In the event of a cybersecurity incident, we have established a process for escalation to the Audit Committee as well as our Board, as appropriate.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corporate headquarters are located in Boston, Massachusetts, where we lease and occupy approximately 29,836 square feet of office and laboratory space at 80 Guest Street, Boston, MA 02135. The current term of our Boston lease expires in August 2032.</w:t>
      </w:r>
    </w:p>
    <w:p>
      <w:pPr>
        <w:spacing w:after="0" w:line="15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Item 3. Legal Proceedings.</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December 31, 2023,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19" w:lineRule="exact"/>
        <w:rPr>
          <w:sz w:val="20"/>
          <w:szCs w:val="20"/>
          <w:color w:val="auto"/>
        </w:rPr>
      </w:pPr>
    </w:p>
    <w:p>
      <w:pPr>
        <w:ind w:right="1020"/>
        <w:spacing w:after="0" w:line="476"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spacing w:after="0" w:line="1" w:lineRule="exact"/>
        <w:rPr>
          <w:sz w:val="20"/>
          <w:szCs w:val="20"/>
          <w:color w:val="auto"/>
        </w:rPr>
      </w:pPr>
    </w:p>
    <w:p>
      <w:pPr>
        <w:ind w:right="220" w:firstLine="250"/>
        <w:spacing w:after="0" w:line="271" w:lineRule="auto"/>
        <w:rPr>
          <w:sz w:val="20"/>
          <w:szCs w:val="20"/>
          <w:color w:val="auto"/>
        </w:rPr>
      </w:pPr>
      <w:r>
        <w:rPr>
          <w:rFonts w:ascii="Arial" w:cs="Arial" w:eastAsia="Arial" w:hAnsi="Arial"/>
          <w:sz w:val="18"/>
          <w:szCs w:val="18"/>
          <w:color w:val="auto"/>
        </w:rPr>
        <w:t>Our common stock has been listed on the Nasdaq Global Market since November 3, 2021. Our common stock trades under the symbol “AURA”. Prior to this time, there was no public market for our common stock.</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96" w:lineRule="exact"/>
        <w:rPr>
          <w:sz w:val="20"/>
          <w:szCs w:val="20"/>
          <w:color w:val="auto"/>
        </w:rPr>
      </w:pPr>
    </w:p>
    <w:p>
      <w:pPr>
        <w:ind w:right="40" w:firstLine="250"/>
        <w:spacing w:after="0" w:line="252" w:lineRule="auto"/>
        <w:rPr>
          <w:sz w:val="20"/>
          <w:szCs w:val="20"/>
          <w:color w:val="auto"/>
        </w:rPr>
      </w:pPr>
      <w:r>
        <w:rPr>
          <w:rFonts w:ascii="Arial" w:cs="Arial" w:eastAsia="Arial" w:hAnsi="Arial"/>
          <w:sz w:val="18"/>
          <w:szCs w:val="18"/>
          <w:color w:val="auto"/>
        </w:rPr>
        <w:t>As of March 20, 2024, we had approximately 58 stockholders of record for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96" w:lineRule="exact"/>
        <w:rPr>
          <w:sz w:val="20"/>
          <w:szCs w:val="20"/>
          <w:color w:val="auto"/>
        </w:rPr>
      </w:pPr>
    </w:p>
    <w:p>
      <w:pPr>
        <w:ind w:firstLine="303"/>
        <w:spacing w:after="0" w:line="271" w:lineRule="auto"/>
        <w:rPr>
          <w:sz w:val="20"/>
          <w:szCs w:val="20"/>
          <w:color w:val="auto"/>
        </w:rPr>
      </w:pPr>
      <w:r>
        <w:rPr>
          <w:rFonts w:ascii="Arial" w:cs="Arial" w:eastAsia="Arial" w:hAnsi="Arial"/>
          <w:sz w:val="18"/>
          <w:szCs w:val="18"/>
          <w:color w:val="auto"/>
        </w:rPr>
        <w:t>We have never declared or paid cash dividends on our capital stock. We anticipate that we will retain all available funds and any future earnings, if any, for use in the operation of our business and do not anticipate paying cash dividends in the foreseeable future.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1" w:lineRule="exact"/>
        <w:rPr>
          <w:sz w:val="20"/>
          <w:szCs w:val="20"/>
          <w:color w:val="auto"/>
        </w:rPr>
      </w:pPr>
    </w:p>
    <w:p>
      <w:pPr>
        <w:ind w:right="260" w:firstLine="250"/>
        <w:spacing w:after="0" w:line="250"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a performance graph.</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Purchaser of Equity Securities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6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titled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clinical-stage biotechnology company developing precision immunotherapies to treat a range of solid tumors designed to preserve the function of organs afflicted with cancer. Our lead candidate bel-sar is in late-stage clinical development for the treatment of patients with primary choroidal melanoma, and other ocular oncology indications as well as in early-stage clinical development in bladder cancer. There is significant unmet need for novel treatments for patients with choroidal melanoma, given the limitations of the current SoC and patient reluctance to undergo radiotherapy in the form of either plaque brachytherapy or proton beam therapy, both highly-invasive therapies that result in significant vision loss, and potential blindness. Enucleation, or surgical removal of the affected eye is another treatment option for patients with choroidal melanoma, in which patients lose all vision without the possibility of vision restoration.</w:t>
      </w:r>
    </w:p>
    <w:p>
      <w:pPr>
        <w:spacing w:after="0" w:line="18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are evaluating the safety and efficacy of bel-sar as a potential vision-sparing therapy in our ongoing global Phase 3 CoMpass trial for the first-line treatment of adult patients with early-stage choroidal melanoma. Moreover, we intend to assess the safety and efficacy of bel-sar in treating a range of other solid tumors, including bladder cancer as an alternative to BCG therapy. We believe bel-sar, if approved, has the potential to change the current treatment paradigm for patients with ocular cancers and other solid tumors.</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Bel-sar has shown clinical benefit and has been generally well-tolerated in clinical trials to date. Interim 12-month results from a Phase 2 trial that evaluated 22 patients in an open label dose escalation study of bel-sar delivered via SC injection followed by laser light activation was presented at the 2023 American Academy of Ophthalmology. The results demonstrated that patients who received three cycles of bel-sar therapy showed a local complete response with a tumor control rate of 80% (8/10) and a visual acuity preservation rate of 90% (9/10). The majority of patients were at high -risk for vision loss with tumors close to the fovea or optic disk. For 80% of patients that showed a local complete response, data showed a statistically significant reduction in tumor growth rate (-0.382 mm/yr, p = &lt;0.0001) compared to each patient’s documented growth rate at study entry. The overall tolerability profile of bel-sar was favorable, with no dose-limiting toxicities, treatment-related serious adverse events or significant adverse events reported as of August 3, 2023. The interim Phase 2 results demonstrated an improved risk-benefit profile over IVT, administration and confirmed the SC delivery route of administration for the Phase 3 program. Final Phase 2 data from this study is expected to be presented by the end of 2024.</w:t>
      </w:r>
    </w:p>
    <w:p>
      <w:pPr>
        <w:spacing w:after="0" w:line="186" w:lineRule="exact"/>
        <w:rPr>
          <w:sz w:val="20"/>
          <w:szCs w:val="20"/>
          <w:color w:val="auto"/>
        </w:rPr>
      </w:pPr>
    </w:p>
    <w:p>
      <w:pPr>
        <w:jc w:val="both"/>
        <w:ind w:firstLine="560"/>
        <w:spacing w:after="0" w:line="243" w:lineRule="auto"/>
        <w:rPr>
          <w:sz w:val="20"/>
          <w:szCs w:val="20"/>
          <w:color w:val="auto"/>
        </w:rPr>
      </w:pPr>
      <w:r>
        <w:rPr>
          <w:rFonts w:ascii="Arial" w:cs="Arial" w:eastAsia="Arial" w:hAnsi="Arial"/>
          <w:sz w:val="18"/>
          <w:szCs w:val="18"/>
          <w:color w:val="auto"/>
        </w:rPr>
        <w:t>We are developing a pipeline of VDCs, a novel class of drugs with a dual mechanism of action, that promote cancer cell death by both the delivery of the cytotoxic payload to generate acute necrosis and activation of a secondary immune mediated response. Bel-sar, our lead VDC candidate, consists of an HPV, or human papilloma virus-derived VLP conjugated to hundreds of infrared laser-activated molecules. The VDC is designed in a way that prevents the conjugation from interfering with tumor binding enabling its selectivity to tumor cells but not to normal cells.</w:t>
      </w:r>
    </w:p>
    <w:p>
      <w:pPr>
        <w:spacing w:after="0" w:line="179"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initial focus is in ocular and urologic oncology, both areas of high unmet medical need where local targeted therapies may enable early intervention. We envision the potential for development of additional therapeutic areas in addition to ocular and urologic cancers.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91" w:name="page92"/>
    <w:bookmarkEnd w:id="91"/>
    <w:p>
      <w:pPr>
        <w:jc w:val="both"/>
        <w:ind w:firstLine="509"/>
        <w:spacing w:after="0" w:line="233" w:lineRule="auto"/>
        <w:rPr>
          <w:sz w:val="20"/>
          <w:szCs w:val="20"/>
          <w:color w:val="auto"/>
        </w:rPr>
      </w:pPr>
      <w:r>
        <w:rPr>
          <w:rFonts w:ascii="Arial" w:cs="Arial" w:eastAsia="Arial" w:hAnsi="Arial"/>
          <w:sz w:val="18"/>
          <w:szCs w:val="18"/>
          <w:color w:val="auto"/>
        </w:rPr>
        <w:t>We were incorporated as a Delaware corporation in 2009 and, as of August 1, 2022,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December 31, 2023, we have raised an aggregate of approximately $418.4 million of gross proceeds primarily from private placements of our equity and convertible preferred stock as well as through the issuance of our common stock.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We issued 261,807 shares of common stock at an average price of $12.49 for aggregate gross proceeds of $3.3 million during the year ended December 31, 2023 under the ATM. In addition, we issued 732,189 shares of common stock at an average price of $12.51 for aggregate gross proceeds of $9.2 million as of December 31, 2022 under the ATM. In connection with the 2023 Follow-On Offering, on November 6, 2023, we delivered written notice to Jefferies that we were suspending and terminating the prospectus related to the shares issuable in the ATM pursuant to the terms of the Sales Agreement. As a result, we will not make any sales of our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spacing w:after="0" w:line="19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$76.4 million and $ 58.8 million for the years ended December 31, 2023 and 2022, respectively. As of December 31, 2023, we had an accumulated deficit of $287.3 million. In addition, our losses from operations may fluctuate significantly from quarter-to-quarter and year-to-year, depending on the timing of our clinical trials and our expenditures on other research and development activities.</w:t>
      </w:r>
    </w:p>
    <w:p>
      <w:pPr>
        <w:spacing w:after="0" w:line="182"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17"/>
          <w:szCs w:val="17"/>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bel-sar;</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developing our CDMO relationships;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ind w:left="1020" w:hanging="368"/>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4" w:lineRule="exact"/>
        <w:rPr>
          <w:rFonts w:ascii="Times New Roman" w:cs="Times New Roman" w:eastAsia="Times New Roman" w:hAnsi="Times New Roman"/>
          <w:sz w:val="18"/>
          <w:szCs w:val="18"/>
          <w:color w:val="auto"/>
        </w:rPr>
      </w:pPr>
    </w:p>
    <w:p>
      <w:pPr>
        <w:ind w:left="1020" w:hanging="368"/>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2" w:name="page93"/>
    <w:bookmarkEnd w:id="92"/>
    <w:p>
      <w:pPr>
        <w:jc w:val="both"/>
        <w:ind w:firstLine="509"/>
        <w:spacing w:after="0" w:line="241"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5"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As of December 31, 2023, we had cash and cash equivalents and marketable securities of $226.2 million. We believe that our existing cash and cash equivalents and marketable securities will enable us to fund our operating expenses and capital expenditure requirements into the second half of 2026. We have based this estimate on assumptions that may prove to be wrong, and we could exhaust our available capital resources sooner than we expect.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spacing w:after="0" w:line="2" w:lineRule="exact"/>
        <w:rPr>
          <w:sz w:val="20"/>
          <w:szCs w:val="20"/>
          <w:color w:val="auto"/>
        </w:rPr>
      </w:pPr>
    </w:p>
    <w:p>
      <w:pPr>
        <w:ind w:left="1020" w:hanging="368"/>
        <w:spacing w:after="0" w:line="257"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related-benefits and stock-based compensation expense for employees engaged in research and development functions;</w:t>
      </w:r>
    </w:p>
    <w:p>
      <w:pPr>
        <w:ind w:left="1020" w:hanging="368"/>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performed by ourselves, outside vendors or academic collaborators;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7"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CROs, as well as consultants that conduct and provide supplies for our preclinical studies and clinical trials;</w:t>
      </w:r>
    </w:p>
    <w:p>
      <w:pPr>
        <w:jc w:val="both"/>
        <w:ind w:left="1020" w:hanging="368"/>
        <w:spacing w:after="0" w:line="248"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bel-sar, including the potential cost of CDMOs that manufacture product for use in our preclinical studies and clinical trials and perform analytical testing, scale-up and other services in connection with our development activities;</w:t>
      </w:r>
    </w:p>
    <w:p>
      <w:pPr>
        <w:ind w:left="1020" w:hanging="368"/>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development activities;</w:t>
      </w:r>
    </w:p>
    <w:p>
      <w:pPr>
        <w:spacing w:after="0" w:line="3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3" w:name="page94"/>
    <w:bookmarkEnd w:id="93"/>
    <w:p>
      <w:pPr>
        <w:jc w:val="both"/>
        <w:ind w:firstLine="509"/>
        <w:spacing w:after="0"/>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8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our growth, including costs of accounting, audit, legal, regulatory and tax compliance services; director and officer insurance costs; and investor and public relations costs.</w:t>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7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other income (expense) consists of accretion, interest income and realized losses on marketable securities, interest income on our invested cash balances, and gains and losses on disposals of equipment.</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 Benefit (Provision), Net</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the year ending December 31, 2023, we have recorded a $0.1 million tax provision related to the current state income taxes. Since our inception, we have not recorded any U.S. federal benefits for our net operating loss carryforwards or research and development tax credits, due to the uncertainty of realizing a benefit from those items. As of December 31, 2023, we had federal gross operating loss carryforwards of approximately $174.4 million which may be available to offset future taxable income, of which $44.2 million begin to expire in 2029 and go through 2037 and $130.2 million do not expire. The state gross operating loss carryforwards of $ 148.5 million, which may be available to offset future taxable income and which would begin to expire in 2030, except for $0.7 million of state NOLs that do not expire. We had foreign gross operating loss carryforwards of $0.1 million, which may be available to offset future taxable income and which do not expire. As of December 31, 2023, we had federal and state research and experimentation credit carryforwards of $8.2 million and $2.3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Results of Operations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2023 and 2022</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2023 and 2022:</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8"/>
              </w:rPr>
              <w:t>Year Ended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9"/>
              </w:rPr>
              <w:t>(in thousands)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65,232</w:t>
            </w:r>
          </w:p>
        </w:tc>
        <w:tc>
          <w:tcPr>
            <w:tcW w:w="2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42,238</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19,759</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84,991</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60,295</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(84,991 )</w:t>
            </w: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(60,295 )</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(24,696 )</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8,588</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80"/>
              <w:spacing w:after="0"/>
              <w:rPr>
                <w:sz w:val="20"/>
                <w:szCs w:val="20"/>
                <w:color w:val="auto"/>
              </w:rPr>
            </w:pPr>
            <w:r>
              <w:rPr>
                <w:rFonts w:ascii="Arial" w:cs="Arial" w:eastAsia="Arial" w:hAnsi="Arial"/>
                <w:sz w:val="18"/>
                <w:szCs w:val="18"/>
                <w:color w:val="auto"/>
              </w:rPr>
              <w:t>Gain (loss) from disposal of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(318 )</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(76 )</w:t>
            </w: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(14 )</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280" w:type="dxa"/>
            <w:vAlign w:val="bottom"/>
            <w:tcBorders>
              <w:top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7,188</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(76,271 )</w:t>
            </w:r>
          </w:p>
        </w:tc>
        <w:tc>
          <w:tcPr>
            <w:tcW w:w="3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(58,763 )</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(17,508 )</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(137 )</w:t>
            </w:r>
          </w:p>
        </w:tc>
        <w:tc>
          <w:tcPr>
            <w:tcW w:w="38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(76,408 )</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(58,763 )</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(17,645 )</w:t>
            </w:r>
          </w:p>
        </w:tc>
        <w:tc>
          <w:tcPr>
            <w:tcW w:w="0" w:type="dxa"/>
            <w:vAlign w:val="bottom"/>
          </w:tcPr>
          <w:p>
            <w:pPr>
              <w:spacing w:after="0"/>
              <w:rPr>
                <w:sz w:val="1"/>
                <w:szCs w:val="1"/>
                <w:color w:val="auto"/>
              </w:rPr>
            </w:pP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6058535</wp:posOffset>
            </wp:positionH>
            <wp:positionV relativeFrom="paragraph">
              <wp:posOffset>-1540510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-1232535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-1232535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-641350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-641350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-333375</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-333375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2023 and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2022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7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(1,145 )</w:t>
            </w:r>
          </w:p>
        </w:tc>
        <w:tc>
          <w:tcPr>
            <w:tcW w:w="0" w:type="dxa"/>
            <w:vAlign w:val="bottom"/>
          </w:tcPr>
          <w:p>
            <w:pPr>
              <w:spacing w:after="0"/>
              <w:rPr>
                <w:sz w:val="1"/>
                <w:szCs w:val="1"/>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17,310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12,992</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34,125</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65,232</w:t>
            </w:r>
          </w:p>
        </w:tc>
        <w:tc>
          <w:tcPr>
            <w:tcW w:w="2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42,238</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-24765</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Research and development expenses increased to $65.2 million for the year ended December 31, 2023, from $42.2 million for the year ended December 31, 2022, primarily due to ongoing clinical costs associated with the progression of our Phase 2 study and CRO costs associated with the start of our Phase 3 global trial, and manufacturing and development costs for bel-sar.</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General and administrative expenses increased to $19.8 million for the year ended December 31, 2023, from $18.1 million for the year ended December 31, 2022, primarily driven by personnel expenses, as well as increases in travel expenses related to growth of our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To date we have funded our operations primarily through the sale of convertible preferred stock, and common stock. Through December 31, 2023, we have raised an aggregate of approximately $418.4 million of gross proceeds primarily from private placements of our equity and convertible preferred stock and warrants, as well as through the issuance of our common stock.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 We issued 261,807 shares of common stock at an average price of $12.49 for aggregate gross proceeds of $3.3 million during the year ended December 31, 2023 under the ATM. In addition, we issued 732,189 shares of common stock at an average price of $12.51 for aggregate gross proceeds of $9.2 million as of December 31, 2022 under the ATM. In connection with the 2023 Follow-On Offering, on November 6, 2023, we delivered written notice to Jefferies that we were suspending and terminating the prospectus related to the shares issuable in the ATM pursuant to the terms of the Sales Agreement. As a result, we will not make any sales of our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11"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Twelve Months Ended</w:t>
      </w:r>
    </w:p>
    <w:p>
      <w:pPr>
        <w:spacing w:after="0" w:line="13"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74"/>
              </w:rPr>
              <w:t>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(63,847 )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(54,601 )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(113,963 )</w:t>
            </w: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(67,869 )</w:t>
            </w: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97,290</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30"/>
              <w:spacing w:after="0"/>
              <w:rPr>
                <w:sz w:val="20"/>
                <w:szCs w:val="20"/>
                <w:color w:val="auto"/>
              </w:rPr>
            </w:pPr>
            <w:r>
              <w:rPr>
                <w:rFonts w:ascii="Arial" w:cs="Arial" w:eastAsia="Arial" w:hAnsi="Arial"/>
                <w:sz w:val="18"/>
                <w:szCs w:val="18"/>
                <w:color w:val="auto"/>
              </w:rPr>
              <w:t>(80,520 )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(26,841 )</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-179070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20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2023, net cash used in operating activities was $63.8 million, primarily due to our net loss of $76.4 million, partially offset by an increase in accrued expenses related to clinical and CRO expenses for bel-sar.</w:t>
      </w:r>
    </w:p>
    <w:p>
      <w:pPr>
        <w:spacing w:after="0" w:line="15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During the year ended December 31, 2022, net cash used in operating activities was $54.6 million, primarily due to our net loss of $58.8 million and an increase in prepaid expenses and other assets related to clinical and CRO prepayments for bel-sar, partially offset by an increase in stock compensation expense.</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used in investing activities for the year ended December 31, 2023 was $114.0 million, primarily due to purchases of marketable securities and property and equipment, partially offset by proceeds from sale and maturities of marketable securities.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used in investing activities for the year ended December 31, 2022 was $67.9 million, primarily due to purchases of marketable securities and property and equipment, partially offset by proceeds from sale and maturities of marketable securities.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6" w:name="page97"/>
    <w:bookmarkEnd w:id="96"/>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2023, net cash provided by financing activities was $97.3 million from the net proceeds from the 2023 follow-on offering, ATM draw-downs, and proceeds from stock option exercises and ESPP purchases.</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year ended December 31, 2022, net cash provided by financing activities was $95.6 million from the net proceeds from the follow-on offering, ATM draw-downs, and proceeds from stock option exercises.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6" w:lineRule="exact"/>
        <w:rPr>
          <w:sz w:val="20"/>
          <w:szCs w:val="20"/>
          <w:color w:val="auto"/>
        </w:rPr>
      </w:pPr>
    </w:p>
    <w:p>
      <w:pPr>
        <w:ind w:left="1020" w:hanging="368"/>
        <w:spacing w:after="0" w:line="252"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8" w:lineRule="exact"/>
        <w:rPr>
          <w:rFonts w:ascii="Times New Roman" w:cs="Times New Roman" w:eastAsia="Times New Roman" w:hAnsi="Times New Roman"/>
          <w:sz w:val="18"/>
          <w:szCs w:val="18"/>
          <w:color w:val="auto"/>
        </w:rPr>
      </w:pPr>
    </w:p>
    <w:p>
      <w:pPr>
        <w:ind w:left="1020" w:right="20" w:hanging="368"/>
        <w:spacing w:after="0" w:line="257"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jc w:val="both"/>
        <w:ind w:left="1020" w:hanging="368"/>
        <w:spacing w:after="0" w:line="248"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jc w:val="both"/>
        <w:ind w:left="1020" w:hanging="368"/>
        <w:spacing w:after="0" w:line="246"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ind w:left="1020" w:hanging="368"/>
        <w:spacing w:after="0"/>
        <w:tabs>
          <w:tab w:leader="none" w:pos="1020"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addressing any potential interruptions or delays resulting from factors related to the ongoing impacts of the COVID-19 pandemic;</w:t>
      </w:r>
    </w:p>
    <w:p>
      <w:pPr>
        <w:spacing w:after="0" w:line="46" w:lineRule="exact"/>
        <w:rPr>
          <w:rFonts w:ascii="Times New Roman" w:cs="Times New Roman" w:eastAsia="Times New Roman" w:hAnsi="Times New Roman"/>
          <w:sz w:val="17"/>
          <w:szCs w:val="17"/>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48"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December 31, 2023, we had cash and cash equivalents and marketable securities of $226.2 million. Based on our research and development plans, we believe that our existing cash and cash equivalents, will be sufficient to fund our operations into the second half of 2026. We have based this estimate on assumptions that may prove to be wrong, and we could exhaust our available capital resources sooner than we expect.</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97" w:name="page98"/>
    <w:bookmarkEnd w:id="97"/>
    <w:p>
      <w:pPr>
        <w:jc w:val="both"/>
        <w:spacing w:after="0" w:line="252" w:lineRule="auto"/>
        <w:rPr>
          <w:sz w:val="20"/>
          <w:szCs w:val="20"/>
          <w:color w:val="auto"/>
        </w:rPr>
      </w:pPr>
      <w:r>
        <w:rPr>
          <w:rFonts w:ascii="Arial" w:cs="Arial" w:eastAsia="Arial" w:hAnsi="Arial"/>
          <w:sz w:val="18"/>
          <w:szCs w:val="18"/>
          <w:color w:val="auto"/>
        </w:rPr>
        <w:t>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Payments Due by Period</w:t>
            </w: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3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jc w:val="right"/>
              <w:ind w:right="30"/>
              <w:spacing w:after="0" w:line="190" w:lineRule="exact"/>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300"/>
              <w:spacing w:after="0" w:line="190" w:lineRule="exact"/>
              <w:rPr>
                <w:sz w:val="20"/>
                <w:szCs w:val="20"/>
                <w:color w:val="auto"/>
              </w:rPr>
            </w:pPr>
            <w:r>
              <w:rPr>
                <w:rFonts w:ascii="Arial" w:cs="Arial" w:eastAsia="Arial" w:hAnsi="Arial"/>
                <w:sz w:val="18"/>
                <w:szCs w:val="18"/>
                <w:b w:val="1"/>
                <w:bCs w:val="1"/>
                <w:color w:val="auto"/>
                <w:w w:val="97"/>
              </w:rPr>
              <w:t>1 to 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30"/>
              <w:spacing w:after="0" w:line="190" w:lineRule="exact"/>
              <w:rPr>
                <w:sz w:val="20"/>
                <w:szCs w:val="20"/>
                <w:color w:val="auto"/>
              </w:rPr>
            </w:pPr>
            <w:r>
              <w:rPr>
                <w:rFonts w:ascii="Arial" w:cs="Arial" w:eastAsia="Arial" w:hAnsi="Arial"/>
                <w:sz w:val="18"/>
                <w:szCs w:val="18"/>
                <w:b w:val="1"/>
                <w:bCs w:val="1"/>
                <w:color w:val="auto"/>
              </w:rPr>
              <w:t>3 to 5</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9"/>
              </w:rPr>
              <w:t>More than</w:t>
            </w:r>
          </w:p>
        </w:tc>
        <w:tc>
          <w:tcPr>
            <w:tcW w:w="100" w:type="dxa"/>
            <w:vAlign w:val="bottom"/>
          </w:tcPr>
          <w:p>
            <w:pPr>
              <w:spacing w:after="0"/>
              <w:rPr>
                <w:sz w:val="16"/>
                <w:szCs w:val="16"/>
                <w:color w:val="auto"/>
              </w:rPr>
            </w:pPr>
          </w:p>
        </w:tc>
      </w:tr>
      <w:tr>
        <w:trPr>
          <w:trHeight w:val="235"/>
        </w:trPr>
        <w:tc>
          <w:tcPr>
            <w:tcW w:w="3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1 Year</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Years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5 Years</w:t>
            </w:r>
          </w:p>
        </w:tc>
      </w:tr>
      <w:tr>
        <w:trPr>
          <w:trHeight w:val="223"/>
        </w:trPr>
        <w:tc>
          <w:tcPr>
            <w:tcW w:w="3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(in thousands)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commitments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30,474</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3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6,711</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7,118</w:t>
            </w:r>
          </w:p>
        </w:tc>
        <w:tc>
          <w:tcPr>
            <w:tcW w:w="3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30,474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2,822</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6,711</w:t>
            </w:r>
          </w:p>
        </w:tc>
        <w:tc>
          <w:tcPr>
            <w:tcW w:w="180" w:type="dxa"/>
            <w:vAlign w:val="bottom"/>
          </w:tcPr>
          <w:p>
            <w:pPr>
              <w:spacing w:after="0"/>
              <w:rPr>
                <w:sz w:val="19"/>
                <w:szCs w:val="19"/>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7,118</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3395980</wp:posOffset>
            </wp:positionH>
            <wp:positionV relativeFrom="paragraph">
              <wp:posOffset>-179070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-179070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-179070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-179070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855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5980" cy="8255"/>
                    </a:xfrm>
                    <a:prstGeom prst="rect">
                      <a:avLst/>
                    </a:prstGeom>
                    <a:noFill/>
                  </pic:spPr>
                </pic:pic>
              </a:graphicData>
            </a:graphic>
          </wp:anchor>
        </w:drawing>
      </w:r>
    </w:p>
    <w:p>
      <w:pPr>
        <w:spacing w:after="0" w:line="190" w:lineRule="exact"/>
        <w:rPr>
          <w:sz w:val="20"/>
          <w:szCs w:val="20"/>
          <w:color w:val="auto"/>
        </w:rPr>
      </w:pPr>
    </w:p>
    <w:p>
      <w:pPr>
        <w:ind w:left="380" w:hanging="372"/>
        <w:spacing w:after="0" w:line="271"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in the table above reflect payments due for our lease of office and lab space in Boston, Massachusetts, that expires in August 2032.</w:t>
      </w:r>
    </w:p>
    <w:p>
      <w:pPr>
        <w:spacing w:after="0" w:line="15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On May 16, 2022, we entered into an office and laboratory lease in Boston, MA with an initial 10-year term and one renewal option to extend the lease for an additional seven years. The lease commenced on August 1, 2022.</w:t>
      </w:r>
    </w:p>
    <w:p>
      <w:pPr>
        <w:spacing w:after="0" w:line="15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or U.S. GAAP.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While our significant accounting policies are described in greater detail in Note 2 to our consolidated financial statements appearing elsewhere in this Annual Report on Form 10-K, we believe that the following accounting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policies are those most critical to the judgments and estimates used in the preparation of our consolidated financial statements.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We expense all costs in performing research and development activities in the periods in which they are incurred.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spacing w:after="0" w:line="18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We make estimates of our accrued expenses as of each balance sheet date in the consolidated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4"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8"/>
          <w:szCs w:val="18"/>
          <w:color w:val="auto"/>
        </w:rPr>
        <w:t>We account for our stock-based compensation as expense in the consolidated statements of operations and comprehensive loss based on the awards’ grant date fair values. We account for forfeitures as they occur by reversing any expense recognized for unvested awards.</w:t>
      </w:r>
    </w:p>
    <w:p>
      <w:pPr>
        <w:spacing w:after="0" w:line="17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For grants of restricted stock units, we base the fair value on the stock price as of the date of grant. We estimate the fair value of options granted using the Black-Scholes option pricing model. The Black-Scholes option pricing model requires inputs based on certain subjective assumptions, including (a) the expected stock price volatility, (b) the calculation of expected term of the award, (c) the risk-free interest rate and (d) expected dividends. Due to a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or SAB,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 The fair value of stock-based payments is recognized as expense over the requisite service period which is generally the vesting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See Note 2 in our consolidated financial statements included elsewhere in this Annual Report on Form 10-K for a description of recent accounting pronouncements applicable to our consolidated financial statements. Other than as disclosed in our consolidated financial statements, we do not expect that any recently issued accounting standards will have a material impact on our consolidated financial statements or will otherwise apply to our operations.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spacing w:after="0" w:line="176"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7"/>
          <w:szCs w:val="17"/>
          <w:color w:val="auto"/>
        </w:rPr>
        <w:t>We are also a “smaller reporting company,” meaning that the market value of our stock held by non -affiliates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36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or ICFR, from an outside auditor.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 item.</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beginning on page F-1 of this Annual Report for the year ended December 31, 2023.</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i w:val="1"/>
          <w:iCs w:val="1"/>
          <w:color w:val="auto"/>
        </w:rPr>
        <w:t>.</w:t>
      </w:r>
    </w:p>
    <w:p>
      <w:pPr>
        <w:spacing w:after="0" w:line="198"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66"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18"/>
          <w:szCs w:val="18"/>
          <w:color w:val="auto"/>
        </w:rPr>
        <w:t>As of December 31, 2023, our management, under the supervision of our Chief Executive Officer and Chief Financial Officer, performed an evaluation of the effectiveness of our disclosure controls and procedures. Based on this evaluation, our Chief Executive Officer and Chief Financial Officer concluded that our disclosure controls and procedures were effective at the reasonable assurance level as of December 31, 2023.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98"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 Integrated Framework. Based on the assessment, management concluded that, as of December 31, 2023, our internal control over financial reporting was effective.</w:t>
      </w:r>
    </w:p>
    <w:p>
      <w:pPr>
        <w:spacing w:after="0" w:line="166"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98" w:lineRule="exact"/>
        <w:rPr>
          <w:sz w:val="20"/>
          <w:szCs w:val="20"/>
          <w:color w:val="auto"/>
        </w:rPr>
      </w:pPr>
    </w:p>
    <w:p>
      <w:pPr>
        <w:jc w:val="both"/>
        <w:ind w:firstLine="569"/>
        <w:spacing w:after="0" w:line="239"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 Due to the inherent limitations in all control systems, no evaluation of controls can provide absolute assurance that all control issues and instances of fraud, if any, within our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1" w:name="page102"/>
    <w:bookmarkEnd w:id="101"/>
    <w:p>
      <w:pPr>
        <w:jc w:val="both"/>
        <w:ind w:firstLine="569"/>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December 31, 2023, our disclosure controls and procedures were effective to provide reasonable assurance that the information required to be disclosed by us in this Annual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year ended December 31, 2023, that have materially affected, or is reasonably likely to materially affect, our internal controls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198" w:lineRule="exact"/>
        <w:rPr>
          <w:sz w:val="20"/>
          <w:szCs w:val="20"/>
          <w:color w:val="auto"/>
        </w:rPr>
      </w:pPr>
    </w:p>
    <w:p>
      <w:pPr>
        <w:jc w:val="both"/>
        <w:ind w:firstLine="562"/>
        <w:spacing w:after="0" w:line="252"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 transition period established by rules of the SEC for newly public companies. Additionally, our independent registered public accounting firm will not be required to opine on our internal control over financial reporting until we are no longer an emerging growth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1" w:lineRule="exact"/>
        <w:rPr>
          <w:sz w:val="20"/>
          <w:szCs w:val="20"/>
          <w:color w:val="auto"/>
        </w:rPr>
      </w:pPr>
    </w:p>
    <w:p>
      <w:pPr>
        <w:ind w:left="920" w:hanging="403"/>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jc w:val="both"/>
        <w:ind w:firstLine="517"/>
        <w:spacing w:after="0" w:line="243" w:lineRule="auto"/>
        <w:tabs>
          <w:tab w:leader="none" w:pos="922" w:val="left"/>
        </w:tabs>
        <w:numPr>
          <w:ilvl w:val="0"/>
          <w:numId w:val="49"/>
        </w:numPr>
        <w:rPr>
          <w:rFonts w:ascii="Arial" w:cs="Arial" w:eastAsia="Arial" w:hAnsi="Arial"/>
          <w:sz w:val="18"/>
          <w:szCs w:val="18"/>
          <w:color w:val="auto"/>
        </w:rPr>
      </w:pPr>
      <w:r>
        <w:rPr>
          <w:rFonts w:ascii="Arial" w:cs="Arial" w:eastAsia="Arial" w:hAnsi="Arial"/>
          <w:sz w:val="18"/>
          <w:szCs w:val="18"/>
          <w:color w:val="auto"/>
        </w:rPr>
        <w:t>During our last fiscal quarter, the following officer, as defined in Rule 16a-1(f), adopted a “Rule 10b5-1 trading arrangement” as defined in Regulation S-K Item 408, as follows: On November 14, 2023, Cadmus C. Rich, M.D., our former Chief Medical Officer, modified his existing Rule 10b5-1(c) trading arrangement, originally adopted on April, 20, 2022. The modified trading arrangement is intended to satisfy the affirmative defense of Rule 10b5-1(c) for the sale of up to 139,787 shares of our common stock. The modified trading arrangement terminates on April 15, 2024, or upon the earlier completion of all authorized transactions under the trading arrangement.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PART III</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about our directors, executive officers and other key employees as of March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124460</wp:posOffset>
            </wp:positionV>
            <wp:extent cx="265430" cy="1879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5430" cy="18796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380" w:type="dxa"/>
            <w:vAlign w:val="bottom"/>
          </w:tcPr>
          <w:p>
            <w:pPr>
              <w:spacing w:after="0"/>
              <w:rPr>
                <w:sz w:val="21"/>
                <w:szCs w:val="21"/>
                <w:color w:val="auto"/>
              </w:rPr>
            </w:pPr>
          </w:p>
        </w:tc>
        <w:tc>
          <w:tcPr>
            <w:tcW w:w="6080" w:type="dxa"/>
            <w:vAlign w:val="bottom"/>
            <w:tcBorders>
              <w:bottom w:val="single" w:sz="8" w:color="auto"/>
            </w:tcBorders>
          </w:tcPr>
          <w:p>
            <w:pPr>
              <w:ind w:left="2640"/>
              <w:spacing w:after="0"/>
              <w:rPr>
                <w:sz w:val="20"/>
                <w:szCs w:val="20"/>
                <w:color w:val="auto"/>
              </w:rPr>
            </w:pPr>
            <w:r>
              <w:rPr>
                <w:rFonts w:ascii="Arial" w:cs="Arial" w:eastAsia="Arial" w:hAnsi="Arial"/>
                <w:sz w:val="18"/>
                <w:szCs w:val="18"/>
                <w:b w:val="1"/>
                <w:bCs w:val="1"/>
                <w:color w:val="auto"/>
              </w:rPr>
              <w:t>Positions</w:t>
            </w:r>
          </w:p>
        </w:tc>
        <w:tc>
          <w:tcPr>
            <w:tcW w:w="360" w:type="dxa"/>
            <w:vAlign w:val="bottom"/>
          </w:tcPr>
          <w:p>
            <w:pPr>
              <w:spacing w:after="0"/>
              <w:rPr>
                <w:sz w:val="21"/>
                <w:szCs w:val="21"/>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Age</w:t>
            </w:r>
          </w:p>
        </w:tc>
      </w:tr>
      <w:tr>
        <w:trPr>
          <w:trHeight w:val="217"/>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Executive Officers</w:t>
            </w:r>
          </w:p>
        </w:tc>
        <w:tc>
          <w:tcPr>
            <w:tcW w:w="3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Elisabet de los Pinos, Ph.D.</w:t>
            </w:r>
          </w:p>
        </w:tc>
        <w:tc>
          <w:tcPr>
            <w:tcW w:w="3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Julie Feder</w:t>
            </w:r>
          </w:p>
        </w:tc>
        <w:tc>
          <w:tcPr>
            <w:tcW w:w="3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J. Jill Hopkins, M.D.</w:t>
            </w:r>
          </w:p>
        </w:tc>
        <w:tc>
          <w:tcPr>
            <w:tcW w:w="3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Medical Officer and President of Research and Development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Mark Plavsic, Ph.D.</w:t>
            </w:r>
          </w:p>
        </w:tc>
        <w:tc>
          <w:tcPr>
            <w:tcW w:w="3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Chief Technology Officer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08"/>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Non-Employee Directors</w:t>
            </w:r>
          </w:p>
        </w:tc>
        <w:tc>
          <w:tcPr>
            <w:tcW w:w="38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33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David Johnson </w:t>
            </w:r>
            <w:r>
              <w:rPr>
                <w:rFonts w:ascii="Arial" w:cs="Arial" w:eastAsia="Arial" w:hAnsi="Arial"/>
                <w:sz w:val="24"/>
                <w:szCs w:val="24"/>
                <w:color w:val="auto"/>
                <w:vertAlign w:val="superscript"/>
              </w:rPr>
              <w:t>(2)(3)</w:t>
            </w:r>
          </w:p>
        </w:tc>
        <w:tc>
          <w:tcPr>
            <w:tcW w:w="3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33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Giovanni Mariggi, Ph.D. </w:t>
            </w:r>
            <w:r>
              <w:rPr>
                <w:rFonts w:ascii="Arial" w:cs="Arial" w:eastAsia="Arial" w:hAnsi="Arial"/>
                <w:sz w:val="24"/>
                <w:szCs w:val="24"/>
                <w:color w:val="auto"/>
                <w:vertAlign w:val="superscript"/>
              </w:rPr>
              <w:t>(1)</w:t>
            </w:r>
          </w:p>
        </w:tc>
        <w:tc>
          <w:tcPr>
            <w:tcW w:w="3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50"/>
        </w:trPr>
        <w:tc>
          <w:tcPr>
            <w:tcW w:w="3320" w:type="dxa"/>
            <w:vAlign w:val="bottom"/>
          </w:tcPr>
          <w:p>
            <w:pPr>
              <w:ind w:left="20"/>
              <w:spacing w:after="0" w:line="250" w:lineRule="exact"/>
              <w:rPr>
                <w:sz w:val="20"/>
                <w:szCs w:val="20"/>
                <w:color w:val="auto"/>
              </w:rPr>
            </w:pPr>
            <w:r>
              <w:rPr>
                <w:rFonts w:ascii="Arial" w:cs="Arial" w:eastAsia="Arial" w:hAnsi="Arial"/>
                <w:sz w:val="18"/>
                <w:szCs w:val="18"/>
                <w:color w:val="auto"/>
              </w:rPr>
              <w:t xml:space="preserve">Antony Mattessich </w:t>
            </w:r>
            <w:r>
              <w:rPr>
                <w:rFonts w:ascii="Arial" w:cs="Arial" w:eastAsia="Arial" w:hAnsi="Arial"/>
                <w:sz w:val="24"/>
                <w:szCs w:val="24"/>
                <w:color w:val="auto"/>
                <w:vertAlign w:val="superscript"/>
              </w:rPr>
              <w:t>(1)(3)</w:t>
            </w:r>
          </w:p>
        </w:tc>
        <w:tc>
          <w:tcPr>
            <w:tcW w:w="380" w:type="dxa"/>
            <w:vAlign w:val="bottom"/>
          </w:tcPr>
          <w:p>
            <w:pPr>
              <w:spacing w:after="0"/>
              <w:rPr>
                <w:sz w:val="21"/>
                <w:szCs w:val="21"/>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08"/>
        </w:trPr>
        <w:tc>
          <w:tcPr>
            <w:tcW w:w="3320" w:type="dxa"/>
            <w:vAlign w:val="bottom"/>
          </w:tcPr>
          <w:p>
            <w:pPr>
              <w:ind w:left="20"/>
              <w:spacing w:after="0"/>
              <w:rPr>
                <w:sz w:val="20"/>
                <w:szCs w:val="20"/>
                <w:color w:val="auto"/>
              </w:rPr>
            </w:pPr>
            <w:r>
              <w:rPr>
                <w:rFonts w:ascii="Arial" w:cs="Arial" w:eastAsia="Arial" w:hAnsi="Arial"/>
                <w:sz w:val="18"/>
                <w:szCs w:val="18"/>
                <w:color w:val="auto"/>
              </w:rPr>
              <w:t>Raj Parekh, Ph.D.</w:t>
            </w:r>
          </w:p>
        </w:tc>
        <w:tc>
          <w:tcPr>
            <w:tcW w:w="380" w:type="dxa"/>
            <w:vAlign w:val="bottom"/>
          </w:tcPr>
          <w:p>
            <w:pPr>
              <w:spacing w:after="0"/>
              <w:rPr>
                <w:sz w:val="18"/>
                <w:szCs w:val="18"/>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332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Sapna Srivastava, Ph.D. </w:t>
            </w:r>
            <w:r>
              <w:rPr>
                <w:rFonts w:ascii="Arial" w:cs="Arial" w:eastAsia="Arial" w:hAnsi="Arial"/>
                <w:sz w:val="24"/>
                <w:szCs w:val="24"/>
                <w:color w:val="auto"/>
                <w:vertAlign w:val="superscript"/>
              </w:rPr>
              <w:t>(1)</w:t>
            </w:r>
          </w:p>
        </w:tc>
        <w:tc>
          <w:tcPr>
            <w:tcW w:w="380" w:type="dxa"/>
            <w:vAlign w:val="bottom"/>
          </w:tcPr>
          <w:p>
            <w:pPr>
              <w:spacing w:after="0"/>
              <w:rPr>
                <w:sz w:val="19"/>
                <w:szCs w:val="19"/>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2"/>
        </w:trPr>
        <w:tc>
          <w:tcPr>
            <w:tcW w:w="3320" w:type="dxa"/>
            <w:vAlign w:val="bottom"/>
          </w:tcPr>
          <w:p>
            <w:pPr>
              <w:ind w:left="20"/>
              <w:spacing w:after="0"/>
              <w:rPr>
                <w:sz w:val="20"/>
                <w:szCs w:val="20"/>
                <w:color w:val="auto"/>
              </w:rPr>
            </w:pPr>
            <w:r>
              <w:rPr>
                <w:rFonts w:ascii="Arial" w:cs="Arial" w:eastAsia="Arial" w:hAnsi="Arial"/>
                <w:sz w:val="18"/>
                <w:szCs w:val="18"/>
                <w:color w:val="auto"/>
              </w:rPr>
              <w:t xml:space="preserve">Karan Takhar </w:t>
            </w:r>
            <w:r>
              <w:rPr>
                <w:rFonts w:ascii="Arial" w:cs="Arial" w:eastAsia="Arial" w:hAnsi="Arial"/>
                <w:sz w:val="24"/>
                <w:szCs w:val="24"/>
                <w:color w:val="auto"/>
                <w:vertAlign w:val="superscript"/>
              </w:rPr>
              <w:t>(2)(3)</w:t>
            </w:r>
          </w:p>
        </w:tc>
        <w:tc>
          <w:tcPr>
            <w:tcW w:w="380" w:type="dxa"/>
            <w:vAlign w:val="bottom"/>
          </w:tcPr>
          <w:p>
            <w:pPr>
              <w:spacing w:after="0"/>
              <w:rPr>
                <w:sz w:val="24"/>
                <w:szCs w:val="24"/>
                <w:color w:val="auto"/>
              </w:rPr>
            </w:pPr>
          </w:p>
        </w:tc>
        <w:tc>
          <w:tcPr>
            <w:tcW w:w="6080" w:type="dxa"/>
            <w:vAlign w:val="bottom"/>
          </w:tcPr>
          <w:p>
            <w:pPr>
              <w:ind w:left="20"/>
              <w:spacing w:after="0"/>
              <w:rPr>
                <w:sz w:val="20"/>
                <w:szCs w:val="20"/>
                <w:color w:val="auto"/>
              </w:rPr>
            </w:pPr>
            <w:r>
              <w:rPr>
                <w:rFonts w:ascii="Arial" w:cs="Arial" w:eastAsia="Arial" w:hAnsi="Arial"/>
                <w:sz w:val="18"/>
                <w:szCs w:val="18"/>
                <w:color w:val="auto"/>
              </w:rPr>
              <w:t>Director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w:t>
            </w:r>
          </w:p>
        </w:tc>
      </w:tr>
    </w:tbl>
    <w:p>
      <w:pPr>
        <w:spacing w:after="0" w:line="122" w:lineRule="exact"/>
        <w:rPr>
          <w:sz w:val="20"/>
          <w:szCs w:val="20"/>
          <w:color w:val="auto"/>
        </w:rPr>
      </w:pPr>
    </w:p>
    <w:p>
      <w:pPr>
        <w:ind w:left="380" w:hanging="372"/>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45" w:lineRule="exact"/>
        <w:rPr>
          <w:rFonts w:ascii="Arial" w:cs="Arial" w:eastAsia="Arial" w:hAnsi="Arial"/>
          <w:sz w:val="16"/>
          <w:szCs w:val="16"/>
          <w:color w:val="auto"/>
        </w:rPr>
      </w:pPr>
    </w:p>
    <w:p>
      <w:pPr>
        <w:ind w:left="380" w:hanging="372"/>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45" w:lineRule="exact"/>
        <w:rPr>
          <w:rFonts w:ascii="Arial" w:cs="Arial" w:eastAsia="Arial" w:hAnsi="Arial"/>
          <w:sz w:val="16"/>
          <w:szCs w:val="16"/>
          <w:color w:val="auto"/>
        </w:rPr>
      </w:pPr>
    </w:p>
    <w:p>
      <w:pPr>
        <w:ind w:left="380" w:hanging="372"/>
        <w:spacing w:after="0"/>
        <w:tabs>
          <w:tab w:leader="none" w:pos="3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b w:val="1"/>
          <w:bCs w:val="1"/>
          <w:i w:val="1"/>
          <w:iCs w:val="1"/>
          <w:color w:val="auto"/>
        </w:rPr>
        <w:t>Elisabet de los Pinos, Ph.D</w:t>
      </w:r>
      <w:r>
        <w:rPr>
          <w:rFonts w:ascii="Arial" w:cs="Arial" w:eastAsia="Arial" w:hAnsi="Arial"/>
          <w:sz w:val="18"/>
          <w:szCs w:val="18"/>
          <w:color w:val="auto"/>
        </w:rPr>
        <w:t>., is our founder and Chief Executive Officer. Since our founding in January 2010, Dr. de los Pinos has 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strategy and operations and has spearheaded our fundraising efforts. Prior to our founding, she was a brand manager in Eli Lilly &amp; Co.’s oncology business unit, where she was part of the leadership team responsible for the market launch in Europe of Alimta, a drug for the treatment of lung cancer. Earlier in her career, Dr. de los Pinos worked as a post-doctoral fellow at the Institute of Cancer Research at the University of London. She previously completed research fellowships at the Mount Sinai School of Medicine Institute of Molecular Medicine of New York University and at the Georgetown School of Medicine. She is a member of the board of overseers at the Museum of Science, Boston. Dr. de los Pinos has been named to Boston Business Journal’s 2009 “Top 40 under 40” list; as a Mass High Tech “Woman to Watch” in 2010; as a “Technology Pioneer” by the World Economic Forum in 2010; and as one of Goldman Sachs’s “100 Most Intriguing Entrepreneurs” in 2014. Dr. de los Pinos holds a Ph.D., magna cum laude, in Molecular Biology from the University of Barcelona and an M.B.A. from IE Business School.</w:t>
      </w:r>
    </w:p>
    <w:p>
      <w:pPr>
        <w:spacing w:after="0" w:line="18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b w:val="1"/>
          <w:bCs w:val="1"/>
          <w:i w:val="1"/>
          <w:iCs w:val="1"/>
          <w:color w:val="auto"/>
        </w:rPr>
        <w:t xml:space="preserve">Julie Feder </w:t>
      </w:r>
      <w:r>
        <w:rPr>
          <w:rFonts w:ascii="Arial" w:cs="Arial" w:eastAsia="Arial" w:hAnsi="Arial"/>
          <w:sz w:val="18"/>
          <w:szCs w:val="18"/>
          <w:color w:val="auto"/>
        </w:rPr>
        <w:t>has served as our Chief Financial Officer since August 2018. Prior to this role, Ms. Feder served as Chief Financial Officer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Verastem, from July 2017 to June 2018, where she was responsible for developing the company’s strategic financial plan and overseeing a rapid financial and staff growth. Prior to joining Verastem, Ms. Feder served as the Chief Financial Officer at CHAI from September 2011 to July 2017. At CHAI, Ms. Feder was responsible for managing a global team across multiple departments and developed the global finance strategy and internal audit, treasury and global payroll functions. Prior to joining CHAI, Ms. Feder spent three years at Genzyme Corporation, as Vice President of Internal Audit and later as Finance Integration Leader. In these roles, she managed the day-to-day operations of Genzyme Corporation’s global internal audit function, while leading the Genzyme Corporation Global Finance integration following Sanofi’s acquisition of Genzyme Corporation. Ms. Feder began her career at Deloitte &amp; Touche LLP, where she was Senior Manager of Audit, Consulting and Enterprise Risk Services. Ms. Feder holds a B.S. in Accounting from Yeshiva University’s Sy Syms School of Business.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03" w:name="page104"/>
    <w:bookmarkEnd w:id="103"/>
    <w:p>
      <w:pPr>
        <w:jc w:val="both"/>
        <w:ind w:firstLine="509"/>
        <w:spacing w:after="0" w:line="238" w:lineRule="auto"/>
        <w:rPr>
          <w:sz w:val="20"/>
          <w:szCs w:val="20"/>
          <w:color w:val="auto"/>
        </w:rPr>
      </w:pPr>
      <w:r>
        <w:rPr>
          <w:rFonts w:ascii="Arial" w:cs="Arial" w:eastAsia="Arial" w:hAnsi="Arial"/>
          <w:sz w:val="18"/>
          <w:szCs w:val="18"/>
          <w:b w:val="1"/>
          <w:bCs w:val="1"/>
          <w:i w:val="1"/>
          <w:iCs w:val="1"/>
          <w:color w:val="auto"/>
        </w:rPr>
        <w:t>J. Jill Hopkins, M.D</w:t>
      </w:r>
      <w:r>
        <w:rPr>
          <w:rFonts w:ascii="Arial" w:cs="Arial" w:eastAsia="Arial" w:hAnsi="Arial"/>
          <w:sz w:val="18"/>
          <w:szCs w:val="18"/>
          <w:color w:val="auto"/>
        </w:rPr>
        <w:t>, has served as our Chief Medical Officer and President of Research &amp; Development since October 2023. Prior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role, Dr. Hopkins served as Senior Vice President, Global Head of Ophthalmology and Exploratory Development at Novartis (NYSE: NVS and NOVN) and Chief Executive Officer of Gyroscope Therapeutics (Nasdaq: VISN), a Novartis company, where she was responsible for the global ophthalmic pipeline and portfolio of medicines, gene therapy, devices and digital solutions to impact eye disease and reduce visual impairment globally. Previously, Dr. Hopkins spent over a decade at Roche-Genentech in roles of increasing responsibility, most recently as Global Head Ophthalmology Personalized Health Care. Before Roche-Genentech, she spent over 20 years in clinical retinal research and academic practice at the University of Toronto, University of Southern California, and Retina-Vitreous Associates Medical Group. Dr. Hopkins has over 30 years of cross-sector experience in ophthalmology, spanning clinical care, academia, education, industry, advocacy and innovation. Dr. Hopkins received her M.D. from McMaster University and completed her Ophthalmology residency at the University of Toronto. She has completed fellowships in Retinal Disease from Moorfields Eye Hospital in London UK and in Visual Electrophysiology from the Universities of Toronto and Ottawa. Dr. Hopkins is board certified in Ophthalmology from the American Board of Ophthalmology and the Royal College of Surgeons Canada.</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b w:val="1"/>
          <w:bCs w:val="1"/>
          <w:i w:val="1"/>
          <w:iCs w:val="1"/>
          <w:color w:val="auto"/>
        </w:rPr>
        <w:t xml:space="preserve">Mark Plavsic, Ph.D., </w:t>
      </w:r>
      <w:r>
        <w:rPr>
          <w:rFonts w:ascii="Arial" w:cs="Arial" w:eastAsia="Arial" w:hAnsi="Arial"/>
          <w:sz w:val="18"/>
          <w:szCs w:val="18"/>
          <w:color w:val="auto"/>
        </w:rPr>
        <w:t>has served as our Chief Technology Officer since September 2023. Prior to this role, Dr. Plavsic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Officer at Fate Therapeutics, Inc. (Nasdaq: FATE), a clinical-stage biopharmaceutical company and was previously Chief Technical Officer at Lysogene, a late-stage gene therapy company. Dr. Plavsic also spent over 10 years at Sanofi Genzyme in Technical Operations, where he was Head of Product Bio-safety and Global Manufacturing Process Improvement, and in Technology Development &amp; Manufacturing, where he was Head of Gene Therapy Development. Before joining Sanofi Genzyme, Dr. Plavsic held various technical leadership positions with AstraZeneca (Nasdaq: AZN), Q-One Biotech Ltd. and Life Technologies. Dr. Plavsic has approximately 30 years of global biopharmaceutical experience including end-to-end technical operations in the United States, Europe and Australasia and successful translation and scale-up of complex biologics from preclinical development through commercial launch and distribution. Dr. Plavsic received his Ph.D. in Virology and Immunology and his DVM from the University of Belgrade, and is board certified in Microbiology, subspeciality Virology from the American College of Veterinary Microbiologists, and Regulatory Affairs Certification credentialed.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6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b w:val="1"/>
          <w:bCs w:val="1"/>
          <w:i w:val="1"/>
          <w:iCs w:val="1"/>
          <w:color w:val="auto"/>
        </w:rPr>
        <w:t xml:space="preserve">David Johnson </w:t>
      </w:r>
      <w:r>
        <w:rPr>
          <w:rFonts w:ascii="Arial" w:cs="Arial" w:eastAsia="Arial" w:hAnsi="Arial"/>
          <w:sz w:val="18"/>
          <w:szCs w:val="18"/>
          <w:color w:val="auto"/>
        </w:rPr>
        <w:t>has served as a member of our Board since January 2021. He has 25 years of experience in the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Since July 2021, he has been Founder and Chief Executive Officer of Solve Therapeutics, a venture-backed start-up focused on developing next-generation monoclonal antibody (mAb)-based oncology therapeutics. Prior to SolveTx, Mr. Johnson was Chief Executive Officer of VelosBio, which he founded in December 2017 based upon technology licensed from Tom Kipps of University of California, San Diego, built out as a fully functioning preclinical through clinical development organization, and led through an acquisition by Merck &amp; Co. in December 2020 for $2.75B. VelosBio is a clinical stage, oncology-focused, biopharmaceutical company advancing novel ROR1-directed ADCs and bispecific antibodies (BiAbs). VLS-101 Phase 1 clinical proof of concept data was presented at the American Society of Hematology Meeting in the fourth quarter of 2020 and published in manuscript form in 2021. Before VelosBio, Mr. Johnson was with Acerta Pharma, an oncology-focused pharmaceutical company focused on covalent small-molecule technology where he rose to Chief Executive Officer. While with Acerta Pharma, he built out all facets of the corporation, including accelerating the growth of acalabrutinib to rapidly move from early- to late-stage clinical development and launching four global registration directed trials, including an accelerated approval study which ultimately delivered acalabrutinib’s first regulatory approval. His tenure culminated in the execution of a strategic transaction with AstraZeneca valued at $7B. Mr. Johnson is chairman of the board of Zentalis Pharmaceuticals, Inc. (Nasdaq: ZNTL), which is focused on the creation of differentiated small molecules targeting fundamental biological pathways of cancer. From April 2021 until its acquisition by Blueprint Medicine Corporation in December 2021, Mr. Johnson served as chairman of Lengo Therapeutics. Since November 2021, Mr. Johnson has also been a board member of Palleon Pharmaceuticals, Inc., a biopharmaceutical company focused on novel IO therapeutics targeting the immunosuppressive cell surface sialoglycan system associated with cancer cells. Prior to his Chief Executive Officer and board roles, Mr. Johnson held various biopharmaceutical roles of increasing responsibility with Calistoga Pharmaceuticals (acquired by Gilead Sciences), Gloucester Pharmaceuticals (acquired by Celgene), Millennium (acquired by Takeda), Immunex (acquired by Amgen), and Hoffman La-Roche making contributions to many drugs garnering regulatory approval. He has raised $750m+ in biopharma capital and delivered transactions valued at over $10B. Mr. Johnson is a coauthor on numerous publications including four New England Journal of Medicine manuscripts. He has a bachelor’s degree from Indiana University. We believe that Mr. Johnson’s experience as a pharmaceutical business leader provides him with the appropriate set of skills to serve as a member of our Board.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4" w:name="page105"/>
    <w:bookmarkEnd w:id="104"/>
    <w:p>
      <w:pPr>
        <w:jc w:val="both"/>
        <w:ind w:firstLine="509"/>
        <w:spacing w:after="0" w:line="239" w:lineRule="auto"/>
        <w:rPr>
          <w:sz w:val="20"/>
          <w:szCs w:val="20"/>
          <w:color w:val="auto"/>
        </w:rPr>
      </w:pPr>
      <w:r>
        <w:rPr>
          <w:rFonts w:ascii="Arial" w:cs="Arial" w:eastAsia="Arial" w:hAnsi="Arial"/>
          <w:sz w:val="18"/>
          <w:szCs w:val="18"/>
          <w:b w:val="1"/>
          <w:bCs w:val="1"/>
          <w:i w:val="1"/>
          <w:iCs w:val="1"/>
          <w:color w:val="auto"/>
        </w:rPr>
        <w:t>Giovanni Mariggi, Ph.D</w:t>
      </w:r>
      <w:r>
        <w:rPr>
          <w:rFonts w:ascii="Arial" w:cs="Arial" w:eastAsia="Arial" w:hAnsi="Arial"/>
          <w:sz w:val="18"/>
          <w:szCs w:val="18"/>
          <w:color w:val="auto"/>
        </w:rPr>
        <w:t>., has served as a member of our Board since April 2019. Dr. Mariggi is a member of the co-founding team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Medicxi, having served as a Partner since October 2018 and a Principal from February 2016 to September 2018. Prior to Medicxi, Dr. Mariggi served in multiple roles at Index Ventures, or Index, over four years, ultimately serving as a Principal from January 2015 to January 2016. Prior to joining Index, Dr. Mariggi worked at Cancer Research UK’s London Research Institute (now the Crick Institute) conducting research on vascular biology and angiogenesis, whilst also performing competitive intelligence projects as an independent consultant to various biopharma companies. He currently serves on the boards of a number of portfolio companies, including Vicebio Ltd, Vaderis AG and Ateda Therapeutics Limited. Dr. Mariggi holds a Ph.D. in Biochemistry and Molecular Biology from University College London and a B.Sc. in Biochemistry from Imperial College London. We believe Dr. Mariggi’s experience and background in the biopharmaceutical industry provides him with the appropriate set of skills to serve as a member of our Board.</w:t>
      </w:r>
    </w:p>
    <w:p>
      <w:pPr>
        <w:spacing w:after="0" w:line="18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b w:val="1"/>
          <w:bCs w:val="1"/>
          <w:i w:val="1"/>
          <w:iCs w:val="1"/>
          <w:color w:val="auto"/>
        </w:rPr>
        <w:t xml:space="preserve">Antony Mattessich </w:t>
      </w:r>
      <w:r>
        <w:rPr>
          <w:rFonts w:ascii="Arial" w:cs="Arial" w:eastAsia="Arial" w:hAnsi="Arial"/>
          <w:sz w:val="18"/>
          <w:szCs w:val="18"/>
          <w:color w:val="auto"/>
        </w:rPr>
        <w:t>has served as a member of our Board since September 2021. Mr. Mattessich is currently the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and a member of the board of directors of Ocular Therapeutix (Nasdaq: OCUL), a position he has held since August 2017. Prior to Ocular Therapeutix, beginning in 2009, he served in roles of increasing responsibility at Mundipharma International, including serving as Managing Director from May 2011 to August 2017. Previous to his time at Mundipharma, Mr. Mattessich ran the U.S. respiratory, dermatology and pediatrics group at Novartis. Before Novartis, Mr. Mattessich held several positions at Bristol-Myers Squibb, among them, Managing Director roles in Malaysia/Singapore and The Netherlands, and Head of Operations for the International Medicines Group. Mr. Mattessich holds a Masters in International Affairs from Columbia University and a B.A. from the University of California at Berkeley. We believe Mr. Mattessich’s leadership experience in biotech and pharmaceuticals provides him with the appropriate set of skills to serve as a member of our Board.</w:t>
      </w:r>
    </w:p>
    <w:p>
      <w:pPr>
        <w:spacing w:after="0" w:line="181"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7"/>
          <w:szCs w:val="17"/>
          <w:b w:val="1"/>
          <w:bCs w:val="1"/>
          <w:i w:val="1"/>
          <w:iCs w:val="1"/>
          <w:color w:val="auto"/>
        </w:rPr>
        <w:t>Raj Parekh, Ph.D</w:t>
      </w:r>
      <w:r>
        <w:rPr>
          <w:rFonts w:ascii="Arial" w:cs="Arial" w:eastAsia="Arial" w:hAnsi="Arial"/>
          <w:sz w:val="17"/>
          <w:szCs w:val="17"/>
          <w:color w:val="auto"/>
        </w:rPr>
        <w:t>., has served as a member of our Board since 2015. Dr. Parekh joined Advent Life Sciences as a General Partner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2005, bringing over 20 years of experience in biomedical research and as an entrepreneur and investor. Since joining Advent, he has been involved with portfolio companies primarily engaged in the discovery of new medicines, including Avila Therapeutics, Inc., Aleta Biotherapeutics, Inc., Levicept Ltd., Artax Biopharma, Inc. and Amphista Therapeutics Limited. Earlier in his career, Dr. Parekh co-founded Oxford GlycoSciences, which was sold to UCB-Celltech. He then served as chairman of Galapagos NV, a member of the Supervisory Board of the Novartis Venture Fund and a founding director of Celldex Therapeutics. Dr. Parekh currently serves on the boards of directors of several portfolio companies, including Arrakis Therapeutics and Levicept Ltd. Previously, Dr. Parekh served on the board of directors of Eloxx Pharmaceuticals (Nasdaq: ELOX). Dr. Parekh holds a Ph.D. in Molecular Medicine and an M.A. in Biochemistry from Oxford University. We believe Dr. Parekh’s experience and background provides him with the appropriate set of skills to serve as a member of our Board.</w:t>
      </w:r>
    </w:p>
    <w:p>
      <w:pPr>
        <w:spacing w:after="0" w:line="17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b w:val="1"/>
          <w:bCs w:val="1"/>
          <w:i w:val="1"/>
          <w:iCs w:val="1"/>
          <w:color w:val="auto"/>
        </w:rPr>
        <w:t>Sapna Srivastava, Ph.D</w:t>
      </w:r>
      <w:r>
        <w:rPr>
          <w:rFonts w:ascii="Arial" w:cs="Arial" w:eastAsia="Arial" w:hAnsi="Arial"/>
          <w:sz w:val="18"/>
          <w:szCs w:val="18"/>
          <w:color w:val="auto"/>
        </w:rPr>
        <w:t>., has served as a member of our Board since May 2021. Dr. Srivastava most recently served as the Interim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at eGenesis, Inc., or eGenesis, a position she has held from March 2021 until October 2021. Prior to eGenesis, she held similar roles as the Chief Financial and Strategy Officer at Abide Therapeutics, Inc. (acquired by Lundbeck) from September 2017 to January 2019 and at Intellia Therapeutics, Inc., or Intellia, from April 2015 to December 2016. In these positions, she has played a key role in equity financings including a successful initial public offering, strategic alliances, mergers and acquisitions and shaping the strategic direction of the companies. Before Intellia, Dr. Srivastava spent more than a decade as a senior biotechnology analyst for Goldman Sachs &amp; Co. LLC, Morgan Stanley &amp; Co. LLC and ThinkEquity Partners. She served on the board of directors of Talaris Therapeutics, Inc. (Nasdaq: TALS) from January 2021 to October 2023 until it merged with Tourmaline Bio, Inc. (Nasdaq: TRML) in October 2023 and has since served on the board of Tourmaline Bio, Inc. She also currently serves of the boards of directors of Nuvalent, Inc. (Nasdaq: NUVL), SQZ Biotechnologies Company (Nasdaq: SQZ), Social Capital Suvretta Holdings Corp. II (Nasdaq: DNAB), a special purpose acquisition corporation, and Innoviva, Inc. (Nasdaq: INVA). Dr. Srivastava holds a Ph.D. in Neuroscience from the New York University School of Medicine and a B.S. in Microbiology from St. Xavier’s College at the University of Mumbai. We believe Dr. Srivastava’s experience as an executive officer in the biopharmaceutical industry and investment banking provides her with the appropriate set of skills to serve as a member of our Board.</w:t>
      </w:r>
    </w:p>
    <w:p>
      <w:pPr>
        <w:spacing w:after="0" w:line="188"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Board recognizes that Dr. Srivastava serves as a director of multiple other public companies, and we believe that it is strongly in the best interests of our company, and our stockholders that Dr. Srivastava serves as a director. Our Board considered her extensive experience serving on the boards of publicly traded life sciences companies and high-level accounting and financial expertise as key attributes in her selection.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5" w:name="page106"/>
    <w:bookmarkEnd w:id="105"/>
    <w:p>
      <w:pPr>
        <w:jc w:val="both"/>
        <w:ind w:firstLine="509"/>
        <w:spacing w:after="0"/>
        <w:rPr>
          <w:sz w:val="20"/>
          <w:szCs w:val="20"/>
          <w:color w:val="auto"/>
        </w:rPr>
      </w:pPr>
      <w:r>
        <w:rPr>
          <w:rFonts w:ascii="Arial" w:cs="Arial" w:eastAsia="Arial" w:hAnsi="Arial"/>
          <w:sz w:val="18"/>
          <w:szCs w:val="18"/>
          <w:b w:val="1"/>
          <w:bCs w:val="1"/>
          <w:i w:val="1"/>
          <w:iCs w:val="1"/>
          <w:color w:val="auto"/>
        </w:rPr>
        <w:t xml:space="preserve">Karan Takhar </w:t>
      </w:r>
      <w:r>
        <w:rPr>
          <w:rFonts w:ascii="Arial" w:cs="Arial" w:eastAsia="Arial" w:hAnsi="Arial"/>
          <w:sz w:val="18"/>
          <w:szCs w:val="18"/>
          <w:color w:val="auto"/>
        </w:rPr>
        <w:t>has served as a member of our Board since March 2021. Since 2013, Mr. Takhar has held roles of increasing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responsibility at Matrix Capital Management, L.P., or Matrix, an investment fund focused on technology and life sciences. He currently serves as a Senior Managing Director and the head of Life Sciences investing, a position he has held since February 2021. He previously served as a Managing Director from January 2017 to January 2021 and as a Vice President from January 2016 to December 2016. Mr. Takhar has served as a member of the board of directors of Zentalis (Nasdaq: ZNTL) since December 2017. Mr. Takhar received a B.S. in Economics and Mathematics from the Massachusetts Institute of Technology. We believe Mr. Takhar’s experience investing in life sciences companies provides him with the appropriate set of skills to serve as a member of our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 and Arrangements</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There are no family relationships between or among any of our directors or executive officers. The principal occupation and employment during the past five years of each of our directors was carried on, in each case except as specifically identified above, with a corporation or organization that is not a parent, subsidiary or other affiliate of us. There is no arrangement or understanding between any of our directors and any other person or persons pursuant to which he or she is to be selected as a director.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The full text of our Code of Business Conduct and Ethics is posted on our website at https://ir.aurabiosciences.com/corporate-governance/documents-charters. The inclusion of our website address in this Annual Report does not include or incorporate by reference the information on our website into this Annual Report, and you should not consider that information a part of this Annual Report. If we make any substantive amendments to, or grant any waivers from, our Code of Business Conduct and Ethics for any officer or director, we will disclose the nature of such amendment or waiver on our website or in a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Director Nominees by Stockholders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have been no material changes to the procedures by which our stockholders may recommend nominees to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members of our Audit Committee are Sapna Srivastava, Ph.D., Giovanni Mariggi, Ph.D., and Antony Mattessich. Dr. Srivastava is the Chair of the Audit Committee. Our Board has determined that all members of our Audit Committee meet the requirements for financial literacy under the applicable rules and regulations of the SEC and the Nasdaq listing rules and that Dr. Srivastava is a “audit committee financial expert” (within the meaning of applicable SEC regulations). Please see “</w:t>
      </w:r>
      <w:r>
        <w:rPr>
          <w:rFonts w:ascii="Arial" w:cs="Arial" w:eastAsia="Arial" w:hAnsi="Arial"/>
          <w:sz w:val="18"/>
          <w:szCs w:val="18"/>
          <w:i w:val="1"/>
          <w:iCs w:val="1"/>
          <w:color w:val="auto"/>
        </w:rPr>
        <w:t>—Non-Employee Directors—Sapna Srivastava, Ph.D.</w:t>
      </w:r>
      <w:r>
        <w:rPr>
          <w:rFonts w:ascii="Arial" w:cs="Arial" w:eastAsia="Arial" w:hAnsi="Arial"/>
          <w:sz w:val="18"/>
          <w:szCs w:val="18"/>
          <w:color w:val="auto"/>
        </w:rPr>
        <w:t>” for more information. Each of the members of the audit committee is independent pursuant to applicable Nasdaq listing standards.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Trading, Pledging and Hedging of Company Stock</w:t>
      </w:r>
    </w:p>
    <w:p>
      <w:pPr>
        <w:spacing w:after="0" w:line="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our securities. Our insider trading policy expressly prohibits derivative transactions of our stock by our executive officers, directors, employees, consultants and designated contractors. Our insider trading policy expressly prohibits purchases of any derivative securities that provide the economic equivalent of ownership.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Overview</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6" w:name="page107"/>
    <w:bookmarkEnd w:id="106"/>
    <w:p>
      <w:pPr>
        <w:jc w:val="both"/>
        <w:spacing w:after="0" w:line="246" w:lineRule="auto"/>
        <w:rPr>
          <w:sz w:val="20"/>
          <w:szCs w:val="20"/>
          <w:color w:val="auto"/>
        </w:rPr>
      </w:pPr>
      <w:r>
        <w:rPr>
          <w:rFonts w:ascii="Arial" w:cs="Arial" w:eastAsia="Arial" w:hAnsi="Arial"/>
          <w:sz w:val="18"/>
          <w:szCs w:val="18"/>
          <w:color w:val="auto"/>
        </w:rPr>
        <w:t>Act. This section provides an overview of the compensation awarded to and earned by each individual who served as our principal executive officer at any time during the year ended December 31, 2023 and to our next two most highly compensated executive officers in respect of their service to our company for our year ended December 31, 2023. We refer to these individuals as our “named executive officers.” Our named executive officers for the year ended December 31, 2023 are:</w:t>
      </w:r>
    </w:p>
    <w:p>
      <w:pPr>
        <w:spacing w:after="0" w:line="1" w:lineRule="exact"/>
        <w:rPr>
          <w:sz w:val="20"/>
          <w:szCs w:val="20"/>
          <w:color w:val="auto"/>
        </w:rPr>
      </w:pPr>
    </w:p>
    <w:p>
      <w:pPr>
        <w:ind w:left="1160" w:hanging="508"/>
        <w:spacing w:after="0"/>
        <w:tabs>
          <w:tab w:leader="none" w:pos="11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Elisabet de los Pinos, Ph.D., our President and Chief Executive Officer;</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Julie B. Feder, our Chief Financial Officer; and</w:t>
      </w:r>
    </w:p>
    <w:p>
      <w:pPr>
        <w:spacing w:after="0" w:line="34"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Cadmus C. Rich, M.D., our former Chief Medical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Summary Compensation Table</w:t>
      </w:r>
    </w:p>
    <w:p>
      <w:pPr>
        <w:spacing w:after="0" w:line="76"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following table presents the compensation awarded to, earned by or paid to each of our named executive officers for the years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4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9"/>
              </w:rPr>
              <w:t>Non-Equity</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ind w:right="253"/>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17"/>
                <w:szCs w:val="17"/>
                <w:color w:val="auto"/>
              </w:rPr>
            </w:pPr>
          </w:p>
        </w:tc>
        <w:tc>
          <w:tcPr>
            <w:tcW w:w="114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Option</w:t>
            </w:r>
          </w:p>
        </w:tc>
        <w:tc>
          <w:tcPr>
            <w:tcW w:w="1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Incentive Plan</w:t>
            </w:r>
          </w:p>
        </w:tc>
        <w:tc>
          <w:tcPr>
            <w:tcW w:w="100" w:type="dxa"/>
            <w:vAlign w:val="bottom"/>
          </w:tcPr>
          <w:p>
            <w:pPr>
              <w:spacing w:after="0"/>
              <w:rPr>
                <w:sz w:val="17"/>
                <w:szCs w:val="17"/>
                <w:color w:val="auto"/>
              </w:rPr>
            </w:pPr>
          </w:p>
        </w:tc>
        <w:tc>
          <w:tcPr>
            <w:tcW w:w="15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All Other</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40" w:type="dxa"/>
            <w:vAlign w:val="bottom"/>
          </w:tcPr>
          <w:p>
            <w:pPr>
              <w:spacing w:after="0"/>
              <w:rPr>
                <w:sz w:val="15"/>
                <w:szCs w:val="15"/>
                <w:color w:val="auto"/>
              </w:rPr>
            </w:pPr>
          </w:p>
        </w:tc>
        <w:tc>
          <w:tcPr>
            <w:tcW w:w="7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Year</w:t>
            </w: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Salary ($)</w:t>
            </w: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Compensation ($)</w:t>
            </w:r>
          </w:p>
        </w:tc>
        <w:tc>
          <w:tcPr>
            <w:tcW w:w="100" w:type="dxa"/>
            <w:vAlign w:val="bottom"/>
          </w:tcPr>
          <w:p>
            <w:pPr>
              <w:spacing w:after="0"/>
              <w:rPr>
                <w:sz w:val="15"/>
                <w:szCs w:val="15"/>
                <w:color w:val="auto"/>
              </w:rPr>
            </w:pPr>
          </w:p>
        </w:tc>
        <w:tc>
          <w:tcPr>
            <w:tcW w:w="15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Compensation ($)</w:t>
            </w:r>
          </w:p>
        </w:tc>
        <w:tc>
          <w:tcPr>
            <w:tcW w:w="340" w:type="dxa"/>
            <w:vAlign w:val="bottom"/>
          </w:tcPr>
          <w:p>
            <w:pPr>
              <w:spacing w:after="0"/>
              <w:rPr>
                <w:sz w:val="15"/>
                <w:szCs w:val="15"/>
                <w:color w:val="auto"/>
              </w:rPr>
            </w:pPr>
          </w:p>
        </w:tc>
        <w:tc>
          <w:tcPr>
            <w:tcW w:w="11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 ($)</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6"/>
                <w:szCs w:val="16"/>
                <w:b w:val="1"/>
                <w:bCs w:val="1"/>
                <w:color w:val="auto"/>
              </w:rPr>
              <w:t>Awards ($)</w:t>
            </w:r>
            <w:r>
              <w:rPr>
                <w:rFonts w:ascii="Arial" w:cs="Arial" w:eastAsia="Arial" w:hAnsi="Arial"/>
                <w:sz w:val="21"/>
                <w:szCs w:val="21"/>
                <w:b w:val="1"/>
                <w:bCs w:val="1"/>
                <w:color w:val="auto"/>
                <w:vertAlign w:val="superscript"/>
              </w:rPr>
              <w:t>(1)</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6"/>
                <w:szCs w:val="16"/>
                <w:b w:val="1"/>
                <w:bCs w:val="1"/>
                <w:color w:val="auto"/>
              </w:rPr>
              <w:t>Awards ($)</w:t>
            </w:r>
            <w:r>
              <w:rPr>
                <w:rFonts w:ascii="Arial" w:cs="Arial" w:eastAsia="Arial" w:hAnsi="Arial"/>
                <w:sz w:val="21"/>
                <w:szCs w:val="21"/>
                <w:b w:val="1"/>
                <w:bCs w:val="1"/>
                <w:color w:val="auto"/>
                <w:vertAlign w:val="superscript"/>
              </w:rPr>
              <w:t>(1)</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(3)</w:t>
            </w:r>
          </w:p>
        </w:tc>
        <w:tc>
          <w:tcPr>
            <w:tcW w:w="34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4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Elisabet de los Pinos,</w:t>
            </w:r>
          </w:p>
        </w:tc>
        <w:tc>
          <w:tcPr>
            <w:tcW w:w="740" w:type="dxa"/>
            <w:vAlign w:val="bottom"/>
            <w:vMerge w:val="restart"/>
            <w:shd w:val="clear" w:color="auto" w:fill="CFF0FC"/>
          </w:tcPr>
          <w:p>
            <w:pPr>
              <w:ind w:left="180"/>
              <w:spacing w:after="0"/>
              <w:rPr>
                <w:sz w:val="20"/>
                <w:szCs w:val="20"/>
                <w:color w:val="auto"/>
              </w:rPr>
            </w:pPr>
            <w:r>
              <w:rPr>
                <w:rFonts w:ascii="Arial" w:cs="Arial" w:eastAsia="Arial" w:hAnsi="Arial"/>
                <w:sz w:val="18"/>
                <w:szCs w:val="18"/>
                <w:color w:val="auto"/>
              </w:rPr>
              <w:t>2023</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585,525</w:t>
            </w:r>
          </w:p>
        </w:tc>
        <w:tc>
          <w:tcPr>
            <w:tcW w:w="12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1,240,688</w:t>
            </w:r>
          </w:p>
        </w:tc>
        <w:tc>
          <w:tcPr>
            <w:tcW w:w="12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1,908,750</w:t>
            </w:r>
          </w:p>
        </w:tc>
        <w:tc>
          <w:tcPr>
            <w:tcW w:w="16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289,835</w:t>
            </w:r>
          </w:p>
        </w:tc>
        <w:tc>
          <w:tcPr>
            <w:tcW w:w="16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19,800</w:t>
            </w:r>
          </w:p>
        </w:tc>
        <w:tc>
          <w:tcPr>
            <w:tcW w:w="340" w:type="dxa"/>
            <w:vAlign w:val="bottom"/>
            <w:shd w:val="clear" w:color="auto" w:fill="CFF0FC"/>
          </w:tcPr>
          <w:p>
            <w:pPr>
              <w:spacing w:after="0"/>
              <w:rPr>
                <w:sz w:val="16"/>
                <w:szCs w:val="16"/>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4,044,598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40" w:type="dxa"/>
            <w:vAlign w:val="bottom"/>
            <w:vMerge w:val="restart"/>
            <w:shd w:val="clear" w:color="auto" w:fill="CFF0FC"/>
          </w:tcPr>
          <w:p>
            <w:pPr>
              <w:ind w:left="20"/>
              <w:spacing w:after="0"/>
              <w:rPr>
                <w:sz w:val="20"/>
                <w:szCs w:val="20"/>
                <w:color w:val="auto"/>
              </w:rPr>
            </w:pPr>
            <w:r>
              <w:rPr>
                <w:rFonts w:ascii="Arial" w:cs="Arial" w:eastAsia="Arial" w:hAnsi="Arial"/>
                <w:sz w:val="18"/>
                <w:szCs w:val="18"/>
                <w:color w:val="auto"/>
              </w:rPr>
              <w:t>Ph.D.</w:t>
            </w:r>
          </w:p>
        </w:tc>
        <w:tc>
          <w:tcPr>
            <w:tcW w:w="740" w:type="dxa"/>
            <w:vAlign w:val="bottom"/>
            <w:vMerge w:val="continue"/>
            <w:shd w:val="clear" w:color="auto" w:fill="CFF0FC"/>
          </w:tcPr>
          <w:p>
            <w:pPr>
              <w:spacing w:after="0"/>
              <w:rPr>
                <w:sz w:val="11"/>
                <w:szCs w:val="11"/>
                <w:color w:val="auto"/>
              </w:rPr>
            </w:pPr>
          </w:p>
        </w:tc>
        <w:tc>
          <w:tcPr>
            <w:tcW w:w="1080" w:type="dxa"/>
            <w:vAlign w:val="bottom"/>
            <w:vMerge w:val="continue"/>
            <w:shd w:val="clear" w:color="auto" w:fill="CFF0FC"/>
          </w:tcPr>
          <w:p>
            <w:pPr>
              <w:spacing w:after="0"/>
              <w:rPr>
                <w:sz w:val="11"/>
                <w:szCs w:val="11"/>
                <w:color w:val="auto"/>
              </w:rPr>
            </w:pPr>
          </w:p>
        </w:tc>
        <w:tc>
          <w:tcPr>
            <w:tcW w:w="1240" w:type="dxa"/>
            <w:vAlign w:val="bottom"/>
            <w:gridSpan w:val="2"/>
            <w:vMerge w:val="continue"/>
            <w:shd w:val="clear" w:color="auto" w:fill="CFF0FC"/>
          </w:tcPr>
          <w:p>
            <w:pPr>
              <w:spacing w:after="0"/>
              <w:rPr>
                <w:sz w:val="11"/>
                <w:szCs w:val="11"/>
                <w:color w:val="auto"/>
              </w:rPr>
            </w:pPr>
          </w:p>
        </w:tc>
        <w:tc>
          <w:tcPr>
            <w:tcW w:w="1260" w:type="dxa"/>
            <w:vAlign w:val="bottom"/>
            <w:gridSpan w:val="2"/>
            <w:vMerge w:val="continue"/>
            <w:shd w:val="clear" w:color="auto" w:fill="CFF0FC"/>
          </w:tcPr>
          <w:p>
            <w:pPr>
              <w:spacing w:after="0"/>
              <w:rPr>
                <w:sz w:val="11"/>
                <w:szCs w:val="11"/>
                <w:color w:val="auto"/>
              </w:rPr>
            </w:pPr>
          </w:p>
        </w:tc>
        <w:tc>
          <w:tcPr>
            <w:tcW w:w="1660" w:type="dxa"/>
            <w:vAlign w:val="bottom"/>
            <w:gridSpan w:val="2"/>
            <w:vMerge w:val="continue"/>
            <w:shd w:val="clear" w:color="auto" w:fill="CFF0FC"/>
          </w:tcPr>
          <w:p>
            <w:pPr>
              <w:spacing w:after="0"/>
              <w:rPr>
                <w:sz w:val="11"/>
                <w:szCs w:val="11"/>
                <w:color w:val="auto"/>
              </w:rPr>
            </w:pPr>
          </w:p>
        </w:tc>
        <w:tc>
          <w:tcPr>
            <w:tcW w:w="1660" w:type="dxa"/>
            <w:vAlign w:val="bottom"/>
            <w:gridSpan w:val="2"/>
            <w:vMerge w:val="continue"/>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40" w:type="dxa"/>
            <w:vAlign w:val="bottom"/>
            <w:vMerge w:val="continue"/>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40" w:type="dxa"/>
            <w:vAlign w:val="bottom"/>
            <w:shd w:val="clear" w:color="auto" w:fill="CFF0FC"/>
          </w:tcPr>
          <w:p>
            <w:pPr>
              <w:ind w:left="20"/>
              <w:spacing w:after="0" w:line="199" w:lineRule="exact"/>
              <w:rPr>
                <w:sz w:val="20"/>
                <w:szCs w:val="20"/>
                <w:color w:val="auto"/>
              </w:rPr>
            </w:pPr>
            <w:r>
              <w:rPr>
                <w:rFonts w:ascii="Arial" w:cs="Arial" w:eastAsia="Arial" w:hAnsi="Arial"/>
                <w:sz w:val="18"/>
                <w:szCs w:val="18"/>
                <w:i w:val="1"/>
                <w:iCs w:val="1"/>
                <w:color w:val="auto"/>
              </w:rPr>
              <w:t>President, Chief</w:t>
            </w:r>
          </w:p>
        </w:tc>
        <w:tc>
          <w:tcPr>
            <w:tcW w:w="740" w:type="dxa"/>
            <w:vAlign w:val="bottom"/>
            <w:vMerge w:val="restart"/>
            <w:shd w:val="clear" w:color="auto" w:fill="CFF0FC"/>
          </w:tcPr>
          <w:p>
            <w:pPr>
              <w:ind w:left="180"/>
              <w:spacing w:after="0"/>
              <w:rPr>
                <w:sz w:val="20"/>
                <w:szCs w:val="20"/>
                <w:color w:val="auto"/>
              </w:rPr>
            </w:pPr>
            <w:r>
              <w:rPr>
                <w:rFonts w:ascii="Arial" w:cs="Arial" w:eastAsia="Arial" w:hAnsi="Arial"/>
                <w:sz w:val="18"/>
                <w:szCs w:val="18"/>
                <w:color w:val="auto"/>
              </w:rPr>
              <w:t>2022</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555,000</w:t>
            </w: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222,000</w:t>
            </w:r>
          </w:p>
        </w:tc>
        <w:tc>
          <w:tcPr>
            <w:tcW w:w="16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34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795,300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Executive Officer and</w:t>
            </w:r>
          </w:p>
        </w:tc>
        <w:tc>
          <w:tcPr>
            <w:tcW w:w="740" w:type="dxa"/>
            <w:vAlign w:val="bottom"/>
            <w:vMerge w:val="continue"/>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1660" w:type="dxa"/>
            <w:vAlign w:val="bottom"/>
            <w:gridSpan w:val="2"/>
            <w:vMerge w:val="continue"/>
            <w:shd w:val="clear" w:color="auto" w:fill="CFF0FC"/>
          </w:tcPr>
          <w:p>
            <w:pPr>
              <w:spacing w:after="0"/>
              <w:rPr>
                <w:sz w:val="17"/>
                <w:szCs w:val="17"/>
                <w:color w:val="auto"/>
              </w:rPr>
            </w:pPr>
          </w:p>
        </w:tc>
        <w:tc>
          <w:tcPr>
            <w:tcW w:w="1660" w:type="dxa"/>
            <w:vAlign w:val="bottom"/>
            <w:gridSpan w:val="2"/>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i w:val="1"/>
                <w:iCs w:val="1"/>
                <w:color w:val="auto"/>
              </w:rPr>
              <w:t>Director</w:t>
            </w:r>
          </w:p>
        </w:tc>
        <w:tc>
          <w:tcPr>
            <w:tcW w:w="7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40" w:type="dxa"/>
            <w:vAlign w:val="bottom"/>
          </w:tcPr>
          <w:p>
            <w:pPr>
              <w:ind w:left="20"/>
              <w:spacing w:after="0"/>
              <w:rPr>
                <w:sz w:val="20"/>
                <w:szCs w:val="20"/>
                <w:color w:val="auto"/>
              </w:rPr>
            </w:pPr>
            <w:r>
              <w:rPr>
                <w:rFonts w:ascii="Arial" w:cs="Arial" w:eastAsia="Arial" w:hAnsi="Arial"/>
                <w:sz w:val="18"/>
                <w:szCs w:val="18"/>
                <w:color w:val="auto"/>
              </w:rPr>
              <w:t>Julie B. Feder</w:t>
            </w:r>
          </w:p>
        </w:tc>
        <w:tc>
          <w:tcPr>
            <w:tcW w:w="740" w:type="dxa"/>
            <w:vAlign w:val="bottom"/>
          </w:tcPr>
          <w:p>
            <w:pPr>
              <w:ind w:left="180"/>
              <w:spacing w:after="0"/>
              <w:rPr>
                <w:sz w:val="20"/>
                <w:szCs w:val="20"/>
                <w:color w:val="auto"/>
              </w:rPr>
            </w:pPr>
            <w:r>
              <w:rPr>
                <w:rFonts w:ascii="Arial" w:cs="Arial" w:eastAsia="Arial" w:hAnsi="Arial"/>
                <w:sz w:val="18"/>
                <w:szCs w:val="18"/>
                <w:color w:val="auto"/>
              </w:rPr>
              <w:t>2023</w:t>
            </w:r>
          </w:p>
        </w:tc>
        <w:tc>
          <w:tcPr>
            <w:tcW w:w="1080" w:type="dxa"/>
            <w:vAlign w:val="bottom"/>
          </w:tcPr>
          <w:p>
            <w:pPr>
              <w:jc w:val="right"/>
              <w:spacing w:after="0"/>
              <w:rPr>
                <w:sz w:val="20"/>
                <w:szCs w:val="20"/>
                <w:color w:val="auto"/>
              </w:rPr>
            </w:pPr>
            <w:r>
              <w:rPr>
                <w:rFonts w:ascii="Arial" w:cs="Arial" w:eastAsia="Arial" w:hAnsi="Arial"/>
                <w:sz w:val="18"/>
                <w:szCs w:val="18"/>
                <w:color w:val="auto"/>
              </w:rPr>
              <w:t>437,825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496,275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763,500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166,374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1,863,974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4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2023</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388,125</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347,393</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534,450</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tcPr>
          <w:p>
            <w:pPr>
              <w:jc w:val="right"/>
              <w:spacing w:after="0"/>
              <w:rPr>
                <w:sz w:val="20"/>
                <w:szCs w:val="20"/>
                <w:color w:val="auto"/>
              </w:rPr>
            </w:pPr>
            <w:r>
              <w:rPr>
                <w:rFonts w:ascii="Arial" w:cs="Arial" w:eastAsia="Arial" w:hAnsi="Arial"/>
                <w:sz w:val="18"/>
                <w:szCs w:val="18"/>
                <w:color w:val="auto"/>
              </w:rPr>
              <w:t>399,214</w:t>
            </w:r>
          </w:p>
        </w:tc>
        <w:tc>
          <w:tcPr>
            <w:tcW w:w="34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1,669,182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Cadmus C. Rich, M.D.</w:t>
            </w:r>
          </w:p>
        </w:tc>
        <w:tc>
          <w:tcPr>
            <w:tcW w:w="7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40" w:type="dxa"/>
            <w:vAlign w:val="bottom"/>
            <w:shd w:val="clear" w:color="auto" w:fill="CFF0FC"/>
          </w:tcPr>
          <w:p>
            <w:pPr>
              <w:ind w:left="20"/>
              <w:spacing w:after="0" w:line="199" w:lineRule="exact"/>
              <w:rPr>
                <w:sz w:val="20"/>
                <w:szCs w:val="20"/>
                <w:color w:val="auto"/>
              </w:rPr>
            </w:pPr>
            <w:r>
              <w:rPr>
                <w:rFonts w:ascii="Arial" w:cs="Arial" w:eastAsia="Arial" w:hAnsi="Arial"/>
                <w:sz w:val="18"/>
                <w:szCs w:val="18"/>
                <w:i w:val="1"/>
                <w:iCs w:val="1"/>
                <w:color w:val="auto"/>
              </w:rPr>
              <w:t>Former Chief Medical</w:t>
            </w:r>
          </w:p>
        </w:tc>
        <w:tc>
          <w:tcPr>
            <w:tcW w:w="740" w:type="dxa"/>
            <w:vAlign w:val="bottom"/>
            <w:vMerge w:val="restart"/>
            <w:shd w:val="clear" w:color="auto" w:fill="CFF0FC"/>
          </w:tcPr>
          <w:p>
            <w:pPr>
              <w:ind w:left="180"/>
              <w:spacing w:after="0"/>
              <w:rPr>
                <w:sz w:val="20"/>
                <w:szCs w:val="20"/>
                <w:color w:val="auto"/>
              </w:rPr>
            </w:pPr>
            <w:r>
              <w:rPr>
                <w:rFonts w:ascii="Arial" w:cs="Arial" w:eastAsia="Arial" w:hAnsi="Arial"/>
                <w:sz w:val="18"/>
                <w:szCs w:val="18"/>
                <w:color w:val="auto"/>
              </w:rPr>
              <w:t>2022</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440,000</w:t>
            </w:r>
          </w:p>
        </w:tc>
        <w:tc>
          <w:tcPr>
            <w:tcW w:w="12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123,200</w:t>
            </w:r>
          </w:p>
        </w:tc>
        <w:tc>
          <w:tcPr>
            <w:tcW w:w="16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18,300</w:t>
            </w:r>
          </w:p>
        </w:tc>
        <w:tc>
          <w:tcPr>
            <w:tcW w:w="34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581,500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40" w:type="dxa"/>
            <w:vAlign w:val="bottom"/>
            <w:vMerge w:val="restart"/>
            <w:shd w:val="clear" w:color="auto" w:fill="CFF0FC"/>
          </w:tcPr>
          <w:p>
            <w:pPr>
              <w:ind w:left="20"/>
              <w:spacing w:after="0"/>
              <w:rPr>
                <w:sz w:val="20"/>
                <w:szCs w:val="20"/>
                <w:color w:val="auto"/>
              </w:rPr>
            </w:pPr>
            <w:r>
              <w:rPr>
                <w:rFonts w:ascii="Arial" w:cs="Arial" w:eastAsia="Arial" w:hAnsi="Arial"/>
                <w:sz w:val="18"/>
                <w:szCs w:val="18"/>
                <w:i w:val="1"/>
                <w:iCs w:val="1"/>
                <w:color w:val="auto"/>
              </w:rPr>
              <w:t>Officer</w:t>
            </w:r>
          </w:p>
        </w:tc>
        <w:tc>
          <w:tcPr>
            <w:tcW w:w="740" w:type="dxa"/>
            <w:vAlign w:val="bottom"/>
            <w:vMerge w:val="continue"/>
            <w:shd w:val="clear" w:color="auto" w:fill="CFF0FC"/>
          </w:tcPr>
          <w:p>
            <w:pPr>
              <w:spacing w:after="0"/>
              <w:rPr>
                <w:sz w:val="11"/>
                <w:szCs w:val="11"/>
                <w:color w:val="auto"/>
              </w:rPr>
            </w:pPr>
          </w:p>
        </w:tc>
        <w:tc>
          <w:tcPr>
            <w:tcW w:w="108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vMerge w:val="continue"/>
            <w:shd w:val="clear" w:color="auto" w:fill="CFF0FC"/>
          </w:tcPr>
          <w:p>
            <w:pPr>
              <w:spacing w:after="0"/>
              <w:rPr>
                <w:sz w:val="11"/>
                <w:szCs w:val="11"/>
                <w:color w:val="auto"/>
              </w:rPr>
            </w:pPr>
          </w:p>
        </w:tc>
        <w:tc>
          <w:tcPr>
            <w:tcW w:w="1660" w:type="dxa"/>
            <w:vAlign w:val="bottom"/>
            <w:gridSpan w:val="2"/>
            <w:vMerge w:val="continue"/>
            <w:shd w:val="clear" w:color="auto" w:fill="CFF0FC"/>
          </w:tcPr>
          <w:p>
            <w:pPr>
              <w:spacing w:after="0"/>
              <w:rPr>
                <w:sz w:val="11"/>
                <w:szCs w:val="11"/>
                <w:color w:val="auto"/>
              </w:rPr>
            </w:pPr>
          </w:p>
        </w:tc>
        <w:tc>
          <w:tcPr>
            <w:tcW w:w="1660" w:type="dxa"/>
            <w:vAlign w:val="bottom"/>
            <w:gridSpan w:val="2"/>
            <w:vMerge w:val="continue"/>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12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40" w:type="dxa"/>
            <w:vAlign w:val="bottom"/>
            <w:vMerge w:val="continue"/>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56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0" w:lineRule="exact"/>
        <w:rPr>
          <w:sz w:val="20"/>
          <w:szCs w:val="20"/>
          <w:color w:val="auto"/>
        </w:rPr>
      </w:pPr>
    </w:p>
    <w:p>
      <w:pPr>
        <w:jc w:val="both"/>
        <w:ind w:left="380" w:hanging="372"/>
        <w:spacing w:after="0" w:line="241"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the restricted stock unit and option awards granted to our named executive officers during the fiscal year ended December 31, 2023, computed in accordance with FASB Accounting Standards Codification Topic 718, or FASB ASC Topic 718. A discussion of the assumptions used in determining grant date fair value may be found in Note 9 to our consolidated financial statements included in this Annual Report for the fiscal year ended December 31, 2023. This amount does not correspond to the actual value that may be recognized by the named executive officer upon exercise of the applicable award or sale of the underlying shares of stock.</w:t>
      </w:r>
    </w:p>
    <w:p>
      <w:pPr>
        <w:spacing w:after="0" w:line="6" w:lineRule="exact"/>
        <w:rPr>
          <w:rFonts w:ascii="Arial" w:cs="Arial" w:eastAsia="Arial" w:hAnsi="Arial"/>
          <w:sz w:val="18"/>
          <w:szCs w:val="18"/>
          <w:color w:val="auto"/>
        </w:rPr>
      </w:pPr>
    </w:p>
    <w:p>
      <w:pPr>
        <w:ind w:left="380" w:right="20" w:hanging="372"/>
        <w:spacing w:after="0" w:line="257"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represent the annual bonuses paid with respect to achievement of our company and, if applicable, individual performance objectives for 2023 and 2022.</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amounts reported represent matching contributions made by us under our 401(k) plan.</w:t>
      </w:r>
    </w:p>
    <w:p>
      <w:pPr>
        <w:spacing w:after="0" w:line="31" w:lineRule="exact"/>
        <w:rPr>
          <w:rFonts w:ascii="Arial" w:cs="Arial" w:eastAsia="Arial" w:hAnsi="Arial"/>
          <w:sz w:val="18"/>
          <w:szCs w:val="18"/>
          <w:color w:val="auto"/>
        </w:rPr>
      </w:pPr>
    </w:p>
    <w:p>
      <w:pPr>
        <w:jc w:val="both"/>
        <w:ind w:left="380" w:hanging="372"/>
        <w:spacing w:after="0" w:line="243"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Dr. Rich resigned as Chief Medical Officer effective October 16, 2023. Amount reported represents (i) $19,800 in employer matching contributions made by us under our 401(k) plan, (ii) $12,189 in accrued vacation and (iii) nine months’ of severance ($341,550) and nine months’ of benefits continuation ($25,675) paid or accrued in 2023 pursuant to a Transition Agreement as described below under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Employment Arrangements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2023 Summary Compensation Table</w:t>
      </w:r>
    </w:p>
    <w:p>
      <w:pPr>
        <w:spacing w:after="0" w:line="7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Board and Compensation Committee review compensation annually for our executive officers.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target a general competitive position, based on independent third-party benchmark analytics to inform the mix of compensation of base salary, bonus or long-term incentives.</w:t>
      </w:r>
    </w:p>
    <w:p>
      <w:pPr>
        <w:spacing w:after="0" w:line="18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Our Compensation Committee is authorized to retain the services of one or more executive compensation advisors, as it sees fit, in connection with the establishment of our executive compensation programs and related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7" w:name="page108"/>
    <w:bookmarkEnd w:id="107"/>
    <w:p>
      <w:pPr>
        <w:jc w:val="both"/>
        <w:spacing w:after="0"/>
        <w:rPr>
          <w:sz w:val="20"/>
          <w:szCs w:val="20"/>
          <w:color w:val="auto"/>
        </w:rPr>
      </w:pPr>
      <w:r>
        <w:rPr>
          <w:rFonts w:ascii="Arial" w:cs="Arial" w:eastAsia="Arial" w:hAnsi="Arial"/>
          <w:sz w:val="18"/>
          <w:szCs w:val="18"/>
          <w:color w:val="auto"/>
        </w:rPr>
        <w:t>policies. In fiscal year 2023 the Compensation Committee continued to retain Pay Governance to provide it with market information, analysis and other advice relating to executive compensation on an ongoing basis. The Compensation Committee engaged Pay Governance to, among other things, assist in developing a group of peer companies to help us determine overall compensation for our executive officers, as well as to assess each separate element of compensation. The goal was to ensure that the compensation we offer to our executive officers, individually as well as in the aggregate, is competitive and aligned with our business and executive talent requirements. We do not believe the retention of, and the work performed by, Pay Governance creates any conflict of interest because Pay Governance performs no other work for our company besides advising the Compensation Committee.</w:t>
      </w:r>
    </w:p>
    <w:p>
      <w:pPr>
        <w:spacing w:after="0" w:line="18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Our Compensation Committee is responsible for determining the compensation for all executive officers. Based on its discretion, taking into account the factors noted above, the Compensation Committee sets the compensation for each executive officer, including for the Chief Executive Officer, without the Chief Executive Officer present.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 Base salaries are reviewed annually, typically in connection with our annual performance review process, approved by our Board or Compensation Committee, and may be adjusted from time to time to realign salaries with market levels after taking into account individual responsibilities, performance and experience.</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For fiscal year 2023, the annual base salary for each of Dr. de los Pinos, Ms. Feder and Dr. Rich were $585,525, $437,825 and $455,400,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Bonuses</w:t>
      </w:r>
    </w:p>
    <w:p>
      <w:pPr>
        <w:spacing w:after="0" w:line="7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pay cash bonuses to reward our executives for their performance over the fiscal year, based on the achievement of certain corporate performance goals and, if applicable, individual performance goals. We believe such bonuses properly incentivize our named executive officers and allow us to remain competitive within the marketplace. The target annual bonuses for Dr. de los Pinos, Ms. Feder and Dr. Rich for the fiscal year ended December 31, 2023 were 55%, 40% and 40% of annual base salary, respectively. Based on our achievement of the applicable performance goals for 2023, the Compensation Committee determined that we had achieved 90% of our corporate goals, and, after evaluating applicable individual performance goals, each named executive officer (other than Dr. Rich) earned the amount set forth in the 2023 Summary Compensation Table above. Dr. Rich resigned in October 2023 and, accordingly, was not eligible to earn a bonus for 2023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 Accordingly, our Board or our Compensation Committee periodically reviews the equity incentive compensation of our named executive officers and may grant equity incentive awards to them from time to time. During fiscal year 2023, we granted both options and restricted stock units to our named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generally do not provide perquisites to our executives, other than matching contributions to our 401(k) plan, reimbursements for certain travel and relocation expenses and certain other de minimis perquisites to our executive officers, including our named executive officers.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Aura Biosciences, Inc. 401(k) Plan</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Our 401(k) plan is intended to qualify for favorable tax</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8" w:name="page109"/>
    <w:bookmarkEnd w:id="108"/>
    <w:p>
      <w:pPr>
        <w:jc w:val="both"/>
        <w:spacing w:after="0" w:line="246" w:lineRule="auto"/>
        <w:rPr>
          <w:sz w:val="20"/>
          <w:szCs w:val="20"/>
          <w:color w:val="auto"/>
        </w:rPr>
      </w:pPr>
      <w:r>
        <w:rPr>
          <w:rFonts w:ascii="Arial" w:cs="Arial" w:eastAsia="Arial" w:hAnsi="Arial"/>
          <w:sz w:val="18"/>
          <w:szCs w:val="18"/>
          <w:color w:val="auto"/>
        </w:rPr>
        <w:t>treatment under Section 401(a) of the Code, and contains a cash or deferred feature that is intended to meet the requirements of Section 401(k) of the Code.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Elisabet de los Pinos, Ph.D.</w:t>
      </w:r>
    </w:p>
    <w:p>
      <w:pPr>
        <w:spacing w:after="0" w:line="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entered into an employment agreement with Dr. de los Pinos, who serves as our Chief Executive Officer, in January 2015, which we amended in October 2017, or as amended, the de los Pinos Employment Agreement. The de los Pinos Employment Agreement provides for Dr. de los Pinos’s at-will employment, base salary, and annual target bonus. Dr. de los Pinos is also eligible to participate in the employee benefit plans available to our employees, subject to the terms of those plans.</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Pursuant to the de los Pinos Employment Agreement, in the event that Dr. de los Pinos’s employment is terminated by us without “cause” or by Dr. de los Pinos for “good reason” (as defined in the de los Pinos Employment Agreement), subject to the execution and effectiveness of a release within 60 days of such termination, she will be entitled to receive (i) 12 months of base salary continuation and a pro-rata share of any bonus for which Dr. de los Pinos was eligible, (ii) continued vesting of stock options for 12 months and (iii) subject to the Dr. de los Pinos’s timely election to continue COBRA health coverage and copayment of premium amounts at the applicable active employees’ rate, we will continue to pay the share of the premiums that we would have paid to provide health insurance to Dr. de los Pinos for the 12 month severance period. In the event that such termination occurs within nine months after a “change of control” (as defined in the de los Pinos Employment Agreement), Dr. de los Pinos will, subject to the execution and effectiveness of a release within 60 days of such termination, be entitled to receive a lump sum payment equal to 12 months of base salary as of the date of termination.</w:t>
      </w:r>
    </w:p>
    <w:p>
      <w:pPr>
        <w:spacing w:after="0" w:line="18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de los Pinos Employment Agreement contains non-competition and non-solicitation provisions that apply during Dr. de los Pinos’s employment with us and for one year thereafter.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Julie Feder</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August 2018, we entered into an employment offer letter, or the Feder Offer Letter, with Ms. Feder, for the position of Chief Financial Officer. The Feder Offer Letter provides for Ms. Feder’s at-will employment, base salary, and target annual bonus. Ms. Feder is eligible to participate in the employee benefit plans available to our employees, subject to the terms of those plans.</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Pursuant to the Feder Offer Letter, in the event that Ms. Feder’s employment is terminated by us without “cause” (as defined in the Feder Offer Letter), subject to her execution of a release within 60 days of such termination, she will be entitled to receive (i) continuation of her annual base salary for nine months and (ii) subject to Ms. Feder’s timely election to continue COBRA health coverage and copayment of premium amounts at the applicable active employees’ rate, a monthly cash payment equal to the amount that we would have paid to provide health insurance to Ms. Feder for nine months.</w:t>
      </w:r>
    </w:p>
    <w:p>
      <w:pPr>
        <w:spacing w:after="0" w:line="17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Ms. Feder has also entered into a Confidential Information, Non-Solicitation, and Invention Assignment Agreement with us that contains non-solicitation and non-disclosure provisions that apply during and for one year following her employment with us.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Cadmus Rich, M.D.</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October 16, 2023, Dr. Rich resigned as Chief Medical Officer and transitioned into the role of Senior Clinical Advisor until November 7, 2023, or the Departure Date. Following the Departure Date, pursuant to a Resignation and Consulting Agreement with us, or the Consulting Agreement, Dr. Rich will remain with our company as Senior Clinical Advisor for an additional period of nine months beginning on the Departure Date, or the Consulting Period. Pursuant to the Consulting Agreement, Dr. Rich will be entitled to continued vesting of his restricted stock units and stock options, subject to the terms and conditions of 2021 Plan and associated restricted stock unit award agreements and stock option agreements. In connection with Dr. Rich’s resignation, we and Dr. Rich entered into a Transition and Release Agreement, or the Transition Agreement, effective on November 7, 2023. Pursuant to the Transition Agreement and subject to entering into a release of claims in favor of our company, Dr. Rich is entitled to receive (i) severance pay equal to continuation of his annual base salary for nine months and (ii) subject to Dr. Rich’s timely election to continue COBRA health coverage and copayment of premium amounts at the applicable active employees’ rate, a monthly cash payment equal to the amount that our company would have paid to provide health insurance to Dr. Rich until the earlier of nine months, eligibility for medical care coverage through other employment or termination of eligibility under COBRA. Any continued vesting relating to Dr. Rich’s existing equity awards were subject, upon the Departure Date, to his entry into the Consulting Agreement. The Transition Agreement also includes customary confidentiality and non-disparagement provisions.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2023 Year-End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information regarding outstanding equity awards held by our named executive officers as of fiscal year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2"/>
        </w:trPr>
        <w:tc>
          <w:tcPr>
            <w:tcW w:w="1880" w:type="dxa"/>
            <w:vAlign w:val="bottom"/>
            <w:tcBorders>
              <w:top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ind w:left="80"/>
              <w:spacing w:after="0" w:line="203" w:lineRule="exact"/>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9"/>
                <w:szCs w:val="19"/>
                <w:b w:val="1"/>
                <w:bCs w:val="1"/>
                <w:color w:val="auto"/>
                <w:vertAlign w:val="superscript"/>
              </w:rPr>
              <w:t>(1)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gridSpan w:val="5"/>
          </w:tcPr>
          <w:p>
            <w:pPr>
              <w:ind w:left="10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60"/>
        </w:trPr>
        <w:tc>
          <w:tcPr>
            <w:tcW w:w="18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spacing w:after="0" w:line="159" w:lineRule="exact"/>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88"/>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Securities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Underlying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Unexercised</w:t>
            </w:r>
          </w:p>
        </w:tc>
        <w:tc>
          <w:tcPr>
            <w:tcW w:w="2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Number of Shares or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or Units of</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Units of Stock That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185"/>
        </w:trPr>
        <w:tc>
          <w:tcPr>
            <w:tcW w:w="18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Grant Date</w:t>
            </w: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Unexercisable (#)</w:t>
            </w: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Price ($)</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Have Not Vested (#)</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88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Elisabet de los Pinos</w:t>
            </w: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1/19/2023</w:t>
            </w:r>
          </w:p>
        </w:tc>
        <w:tc>
          <w:tcPr>
            <w:tcW w:w="12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8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121,875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(3)</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1,079,813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80" w:type="dxa"/>
            <w:vAlign w:val="bottom"/>
            <w:vMerge w:val="continue"/>
            <w:shd w:val="clear" w:color="auto" w:fill="CFF0FC"/>
          </w:tcPr>
          <w:p>
            <w:pPr>
              <w:spacing w:after="0"/>
              <w:rPr>
                <w:sz w:val="5"/>
                <w:szCs w:val="5"/>
                <w:color w:val="auto"/>
              </w:rPr>
            </w:pPr>
          </w:p>
        </w:tc>
        <w:tc>
          <w:tcPr>
            <w:tcW w:w="94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80" w:type="dxa"/>
            <w:vAlign w:val="bottom"/>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380" w:type="dxa"/>
            <w:vAlign w:val="bottom"/>
            <w:gridSpan w:val="3"/>
            <w:vMerge w:val="continue"/>
            <w:shd w:val="clear" w:color="auto" w:fill="CFF0FC"/>
          </w:tcPr>
          <w:p>
            <w:pPr>
              <w:spacing w:after="0"/>
              <w:rPr>
                <w:sz w:val="5"/>
                <w:szCs w:val="5"/>
                <w:color w:val="auto"/>
              </w:rPr>
            </w:pPr>
          </w:p>
        </w:tc>
        <w:tc>
          <w:tcPr>
            <w:tcW w:w="240" w:type="dxa"/>
            <w:vAlign w:val="bottom"/>
            <w:vMerge w:val="restart"/>
            <w:shd w:val="clear" w:color="auto" w:fill="CFF0FC"/>
          </w:tcPr>
          <w:p>
            <w:pPr>
              <w:jc w:val="right"/>
              <w:ind w:right="3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FF0FC"/>
          </w:tcPr>
          <w:p>
            <w:pPr>
              <w:spacing w:after="0"/>
              <w:rPr>
                <w:sz w:val="5"/>
                <w:szCs w:val="5"/>
                <w:color w:val="auto"/>
              </w:rPr>
            </w:pPr>
          </w:p>
        </w:tc>
        <w:tc>
          <w:tcPr>
            <w:tcW w:w="60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20" w:type="dxa"/>
            <w:vAlign w:val="bottom"/>
            <w:vMerge w:val="continue"/>
            <w:shd w:val="clear" w:color="auto" w:fill="CFF0FC"/>
          </w:tcPr>
          <w:p>
            <w:pPr>
              <w:spacing w:after="0"/>
              <w:rPr>
                <w:sz w:val="5"/>
                <w:szCs w:val="5"/>
                <w:color w:val="auto"/>
              </w:rPr>
            </w:pPr>
          </w:p>
        </w:tc>
        <w:tc>
          <w:tcPr>
            <w:tcW w:w="1760" w:type="dxa"/>
            <w:vAlign w:val="bottom"/>
            <w:gridSpan w:val="3"/>
            <w:vMerge w:val="continue"/>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480" w:type="dxa"/>
            <w:vAlign w:val="bottom"/>
            <w:vMerge w:val="continue"/>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1/19/2023</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187,500</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10.18</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1/19/2033</w:t>
            </w: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44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3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0"/>
                <w:szCs w:val="10"/>
                <w:color w:val="auto"/>
              </w:rPr>
              <w:t>(5)</w:t>
            </w:r>
          </w:p>
        </w:tc>
        <w:tc>
          <w:tcPr>
            <w:tcW w:w="15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10/28/2021</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8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37,178</w:t>
            </w:r>
          </w:p>
        </w:tc>
        <w:tc>
          <w:tcPr>
            <w:tcW w:w="380" w:type="dxa"/>
            <w:vAlign w:val="bottom"/>
            <w:gridSpan w:val="2"/>
            <w:vMerge w:val="continue"/>
            <w:shd w:val="clear" w:color="auto" w:fill="CFF0FC"/>
          </w:tcPr>
          <w:p>
            <w:pPr>
              <w:spacing w:after="0"/>
              <w:rPr>
                <w:sz w:val="9"/>
                <w:szCs w:val="9"/>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329,397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380" w:type="dxa"/>
            <w:vAlign w:val="bottom"/>
            <w:gridSpan w:val="3"/>
            <w:vMerge w:val="continue"/>
            <w:shd w:val="clear" w:color="auto" w:fill="CFF0FC"/>
          </w:tcPr>
          <w:p>
            <w:pPr>
              <w:spacing w:after="0"/>
              <w:rPr>
                <w:sz w:val="6"/>
                <w:szCs w:val="6"/>
                <w:color w:val="auto"/>
              </w:rPr>
            </w:pPr>
          </w:p>
        </w:tc>
        <w:tc>
          <w:tcPr>
            <w:tcW w:w="240" w:type="dxa"/>
            <w:vAlign w:val="bottom"/>
            <w:vMerge w:val="restart"/>
            <w:shd w:val="clear" w:color="auto" w:fill="CFF0FC"/>
          </w:tcPr>
          <w:p>
            <w:pPr>
              <w:jc w:val="right"/>
              <w:ind w:right="32"/>
              <w:spacing w:after="0"/>
              <w:rPr>
                <w:sz w:val="20"/>
                <w:szCs w:val="20"/>
                <w:color w:val="auto"/>
              </w:rPr>
            </w:pPr>
            <w:r>
              <w:rPr>
                <w:rFonts w:ascii="Arial" w:cs="Arial" w:eastAsia="Arial" w:hAnsi="Arial"/>
                <w:sz w:val="10"/>
                <w:szCs w:val="10"/>
                <w:color w:val="auto"/>
              </w:rPr>
              <w:t>(6)</w:t>
            </w:r>
          </w:p>
        </w:tc>
        <w:tc>
          <w:tcPr>
            <w:tcW w:w="12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176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4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10/28/2021</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172,656</w:t>
            </w:r>
          </w:p>
        </w:tc>
        <w:tc>
          <w:tcPr>
            <w:tcW w:w="144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146,094</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14.00</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10/28/2031</w:t>
            </w: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44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40" w:type="dxa"/>
            <w:vAlign w:val="bottom"/>
            <w:vMerge w:val="restart"/>
            <w:shd w:val="clear" w:color="auto" w:fill="CFF0FC"/>
          </w:tcPr>
          <w:p>
            <w:pPr>
              <w:jc w:val="right"/>
              <w:ind w:right="32"/>
              <w:spacing w:after="0"/>
              <w:rPr>
                <w:sz w:val="20"/>
                <w:szCs w:val="20"/>
                <w:color w:val="auto"/>
              </w:rPr>
            </w:pPr>
            <w:r>
              <w:rPr>
                <w:rFonts w:ascii="Arial" w:cs="Arial" w:eastAsia="Arial" w:hAnsi="Arial"/>
                <w:sz w:val="10"/>
                <w:szCs w:val="10"/>
                <w:color w:val="auto"/>
              </w:rPr>
              <w:t>(7)</w:t>
            </w:r>
          </w:p>
        </w:tc>
        <w:tc>
          <w:tcPr>
            <w:tcW w:w="720" w:type="dxa"/>
            <w:vAlign w:val="bottom"/>
            <w:gridSpan w:val="2"/>
            <w:vMerge w:val="continue"/>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5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6/28/2021</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387,779</w:t>
            </w:r>
          </w:p>
        </w:tc>
        <w:tc>
          <w:tcPr>
            <w:tcW w:w="120" w:type="dxa"/>
            <w:vAlign w:val="bottom"/>
            <w:shd w:val="clear" w:color="auto" w:fill="CFF0FC"/>
          </w:tcPr>
          <w:p>
            <w:pPr>
              <w:spacing w:after="0"/>
              <w:rPr>
                <w:sz w:val="9"/>
                <w:szCs w:val="9"/>
                <w:color w:val="auto"/>
              </w:rPr>
            </w:pP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232,658</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6/28/2031</w:t>
            </w: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32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40" w:type="dxa"/>
            <w:vAlign w:val="bottom"/>
            <w:vMerge w:val="restart"/>
            <w:shd w:val="clear" w:color="auto" w:fill="CFF0FC"/>
          </w:tcPr>
          <w:p>
            <w:pPr>
              <w:jc w:val="right"/>
              <w:ind w:right="32"/>
              <w:spacing w:after="0"/>
              <w:rPr>
                <w:sz w:val="20"/>
                <w:szCs w:val="20"/>
                <w:color w:val="auto"/>
              </w:rPr>
            </w:pPr>
            <w:r>
              <w:rPr>
                <w:rFonts w:ascii="Arial" w:cs="Arial" w:eastAsia="Arial" w:hAnsi="Arial"/>
                <w:sz w:val="10"/>
                <w:szCs w:val="10"/>
                <w:color w:val="auto"/>
              </w:rPr>
              <w:t>(8)</w:t>
            </w:r>
          </w:p>
        </w:tc>
        <w:tc>
          <w:tcPr>
            <w:tcW w:w="720" w:type="dxa"/>
            <w:vAlign w:val="bottom"/>
            <w:gridSpan w:val="2"/>
            <w:vMerge w:val="continue"/>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5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3/16/2020</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186,769</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8,120</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3/16/2030</w:t>
            </w: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5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2/6/2019</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63,548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2/6/2029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2/21/2018</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364,963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2/21/2028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7/7/2017</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14,598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7/7/2027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4/11/2016</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14,598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4/11/2026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6/2/2015</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10,948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6/2/2025</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10/1/2014</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5,474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10/1/2024</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1880" w:type="dxa"/>
            <w:vAlign w:val="bottom"/>
            <w:vMerge w:val="restart"/>
          </w:tcPr>
          <w:p>
            <w:pPr>
              <w:ind w:left="20"/>
              <w:spacing w:after="0"/>
              <w:rPr>
                <w:sz w:val="20"/>
                <w:szCs w:val="20"/>
                <w:color w:val="auto"/>
              </w:rPr>
            </w:pPr>
            <w:r>
              <w:rPr>
                <w:rFonts w:ascii="Arial" w:cs="Arial" w:eastAsia="Arial" w:hAnsi="Arial"/>
                <w:sz w:val="14"/>
                <w:szCs w:val="14"/>
                <w:color w:val="auto"/>
              </w:rPr>
              <w:t>Julie Feder</w:t>
            </w: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1/19/2023</w:t>
            </w:r>
          </w:p>
        </w:tc>
        <w:tc>
          <w:tcPr>
            <w:tcW w:w="1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color w:val="auto"/>
              </w:rPr>
              <w:t>48,750</w:t>
            </w:r>
          </w:p>
        </w:tc>
        <w:tc>
          <w:tcPr>
            <w:tcW w:w="380" w:type="dxa"/>
            <w:vAlign w:val="bottom"/>
            <w:gridSpan w:val="2"/>
          </w:tcPr>
          <w:p>
            <w:pPr>
              <w:jc w:val="right"/>
              <w:ind w:right="60"/>
              <w:spacing w:after="0"/>
              <w:rPr>
                <w:sz w:val="20"/>
                <w:szCs w:val="20"/>
                <w:color w:val="auto"/>
              </w:rPr>
            </w:pPr>
            <w:r>
              <w:rPr>
                <w:rFonts w:ascii="Arial" w:cs="Arial" w:eastAsia="Arial" w:hAnsi="Arial"/>
                <w:sz w:val="10"/>
                <w:szCs w:val="10"/>
                <w:color w:val="auto"/>
              </w:rPr>
              <w:t>(3)</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431,925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40" w:type="dxa"/>
            <w:vAlign w:val="bottom"/>
            <w:vMerge w:val="restart"/>
          </w:tcPr>
          <w:p>
            <w:pPr>
              <w:jc w:val="right"/>
              <w:ind w:right="32"/>
              <w:spacing w:after="0"/>
              <w:rPr>
                <w:sz w:val="20"/>
                <w:szCs w:val="20"/>
                <w:color w:val="auto"/>
              </w:rPr>
            </w:pPr>
            <w:r>
              <w:rPr>
                <w:rFonts w:ascii="Arial" w:cs="Arial" w:eastAsia="Arial" w:hAnsi="Arial"/>
                <w:sz w:val="10"/>
                <w:szCs w:val="10"/>
                <w:color w:val="auto"/>
              </w:rPr>
              <w:t>(4)</w:t>
            </w:r>
          </w:p>
        </w:tc>
        <w:tc>
          <w:tcPr>
            <w:tcW w:w="1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76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1/19/2023</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10.18</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1/19/2033</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18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380" w:type="dxa"/>
            <w:vAlign w:val="bottom"/>
            <w:gridSpan w:val="2"/>
            <w:vMerge w:val="restart"/>
          </w:tcPr>
          <w:p>
            <w:pPr>
              <w:jc w:val="right"/>
              <w:ind w:right="60"/>
              <w:spacing w:after="0"/>
              <w:rPr>
                <w:sz w:val="20"/>
                <w:szCs w:val="20"/>
                <w:color w:val="auto"/>
              </w:rPr>
            </w:pPr>
            <w:r>
              <w:rPr>
                <w:rFonts w:ascii="Arial" w:cs="Arial" w:eastAsia="Arial" w:hAnsi="Arial"/>
                <w:sz w:val="10"/>
                <w:szCs w:val="10"/>
                <w:color w:val="auto"/>
              </w:rPr>
              <w:t>(5)</w:t>
            </w:r>
          </w:p>
        </w:tc>
        <w:tc>
          <w:tcPr>
            <w:tcW w:w="1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10/28/2021</w:t>
            </w:r>
          </w:p>
        </w:tc>
        <w:tc>
          <w:tcPr>
            <w:tcW w:w="1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color w:val="auto"/>
              </w:rPr>
              <w:t>13,124</w:t>
            </w:r>
          </w:p>
        </w:tc>
        <w:tc>
          <w:tcPr>
            <w:tcW w:w="380" w:type="dxa"/>
            <w:vAlign w:val="bottom"/>
            <w:gridSpan w:val="2"/>
            <w:vMerge w:val="continue"/>
          </w:tcPr>
          <w:p>
            <w:pPr>
              <w:spacing w:after="0"/>
              <w:rPr>
                <w:sz w:val="9"/>
                <w:szCs w:val="9"/>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116,279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8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240" w:type="dxa"/>
            <w:vAlign w:val="bottom"/>
            <w:vMerge w:val="restart"/>
          </w:tcPr>
          <w:p>
            <w:pPr>
              <w:jc w:val="right"/>
              <w:ind w:right="32"/>
              <w:spacing w:after="0"/>
              <w:rPr>
                <w:sz w:val="20"/>
                <w:szCs w:val="20"/>
                <w:color w:val="auto"/>
              </w:rPr>
            </w:pPr>
            <w:r>
              <w:rPr>
                <w:rFonts w:ascii="Arial" w:cs="Arial" w:eastAsia="Arial" w:hAnsi="Arial"/>
                <w:sz w:val="10"/>
                <w:szCs w:val="10"/>
                <w:color w:val="auto"/>
              </w:rPr>
              <w:t>(6)</w:t>
            </w: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10/28/2021</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60,937</w:t>
            </w: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color w:val="auto"/>
              </w:rPr>
              <w:t>51,563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14.00</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10/28/2031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18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restart"/>
          </w:tcPr>
          <w:p>
            <w:pPr>
              <w:jc w:val="right"/>
              <w:ind w:right="32"/>
              <w:spacing w:after="0"/>
              <w:rPr>
                <w:sz w:val="20"/>
                <w:szCs w:val="20"/>
                <w:color w:val="auto"/>
              </w:rPr>
            </w:pPr>
            <w:r>
              <w:rPr>
                <w:rFonts w:ascii="Arial" w:cs="Arial" w:eastAsia="Arial" w:hAnsi="Arial"/>
                <w:sz w:val="10"/>
                <w:szCs w:val="10"/>
                <w:color w:val="auto"/>
              </w:rPr>
              <w:t>(7)</w:t>
            </w:r>
          </w:p>
        </w:tc>
        <w:tc>
          <w:tcPr>
            <w:tcW w:w="7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6/28/2021</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78,471</w:t>
            </w: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color w:val="auto"/>
              </w:rPr>
              <w:t>47,076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5.48</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6/28/2031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18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vMerge w:val="restart"/>
          </w:tcPr>
          <w:p>
            <w:pPr>
              <w:jc w:val="right"/>
              <w:ind w:right="32"/>
              <w:spacing w:after="0"/>
              <w:rPr>
                <w:sz w:val="20"/>
                <w:szCs w:val="20"/>
                <w:color w:val="auto"/>
              </w:rPr>
            </w:pPr>
            <w:r>
              <w:rPr>
                <w:rFonts w:ascii="Arial" w:cs="Arial" w:eastAsia="Arial" w:hAnsi="Arial"/>
                <w:sz w:val="10"/>
                <w:szCs w:val="10"/>
                <w:color w:val="auto"/>
              </w:rPr>
              <w:t>(8)</w:t>
            </w:r>
          </w:p>
        </w:tc>
        <w:tc>
          <w:tcPr>
            <w:tcW w:w="7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3/16/2020</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color w:val="auto"/>
              </w:rPr>
              <w:t>33,534</w:t>
            </w: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color w:val="auto"/>
              </w:rPr>
              <w:t>1,457</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4.25</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color w:val="auto"/>
              </w:rPr>
              <w:t>3/16/2030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8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2"/>
        </w:trPr>
        <w:tc>
          <w:tcPr>
            <w:tcW w:w="188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2/6/2019</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18,248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3.16</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2/6/2029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188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10/3/2018</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85,757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2.74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10/3/2028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Cadmus Rich </w:t>
            </w:r>
            <w:r>
              <w:rPr>
                <w:rFonts w:ascii="Arial" w:cs="Arial" w:eastAsia="Arial" w:hAnsi="Arial"/>
                <w:sz w:val="19"/>
                <w:szCs w:val="19"/>
                <w:color w:val="auto"/>
                <w:vertAlign w:val="superscript"/>
              </w:rPr>
              <w:t>(9)</w:t>
            </w: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1/19/2023</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FF0FC"/>
          </w:tcPr>
          <w:p>
            <w:pPr>
              <w:jc w:val="right"/>
              <w:ind w:right="32"/>
              <w:spacing w:after="0"/>
              <w:rPr>
                <w:sz w:val="20"/>
                <w:szCs w:val="20"/>
                <w:color w:val="auto"/>
              </w:rPr>
            </w:pPr>
            <w:r>
              <w:rPr>
                <w:rFonts w:ascii="Arial" w:cs="Arial" w:eastAsia="Arial" w:hAnsi="Arial"/>
                <w:sz w:val="10"/>
                <w:szCs w:val="10"/>
                <w:color w:val="auto"/>
              </w:rPr>
              <w:t>(4)</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34,125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0"/>
                <w:szCs w:val="10"/>
                <w:color w:val="auto"/>
              </w:rPr>
              <w:t>(3)</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302,348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1/19/2023</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52,500</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10.18</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1/19/2033</w:t>
            </w: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44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3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0"/>
                <w:szCs w:val="10"/>
                <w:color w:val="auto"/>
              </w:rPr>
              <w:t>(5)</w:t>
            </w:r>
          </w:p>
        </w:tc>
        <w:tc>
          <w:tcPr>
            <w:tcW w:w="15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10/28/2021</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80" w:type="dxa"/>
            <w:vAlign w:val="bottom"/>
            <w:gridSpan w:val="3"/>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76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13,124</w:t>
            </w:r>
          </w:p>
        </w:tc>
        <w:tc>
          <w:tcPr>
            <w:tcW w:w="380" w:type="dxa"/>
            <w:vAlign w:val="bottom"/>
            <w:gridSpan w:val="2"/>
            <w:vMerge w:val="continue"/>
            <w:shd w:val="clear" w:color="auto" w:fill="CFF0FC"/>
          </w:tcPr>
          <w:p>
            <w:pPr>
              <w:spacing w:after="0"/>
              <w:rPr>
                <w:sz w:val="9"/>
                <w:szCs w:val="9"/>
                <w:color w:val="auto"/>
              </w:rPr>
            </w:pP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116,279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380" w:type="dxa"/>
            <w:vAlign w:val="bottom"/>
            <w:gridSpan w:val="3"/>
            <w:vMerge w:val="continue"/>
            <w:shd w:val="clear" w:color="auto" w:fill="CFF0FC"/>
          </w:tcPr>
          <w:p>
            <w:pPr>
              <w:spacing w:after="0"/>
              <w:rPr>
                <w:sz w:val="6"/>
                <w:szCs w:val="6"/>
                <w:color w:val="auto"/>
              </w:rPr>
            </w:pPr>
          </w:p>
        </w:tc>
        <w:tc>
          <w:tcPr>
            <w:tcW w:w="240" w:type="dxa"/>
            <w:vAlign w:val="bottom"/>
            <w:vMerge w:val="restart"/>
            <w:shd w:val="clear" w:color="auto" w:fill="CFF0FC"/>
          </w:tcPr>
          <w:p>
            <w:pPr>
              <w:jc w:val="right"/>
              <w:ind w:right="32"/>
              <w:spacing w:after="0"/>
              <w:rPr>
                <w:sz w:val="20"/>
                <w:szCs w:val="20"/>
                <w:color w:val="auto"/>
              </w:rPr>
            </w:pPr>
            <w:r>
              <w:rPr>
                <w:rFonts w:ascii="Arial" w:cs="Arial" w:eastAsia="Arial" w:hAnsi="Arial"/>
                <w:sz w:val="10"/>
                <w:szCs w:val="10"/>
                <w:color w:val="auto"/>
              </w:rPr>
              <w:t>(6)</w:t>
            </w:r>
          </w:p>
        </w:tc>
        <w:tc>
          <w:tcPr>
            <w:tcW w:w="12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20" w:type="dxa"/>
            <w:vAlign w:val="bottom"/>
            <w:vMerge w:val="continue"/>
            <w:shd w:val="clear" w:color="auto" w:fill="CFF0FC"/>
          </w:tcPr>
          <w:p>
            <w:pPr>
              <w:spacing w:after="0"/>
              <w:rPr>
                <w:sz w:val="6"/>
                <w:szCs w:val="6"/>
                <w:color w:val="auto"/>
              </w:rPr>
            </w:pPr>
          </w:p>
        </w:tc>
        <w:tc>
          <w:tcPr>
            <w:tcW w:w="176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4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10/28/2021</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60,937</w:t>
            </w:r>
          </w:p>
        </w:tc>
        <w:tc>
          <w:tcPr>
            <w:tcW w:w="1440" w:type="dxa"/>
            <w:vAlign w:val="bottom"/>
            <w:gridSpan w:val="3"/>
            <w:vMerge w:val="restart"/>
            <w:shd w:val="clear" w:color="auto" w:fill="CFF0FC"/>
          </w:tcPr>
          <w:p>
            <w:pPr>
              <w:jc w:val="right"/>
              <w:spacing w:after="0"/>
              <w:rPr>
                <w:sz w:val="20"/>
                <w:szCs w:val="20"/>
                <w:color w:val="auto"/>
              </w:rPr>
            </w:pPr>
            <w:r>
              <w:rPr>
                <w:rFonts w:ascii="Arial" w:cs="Arial" w:eastAsia="Arial" w:hAnsi="Arial"/>
                <w:sz w:val="14"/>
                <w:szCs w:val="14"/>
                <w:color w:val="auto"/>
              </w:rPr>
              <w:t>51,563</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14.00</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10/28/2031</w:t>
            </w: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44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40" w:type="dxa"/>
            <w:vAlign w:val="bottom"/>
            <w:vMerge w:val="restart"/>
            <w:shd w:val="clear" w:color="auto" w:fill="CFF0FC"/>
          </w:tcPr>
          <w:p>
            <w:pPr>
              <w:jc w:val="right"/>
              <w:ind w:right="32"/>
              <w:spacing w:after="0"/>
              <w:rPr>
                <w:sz w:val="20"/>
                <w:szCs w:val="20"/>
                <w:color w:val="auto"/>
              </w:rPr>
            </w:pPr>
            <w:r>
              <w:rPr>
                <w:rFonts w:ascii="Arial" w:cs="Arial" w:eastAsia="Arial" w:hAnsi="Arial"/>
                <w:sz w:val="10"/>
                <w:szCs w:val="10"/>
                <w:color w:val="auto"/>
              </w:rPr>
              <w:t>(7)</w:t>
            </w:r>
          </w:p>
        </w:tc>
        <w:tc>
          <w:tcPr>
            <w:tcW w:w="720" w:type="dxa"/>
            <w:vAlign w:val="bottom"/>
            <w:gridSpan w:val="2"/>
            <w:vMerge w:val="continue"/>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5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6/28/2021</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78,471</w:t>
            </w:r>
          </w:p>
        </w:tc>
        <w:tc>
          <w:tcPr>
            <w:tcW w:w="120" w:type="dxa"/>
            <w:vAlign w:val="bottom"/>
            <w:shd w:val="clear" w:color="auto" w:fill="CFF0FC"/>
          </w:tcPr>
          <w:p>
            <w:pPr>
              <w:spacing w:after="0"/>
              <w:rPr>
                <w:sz w:val="9"/>
                <w:szCs w:val="9"/>
                <w:color w:val="auto"/>
              </w:rPr>
            </w:pP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47,076</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5.48</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6/28/2031</w:t>
            </w: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32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40" w:type="dxa"/>
            <w:vAlign w:val="bottom"/>
            <w:vMerge w:val="restart"/>
            <w:shd w:val="clear" w:color="auto" w:fill="CFF0FC"/>
          </w:tcPr>
          <w:p>
            <w:pPr>
              <w:jc w:val="right"/>
              <w:ind w:right="32"/>
              <w:spacing w:after="0"/>
              <w:rPr>
                <w:sz w:val="20"/>
                <w:szCs w:val="20"/>
                <w:color w:val="auto"/>
              </w:rPr>
            </w:pPr>
            <w:r>
              <w:rPr>
                <w:rFonts w:ascii="Arial" w:cs="Arial" w:eastAsia="Arial" w:hAnsi="Arial"/>
                <w:sz w:val="10"/>
                <w:szCs w:val="10"/>
                <w:color w:val="auto"/>
              </w:rPr>
              <w:t>(8)</w:t>
            </w:r>
          </w:p>
        </w:tc>
        <w:tc>
          <w:tcPr>
            <w:tcW w:w="720" w:type="dxa"/>
            <w:vAlign w:val="bottom"/>
            <w:gridSpan w:val="2"/>
            <w:vMerge w:val="continue"/>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5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880" w:type="dxa"/>
            <w:vAlign w:val="bottom"/>
            <w:shd w:val="clear" w:color="auto" w:fill="CFF0FC"/>
          </w:tcPr>
          <w:p>
            <w:pPr>
              <w:spacing w:after="0"/>
              <w:rPr>
                <w:sz w:val="9"/>
                <w:szCs w:val="9"/>
                <w:color w:val="auto"/>
              </w:rPr>
            </w:pPr>
          </w:p>
        </w:tc>
        <w:tc>
          <w:tcPr>
            <w:tcW w:w="940" w:type="dxa"/>
            <w:vAlign w:val="bottom"/>
            <w:vMerge w:val="restart"/>
            <w:shd w:val="clear" w:color="auto" w:fill="CFF0FC"/>
          </w:tcPr>
          <w:p>
            <w:pPr>
              <w:jc w:val="center"/>
              <w:spacing w:after="0"/>
              <w:rPr>
                <w:sz w:val="20"/>
                <w:szCs w:val="20"/>
                <w:color w:val="auto"/>
              </w:rPr>
            </w:pPr>
            <w:r>
              <w:rPr>
                <w:rFonts w:ascii="Arial" w:cs="Arial" w:eastAsia="Arial" w:hAnsi="Arial"/>
                <w:sz w:val="14"/>
                <w:szCs w:val="14"/>
                <w:color w:val="auto"/>
              </w:rPr>
              <w:t>3/16/2020</w:t>
            </w:r>
          </w:p>
        </w:tc>
        <w:tc>
          <w:tcPr>
            <w:tcW w:w="12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39,695</w:t>
            </w: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1,727</w:t>
            </w: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40" w:type="dxa"/>
            <w:vAlign w:val="bottom"/>
            <w:vMerge w:val="continue"/>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4.25</w:t>
            </w: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3/16/2030</w:t>
            </w: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5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8"/>
        </w:trPr>
        <w:tc>
          <w:tcPr>
            <w:tcW w:w="1880" w:type="dxa"/>
            <w:vAlign w:val="bottom"/>
            <w:shd w:val="clear" w:color="auto" w:fill="CFF0FC"/>
          </w:tcPr>
          <w:p>
            <w:pPr>
              <w:spacing w:after="0"/>
              <w:rPr>
                <w:sz w:val="6"/>
                <w:szCs w:val="6"/>
                <w:color w:val="auto"/>
              </w:rPr>
            </w:pPr>
          </w:p>
        </w:tc>
        <w:tc>
          <w:tcPr>
            <w:tcW w:w="94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11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46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60" w:type="dxa"/>
            <w:vAlign w:val="bottom"/>
            <w:shd w:val="clear" w:color="auto" w:fill="CFF0FC"/>
          </w:tcPr>
          <w:p>
            <w:pPr>
              <w:spacing w:after="0"/>
              <w:rPr>
                <w:sz w:val="6"/>
                <w:szCs w:val="6"/>
                <w:color w:val="auto"/>
              </w:rPr>
            </w:pPr>
          </w:p>
        </w:tc>
        <w:tc>
          <w:tcPr>
            <w:tcW w:w="158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2/6/2019</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18,248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3.16</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2/6/2029</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2/21/2018</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80,291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2/21/2028</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9"/>
              </w:rPr>
              <w:t>10/11/2017</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29,197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5.21</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10/11/2027</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380" w:hanging="372"/>
        <w:spacing w:after="0" w:line="246"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the outstanding equity awards in the table above granted prior to our IPO was granted pursuant to our Amended and Restated 2009 Stock Option and Restricted Stock Plan, or the 2009 Plan, or our 2018 Equity Incentive Plan, or the 2018 Plan. Each of the outstanding equity awards in the table above granted following our IPO was granted pursuant to our 2021 Stock Option and Incentive Plan, or the 2021 Plan.</w:t>
      </w:r>
    </w:p>
    <w:p>
      <w:pPr>
        <w:ind w:left="380" w:hanging="372"/>
        <w:spacing w:after="0" w:line="255"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are equal to $8.86, the closing price of our common stock on December 29, 2023, the last trading day of 2023, times the number of unvested restricted stock units.</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restricted stock units vest in four equal annual installments following January 23, 2023.</w:t>
      </w:r>
    </w:p>
    <w:p>
      <w:pPr>
        <w:spacing w:after="0" w:line="26" w:lineRule="exact"/>
        <w:rPr>
          <w:rFonts w:ascii="Arial" w:cs="Arial" w:eastAsia="Arial" w:hAnsi="Arial"/>
          <w:sz w:val="18"/>
          <w:szCs w:val="18"/>
          <w:color w:val="auto"/>
        </w:rPr>
      </w:pPr>
    </w:p>
    <w:p>
      <w:pPr>
        <w:ind w:left="380" w:hanging="372"/>
        <w:spacing w:after="0" w:line="257"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 of the shares subject to this stock option vest on the first anniversary of January 23, 2023 with the remainder vesting thereafter in 36 equal monthly installments.</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restricted stock units vest in four equal annual installments following October 28, 2021.</w:t>
      </w:r>
    </w:p>
    <w:p>
      <w:pPr>
        <w:spacing w:after="0" w:line="31" w:lineRule="exact"/>
        <w:rPr>
          <w:rFonts w:ascii="Arial" w:cs="Arial" w:eastAsia="Arial" w:hAnsi="Arial"/>
          <w:sz w:val="18"/>
          <w:szCs w:val="18"/>
          <w:color w:val="auto"/>
        </w:rPr>
      </w:pPr>
    </w:p>
    <w:p>
      <w:pPr>
        <w:ind w:left="380" w:hanging="372"/>
        <w:spacing w:after="0" w:line="252"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 of the shares subject to this stock option vest on the first anniversary of October 28, 2021 with the remainder vesting thereafter in 36 equal monthly installments.</w:t>
      </w:r>
    </w:p>
    <w:p>
      <w:pPr>
        <w:ind w:left="380" w:hanging="372"/>
        <w:spacing w:after="0" w:line="257"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shares vest in 48 equal monthly installments beginning on the one-month anniversary of the vesting commencement date of June 28, 2021.</w:t>
      </w:r>
    </w:p>
    <w:p>
      <w:pPr>
        <w:spacing w:after="0" w:line="1" w:lineRule="exact"/>
        <w:rPr>
          <w:rFonts w:ascii="Arial" w:cs="Arial" w:eastAsia="Arial" w:hAnsi="Arial"/>
          <w:sz w:val="18"/>
          <w:szCs w:val="18"/>
          <w:color w:val="auto"/>
        </w:rPr>
      </w:pPr>
    </w:p>
    <w:p>
      <w:pPr>
        <w:ind w:left="380" w:right="20" w:hanging="372"/>
        <w:spacing w:after="0" w:line="255"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shares vest in 48 equal monthly installments beginning on the one-month anniversary of the vesting commencement date of February 6, 2020.</w:t>
      </w:r>
    </w:p>
    <w:p>
      <w:pPr>
        <w:spacing w:after="0" w:line="1" w:lineRule="exact"/>
        <w:rPr>
          <w:rFonts w:ascii="Arial" w:cs="Arial" w:eastAsia="Arial" w:hAnsi="Arial"/>
          <w:sz w:val="18"/>
          <w:szCs w:val="18"/>
          <w:color w:val="auto"/>
        </w:rPr>
      </w:pPr>
    </w:p>
    <w:p>
      <w:pPr>
        <w:jc w:val="both"/>
        <w:ind w:left="380" w:hanging="372"/>
        <w:spacing w:after="0" w:line="247"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Dr. Rich resigned as Chief Medical Officer effective October 16, 2023 and departed as an employee on November 7, 2023. Pursuant to the Consulting Agreement, Dr. Rich shall continue to vest in all outstanding options and restricted stock units during a nine-month consulting period, as described above under “</w:t>
      </w:r>
      <w:r>
        <w:rPr>
          <w:rFonts w:ascii="Arial" w:cs="Arial" w:eastAsia="Arial" w:hAnsi="Arial"/>
          <w:sz w:val="18"/>
          <w:szCs w:val="18"/>
          <w:i w:val="1"/>
          <w:iCs w:val="1"/>
          <w:color w:val="auto"/>
        </w:rPr>
        <w:t>—Executive Employment Arrangements</w:t>
      </w:r>
      <w:r>
        <w:rPr>
          <w:rFonts w:ascii="Arial" w:cs="Arial" w:eastAsia="Arial" w:hAnsi="Arial"/>
          <w:sz w:val="18"/>
          <w:szCs w:val="18"/>
          <w:color w:val="auto"/>
        </w:rPr>
        <w: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following table presents the total compensation for each person who served as a non-employee member of our Board and received compensation for such service during fiscal year 2023. Directors who also serve as employees received no additional compensation for their service as directors. During fiscal year 2023, Elisabet de los Pinos, Ph.D., our Chief Executive Officer, was a member of our Board, as well as an employee, and received no additional compensation for her services as a director. See the section titled “</w:t>
      </w:r>
      <w:r>
        <w:rPr>
          <w:rFonts w:ascii="Arial" w:cs="Arial" w:eastAsia="Arial" w:hAnsi="Arial"/>
          <w:sz w:val="18"/>
          <w:szCs w:val="18"/>
          <w:i w:val="1"/>
          <w:iCs w:val="1"/>
          <w:color w:val="auto"/>
        </w:rPr>
        <w:t>2023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for more information about her compensation in fiscal year 2023.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Director Compensation Table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400" w:type="dxa"/>
            <w:vAlign w:val="bottom"/>
            <w:tcBorders>
              <w:top w:val="single" w:sz="8" w:color="auto"/>
            </w:tcBorders>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FEES EARNED</w:t>
            </w:r>
          </w:p>
        </w:tc>
        <w:tc>
          <w:tcPr>
            <w:tcW w:w="340" w:type="dxa"/>
            <w:vAlign w:val="bottom"/>
          </w:tcPr>
          <w:p>
            <w:pPr>
              <w:spacing w:after="0"/>
              <w:rPr>
                <w:sz w:val="15"/>
                <w:szCs w:val="15"/>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OPTION AWARDS ($) </w:t>
            </w:r>
            <w:r>
              <w:rPr>
                <w:rFonts w:ascii="Arial" w:cs="Arial" w:eastAsia="Arial" w:hAnsi="Arial"/>
                <w:sz w:val="24"/>
                <w:szCs w:val="24"/>
                <w:b w:val="1"/>
                <w:bCs w:val="1"/>
                <w:color w:val="auto"/>
                <w:vertAlign w:val="superscript"/>
              </w:rPr>
              <w:t>(1)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115"/>
              <w:spacing w:after="0"/>
              <w:rPr>
                <w:sz w:val="20"/>
                <w:szCs w:val="20"/>
                <w:color w:val="auto"/>
              </w:rPr>
            </w:pPr>
            <w:r>
              <w:rPr>
                <w:rFonts w:ascii="Arial" w:cs="Arial" w:eastAsia="Arial" w:hAnsi="Arial"/>
                <w:sz w:val="14"/>
                <w:szCs w:val="14"/>
                <w:b w:val="1"/>
                <w:bCs w:val="1"/>
                <w:color w:val="auto"/>
              </w:rPr>
              <w:t>OR PAID IN</w:t>
            </w:r>
          </w:p>
        </w:tc>
        <w:tc>
          <w:tcPr>
            <w:tcW w:w="34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400" w:type="dxa"/>
            <w:vAlign w:val="bottom"/>
            <w:vMerge w:val="restart"/>
          </w:tcPr>
          <w:p>
            <w:pPr>
              <w:ind w:left="20"/>
              <w:spacing w:after="0" w:line="175" w:lineRule="exact"/>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1"/>
                <w:szCs w:val="11"/>
                <w:color w:val="auto"/>
              </w:rPr>
            </w:pP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CASH ($)</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20" w:type="dxa"/>
            <w:vAlign w:val="bottom"/>
          </w:tcPr>
          <w:p>
            <w:pPr>
              <w:jc w:val="right"/>
              <w:ind w:right="734"/>
              <w:spacing w:after="0" w:line="135" w:lineRule="exact"/>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 ($)</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400" w:type="dxa"/>
            <w:vAlign w:val="bottom"/>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vMerge w:val="continue"/>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David Johnson</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84,000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4"/>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205,280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Giovanni Mariggi, Ph.D. </w:t>
            </w:r>
            <w:r>
              <w:rPr>
                <w:rFonts w:ascii="Arial" w:cs="Arial" w:eastAsia="Arial" w:hAnsi="Arial"/>
                <w:sz w:val="24"/>
                <w:szCs w:val="24"/>
                <w:color w:val="auto"/>
                <w:vertAlign w:val="superscript"/>
              </w:rPr>
              <w:t>(3)</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Antony Mattessich</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4"/>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205,280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Rajesh Parekh, Ph.D.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40,000</w:t>
            </w:r>
          </w:p>
        </w:tc>
        <w:tc>
          <w:tcPr>
            <w:tcW w:w="340" w:type="dxa"/>
            <w:vAlign w:val="bottom"/>
          </w:tcPr>
          <w:p>
            <w:pPr>
              <w:jc w:val="right"/>
              <w:spacing w:after="0"/>
              <w:rPr>
                <w:sz w:val="20"/>
                <w:szCs w:val="20"/>
                <w:color w:val="auto"/>
              </w:rPr>
            </w:pPr>
            <w:r>
              <w:rPr>
                <w:rFonts w:ascii="Arial" w:cs="Arial" w:eastAsia="Arial" w:hAnsi="Arial"/>
                <w:sz w:val="12"/>
                <w:szCs w:val="12"/>
                <w:color w:val="auto"/>
              </w:rPr>
              <w:t>(4)</w:t>
            </w:r>
          </w:p>
        </w:tc>
        <w:tc>
          <w:tcPr>
            <w:tcW w:w="460" w:type="dxa"/>
            <w:vAlign w:val="bottom"/>
          </w:tcPr>
          <w:p>
            <w:pPr>
              <w:jc w:val="right"/>
              <w:ind w:right="254"/>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205,280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245,280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Sapna Srivastava, Ph.D.</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54"/>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205,280</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22"/>
        </w:trPr>
        <w:tc>
          <w:tcPr>
            <w:tcW w:w="6400" w:type="dxa"/>
            <w:vAlign w:val="bottom"/>
          </w:tcPr>
          <w:p>
            <w:pPr>
              <w:ind w:left="20"/>
              <w:spacing w:after="0"/>
              <w:rPr>
                <w:sz w:val="20"/>
                <w:szCs w:val="20"/>
                <w:color w:val="auto"/>
              </w:rPr>
            </w:pPr>
            <w:r>
              <w:rPr>
                <w:rFonts w:ascii="Arial" w:cs="Arial" w:eastAsia="Arial" w:hAnsi="Arial"/>
                <w:sz w:val="18"/>
                <w:szCs w:val="18"/>
                <w:color w:val="auto"/>
              </w:rPr>
              <w:t xml:space="preserve">Karan Takhar </w:t>
            </w:r>
            <w:r>
              <w:rPr>
                <w:rFonts w:ascii="Arial" w:cs="Arial" w:eastAsia="Arial" w:hAnsi="Arial"/>
                <w:sz w:val="24"/>
                <w:szCs w:val="24"/>
                <w:color w:val="auto"/>
                <w:vertAlign w:val="superscript"/>
              </w:rPr>
              <w:t>(5)</w:t>
            </w: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left="380" w:hanging="372"/>
        <w:spacing w:after="0" w:line="241"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option awards granted to our directors during our fiscal year ended December 31, 2023, computed in accordance with FASB ASC Topic 718. A discussion of the assumptions used in determining grant date fair value may be found in Note 9 to our consolidated financial statements included in this Annual Report for the fiscal year ended December 31, 2023. This amount does not correspond to the actual value that may be recognized by the director upon exercise of the applicable award or sale of the underlying shares of stock. Except as noted below, none of our directors held options to purchase our common stock or any other stock awards as of December 31, 2023.</w:t>
      </w:r>
    </w:p>
    <w:p>
      <w:pPr>
        <w:spacing w:after="0" w:line="6"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of December 31, 2023, none of our non-employee directors held unvested stock awards. The table below reflects the aggregate number of outstanding stock options held by our non-employee directors as of December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4060" w:type="dxa"/>
            <w:vAlign w:val="bottom"/>
          </w:tcPr>
          <w:p>
            <w:pPr>
              <w:jc w:val="right"/>
              <w:ind w:right="315"/>
              <w:spacing w:after="0"/>
              <w:rPr>
                <w:sz w:val="20"/>
                <w:szCs w:val="20"/>
                <w:color w:val="auto"/>
              </w:rPr>
            </w:pPr>
            <w:r>
              <w:rPr>
                <w:rFonts w:ascii="Arial" w:cs="Arial" w:eastAsia="Arial" w:hAnsi="Arial"/>
                <w:sz w:val="14"/>
                <w:szCs w:val="14"/>
                <w:b w:val="1"/>
                <w:bCs w:val="1"/>
                <w:color w:val="auto"/>
              </w:rPr>
              <w:t>AGGREGATE NUMBER OF SHARES SUBJECT TO</w:t>
            </w:r>
          </w:p>
        </w:tc>
        <w:tc>
          <w:tcPr>
            <w:tcW w:w="0" w:type="dxa"/>
            <w:vAlign w:val="bottom"/>
          </w:tcPr>
          <w:p>
            <w:pPr>
              <w:spacing w:after="0"/>
              <w:rPr>
                <w:sz w:val="1"/>
                <w:szCs w:val="1"/>
                <w:color w:val="auto"/>
              </w:rPr>
            </w:pPr>
          </w:p>
        </w:tc>
      </w:tr>
      <w:tr>
        <w:trPr>
          <w:trHeight w:val="185"/>
        </w:trPr>
        <w:tc>
          <w:tcPr>
            <w:tcW w:w="7180" w:type="dxa"/>
            <w:vAlign w:val="bottom"/>
            <w:vMerge w:val="continue"/>
          </w:tcPr>
          <w:p>
            <w:pPr>
              <w:spacing w:after="0"/>
              <w:rPr>
                <w:sz w:val="16"/>
                <w:szCs w:val="16"/>
                <w:color w:val="auto"/>
              </w:rPr>
            </w:pPr>
          </w:p>
        </w:tc>
        <w:tc>
          <w:tcPr>
            <w:tcW w:w="4060" w:type="dxa"/>
            <w:vAlign w:val="bottom"/>
          </w:tcPr>
          <w:p>
            <w:pPr>
              <w:jc w:val="right"/>
              <w:ind w:right="115"/>
              <w:spacing w:after="0"/>
              <w:rPr>
                <w:sz w:val="20"/>
                <w:szCs w:val="20"/>
                <w:color w:val="auto"/>
              </w:rPr>
            </w:pPr>
            <w:r>
              <w:rPr>
                <w:rFonts w:ascii="Arial" w:cs="Arial" w:eastAsia="Arial" w:hAnsi="Arial"/>
                <w:sz w:val="14"/>
                <w:szCs w:val="14"/>
                <w:b w:val="1"/>
                <w:bCs w:val="1"/>
                <w:color w:val="auto"/>
              </w:rPr>
              <w:t>STOCK OPTIONS HELD AS OF DECEMBER 31, 2023 (#)</w:t>
            </w: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David Johnson</w:t>
            </w:r>
          </w:p>
        </w:tc>
        <w:tc>
          <w:tcPr>
            <w:tcW w:w="4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377,167</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Giovanni Mariggi, Ph.D.</w:t>
            </w:r>
          </w:p>
        </w:tc>
        <w:tc>
          <w:tcPr>
            <w:tcW w:w="40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Antony Mattessich</w:t>
            </w:r>
          </w:p>
        </w:tc>
        <w:tc>
          <w:tcPr>
            <w:tcW w:w="4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101,649</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Rajesh Parekh, Ph.D.</w:t>
            </w:r>
          </w:p>
        </w:tc>
        <w:tc>
          <w:tcPr>
            <w:tcW w:w="4060" w:type="dxa"/>
            <w:vAlign w:val="bottom"/>
          </w:tcPr>
          <w:p>
            <w:pPr>
              <w:jc w:val="right"/>
              <w:ind w:right="35"/>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2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Sapna Srivastava, Ph.D.</w:t>
            </w:r>
          </w:p>
        </w:tc>
        <w:tc>
          <w:tcPr>
            <w:tcW w:w="4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101,649</w:t>
            </w: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Arial" w:cs="Arial" w:eastAsia="Arial" w:hAnsi="Arial"/>
                <w:sz w:val="18"/>
                <w:szCs w:val="18"/>
                <w:color w:val="auto"/>
              </w:rPr>
              <w:t>Karan Takhar</w:t>
            </w:r>
          </w:p>
        </w:tc>
        <w:tc>
          <w:tcPr>
            <w:tcW w:w="40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Dr. Mariggi has waived all compensation and stock options for which he would otherwise be eligible as a non-employee director.</w:t>
      </w:r>
    </w:p>
    <w:p>
      <w:pPr>
        <w:spacing w:after="0" w:line="31" w:lineRule="exact"/>
        <w:rPr>
          <w:rFonts w:ascii="Arial" w:cs="Arial" w:eastAsia="Arial" w:hAnsi="Arial"/>
          <w:sz w:val="18"/>
          <w:szCs w:val="18"/>
          <w:color w:val="auto"/>
        </w:rPr>
      </w:pPr>
    </w:p>
    <w:p>
      <w:pPr>
        <w:ind w:left="380" w:hanging="372"/>
        <w:spacing w:after="0"/>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cash fees were paid directly to a fund affiliated with Dr. Parekh’s employer, Advent Life Sciences.</w:t>
      </w:r>
    </w:p>
    <w:p>
      <w:pPr>
        <w:spacing w:after="0" w:line="26" w:lineRule="exact"/>
        <w:rPr>
          <w:rFonts w:ascii="Arial" w:cs="Arial" w:eastAsia="Arial" w:hAnsi="Arial"/>
          <w:sz w:val="18"/>
          <w:szCs w:val="18"/>
          <w:color w:val="auto"/>
        </w:rPr>
      </w:pPr>
    </w:p>
    <w:p>
      <w:pPr>
        <w:ind w:left="380" w:hanging="372"/>
        <w:spacing w:after="0" w:line="271" w:lineRule="auto"/>
        <w:tabs>
          <w:tab w:leader="none" w:pos="3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Takhar has waived all compensation and stock options that he would otherwise be eligible to receive for his service as a non-employee director.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non-employee directors are compensated pursuant to a formal policy pursuant to which we pay our non-employee directors a cash retainer for service on our Board and for service on each committee on which the director is a member. The Chair of each committee receives a higher retainer for such service. The fees paid to non-employee directors for service on our Board and for service on each committee of our Board on which the director is a member are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3"/>
        </w:trPr>
        <w:tc>
          <w:tcPr>
            <w:tcW w:w="96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Board of Directors</w:t>
            </w:r>
            <w:r>
              <w:rPr>
                <w:rFonts w:ascii="Arial" w:cs="Arial" w:eastAsia="Arial" w:hAnsi="Arial"/>
                <w:sz w:val="18"/>
                <w:szCs w:val="18"/>
                <w:color w:val="auto"/>
              </w:rPr>
              <w:t>:</w:t>
            </w:r>
          </w:p>
        </w:tc>
        <w:tc>
          <w:tcPr>
            <w:tcW w:w="520" w:type="dxa"/>
            <w:vAlign w:val="bottom"/>
            <w:tcBorders>
              <w:top w:val="single" w:sz="8" w:color="CFF0FC"/>
            </w:tcBorders>
            <w:shd w:val="clear" w:color="auto" w:fill="CFF0FC"/>
          </w:tcPr>
          <w:p>
            <w:pPr>
              <w:spacing w:after="0"/>
              <w:rPr>
                <w:sz w:val="21"/>
                <w:szCs w:val="21"/>
                <w:color w:val="auto"/>
              </w:rPr>
            </w:pPr>
          </w:p>
        </w:tc>
        <w:tc>
          <w:tcPr>
            <w:tcW w:w="1080" w:type="dxa"/>
            <w:vAlign w:val="bottom"/>
            <w:tcBorders>
              <w:top w:val="single" w:sz="8" w:color="CFF0FC"/>
            </w:tcBorders>
            <w:shd w:val="clear" w:color="auto" w:fill="CFF0FC"/>
          </w:tcPr>
          <w:p>
            <w:pPr>
              <w:spacing w:after="0"/>
              <w:rPr>
                <w:sz w:val="21"/>
                <w:szCs w:val="21"/>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Members</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40,000</w:t>
            </w:r>
          </w:p>
        </w:tc>
      </w:tr>
      <w:tr>
        <w:trPr>
          <w:trHeight w:val="229"/>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Annual retainer for non-executive chair</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30,000</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b w:val="1"/>
                <w:bCs w:val="1"/>
                <w:color w:val="auto"/>
              </w:rPr>
              <w:t>Audit Committee</w:t>
            </w: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Members (other than chair)</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7,500</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Retainer for chair</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15,000</w:t>
            </w:r>
          </w:p>
        </w:tc>
      </w:tr>
      <w:tr>
        <w:trPr>
          <w:trHeight w:val="229"/>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Compensation Committee</w:t>
            </w: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Members (other than chair)</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5,000</w:t>
            </w:r>
          </w:p>
        </w:tc>
      </w:tr>
      <w:tr>
        <w:trPr>
          <w:trHeight w:val="229"/>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Retainer for chair</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10,000</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b w:val="1"/>
                <w:bCs w:val="1"/>
                <w:color w:val="auto"/>
              </w:rPr>
              <w:t>Nominating and Corporate Governance Committee</w:t>
            </w: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9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Members (other than chair)</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4,000</w:t>
            </w:r>
          </w:p>
        </w:tc>
      </w:tr>
      <w:tr>
        <w:trPr>
          <w:trHeight w:val="239"/>
        </w:trPr>
        <w:tc>
          <w:tcPr>
            <w:tcW w:w="9640" w:type="dxa"/>
            <w:vAlign w:val="bottom"/>
          </w:tcPr>
          <w:p>
            <w:pPr>
              <w:ind w:left="20"/>
              <w:spacing w:after="0"/>
              <w:rPr>
                <w:sz w:val="20"/>
                <w:szCs w:val="20"/>
                <w:color w:val="auto"/>
              </w:rPr>
            </w:pPr>
            <w:r>
              <w:rPr>
                <w:rFonts w:ascii="Arial" w:cs="Arial" w:eastAsia="Arial" w:hAnsi="Arial"/>
                <w:sz w:val="18"/>
                <w:szCs w:val="18"/>
                <w:color w:val="auto"/>
              </w:rPr>
              <w:t>Retainer for chair</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8,000</w:t>
            </w:r>
          </w:p>
        </w:tc>
      </w:tr>
    </w:tbl>
    <w:p>
      <w:pPr>
        <w:spacing w:after="0" w:line="1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6322060</wp:posOffset>
            </wp:positionH>
            <wp:positionV relativeFrom="page">
              <wp:posOffset>705485</wp:posOffset>
            </wp:positionV>
            <wp:extent cx="9505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jc w:val="both"/>
        <w:ind w:firstLine="509"/>
        <w:spacing w:after="0"/>
        <w:rPr>
          <w:sz w:val="20"/>
          <w:szCs w:val="20"/>
          <w:color w:val="auto"/>
        </w:rPr>
      </w:pPr>
      <w:r>
        <w:rPr>
          <w:rFonts w:ascii="Arial" w:cs="Arial" w:eastAsia="Arial" w:hAnsi="Arial"/>
          <w:sz w:val="18"/>
          <w:szCs w:val="18"/>
          <w:color w:val="auto"/>
        </w:rPr>
        <w:t>In addition, the non-employee director compensation policy provides that, upon initial election to our Board, each non-employee director will be granted an option to purchase 32,000 shares of our common stock, or the Initial Grant. The Initial Grant will vest in equal installments on the first, second and third anniversaries of the grant date, subject to continued service through the applicable vesting date. Furthermore, on the date of each annual meeting of stockholders, each non-employee director who continues as a non-employee director following such meeting will be granted an annual option to purchase 16,000 shares of our common stock, or the Annual Grant. The Annual Grant will vest in full on the earlier of (i) the first anniversary of the grant date or (ii) our next annual meeting of stockholders, subject to continued service through the applicable vesting date. Such awards are subject to full accelerated vesting upon the sale of our company.</w:t>
      </w:r>
    </w:p>
    <w:p>
      <w:pPr>
        <w:spacing w:after="0" w:line="18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or any committee thereof.</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following table provides information as of December 31, 2023 with respect to the shares of our common stock that may be issued under our existing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33134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Number of securities to</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be issued upon exercise</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of outstanding options,</w:t>
      </w:r>
    </w:p>
    <w:p>
      <w:pPr>
        <w:spacing w:after="0" w:line="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warrants and rights (#)</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b w:val="1"/>
          <w:bCs w:val="1"/>
          <w:u w:val="single" w:color="auto"/>
          <w:color w:val="auto"/>
        </w:rPr>
        <w:t>Plan Category</w:t>
      </w:r>
    </w:p>
    <w:p>
      <w:pPr>
        <w:spacing w:after="0" w:line="50" w:lineRule="exact"/>
        <w:rPr>
          <w:sz w:val="20"/>
          <w:szCs w:val="20"/>
          <w:color w:val="auto"/>
        </w:rPr>
      </w:pPr>
    </w:p>
    <w:p>
      <w:pPr>
        <w:ind w:left="602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w:t>
            </w:r>
          </w:p>
        </w:tc>
        <w:tc>
          <w:tcPr>
            <w:tcW w:w="20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Number of securities</w:t>
            </w:r>
          </w:p>
        </w:tc>
        <w:tc>
          <w:tcPr>
            <w:tcW w:w="0" w:type="dxa"/>
            <w:vAlign w:val="bottom"/>
          </w:tcPr>
          <w:p>
            <w:pPr>
              <w:spacing w:after="0"/>
              <w:rPr>
                <w:sz w:val="1"/>
                <w:szCs w:val="1"/>
                <w:color w:val="auto"/>
              </w:rPr>
            </w:pPr>
          </w:p>
        </w:tc>
      </w:tr>
      <w:tr>
        <w:trPr>
          <w:trHeight w:val="81"/>
        </w:trPr>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average exercise</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tcPr>
          <w:p>
            <w:pPr>
              <w:spacing w:after="0"/>
              <w:rPr>
                <w:sz w:val="7"/>
                <w:szCs w:val="7"/>
                <w:color w:val="auto"/>
              </w:rPr>
            </w:pPr>
          </w:p>
        </w:tc>
        <w:tc>
          <w:tcPr>
            <w:tcW w:w="20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remaining available for</w:t>
            </w:r>
          </w:p>
        </w:tc>
        <w:tc>
          <w:tcPr>
            <w:tcW w:w="0" w:type="dxa"/>
            <w:vAlign w:val="bottom"/>
          </w:tcPr>
          <w:p>
            <w:pPr>
              <w:spacing w:after="0"/>
              <w:rPr>
                <w:sz w:val="1"/>
                <w:szCs w:val="1"/>
                <w:color w:val="auto"/>
              </w:rPr>
            </w:pPr>
          </w:p>
        </w:tc>
      </w:tr>
      <w:tr>
        <w:trPr>
          <w:trHeight w:val="81"/>
        </w:trPr>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price of</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tcPr>
          <w:p>
            <w:pPr>
              <w:spacing w:after="0"/>
              <w:rPr>
                <w:sz w:val="7"/>
                <w:szCs w:val="7"/>
                <w:color w:val="auto"/>
              </w:rPr>
            </w:pPr>
          </w:p>
        </w:tc>
        <w:tc>
          <w:tcPr>
            <w:tcW w:w="20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81"/>
        </w:trPr>
        <w:tc>
          <w:tcPr>
            <w:tcW w:w="14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outstanding</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tcPr>
          <w:p>
            <w:pPr>
              <w:spacing w:after="0"/>
              <w:rPr>
                <w:sz w:val="7"/>
                <w:szCs w:val="7"/>
                <w:color w:val="auto"/>
              </w:rPr>
            </w:pPr>
          </w:p>
        </w:tc>
        <w:tc>
          <w:tcPr>
            <w:tcW w:w="20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81"/>
        </w:trPr>
        <w:tc>
          <w:tcPr>
            <w:tcW w:w="14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options,</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tcPr>
          <w:p>
            <w:pPr>
              <w:spacing w:after="0"/>
              <w:rPr>
                <w:sz w:val="7"/>
                <w:szCs w:val="7"/>
                <w:color w:val="auto"/>
              </w:rPr>
            </w:pPr>
          </w:p>
        </w:tc>
        <w:tc>
          <w:tcPr>
            <w:tcW w:w="206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(excluding securities</w:t>
            </w:r>
          </w:p>
        </w:tc>
        <w:tc>
          <w:tcPr>
            <w:tcW w:w="0" w:type="dxa"/>
            <w:vAlign w:val="bottom"/>
          </w:tcPr>
          <w:p>
            <w:pPr>
              <w:spacing w:after="0"/>
              <w:rPr>
                <w:sz w:val="1"/>
                <w:szCs w:val="1"/>
                <w:color w:val="auto"/>
              </w:rPr>
            </w:pPr>
          </w:p>
        </w:tc>
      </w:tr>
      <w:tr>
        <w:trPr>
          <w:trHeight w:val="81"/>
        </w:trPr>
        <w:tc>
          <w:tcPr>
            <w:tcW w:w="14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warrants and</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tcPr>
          <w:p>
            <w:pPr>
              <w:spacing w:after="0"/>
              <w:rPr>
                <w:sz w:val="7"/>
                <w:szCs w:val="7"/>
                <w:color w:val="auto"/>
              </w:rPr>
            </w:pPr>
          </w:p>
        </w:tc>
        <w:tc>
          <w:tcPr>
            <w:tcW w:w="206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reflected in column (a)) (#)</w:t>
            </w:r>
          </w:p>
        </w:tc>
        <w:tc>
          <w:tcPr>
            <w:tcW w:w="0" w:type="dxa"/>
            <w:vAlign w:val="bottom"/>
          </w:tcPr>
          <w:p>
            <w:pPr>
              <w:spacing w:after="0"/>
              <w:rPr>
                <w:sz w:val="1"/>
                <w:szCs w:val="1"/>
                <w:color w:val="auto"/>
              </w:rPr>
            </w:pPr>
          </w:p>
        </w:tc>
      </w:tr>
      <w:tr>
        <w:trPr>
          <w:trHeight w:val="115"/>
        </w:trPr>
        <w:tc>
          <w:tcPr>
            <w:tcW w:w="14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rights ($)</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400" w:type="dxa"/>
            <w:vAlign w:val="bottom"/>
            <w:vMerge w:val="continue"/>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(b)</w:t>
            </w:r>
          </w:p>
        </w:tc>
        <w:tc>
          <w:tcPr>
            <w:tcW w:w="2060" w:type="dxa"/>
            <w:vAlign w:val="bottom"/>
          </w:tcPr>
          <w:p>
            <w:pPr>
              <w:jc w:val="center"/>
              <w:ind w:left="168"/>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40" w:space="400"/>
            <w:col w:w="3900"/>
          </w:cols>
          <w:pgMar w:left="320" w:top="1090"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5220" w:type="dxa"/>
            <w:vAlign w:val="bottom"/>
            <w:shd w:val="clear" w:color="auto" w:fill="CFF0FC"/>
          </w:tcPr>
          <w:p>
            <w:pPr>
              <w:ind w:left="20"/>
              <w:spacing w:after="0" w:line="265"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4"/>
                <w:szCs w:val="24"/>
                <w:color w:val="auto"/>
                <w:vertAlign w:val="superscript"/>
              </w:rPr>
              <w:t>(1)</w:t>
            </w: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6,123,753</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6,946,623</w:t>
            </w:r>
          </w:p>
        </w:tc>
        <w:tc>
          <w:tcPr>
            <w:tcW w:w="3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w:t>
            </w:r>
          </w:p>
        </w:tc>
      </w:tr>
      <w:tr>
        <w:trPr>
          <w:trHeight w:val="256"/>
        </w:trPr>
        <w:tc>
          <w:tcPr>
            <w:tcW w:w="522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r>
      <w:tr>
        <w:trPr>
          <w:trHeight w:val="263"/>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6,123,753</w:t>
            </w:r>
          </w:p>
        </w:tc>
        <w:tc>
          <w:tcPr>
            <w:tcW w:w="32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320" w:type="dxa"/>
            <w:vAlign w:val="bottom"/>
            <w:tcBorders>
              <w:bottom w:val="single" w:sz="8" w:color="CFF0FC"/>
            </w:tcBorders>
            <w:shd w:val="clear" w:color="auto" w:fill="CFF0FC"/>
          </w:tcPr>
          <w:p>
            <w:pPr>
              <w:spacing w:after="0"/>
              <w:rPr>
                <w:sz w:val="22"/>
                <w:szCs w:val="22"/>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6,946,623</w:t>
            </w:r>
          </w:p>
        </w:tc>
        <w:tc>
          <w:tcPr>
            <w:tcW w:w="3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6940550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left="380" w:hanging="372"/>
        <w:spacing w:after="0" w:line="257"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the following plans: the 2009 Plan, the 2018 Plan, the 2021 Plan, and our 2021 Employee Stock Purchase Plan, or the 2021 ESPP.</w:t>
      </w:r>
    </w:p>
    <w:p>
      <w:pPr>
        <w:spacing w:after="0" w:line="1" w:lineRule="exact"/>
        <w:rPr>
          <w:rFonts w:ascii="Arial" w:cs="Arial" w:eastAsia="Arial" w:hAnsi="Arial"/>
          <w:sz w:val="18"/>
          <w:szCs w:val="18"/>
          <w:color w:val="auto"/>
        </w:rPr>
      </w:pPr>
    </w:p>
    <w:p>
      <w:pPr>
        <w:jc w:val="both"/>
        <w:ind w:left="380" w:hanging="372"/>
        <w:spacing w:after="0" w:line="243"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Consists of 5,030,351 shares issuable upon the exercise of outstanding options under the 2009 Plan, the 2018 Plan, and the 2021 Plan and 1,093,402 shares issuable upon the vesting of restricted stock units. This does not include purchase rights under the 2021 ESPP because the purchase right (and therefore the number of shares to be purchased) will not be determined until the end of the current purchase period. Since restricted stock units do not have any exercise price, such units are not included in the weighted average exercise price calculation.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type w:val="continuous"/>
        </w:sectPr>
      </w:pPr>
    </w:p>
    <w:bookmarkStart w:id="113" w:name="page114"/>
    <w:bookmarkEnd w:id="113"/>
    <w:p>
      <w:pPr>
        <w:jc w:val="both"/>
        <w:ind w:left="380" w:hanging="372"/>
        <w:spacing w:after="0" w:line="237" w:lineRule="auto"/>
        <w:tabs>
          <w:tab w:leader="none" w:pos="3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 of December 31, 2023, a total of 3,307,871 shares of our common stock have been reserved for issuance pursuant to the 2021 Plan, which number excludes the 2,457,539 shares that were added to the plan as a result of the automatic annual increase on January 1, 2024. The 2021 Plan provides that the number of shares reserved and available for issuance under the plan will automatically increase each January 1, beginning on January 1, 2022, by 5% of the outstanding number of shares of our common stock on the immediately preceding December 31 or such lesser number of shares as determined by the Compensation Committee. This number will be subject to adjustment in the event of a stock split, stock dividend or other change in our capitalization.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the 2018 Plan and the 2009 Plan will be added back to the shares of common stock available for issuance under the 2021 Plan. Our company no longer makes grants under the 2009 Plan and 2018 Plan. As of December 31, 2023, a total of 947,639 shares of our common stock have been reserved for issuance pursuant to the 2021 ESPP, which number excludes the 335,217 shares that were added to the plan as a result of the automatic annual increase on January 1, 2024. The 2021 ESPP provides that the number of shares reserved and available for issuance under the plan will automatically increase each January 1, beginning on January 1, 2022, by the lesser of (i) 335,217 shares of our common stock, (ii) 1% of the outstanding number of shares of our common stock on the immediately preceding December 31 or (iii) such lesser number of shares as determined by the Compensation Committee. This number will be subject to adjustment in the event of a stock split, stock dividend or other change in our capitalization.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following table sets forth information, to the extent known by us or ascertainable from public filings, with respect to the beneficial ownership of our common stock as of March 20, 2024 by:</w:t>
      </w:r>
    </w:p>
    <w:p>
      <w:pPr>
        <w:spacing w:after="0" w:line="2" w:lineRule="exact"/>
        <w:rPr>
          <w:sz w:val="20"/>
          <w:szCs w:val="20"/>
          <w:color w:val="auto"/>
        </w:rPr>
      </w:pPr>
    </w:p>
    <w:p>
      <w:pPr>
        <w:ind w:left="1160" w:hanging="508"/>
        <w:spacing w:after="0"/>
        <w:tabs>
          <w:tab w:leader="none" w:pos="116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w:t>
      </w:r>
    </w:p>
    <w:p>
      <w:pPr>
        <w:spacing w:after="0" w:line="34"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named executive officers;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directors and executive officers as a group; and</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of affiliated persons, who is known by us to beneficially own greater-than-5.0% of our common stock.</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column entitled “Shares Beneficially Owned” is based on a total of 49,504,405 shares of our common stock outstanding as of March 20, 2024.</w:t>
      </w:r>
    </w:p>
    <w:p>
      <w:pPr>
        <w:spacing w:after="0" w:line="15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of March 20, 2024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2"/>
        </w:trPr>
        <w:tc>
          <w:tcPr>
            <w:tcW w:w="20" w:type="dxa"/>
            <w:vAlign w:val="bottom"/>
            <w:tcBorders>
              <w:top w:val="single" w:sz="8" w:color="auto"/>
            </w:tcBorders>
          </w:tcPr>
          <w:p>
            <w:pPr>
              <w:spacing w:after="0"/>
              <w:rPr>
                <w:sz w:val="17"/>
                <w:szCs w:val="17"/>
                <w:color w:val="auto"/>
              </w:rPr>
            </w:pPr>
          </w:p>
        </w:tc>
        <w:tc>
          <w:tcPr>
            <w:tcW w:w="72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Name and address of beneficial owner (1)</w:t>
            </w:r>
          </w:p>
        </w:tc>
        <w:tc>
          <w:tcPr>
            <w:tcW w:w="2500" w:type="dxa"/>
            <w:vAlign w:val="bottom"/>
            <w:gridSpan w:val="5"/>
          </w:tcPr>
          <w:p>
            <w:pPr>
              <w:jc w:val="center"/>
              <w:ind w:right="580"/>
              <w:spacing w:after="0" w:line="202" w:lineRule="exact"/>
              <w:rPr>
                <w:sz w:val="20"/>
                <w:szCs w:val="20"/>
                <w:color w:val="auto"/>
              </w:rPr>
            </w:pPr>
            <w:r>
              <w:rPr>
                <w:rFonts w:ascii="Arial" w:cs="Arial" w:eastAsia="Arial" w:hAnsi="Arial"/>
                <w:sz w:val="18"/>
                <w:szCs w:val="18"/>
                <w:b w:val="1"/>
                <w:bCs w:val="1"/>
                <w:color w:val="auto"/>
                <w:w w:val="99"/>
              </w:rPr>
              <w:t>Shares Beneficially</w:t>
            </w:r>
          </w:p>
        </w:tc>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Percentage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20" w:type="dxa"/>
            <w:vAlign w:val="bottom"/>
            <w:tcBorders>
              <w:top w:val="single" w:sz="8" w:color="auto"/>
            </w:tcBorders>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Borders>
              <w:top w:val="single" w:sz="8" w:color="auto"/>
            </w:tcBorders>
            <w:gridSpan w:val="3"/>
          </w:tcPr>
          <w:p>
            <w:pPr>
              <w:jc w:val="center"/>
              <w:spacing w:after="0" w:line="182" w:lineRule="exact"/>
              <w:rPr>
                <w:sz w:val="20"/>
                <w:szCs w:val="20"/>
                <w:color w:val="auto"/>
              </w:rPr>
            </w:pPr>
            <w:r>
              <w:rPr>
                <w:rFonts w:ascii="Arial" w:cs="Arial" w:eastAsia="Arial" w:hAnsi="Arial"/>
                <w:sz w:val="18"/>
                <w:szCs w:val="18"/>
                <w:b w:val="1"/>
                <w:bCs w:val="1"/>
                <w:color w:val="auto"/>
                <w:w w:val="99"/>
              </w:rPr>
              <w:t>Owned</w:t>
            </w:r>
          </w:p>
        </w:tc>
        <w:tc>
          <w:tcPr>
            <w:tcW w:w="6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rPr>
                <w:sz w:val="20"/>
                <w:szCs w:val="20"/>
                <w:color w:val="auto"/>
              </w:rPr>
            </w:pPr>
            <w:r>
              <w:rPr>
                <w:rFonts w:ascii="Arial" w:cs="Arial" w:eastAsia="Arial" w:hAnsi="Arial"/>
                <w:sz w:val="18"/>
                <w:szCs w:val="18"/>
                <w:b w:val="1"/>
                <w:bCs w:val="1"/>
                <w:i w:val="1"/>
                <w:iCs w:val="1"/>
                <w:color w:val="auto"/>
              </w:rPr>
              <w:t>&gt; 5% Stockholders: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ind w:left="100"/>
              <w:spacing w:after="0" w:line="229" w:lineRule="exact"/>
              <w:rPr>
                <w:sz w:val="20"/>
                <w:szCs w:val="20"/>
                <w:color w:val="auto"/>
              </w:rPr>
            </w:pPr>
            <w:r>
              <w:rPr>
                <w:rFonts w:ascii="Arial" w:cs="Arial" w:eastAsia="Arial" w:hAnsi="Arial"/>
                <w:sz w:val="18"/>
                <w:szCs w:val="18"/>
                <w:color w:val="auto"/>
              </w:rPr>
              <w:t xml:space="preserve">Matrix Capital Management Master Fund, LP </w:t>
            </w:r>
            <w:r>
              <w:rPr>
                <w:rFonts w:ascii="Arial" w:cs="Arial" w:eastAsia="Arial" w:hAnsi="Arial"/>
                <w:sz w:val="24"/>
                <w:szCs w:val="24"/>
                <w:color w:val="auto"/>
                <w:vertAlign w:val="superscript"/>
              </w:rPr>
              <w:t>(2)</w:t>
            </w:r>
          </w:p>
        </w:tc>
        <w:tc>
          <w:tcPr>
            <w:tcW w:w="2500" w:type="dxa"/>
            <w:vAlign w:val="bottom"/>
            <w:gridSpan w:val="5"/>
          </w:tcPr>
          <w:p>
            <w:pPr>
              <w:jc w:val="right"/>
              <w:ind w:right="560"/>
              <w:spacing w:after="0"/>
              <w:rPr>
                <w:sz w:val="20"/>
                <w:szCs w:val="20"/>
                <w:color w:val="auto"/>
              </w:rPr>
            </w:pPr>
            <w:r>
              <w:rPr>
                <w:rFonts w:ascii="Arial" w:cs="Arial" w:eastAsia="Arial" w:hAnsi="Arial"/>
                <w:sz w:val="18"/>
                <w:szCs w:val="18"/>
                <w:color w:val="auto"/>
              </w:rPr>
              <w:t>6,922,870</w:t>
            </w:r>
          </w:p>
        </w:tc>
        <w:tc>
          <w:tcPr>
            <w:tcW w:w="960" w:type="dxa"/>
            <w:vAlign w:val="bottom"/>
          </w:tcPr>
          <w:p>
            <w:pPr>
              <w:jc w:val="center"/>
              <w:spacing w:after="0"/>
              <w:rPr>
                <w:sz w:val="20"/>
                <w:szCs w:val="20"/>
                <w:color w:val="auto"/>
              </w:rPr>
            </w:pPr>
            <w:r>
              <w:rPr>
                <w:rFonts w:ascii="Arial" w:cs="Arial" w:eastAsia="Arial" w:hAnsi="Arial"/>
                <w:sz w:val="18"/>
                <w:szCs w:val="18"/>
                <w:color w:val="auto"/>
              </w:rPr>
              <w:t>14.0%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line="229" w:lineRule="exact"/>
              <w:rPr>
                <w:sz w:val="20"/>
                <w:szCs w:val="20"/>
                <w:color w:val="auto"/>
              </w:rPr>
            </w:pPr>
            <w:r>
              <w:rPr>
                <w:rFonts w:ascii="Arial" w:cs="Arial" w:eastAsia="Arial" w:hAnsi="Arial"/>
                <w:sz w:val="18"/>
                <w:szCs w:val="18"/>
                <w:color w:val="auto"/>
              </w:rPr>
              <w:t xml:space="preserve">Eventide Asset Management, LLC </w:t>
            </w:r>
            <w:r>
              <w:rPr>
                <w:rFonts w:ascii="Arial" w:cs="Arial" w:eastAsia="Arial" w:hAnsi="Arial"/>
                <w:sz w:val="24"/>
                <w:szCs w:val="24"/>
                <w:color w:val="auto"/>
                <w:vertAlign w:val="superscript"/>
              </w:rPr>
              <w:t>(3)</w:t>
            </w:r>
          </w:p>
        </w:tc>
        <w:tc>
          <w:tcPr>
            <w:tcW w:w="2500" w:type="dxa"/>
            <w:vAlign w:val="bottom"/>
            <w:gridSpan w:val="5"/>
            <w:shd w:val="clear" w:color="auto" w:fill="CFF0FC"/>
          </w:tcPr>
          <w:p>
            <w:pPr>
              <w:jc w:val="right"/>
              <w:ind w:right="560"/>
              <w:spacing w:after="0"/>
              <w:rPr>
                <w:sz w:val="20"/>
                <w:szCs w:val="20"/>
                <w:color w:val="auto"/>
              </w:rPr>
            </w:pPr>
            <w:r>
              <w:rPr>
                <w:rFonts w:ascii="Arial" w:cs="Arial" w:eastAsia="Arial" w:hAnsi="Arial"/>
                <w:sz w:val="18"/>
                <w:szCs w:val="18"/>
                <w:color w:val="auto"/>
              </w:rPr>
              <w:t>5,802,682</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11.7%</w:t>
            </w: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ind w:left="100"/>
              <w:spacing w:after="0" w:line="229" w:lineRule="exact"/>
              <w:rPr>
                <w:sz w:val="20"/>
                <w:szCs w:val="20"/>
                <w:color w:val="auto"/>
              </w:rPr>
            </w:pPr>
            <w:r>
              <w:rPr>
                <w:rFonts w:ascii="Arial" w:cs="Arial" w:eastAsia="Arial" w:hAnsi="Arial"/>
                <w:sz w:val="18"/>
                <w:szCs w:val="18"/>
                <w:color w:val="auto"/>
              </w:rPr>
              <w:t xml:space="preserve">Adage Capital Partners, L.P. </w:t>
            </w:r>
            <w:r>
              <w:rPr>
                <w:rFonts w:ascii="Arial" w:cs="Arial" w:eastAsia="Arial" w:hAnsi="Arial"/>
                <w:sz w:val="24"/>
                <w:szCs w:val="24"/>
                <w:color w:val="auto"/>
                <w:vertAlign w:val="superscript"/>
              </w:rPr>
              <w:t>(4)</w:t>
            </w:r>
          </w:p>
        </w:tc>
        <w:tc>
          <w:tcPr>
            <w:tcW w:w="2500" w:type="dxa"/>
            <w:vAlign w:val="bottom"/>
            <w:gridSpan w:val="5"/>
          </w:tcPr>
          <w:p>
            <w:pPr>
              <w:jc w:val="right"/>
              <w:ind w:right="560"/>
              <w:spacing w:after="0"/>
              <w:rPr>
                <w:sz w:val="20"/>
                <w:szCs w:val="20"/>
                <w:color w:val="auto"/>
              </w:rPr>
            </w:pPr>
            <w:r>
              <w:rPr>
                <w:rFonts w:ascii="Arial" w:cs="Arial" w:eastAsia="Arial" w:hAnsi="Arial"/>
                <w:sz w:val="18"/>
                <w:szCs w:val="18"/>
                <w:color w:val="auto"/>
              </w:rPr>
              <w:t>4,225,000</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8.5%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line="229" w:lineRule="exact"/>
              <w:rPr>
                <w:sz w:val="20"/>
                <w:szCs w:val="20"/>
                <w:color w:val="auto"/>
              </w:rPr>
            </w:pPr>
            <w:r>
              <w:rPr>
                <w:rFonts w:ascii="Arial" w:cs="Arial" w:eastAsia="Arial" w:hAnsi="Arial"/>
                <w:sz w:val="18"/>
                <w:szCs w:val="18"/>
                <w:color w:val="auto"/>
              </w:rPr>
              <w:t xml:space="preserve">Citadel-Multi Strategy Equities Master Fund Ltd. </w:t>
            </w:r>
            <w:r>
              <w:rPr>
                <w:rFonts w:ascii="Arial" w:cs="Arial" w:eastAsia="Arial" w:hAnsi="Arial"/>
                <w:sz w:val="24"/>
                <w:szCs w:val="24"/>
                <w:color w:val="auto"/>
                <w:vertAlign w:val="superscript"/>
              </w:rPr>
              <w:t>(5)</w:t>
            </w:r>
          </w:p>
        </w:tc>
        <w:tc>
          <w:tcPr>
            <w:tcW w:w="2500" w:type="dxa"/>
            <w:vAlign w:val="bottom"/>
            <w:gridSpan w:val="5"/>
            <w:shd w:val="clear" w:color="auto" w:fill="CFF0FC"/>
          </w:tcPr>
          <w:p>
            <w:pPr>
              <w:jc w:val="right"/>
              <w:ind w:right="560"/>
              <w:spacing w:after="0"/>
              <w:rPr>
                <w:sz w:val="20"/>
                <w:szCs w:val="20"/>
                <w:color w:val="auto"/>
              </w:rPr>
            </w:pPr>
            <w:r>
              <w:rPr>
                <w:rFonts w:ascii="Arial" w:cs="Arial" w:eastAsia="Arial" w:hAnsi="Arial"/>
                <w:sz w:val="18"/>
                <w:szCs w:val="18"/>
                <w:color w:val="auto"/>
              </w:rPr>
              <w:t>3,631,494</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7.3%</w:t>
            </w: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ind w:left="100"/>
              <w:spacing w:after="0" w:line="229" w:lineRule="exact"/>
              <w:rPr>
                <w:sz w:val="20"/>
                <w:szCs w:val="20"/>
                <w:color w:val="auto"/>
              </w:rPr>
            </w:pPr>
            <w:r>
              <w:rPr>
                <w:rFonts w:ascii="Arial" w:cs="Arial" w:eastAsia="Arial" w:hAnsi="Arial"/>
                <w:sz w:val="18"/>
                <w:szCs w:val="18"/>
                <w:color w:val="auto"/>
              </w:rPr>
              <w:t xml:space="preserve">Entities affiliated with Medicxi </w:t>
            </w:r>
            <w:r>
              <w:rPr>
                <w:rFonts w:ascii="Arial" w:cs="Arial" w:eastAsia="Arial" w:hAnsi="Arial"/>
                <w:sz w:val="24"/>
                <w:szCs w:val="24"/>
                <w:color w:val="auto"/>
                <w:vertAlign w:val="superscript"/>
              </w:rPr>
              <w:t>(6)</w:t>
            </w:r>
          </w:p>
        </w:tc>
        <w:tc>
          <w:tcPr>
            <w:tcW w:w="2500" w:type="dxa"/>
            <w:vAlign w:val="bottom"/>
            <w:gridSpan w:val="5"/>
          </w:tcPr>
          <w:p>
            <w:pPr>
              <w:jc w:val="right"/>
              <w:ind w:right="560"/>
              <w:spacing w:after="0"/>
              <w:rPr>
                <w:sz w:val="20"/>
                <w:szCs w:val="20"/>
                <w:color w:val="auto"/>
              </w:rPr>
            </w:pPr>
            <w:r>
              <w:rPr>
                <w:rFonts w:ascii="Arial" w:cs="Arial" w:eastAsia="Arial" w:hAnsi="Arial"/>
                <w:sz w:val="18"/>
                <w:szCs w:val="18"/>
                <w:color w:val="auto"/>
              </w:rPr>
              <w:t>3,039,892</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6.1%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ind w:left="100"/>
              <w:spacing w:after="0" w:line="229" w:lineRule="exact"/>
              <w:rPr>
                <w:sz w:val="20"/>
                <w:szCs w:val="20"/>
                <w:color w:val="auto"/>
              </w:rPr>
            </w:pPr>
            <w:r>
              <w:rPr>
                <w:rFonts w:ascii="Arial" w:cs="Arial" w:eastAsia="Arial" w:hAnsi="Arial"/>
                <w:sz w:val="18"/>
                <w:szCs w:val="18"/>
                <w:color w:val="auto"/>
              </w:rPr>
              <w:t xml:space="preserve">Elisabet de los Pinos, Ph.D. </w:t>
            </w:r>
            <w:r>
              <w:rPr>
                <w:rFonts w:ascii="Arial" w:cs="Arial" w:eastAsia="Arial" w:hAnsi="Arial"/>
                <w:sz w:val="24"/>
                <w:szCs w:val="24"/>
                <w:color w:val="auto"/>
                <w:vertAlign w:val="superscript"/>
              </w:rPr>
              <w:t>(7)</w:t>
            </w:r>
          </w:p>
        </w:tc>
        <w:tc>
          <w:tcPr>
            <w:tcW w:w="2500" w:type="dxa"/>
            <w:vAlign w:val="bottom"/>
            <w:gridSpan w:val="5"/>
          </w:tcPr>
          <w:p>
            <w:pPr>
              <w:jc w:val="right"/>
              <w:ind w:right="560"/>
              <w:spacing w:after="0"/>
              <w:rPr>
                <w:sz w:val="20"/>
                <w:szCs w:val="20"/>
                <w:color w:val="auto"/>
              </w:rPr>
            </w:pPr>
            <w:r>
              <w:rPr>
                <w:rFonts w:ascii="Arial" w:cs="Arial" w:eastAsia="Arial" w:hAnsi="Arial"/>
                <w:sz w:val="18"/>
                <w:szCs w:val="18"/>
                <w:color w:val="auto"/>
              </w:rPr>
              <w:t>1,534,335</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3.0%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line="229" w:lineRule="exact"/>
              <w:rPr>
                <w:sz w:val="20"/>
                <w:szCs w:val="20"/>
                <w:color w:val="auto"/>
              </w:rPr>
            </w:pPr>
            <w:r>
              <w:rPr>
                <w:rFonts w:ascii="Arial" w:cs="Arial" w:eastAsia="Arial" w:hAnsi="Arial"/>
                <w:sz w:val="18"/>
                <w:szCs w:val="18"/>
                <w:color w:val="auto"/>
              </w:rPr>
              <w:t xml:space="preserve">Cadmus Rich, M.D. </w:t>
            </w:r>
            <w:r>
              <w:rPr>
                <w:rFonts w:ascii="Arial" w:cs="Arial" w:eastAsia="Arial" w:hAnsi="Arial"/>
                <w:sz w:val="24"/>
                <w:szCs w:val="24"/>
                <w:color w:val="auto"/>
                <w:vertAlign w:val="superscript"/>
              </w:rPr>
              <w:t>(8)</w:t>
            </w:r>
          </w:p>
        </w:tc>
        <w:tc>
          <w:tcPr>
            <w:tcW w:w="2500" w:type="dxa"/>
            <w:vAlign w:val="bottom"/>
            <w:gridSpan w:val="5"/>
            <w:shd w:val="clear" w:color="auto" w:fill="CFF0FC"/>
          </w:tcPr>
          <w:p>
            <w:pPr>
              <w:jc w:val="right"/>
              <w:ind w:right="560"/>
              <w:spacing w:after="0"/>
              <w:rPr>
                <w:sz w:val="20"/>
                <w:szCs w:val="20"/>
                <w:color w:val="auto"/>
              </w:rPr>
            </w:pPr>
            <w:r>
              <w:rPr>
                <w:rFonts w:ascii="Arial" w:cs="Arial" w:eastAsia="Arial" w:hAnsi="Arial"/>
                <w:sz w:val="18"/>
                <w:szCs w:val="18"/>
                <w:color w:val="auto"/>
              </w:rPr>
              <w:t>225,865</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ind w:left="100"/>
              <w:spacing w:after="0" w:line="229" w:lineRule="exact"/>
              <w:rPr>
                <w:sz w:val="20"/>
                <w:szCs w:val="20"/>
                <w:color w:val="auto"/>
              </w:rPr>
            </w:pPr>
            <w:r>
              <w:rPr>
                <w:rFonts w:ascii="Arial" w:cs="Arial" w:eastAsia="Arial" w:hAnsi="Arial"/>
                <w:sz w:val="18"/>
                <w:szCs w:val="18"/>
                <w:color w:val="auto"/>
              </w:rPr>
              <w:t xml:space="preserve">Julie Feder </w:t>
            </w:r>
            <w:r>
              <w:rPr>
                <w:rFonts w:ascii="Arial" w:cs="Arial" w:eastAsia="Arial" w:hAnsi="Arial"/>
                <w:sz w:val="24"/>
                <w:szCs w:val="24"/>
                <w:color w:val="auto"/>
                <w:vertAlign w:val="superscript"/>
              </w:rPr>
              <w:t>(9)</w:t>
            </w:r>
          </w:p>
        </w:tc>
        <w:tc>
          <w:tcPr>
            <w:tcW w:w="2500" w:type="dxa"/>
            <w:vAlign w:val="bottom"/>
            <w:gridSpan w:val="5"/>
          </w:tcPr>
          <w:p>
            <w:pPr>
              <w:jc w:val="right"/>
              <w:ind w:right="560"/>
              <w:spacing w:after="0"/>
              <w:rPr>
                <w:sz w:val="20"/>
                <w:szCs w:val="20"/>
                <w:color w:val="auto"/>
              </w:rPr>
            </w:pPr>
            <w:r>
              <w:rPr>
                <w:rFonts w:ascii="Arial" w:cs="Arial" w:eastAsia="Arial" w:hAnsi="Arial"/>
                <w:sz w:val="18"/>
                <w:szCs w:val="18"/>
                <w:color w:val="auto"/>
              </w:rPr>
              <w:t>336,548</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line="229" w:lineRule="exact"/>
              <w:rPr>
                <w:sz w:val="20"/>
                <w:szCs w:val="20"/>
                <w:color w:val="auto"/>
              </w:rPr>
            </w:pPr>
            <w:r>
              <w:rPr>
                <w:rFonts w:ascii="Arial" w:cs="Arial" w:eastAsia="Arial" w:hAnsi="Arial"/>
                <w:sz w:val="18"/>
                <w:szCs w:val="18"/>
                <w:color w:val="auto"/>
              </w:rPr>
              <w:t xml:space="preserve">David Johnson </w:t>
            </w:r>
            <w:r>
              <w:rPr>
                <w:rFonts w:ascii="Arial" w:cs="Arial" w:eastAsia="Arial" w:hAnsi="Arial"/>
                <w:sz w:val="24"/>
                <w:szCs w:val="24"/>
                <w:color w:val="auto"/>
                <w:vertAlign w:val="superscript"/>
              </w:rPr>
              <w:t>(10)</w:t>
            </w:r>
          </w:p>
        </w:tc>
        <w:tc>
          <w:tcPr>
            <w:tcW w:w="2500" w:type="dxa"/>
            <w:vAlign w:val="bottom"/>
            <w:gridSpan w:val="5"/>
            <w:shd w:val="clear" w:color="auto" w:fill="CFF0FC"/>
          </w:tcPr>
          <w:p>
            <w:pPr>
              <w:jc w:val="right"/>
              <w:ind w:right="560"/>
              <w:spacing w:after="0"/>
              <w:rPr>
                <w:sz w:val="20"/>
                <w:szCs w:val="20"/>
                <w:color w:val="auto"/>
              </w:rPr>
            </w:pPr>
            <w:r>
              <w:rPr>
                <w:rFonts w:ascii="Arial" w:cs="Arial" w:eastAsia="Arial" w:hAnsi="Arial"/>
                <w:sz w:val="18"/>
                <w:szCs w:val="18"/>
                <w:color w:val="auto"/>
              </w:rPr>
              <w:t>722,634</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1.5%</w:t>
            </w: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ind w:left="100"/>
              <w:spacing w:after="0"/>
              <w:rPr>
                <w:sz w:val="20"/>
                <w:szCs w:val="20"/>
                <w:color w:val="auto"/>
              </w:rPr>
            </w:pPr>
            <w:r>
              <w:rPr>
                <w:rFonts w:ascii="Arial" w:cs="Arial" w:eastAsia="Arial" w:hAnsi="Arial"/>
                <w:sz w:val="18"/>
                <w:szCs w:val="18"/>
                <w:color w:val="auto"/>
              </w:rPr>
              <w:t>Giovanni Mariggi, Ph.D.</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line="229" w:lineRule="exact"/>
              <w:rPr>
                <w:sz w:val="20"/>
                <w:szCs w:val="20"/>
                <w:color w:val="auto"/>
              </w:rPr>
            </w:pPr>
            <w:r>
              <w:rPr>
                <w:rFonts w:ascii="Arial" w:cs="Arial" w:eastAsia="Arial" w:hAnsi="Arial"/>
                <w:sz w:val="18"/>
                <w:szCs w:val="18"/>
                <w:color w:val="auto"/>
              </w:rPr>
              <w:t xml:space="preserve">Raj Parekh, Ph.D. </w:t>
            </w:r>
            <w:r>
              <w:rPr>
                <w:rFonts w:ascii="Arial" w:cs="Arial" w:eastAsia="Arial" w:hAnsi="Arial"/>
                <w:sz w:val="24"/>
                <w:szCs w:val="24"/>
                <w:color w:val="auto"/>
                <w:vertAlign w:val="superscript"/>
              </w:rPr>
              <w:t>(11)</w:t>
            </w:r>
          </w:p>
        </w:tc>
        <w:tc>
          <w:tcPr>
            <w:tcW w:w="2500" w:type="dxa"/>
            <w:vAlign w:val="bottom"/>
            <w:gridSpan w:val="5"/>
            <w:shd w:val="clear" w:color="auto" w:fill="CFF0FC"/>
          </w:tcPr>
          <w:p>
            <w:pPr>
              <w:jc w:val="right"/>
              <w:ind w:right="560"/>
              <w:spacing w:after="0"/>
              <w:rPr>
                <w:sz w:val="20"/>
                <w:szCs w:val="20"/>
                <w:color w:val="auto"/>
              </w:rPr>
            </w:pPr>
            <w:r>
              <w:rPr>
                <w:rFonts w:ascii="Arial" w:cs="Arial" w:eastAsia="Arial" w:hAnsi="Arial"/>
                <w:sz w:val="18"/>
                <w:szCs w:val="18"/>
                <w:color w:val="auto"/>
              </w:rPr>
              <w:t>32,000</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ind w:left="100"/>
              <w:spacing w:after="0" w:line="229" w:lineRule="exact"/>
              <w:rPr>
                <w:sz w:val="20"/>
                <w:szCs w:val="20"/>
                <w:color w:val="auto"/>
              </w:rPr>
            </w:pPr>
            <w:r>
              <w:rPr>
                <w:rFonts w:ascii="Arial" w:cs="Arial" w:eastAsia="Arial" w:hAnsi="Arial"/>
                <w:sz w:val="18"/>
                <w:szCs w:val="18"/>
                <w:color w:val="auto"/>
              </w:rPr>
              <w:t xml:space="preserve">Sapna Srivastava, Ph.D. </w:t>
            </w:r>
            <w:r>
              <w:rPr>
                <w:rFonts w:ascii="Arial" w:cs="Arial" w:eastAsia="Arial" w:hAnsi="Arial"/>
                <w:sz w:val="24"/>
                <w:szCs w:val="24"/>
                <w:color w:val="auto"/>
                <w:vertAlign w:val="superscript"/>
              </w:rPr>
              <w:t>(12)</w:t>
            </w:r>
          </w:p>
        </w:tc>
        <w:tc>
          <w:tcPr>
            <w:tcW w:w="2500" w:type="dxa"/>
            <w:vAlign w:val="bottom"/>
            <w:gridSpan w:val="5"/>
          </w:tcPr>
          <w:p>
            <w:pPr>
              <w:jc w:val="right"/>
              <w:ind w:right="560"/>
              <w:spacing w:after="0"/>
              <w:rPr>
                <w:sz w:val="20"/>
                <w:szCs w:val="20"/>
                <w:color w:val="auto"/>
              </w:rPr>
            </w:pPr>
            <w:r>
              <w:rPr>
                <w:rFonts w:ascii="Arial" w:cs="Arial" w:eastAsia="Arial" w:hAnsi="Arial"/>
                <w:sz w:val="18"/>
                <w:szCs w:val="18"/>
                <w:color w:val="auto"/>
              </w:rPr>
              <w:t>72,243</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Karan Takhar</w:t>
            </w:r>
          </w:p>
        </w:tc>
        <w:tc>
          <w:tcPr>
            <w:tcW w:w="140" w:type="dxa"/>
            <w:vAlign w:val="bottom"/>
            <w:shd w:val="clear" w:color="auto" w:fill="CCECFF"/>
          </w:tcPr>
          <w:p>
            <w:pPr>
              <w:spacing w:after="0"/>
              <w:rPr>
                <w:sz w:val="19"/>
                <w:szCs w:val="19"/>
                <w:color w:val="auto"/>
              </w:rPr>
            </w:pPr>
          </w:p>
        </w:tc>
        <w:tc>
          <w:tcPr>
            <w:tcW w:w="540" w:type="dxa"/>
            <w:vAlign w:val="bottom"/>
            <w:shd w:val="clear" w:color="auto" w:fill="CCECFF"/>
          </w:tcPr>
          <w:p>
            <w:pPr>
              <w:spacing w:after="0"/>
              <w:rPr>
                <w:sz w:val="19"/>
                <w:szCs w:val="19"/>
                <w:color w:val="auto"/>
              </w:rPr>
            </w:pPr>
          </w:p>
        </w:tc>
        <w:tc>
          <w:tcPr>
            <w:tcW w:w="600" w:type="dxa"/>
            <w:vAlign w:val="bottom"/>
            <w:shd w:val="clear" w:color="auto" w:fill="CCECFF"/>
          </w:tcPr>
          <w:p>
            <w:pPr>
              <w:spacing w:after="0"/>
              <w:rPr>
                <w:sz w:val="19"/>
                <w:szCs w:val="19"/>
                <w:color w:val="auto"/>
              </w:rPr>
            </w:pPr>
          </w:p>
        </w:tc>
        <w:tc>
          <w:tcPr>
            <w:tcW w:w="1220" w:type="dxa"/>
            <w:vAlign w:val="bottom"/>
            <w:gridSpan w:val="2"/>
            <w:shd w:val="clear" w:color="auto" w:fill="CCECFF"/>
          </w:tcPr>
          <w:p>
            <w:pPr>
              <w:jc w:val="right"/>
              <w:ind w:right="5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spacing w:after="0"/>
              <w:rPr>
                <w:sz w:val="19"/>
                <w:szCs w:val="19"/>
                <w:color w:val="auto"/>
              </w:rPr>
            </w:pPr>
          </w:p>
        </w:tc>
        <w:tc>
          <w:tcPr>
            <w:tcW w:w="5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20" w:type="dxa"/>
            <w:vAlign w:val="bottom"/>
            <w:gridSpan w:val="2"/>
          </w:tcPr>
          <w:p>
            <w:pPr>
              <w:ind w:left="100"/>
              <w:spacing w:after="0" w:line="229" w:lineRule="exact"/>
              <w:rPr>
                <w:sz w:val="20"/>
                <w:szCs w:val="20"/>
                <w:color w:val="auto"/>
              </w:rPr>
            </w:pPr>
            <w:r>
              <w:rPr>
                <w:rFonts w:ascii="Arial" w:cs="Arial" w:eastAsia="Arial" w:hAnsi="Arial"/>
                <w:sz w:val="18"/>
                <w:szCs w:val="18"/>
                <w:color w:val="auto"/>
              </w:rPr>
              <w:t xml:space="preserve">Antony Mattessich </w:t>
            </w:r>
            <w:r>
              <w:rPr>
                <w:rFonts w:ascii="Arial" w:cs="Arial" w:eastAsia="Arial" w:hAnsi="Arial"/>
                <w:sz w:val="24"/>
                <w:szCs w:val="24"/>
                <w:color w:val="auto"/>
                <w:vertAlign w:val="superscript"/>
              </w:rPr>
              <w:t>(13)</w:t>
            </w:r>
          </w:p>
        </w:tc>
        <w:tc>
          <w:tcPr>
            <w:tcW w:w="2500" w:type="dxa"/>
            <w:vAlign w:val="bottom"/>
            <w:gridSpan w:val="5"/>
          </w:tcPr>
          <w:p>
            <w:pPr>
              <w:jc w:val="right"/>
              <w:ind w:right="560"/>
              <w:spacing w:after="0"/>
              <w:rPr>
                <w:sz w:val="20"/>
                <w:szCs w:val="20"/>
                <w:color w:val="auto"/>
              </w:rPr>
            </w:pPr>
            <w:r>
              <w:rPr>
                <w:rFonts w:ascii="Arial" w:cs="Arial" w:eastAsia="Arial" w:hAnsi="Arial"/>
                <w:sz w:val="18"/>
                <w:szCs w:val="18"/>
                <w:color w:val="auto"/>
              </w:rPr>
              <w:t>66,658</w:t>
            </w: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7220" w:type="dxa"/>
            <w:vAlign w:val="bottom"/>
            <w:gridSpan w:val="2"/>
            <w:shd w:val="clear" w:color="auto" w:fill="CFF0FC"/>
          </w:tcPr>
          <w:p>
            <w:pPr>
              <w:ind w:left="100"/>
              <w:spacing w:after="0" w:line="229" w:lineRule="exact"/>
              <w:rPr>
                <w:sz w:val="20"/>
                <w:szCs w:val="20"/>
                <w:color w:val="auto"/>
              </w:rPr>
            </w:pPr>
            <w:r>
              <w:rPr>
                <w:rFonts w:ascii="Arial" w:cs="Arial" w:eastAsia="Arial" w:hAnsi="Arial"/>
                <w:sz w:val="18"/>
                <w:szCs w:val="18"/>
                <w:color w:val="auto"/>
              </w:rPr>
              <w:t xml:space="preserve">All current executive officers and directors as a group (10 persons) </w:t>
            </w:r>
            <w:r>
              <w:rPr>
                <w:rFonts w:ascii="Arial" w:cs="Arial" w:eastAsia="Arial" w:hAnsi="Arial"/>
                <w:sz w:val="24"/>
                <w:szCs w:val="24"/>
                <w:color w:val="auto"/>
                <w:vertAlign w:val="superscript"/>
              </w:rPr>
              <w:t>(14)</w:t>
            </w:r>
          </w:p>
        </w:tc>
        <w:tc>
          <w:tcPr>
            <w:tcW w:w="2500" w:type="dxa"/>
            <w:vAlign w:val="bottom"/>
            <w:gridSpan w:val="5"/>
            <w:shd w:val="clear" w:color="auto" w:fill="CFF0FC"/>
          </w:tcPr>
          <w:p>
            <w:pPr>
              <w:jc w:val="right"/>
              <w:ind w:right="560"/>
              <w:spacing w:after="0"/>
              <w:rPr>
                <w:sz w:val="20"/>
                <w:szCs w:val="20"/>
                <w:color w:val="auto"/>
              </w:rPr>
            </w:pPr>
            <w:r>
              <w:rPr>
                <w:rFonts w:ascii="Arial" w:cs="Arial" w:eastAsia="Arial" w:hAnsi="Arial"/>
                <w:sz w:val="18"/>
                <w:szCs w:val="18"/>
                <w:color w:val="auto"/>
              </w:rPr>
              <w:t>2,764,418</w:t>
            </w:r>
          </w:p>
        </w:tc>
        <w:tc>
          <w:tcPr>
            <w:tcW w:w="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5.3%</w:t>
            </w:r>
          </w:p>
        </w:tc>
        <w:tc>
          <w:tcPr>
            <w:tcW w:w="5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Represents beneficial ownership of less than one percent.</w:t>
      </w:r>
    </w:p>
    <w:p>
      <w:pPr>
        <w:spacing w:after="0" w:line="36"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Unless otherwise indicated, the address for each beneficial owner is c/o Aura Biosciences, Inc., 80 Guest Street, Boston, MA 02135.</w:t>
      </w:r>
    </w:p>
    <w:p>
      <w:pPr>
        <w:spacing w:after="0" w:line="31" w:lineRule="exact"/>
        <w:rPr>
          <w:rFonts w:ascii="Arial" w:cs="Arial" w:eastAsia="Arial" w:hAnsi="Arial"/>
          <w:sz w:val="18"/>
          <w:szCs w:val="18"/>
          <w:color w:val="auto"/>
        </w:rPr>
      </w:pPr>
    </w:p>
    <w:p>
      <w:pPr>
        <w:jc w:val="both"/>
        <w:ind w:left="380" w:hanging="372"/>
        <w:spacing w:after="0" w:line="238"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herein is based on the Schedule 13D/A filed with the SEC on November 9, 2023, jointly, by Matrix Capital Management Company LP, or Investment Manager, and David E. Goel, or together with Investment Manager, the Reporting Persons. Matrix Capital Management Master Fund, LP, or Matrix is the record owner of 6,922,870 shares of common stock. Investment Manager is the investment advisor to Matrix with respect to the shares of common stock held by Matrix. Mr. Goel serves as the Managing General Partner of Investment Manager with respect to the shares of common stock held by Matrix. Karan Takhar, a member of our Board, is a Senior Managing Director of Matrix and may be deemed to have voting and dispositive power over the shares held by Matrix. The mailing address for Matrix is 1000 Winter Street, Suite 4500, Waltham, Massachusetts 02451.</w:t>
      </w:r>
    </w:p>
    <w:p>
      <w:pPr>
        <w:spacing w:after="0" w:line="10" w:lineRule="exact"/>
        <w:rPr>
          <w:rFonts w:ascii="Arial" w:cs="Arial" w:eastAsia="Arial" w:hAnsi="Arial"/>
          <w:sz w:val="18"/>
          <w:szCs w:val="18"/>
          <w:color w:val="auto"/>
        </w:rPr>
      </w:pPr>
    </w:p>
    <w:p>
      <w:pPr>
        <w:jc w:val="both"/>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herein is based on the Schedule 13G/A filed with the SEC on December 11, 2023, jointly, by Eventide Asset Management, LLC, or Eventide, Finny Kuruvilla, M.D. Ph. D., and Robin C. John, or collectively, the Reporting Persons, with respect to the shares owned by Eventide. Eventide Healthcare &amp; Life Sciences Fund, or Eventide Fund, a registered investment company, is the record owner of 5,802,682 shares of common stock. Eventide is the investment advisor to Eventide Fund Eventide. Finny Kuruvilla, M.D. Ph. D., and Robin C. John have the shared power to vote or direct the vote of, and/or shared power to dispose or to direct the disposition of, the shares held by Eventide and Eventide Fund. The address for each of the persons and entities named in this footnote is One International Place, Suite 4210, Boston, MA 02110.</w:t>
      </w:r>
    </w:p>
    <w:p>
      <w:pPr>
        <w:spacing w:after="0" w:line="7" w:lineRule="exact"/>
        <w:rPr>
          <w:rFonts w:ascii="Arial" w:cs="Arial" w:eastAsia="Arial" w:hAnsi="Arial"/>
          <w:sz w:val="18"/>
          <w:szCs w:val="18"/>
          <w:color w:val="auto"/>
        </w:rPr>
      </w:pPr>
    </w:p>
    <w:p>
      <w:pPr>
        <w:jc w:val="both"/>
        <w:ind w:left="380" w:hanging="372"/>
        <w:spacing w:after="0" w:line="239" w:lineRule="auto"/>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herein is based on the Schedule 13G/A filed with the SEC on February 7, 2024, jointly, by Adage Capital Partners, L.P., or ACP, Adage Capital Partners GP, L.L.C., or ACPGP, Adage Capital Management, L.P., or ACM, Robert Atchinson and Phillip Gross, or together, the Reporting Persons. ACP is the record owner of 4,225,000 shares of common stock. ACPGP is the general partner of ACP. ACM is the investment manager of ACP. Mr. Atchinson is (a) a managing member of Adage Capital Advisors, L.L.C., or ACA, managing member of ACPGP, and (b) a managing member of Adage Capital Partners LLC, or ACPLLC, general partner of ACM. Mr. Gross is (a) a managing member of ACA, managing member of ACPGP, and (b) a managing member of ACPLLC, general partner of ACM. Mr. Atchinson and Mr. Gross have shared power to vote the shares beneficially owned by ACP. The address for ACP, Mr. Atchinson and Mr. Gross is 200 Clarendon Street, 52nd floor, Boston, Massachusetts 02116.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15" w:name="page116"/>
    <w:bookmarkEnd w:id="115"/>
    <w:p>
      <w:pPr>
        <w:jc w:val="both"/>
        <w:ind w:left="380" w:hanging="372"/>
        <w:spacing w:after="0" w:line="237"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herein is based on the Schedule 13G/A filed with the SEC on February 14, 2024, jointly, by Citadel Advisors LLC, or Citadel Advisors, Citadel Advisors Holdings LP, or CAH, Citadel GP LLC, or CGP, Citadel Securities LLC, or Citadel Securities, Citadel Securities Group LP, or CALC4, Citadel Securities GP LLC, or CSGP, and Kenneth Griffin, or collectively, the Reporting Persons, with respect to the shares owned by Citadel Multi-Strategy Equities Master Fund Ltd., or Citadel, CRBU Holdings LLC, or CRBH, and Citadel Securities. Citadel is the record owner of 3,568,099 shares of common stock, CRBH is the record owner of 37,967 shares of common stock and Citadel Securities is the record owner of 25,428 shares of common stock. Citadel Advisors is the portfolio manager of Citadel. CAH is the sole member of Citadel Advisors. CGP is the general partner of CAH. CALC4 is the non-member manager of CRBH and Citadel Securities. CSGP is the general partner of CALC4. Kenneth Griffin owns a controlling interest in CGP and CSGP and may be deemed to have shared power to vote or direct the vote of, and/or shared power to dispose or to direct the disposition of, the shares held by Citadel, CRBU and Citadel Securities. The foregoing should not be construed as an admission that Mr. Griffin or any of the Citadel-related entities is the beneficial owner of any of our securities other than the securities actually owned by such person (if any). The address for each of the persons and entities named in this footnote is Southeast Financial Center, 200 S. Biscayne Blvd., Suite 3300, Miami, Florida 33131</w:t>
      </w:r>
    </w:p>
    <w:p>
      <w:pPr>
        <w:spacing w:after="0" w:line="8" w:lineRule="exact"/>
        <w:rPr>
          <w:rFonts w:ascii="Arial" w:cs="Arial" w:eastAsia="Arial" w:hAnsi="Arial"/>
          <w:sz w:val="18"/>
          <w:szCs w:val="18"/>
          <w:color w:val="auto"/>
        </w:rPr>
      </w:pPr>
    </w:p>
    <w:p>
      <w:pPr>
        <w:jc w:val="both"/>
        <w:ind w:left="380" w:hanging="372"/>
        <w:spacing w:after="0" w:line="237"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herein is based on the Schedule 13D filed with the SEC on November 10, 2021, jointly, by Medicxi Growth I LP, or Growth I, Medicxi Growth Co-Invest I LP, Growth Co-Invest I, and, together with Growth I, the Medicxi Funds, Medicxi Growth I GP Limited, or Growth I GP, and Medicxi Ventures Management (Jersey) Limited, or Medicxi Manager and, collectively with the Medicxi Funds and Growth I GP, the Reporting Person. Growth I is the record owner of 2,969,352 shares of common stock and Growth Co-Invest I is the record owner of 70,540 shares of common stock. Growth I GP is the sole managing general partner of the Medicxi Funds, and Medicxi Manager is the sole manager of the Medicxi Funds. Growth I GP and Medicxi Manager may be deemed to have voting and dispositive power over the shares held by the Medicxi Funds. The share ownership reported by the Medicxi Funds does not include any shares beneficially owned by Index Ventures Life VI (Jersey) LP and Yucca (Jersey) SLP, and each of the Medicxi Funds and their affiliates disclaim beneficial ownership of the securities beneficially owned by Index Ventures Life VI (Jersey) LP, Yucca (Jersey) SLP and their affiliates. Giovanni Mariggi, Ph.D. is a member of Medicxi and a member of our Board. The address of the principal business office of each of the Medicxi Funds is c/o Intertrust Fund Services (Jersey) Limited, 44 Esplanade, St. Helier, Jersey JE4 9WG.</w:t>
      </w:r>
    </w:p>
    <w:p>
      <w:pPr>
        <w:spacing w:after="0" w:line="7" w:lineRule="exact"/>
        <w:rPr>
          <w:rFonts w:ascii="Arial" w:cs="Arial" w:eastAsia="Arial" w:hAnsi="Arial"/>
          <w:sz w:val="18"/>
          <w:szCs w:val="18"/>
          <w:color w:val="auto"/>
        </w:rPr>
      </w:pPr>
    </w:p>
    <w:p>
      <w:pPr>
        <w:jc w:val="both"/>
        <w:ind w:left="380" w:right="20" w:hanging="372"/>
        <w:spacing w:after="0" w:line="250"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(i) 131,412 shares of common stock held of record by EdlP Revocable Trust, (ii) [36,503] shares of common stock issuable upon the vesting of restricted stock units within 60 days after March 20, 2024, and (iii) options to purchase 1,366,420 shares of our common stock that are exercisable within 60 days of March 20, 2024.</w:t>
      </w: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options to purchase 225,865 shares of our common stock that are exercisable within 60 days of March 20, 2024.</w:t>
      </w:r>
    </w:p>
    <w:p>
      <w:pPr>
        <w:spacing w:after="0" w:line="31" w:lineRule="exact"/>
        <w:rPr>
          <w:rFonts w:ascii="Arial" w:cs="Arial" w:eastAsia="Arial" w:hAnsi="Arial"/>
          <w:sz w:val="18"/>
          <w:szCs w:val="18"/>
          <w:color w:val="auto"/>
        </w:rPr>
      </w:pPr>
    </w:p>
    <w:p>
      <w:pPr>
        <w:ind w:left="380" w:hanging="372"/>
        <w:spacing w:after="0" w:line="252"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(i) 13,305 shares of common stock issuable upon the vesting of restricted stock units within 60 days after March 20, 2024, and (ii) options to purchase 323,243 shares of our common stock that are exercisable within 60 days of March 20, 2024.</w:t>
      </w:r>
    </w:p>
    <w:p>
      <w:pPr>
        <w:jc w:val="both"/>
        <w:ind w:left="380" w:hanging="372"/>
        <w:spacing w:after="0" w:line="244"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(i) 139,672 shares of common stock held by Velosity Capital Management LLC, an entity that Mr. Johnson is the sole member of, (ii) 135,667 shares of common stock held individually, (iii) 150,000 shares of common stock held in irrevocable trusts, and</w:t>
      </w:r>
    </w:p>
    <w:p>
      <w:pPr>
        <w:spacing w:after="0" w:line="1" w:lineRule="exact"/>
        <w:rPr>
          <w:rFonts w:ascii="Arial" w:cs="Arial" w:eastAsia="Arial" w:hAnsi="Arial"/>
          <w:sz w:val="18"/>
          <w:szCs w:val="18"/>
          <w:color w:val="auto"/>
        </w:rPr>
      </w:pPr>
    </w:p>
    <w:p>
      <w:pPr>
        <w:ind w:left="380" w:firstLine="2"/>
        <w:spacing w:after="0" w:line="247" w:lineRule="auto"/>
        <w:tabs>
          <w:tab w:leader="none" w:pos="713" w:val="left"/>
        </w:tabs>
        <w:numPr>
          <w:ilvl w:val="1"/>
          <w:numId w:val="60"/>
        </w:numPr>
        <w:rPr>
          <w:rFonts w:ascii="Arial" w:cs="Arial" w:eastAsia="Arial" w:hAnsi="Arial"/>
          <w:sz w:val="18"/>
          <w:szCs w:val="18"/>
          <w:color w:val="auto"/>
        </w:rPr>
      </w:pPr>
      <w:r>
        <w:rPr>
          <w:rFonts w:ascii="Arial" w:cs="Arial" w:eastAsia="Arial" w:hAnsi="Arial"/>
          <w:sz w:val="18"/>
          <w:szCs w:val="18"/>
          <w:color w:val="auto"/>
        </w:rPr>
        <w:t>options to purchase [297,295] shares of our common stock that are exercisable within 60 days of March 20, 2024, which are individually held by Mr. Johnson.</w:t>
      </w: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options to purchase 32,000 shares of our common stock that are exercisable within 60 days of March 20, 2024.</w:t>
      </w:r>
    </w:p>
    <w:p>
      <w:pPr>
        <w:spacing w:after="0" w:line="31"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options to purchase 72,243 shares of our common stock that are exercisable within 60 days of March 20, 2024.</w:t>
      </w:r>
    </w:p>
    <w:p>
      <w:pPr>
        <w:spacing w:after="0" w:line="26" w:lineRule="exact"/>
        <w:rPr>
          <w:rFonts w:ascii="Arial" w:cs="Arial" w:eastAsia="Arial" w:hAnsi="Arial"/>
          <w:sz w:val="18"/>
          <w:szCs w:val="18"/>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options to purchase 66,658 shares of our common stock that are exercisable within 60 days of March 20, 2024.</w:t>
      </w:r>
    </w:p>
    <w:p>
      <w:pPr>
        <w:spacing w:after="0" w:line="35" w:lineRule="exact"/>
        <w:rPr>
          <w:rFonts w:ascii="Arial" w:cs="Arial" w:eastAsia="Arial" w:hAnsi="Arial"/>
          <w:sz w:val="18"/>
          <w:szCs w:val="18"/>
          <w:color w:val="auto"/>
        </w:rPr>
      </w:pPr>
    </w:p>
    <w:p>
      <w:pPr>
        <w:jc w:val="both"/>
        <w:ind w:left="380" w:hanging="372"/>
        <w:spacing w:after="0" w:line="252"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556,751 shares of our common stock, 49,808 shares of common stock issuable upon the vesting of restricted stock units within 60 days after March 20, 2024, and options to purchase 2,157,859 shares of our common stock that are exercisable within 60 days of March 20, 2024. Excludes shares held by Dr. Rich, who is not a current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Communications with Board of Directors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interested party with concerns about our company may report such concerns to the Board or the Chairman of our Board or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 of our Nominating and Corporate Governance Committee, by submitting a written communication to the attention of such director to c/o</w:t>
      </w:r>
    </w:p>
    <w:p>
      <w:pPr>
        <w:spacing w:after="0" w:line="234" w:lineRule="auto"/>
        <w:rPr>
          <w:sz w:val="20"/>
          <w:szCs w:val="20"/>
          <w:color w:val="auto"/>
        </w:rPr>
      </w:pPr>
      <w:r>
        <w:rPr>
          <w:rFonts w:ascii="Arial" w:cs="Arial" w:eastAsia="Arial" w:hAnsi="Arial"/>
          <w:sz w:val="18"/>
          <w:szCs w:val="18"/>
          <w:color w:val="auto"/>
        </w:rPr>
        <w:t>Aura Biosciences, Inc., 80 Guest Street</w:t>
      </w:r>
    </w:p>
    <w:p>
      <w:pPr>
        <w:spacing w:after="0"/>
        <w:rPr>
          <w:sz w:val="20"/>
          <w:szCs w:val="20"/>
          <w:color w:val="auto"/>
        </w:rPr>
      </w:pPr>
      <w:r>
        <w:rPr>
          <w:rFonts w:ascii="Arial" w:cs="Arial" w:eastAsia="Arial" w:hAnsi="Arial"/>
          <w:sz w:val="18"/>
          <w:szCs w:val="18"/>
          <w:color w:val="auto"/>
        </w:rPr>
        <w:t>Boston, MA 02135, United States.</w:t>
      </w:r>
    </w:p>
    <w:p>
      <w:pPr>
        <w:spacing w:after="0" w:line="19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You may submit your concern anonymously or confidentially by postal mail. You may also indicate whether you are a stockholder, customer, supplier, or other interested party.</w:t>
      </w:r>
    </w:p>
    <w:p>
      <w:pPr>
        <w:spacing w:after="0" w:line="15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 copy of any such written communication may also be forwarded to our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1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Audit Committee oversees the procedures for the receipt, retention, and treatment of complaints received by our company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877-554-1974.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Board has established an Audit Committee, a Compensation Committee, and a Nominating and Corporate Governance Committee, each of which operate pursuant to a charter adopted by our Board. We believe that the composition and functioning of all of our committees comply with the applicable requirements of Nasdaq, the Sarbanes-Oxley Act of 2002 and the SEC rules and regulations that are applicable to us. We intend to comply with future requirements to the extent they become applicable to us.</w:t>
      </w:r>
    </w:p>
    <w:p>
      <w:pPr>
        <w:spacing w:after="0" w:line="17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full text of our Audit Committee charter, Compensation Committee charter and Nominating and Corporate Governance charter is posted on the investor relations portion of our website at https://aurabiosciences.com/. We do not incorporate the information contained on, or accessible through, our corporate website into this Annual Report, and you should not consider it a part of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Other than the compensation agreements and other arrangements described under “Executive Compensation” and “Non-Employee Director Compensation” in this Annual Report and the transactions described below, since January 1, 2022, there has not been and there is not currently proposed, any transaction or series of similar transactions to which we were, or will be, a party in which the amount involved exceeded, or will exceed, $120,000 (or, if less, 1% of the average of our total assets amounts at December 31, 2022 and 2023)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Public Offering</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December 2022, in connection with a public offering, we sold an aggregate of 7,705,000 shares of common stock, including the exercise in full by the underwriters of their exercise to purchase up to 1,005,000 shares at a public offering price of $12.00 per share, or the 2022 Public Offering. The aggregate gross proceeds to us from the 2022 Public Offering were approximately $92.5 million, before deducting underwriting discounts and commissions and other offering expenses. The following table summarizes purchases of our shares of common stock by related persons in connection with the 2022 Public Offering: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7"/>
        </w:trPr>
        <w:tc>
          <w:tcPr>
            <w:tcW w:w="6920" w:type="dxa"/>
            <w:vAlign w:val="bottom"/>
            <w:tcBorders>
              <w:top w:val="single" w:sz="8" w:color="auto"/>
            </w:tcBorders>
          </w:tcPr>
          <w:p>
            <w:pPr>
              <w:spacing w:after="0"/>
              <w:rPr>
                <w:sz w:val="17"/>
                <w:szCs w:val="17"/>
                <w:color w:val="auto"/>
              </w:rPr>
            </w:pPr>
          </w:p>
        </w:tc>
        <w:tc>
          <w:tcPr>
            <w:tcW w:w="210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8"/>
              </w:rPr>
              <w:t>SHARES OF COMMON</w:t>
            </w:r>
          </w:p>
        </w:tc>
        <w:tc>
          <w:tcPr>
            <w:tcW w:w="120" w:type="dxa"/>
            <w:vAlign w:val="bottom"/>
          </w:tcPr>
          <w:p>
            <w:pPr>
              <w:spacing w:after="0"/>
              <w:rPr>
                <w:sz w:val="17"/>
                <w:szCs w:val="17"/>
                <w:color w:val="auto"/>
              </w:rPr>
            </w:pPr>
          </w:p>
        </w:tc>
        <w:tc>
          <w:tcPr>
            <w:tcW w:w="200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9"/>
              </w:rPr>
              <w:t>TOTAL PURCHASE</w:t>
            </w:r>
          </w:p>
        </w:tc>
      </w:tr>
      <w:tr>
        <w:trPr>
          <w:trHeight w:val="26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STOCKHOLDER</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STOCK</w:t>
            </w:r>
          </w:p>
        </w:tc>
        <w:tc>
          <w:tcPr>
            <w:tcW w:w="120" w:type="dxa"/>
            <w:vAlign w:val="bottom"/>
          </w:tcPr>
          <w:p>
            <w:pPr>
              <w:spacing w:after="0"/>
              <w:rPr>
                <w:sz w:val="23"/>
                <w:szCs w:val="2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PRICE</w:t>
            </w:r>
          </w:p>
        </w:tc>
      </w:tr>
      <w:tr>
        <w:trPr>
          <w:trHeight w:val="322"/>
        </w:trPr>
        <w:tc>
          <w:tcPr>
            <w:tcW w:w="6920" w:type="dxa"/>
            <w:vAlign w:val="bottom"/>
          </w:tcPr>
          <w:p>
            <w:pPr>
              <w:ind w:left="20"/>
              <w:spacing w:after="0"/>
              <w:rPr>
                <w:sz w:val="20"/>
                <w:szCs w:val="20"/>
                <w:color w:val="auto"/>
              </w:rPr>
            </w:pPr>
            <w:r>
              <w:rPr>
                <w:rFonts w:ascii="Arial" w:cs="Arial" w:eastAsia="Arial" w:hAnsi="Arial"/>
                <w:sz w:val="18"/>
                <w:szCs w:val="18"/>
                <w:color w:val="auto"/>
              </w:rPr>
              <w:t>Matrix Capital Management Master Fund, LP</w:t>
            </w:r>
            <w:r>
              <w:rPr>
                <w:rFonts w:ascii="Arial" w:cs="Arial" w:eastAsia="Arial" w:hAnsi="Arial"/>
                <w:sz w:val="24"/>
                <w:szCs w:val="24"/>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8"/>
                <w:szCs w:val="18"/>
                <w:color w:val="auto"/>
              </w:rPr>
              <w:t>1,250,000</w:t>
            </w:r>
          </w:p>
        </w:tc>
        <w:tc>
          <w:tcPr>
            <w:tcW w:w="1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15,000,000</w:t>
            </w:r>
          </w:p>
        </w:tc>
      </w:tr>
    </w:tbl>
    <w:p>
      <w:pPr>
        <w:spacing w:after="0" w:line="90" w:lineRule="exact"/>
        <w:rPr>
          <w:sz w:val="20"/>
          <w:szCs w:val="20"/>
          <w:color w:val="auto"/>
        </w:rPr>
      </w:pPr>
    </w:p>
    <w:p>
      <w:pPr>
        <w:ind w:left="380" w:right="20" w:hanging="372"/>
        <w:spacing w:after="0" w:line="271"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Matrix Capital Management Master Fund, LP, beneficially owns more than five percent of our outstanding capital stock. Karan Takhar is an affiliate of Matrix Capital Management Master Fund, LP and a member of our Board.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Public Offering</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November 2023, in connection with a public offering, we sold an aggregate of 11,000,000 shares of common stock at a public offering price of $9.00 per share, or the 2023 Public Offering. The aggregate gross proceeds to us from the 2023 Public Offering were approximately $99.0 million, before deducting underwriting discounts and commissions and other offering expenses. The following table summarizes purchases of our shares of common stock by related persons in connection with the 2023 Public Offering: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tcBorders>
              <w:top w:val="single" w:sz="8" w:color="auto"/>
            </w:tcBorders>
          </w:tcPr>
          <w:p>
            <w:pPr>
              <w:spacing w:after="0"/>
              <w:rPr>
                <w:sz w:val="17"/>
                <w:szCs w:val="17"/>
                <w:color w:val="auto"/>
              </w:rPr>
            </w:pPr>
          </w:p>
        </w:tc>
        <w:tc>
          <w:tcPr>
            <w:tcW w:w="210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8"/>
              </w:rPr>
              <w:t>SHARES OF COMMON</w:t>
            </w:r>
          </w:p>
        </w:tc>
        <w:tc>
          <w:tcPr>
            <w:tcW w:w="120" w:type="dxa"/>
            <w:vAlign w:val="bottom"/>
          </w:tcPr>
          <w:p>
            <w:pPr>
              <w:spacing w:after="0"/>
              <w:rPr>
                <w:sz w:val="17"/>
                <w:szCs w:val="17"/>
                <w:color w:val="auto"/>
              </w:rPr>
            </w:pPr>
          </w:p>
        </w:tc>
        <w:tc>
          <w:tcPr>
            <w:tcW w:w="200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9"/>
              </w:rPr>
              <w:t>TOTAL PURCHASE</w:t>
            </w:r>
          </w:p>
        </w:tc>
      </w:tr>
      <w:tr>
        <w:trPr>
          <w:trHeight w:val="269"/>
        </w:trPr>
        <w:tc>
          <w:tcPr>
            <w:tcW w:w="6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STOCKHOLDER</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STOCK</w:t>
            </w:r>
          </w:p>
        </w:tc>
        <w:tc>
          <w:tcPr>
            <w:tcW w:w="120" w:type="dxa"/>
            <w:vAlign w:val="bottom"/>
          </w:tcPr>
          <w:p>
            <w:pPr>
              <w:spacing w:after="0"/>
              <w:rPr>
                <w:sz w:val="23"/>
                <w:szCs w:val="23"/>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PRICE</w:t>
            </w:r>
          </w:p>
        </w:tc>
      </w:tr>
      <w:tr>
        <w:trPr>
          <w:trHeight w:val="322"/>
        </w:trPr>
        <w:tc>
          <w:tcPr>
            <w:tcW w:w="6920" w:type="dxa"/>
            <w:vAlign w:val="bottom"/>
          </w:tcPr>
          <w:p>
            <w:pPr>
              <w:ind w:left="20"/>
              <w:spacing w:after="0"/>
              <w:rPr>
                <w:sz w:val="20"/>
                <w:szCs w:val="20"/>
                <w:color w:val="auto"/>
              </w:rPr>
            </w:pPr>
            <w:r>
              <w:rPr>
                <w:rFonts w:ascii="Arial" w:cs="Arial" w:eastAsia="Arial" w:hAnsi="Arial"/>
                <w:sz w:val="18"/>
                <w:szCs w:val="18"/>
                <w:color w:val="auto"/>
              </w:rPr>
              <w:t>Matrix Capital Management Master Fund, LP</w:t>
            </w:r>
            <w:r>
              <w:rPr>
                <w:rFonts w:ascii="Arial" w:cs="Arial" w:eastAsia="Arial" w:hAnsi="Arial"/>
                <w:sz w:val="24"/>
                <w:szCs w:val="24"/>
                <w:color w:val="auto"/>
                <w:vertAlign w:val="superscript"/>
              </w:rPr>
              <w:t>(1)</w:t>
            </w:r>
          </w:p>
        </w:tc>
        <w:tc>
          <w:tcPr>
            <w:tcW w:w="2100" w:type="dxa"/>
            <w:vAlign w:val="bottom"/>
          </w:tcPr>
          <w:p>
            <w:pPr>
              <w:jc w:val="right"/>
              <w:spacing w:after="0"/>
              <w:rPr>
                <w:sz w:val="20"/>
                <w:szCs w:val="20"/>
                <w:color w:val="auto"/>
              </w:rPr>
            </w:pPr>
            <w:r>
              <w:rPr>
                <w:rFonts w:ascii="Arial" w:cs="Arial" w:eastAsia="Arial" w:hAnsi="Arial"/>
                <w:sz w:val="18"/>
                <w:szCs w:val="18"/>
                <w:color w:val="auto"/>
              </w:rPr>
              <w:t>1,560,000</w:t>
            </w:r>
          </w:p>
        </w:tc>
        <w:tc>
          <w:tcPr>
            <w:tcW w:w="1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14,040,000</w:t>
            </w:r>
          </w:p>
        </w:tc>
      </w:tr>
    </w:tbl>
    <w:p>
      <w:pPr>
        <w:spacing w:after="0" w:line="90" w:lineRule="exact"/>
        <w:rPr>
          <w:sz w:val="20"/>
          <w:szCs w:val="20"/>
          <w:color w:val="auto"/>
        </w:rPr>
      </w:pPr>
    </w:p>
    <w:p>
      <w:pPr>
        <w:ind w:left="380" w:right="20" w:hanging="372"/>
        <w:spacing w:after="0" w:line="271"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Matrix Capital Management Master Fund, LP, beneficially owns more than five percent of our outstanding capital stock. Karan Takhar is an affiliate of Matrix Capital Management Master Fund, LP and a member of our Board.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Stockholders</w:t>
      </w:r>
    </w:p>
    <w:p>
      <w:pPr>
        <w:spacing w:after="0" w:line="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connection with our Series E convertible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our IPO in November 2021, except for the registration rights granted under our investors’ rights agreement, as more fully described in our Description of Securities, filed as Exhibit 4.1 to this Annual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have entered into agreements to indemnify our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to the maximum extent allowed under Delaware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63"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Our Board reviews and approves transactions with directors, officers and holders of five percent or more of our voting securities and their affiliates, each a related party. Prior to our IPO in November 2021, the material facts as to the related party’s relationship or interest in the transaction were disclosed to our Board prior to their consideration of such transaction, and the transaction was not considered approved by our Board unless a majority of the directors who are not interested in the transaction approved the transaction. Further, when stockholders are entitled to vote on a transaction with a related party, the material facts of the related party’s relationship or interest in the transaction were disclosed to the stockholders, who must approve the transaction in good faith.</w:t>
      </w:r>
    </w:p>
    <w:p>
      <w:pPr>
        <w:spacing w:after="0" w:line="182"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connection with our IPO in November 2021, we adopted a written related party transactions policy that provides that such transactions must be approved by our Audit Committee. This policy became effective on the date on which the registration statement related to our IPO was declared effective by the SEC. Pursuant to this policy,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Director Independence</w:t>
      </w:r>
    </w:p>
    <w:p>
      <w:pPr>
        <w:spacing w:after="0" w:line="6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Under the Nasdaq listing rules, independent directors must comprise a majority of a listed company’s board of directors within twelve months from the date of listing. In addition, the Nasdaq listing rules require that, subject to specified exceptions, each member of a listed company’s audit, compensation and nominating and corporate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other than compensation for board service; or (2) be an affiliated person of the listed company or any of its subsidiaries. In order to be considered independent for purposes of Rule 10C-1,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March 2024, our Board undertook a review of the composition of our Board and its committees and the independence of each director. Based upon information requested from and provided by each director concerning his or her background, employment and affiliations, including family relationships, our Board has determined that all members of the Board, except Elisabet de los Pinos, Ph.D., are independent directors, including for purposes of Nasdaq and the SEC rules. In making that determination, our Board considered the relationships that each director has with us and all other facts and circumstances the Board deemed relevant in determining independence, including the potential deemed beneficial ownership of our capital stock by each director and respective affiliations, including non-employee directors that are affiliated with certain of our major stockholders. We expect that the composition and functioning of our Board and each of our committees will continue to comply with all applicable requirements of Nasdaq and the rules and regulations of the SEC. There are no family relationships among any of our directors or executive officers. Elisabet de los Pinos, Ph.D., is not an independent director under these rules because she is currently employed as the Chief Executive Officer and President of our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Affiliations</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Some of our directors are affiliated with and serve on the Board as representatives of entities which beneficially own or owned 5% or more of our common stock, as indicated below:</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4660" w:type="dxa"/>
            <w:vAlign w:val="bottom"/>
            <w:tcBorders>
              <w:bottom w:val="single" w:sz="8" w:color="auto"/>
            </w:tcBorders>
          </w:tcPr>
          <w:p>
            <w:pPr>
              <w:spacing w:after="0"/>
              <w:rPr>
                <w:sz w:val="2"/>
                <w:szCs w:val="2"/>
                <w:color w:val="auto"/>
              </w:rPr>
            </w:pPr>
          </w:p>
        </w:tc>
        <w:tc>
          <w:tcPr>
            <w:tcW w:w="658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 xml:space="preserve">Principal Stockholder </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243"/>
        </w:trPr>
        <w:tc>
          <w:tcPr>
            <w:tcW w:w="466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Name</w:t>
            </w:r>
          </w:p>
        </w:tc>
        <w:tc>
          <w:tcPr>
            <w:tcW w:w="6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20"/>
              <w:spacing w:after="0"/>
              <w:rPr>
                <w:sz w:val="20"/>
                <w:szCs w:val="20"/>
                <w:color w:val="auto"/>
              </w:rPr>
            </w:pPr>
            <w:r>
              <w:rPr>
                <w:rFonts w:ascii="Arial" w:cs="Arial" w:eastAsia="Arial" w:hAnsi="Arial"/>
                <w:sz w:val="18"/>
                <w:szCs w:val="18"/>
                <w:color w:val="auto"/>
              </w:rPr>
              <w:t>Giovanni Mariggi, Ph.D.</w:t>
            </w:r>
          </w:p>
        </w:tc>
        <w:tc>
          <w:tcPr>
            <w:tcW w:w="6580" w:type="dxa"/>
            <w:vAlign w:val="bottom"/>
          </w:tcPr>
          <w:p>
            <w:pPr>
              <w:ind w:left="20"/>
              <w:spacing w:after="0"/>
              <w:rPr>
                <w:sz w:val="20"/>
                <w:szCs w:val="20"/>
                <w:color w:val="auto"/>
              </w:rPr>
            </w:pPr>
            <w:r>
              <w:rPr>
                <w:rFonts w:ascii="Arial" w:cs="Arial" w:eastAsia="Arial" w:hAnsi="Arial"/>
                <w:sz w:val="18"/>
                <w:szCs w:val="18"/>
                <w:color w:val="auto"/>
              </w:rPr>
              <w:t>Entities affiliated with Medicxi</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Karan Takhar</w:t>
            </w:r>
          </w:p>
        </w:tc>
        <w:tc>
          <w:tcPr>
            <w:tcW w:w="6580" w:type="dxa"/>
            <w:vAlign w:val="bottom"/>
          </w:tcPr>
          <w:p>
            <w:pPr>
              <w:ind w:left="20"/>
              <w:spacing w:after="0"/>
              <w:rPr>
                <w:sz w:val="20"/>
                <w:szCs w:val="20"/>
                <w:color w:val="auto"/>
              </w:rPr>
            </w:pPr>
            <w:r>
              <w:rPr>
                <w:rFonts w:ascii="Arial" w:cs="Arial" w:eastAsia="Arial" w:hAnsi="Arial"/>
                <w:sz w:val="18"/>
                <w:szCs w:val="18"/>
                <w:color w:val="auto"/>
              </w:rPr>
              <w:t>Matrix Capital Management Master Fund, LP</w:t>
            </w:r>
          </w:p>
        </w:tc>
        <w:tc>
          <w:tcPr>
            <w:tcW w:w="0" w:type="dxa"/>
            <w:vAlign w:val="bottom"/>
          </w:tcPr>
          <w:p>
            <w:pPr>
              <w:spacing w:after="0"/>
              <w:rPr>
                <w:sz w:val="1"/>
                <w:szCs w:val="1"/>
                <w:color w:val="auto"/>
              </w:rPr>
            </w:pPr>
          </w:p>
        </w:tc>
      </w:tr>
      <w:tr>
        <w:trPr>
          <w:trHeight w:val="239"/>
        </w:trPr>
        <w:tc>
          <w:tcPr>
            <w:tcW w:w="4660" w:type="dxa"/>
            <w:vAlign w:val="bottom"/>
          </w:tcPr>
          <w:p>
            <w:pPr>
              <w:ind w:left="20"/>
              <w:spacing w:after="0"/>
              <w:rPr>
                <w:sz w:val="20"/>
                <w:szCs w:val="20"/>
                <w:color w:val="auto"/>
              </w:rPr>
            </w:pPr>
            <w:r>
              <w:rPr>
                <w:rFonts w:ascii="Arial" w:cs="Arial" w:eastAsia="Arial" w:hAnsi="Arial"/>
                <w:sz w:val="18"/>
                <w:szCs w:val="18"/>
                <w:color w:val="auto"/>
              </w:rPr>
              <w:t>Rajesh Parekh, Ph.D.</w:t>
            </w:r>
          </w:p>
        </w:tc>
        <w:tc>
          <w:tcPr>
            <w:tcW w:w="6580" w:type="dxa"/>
            <w:vAlign w:val="bottom"/>
          </w:tcPr>
          <w:p>
            <w:pPr>
              <w:ind w:left="20"/>
              <w:spacing w:after="0"/>
              <w:rPr>
                <w:sz w:val="20"/>
                <w:szCs w:val="20"/>
                <w:color w:val="auto"/>
              </w:rPr>
            </w:pPr>
            <w:r>
              <w:rPr>
                <w:rFonts w:ascii="Arial" w:cs="Arial" w:eastAsia="Arial" w:hAnsi="Arial"/>
                <w:sz w:val="18"/>
                <w:szCs w:val="18"/>
                <w:color w:val="auto"/>
              </w:rPr>
              <w:t>Entities affiliated with Advent Life Sciences</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Please see “</w:t>
      </w:r>
      <w:r>
        <w:rPr>
          <w:rFonts w:ascii="Arial" w:cs="Arial" w:eastAsia="Arial" w:hAnsi="Arial"/>
          <w:sz w:val="17"/>
          <w:szCs w:val="17"/>
          <w:i w:val="1"/>
          <w:iCs w:val="1"/>
          <w:color w:val="auto"/>
        </w:rPr>
        <w:t>—Security Ownership of Certain Beneficial Owners</w:t>
      </w:r>
      <w:r>
        <w:rPr>
          <w:rFonts w:ascii="Arial" w:cs="Arial" w:eastAsia="Arial" w:hAnsi="Arial"/>
          <w:sz w:val="17"/>
          <w:szCs w:val="17"/>
          <w:color w:val="auto"/>
        </w:rPr>
        <w:t>” for more information on director affiliations.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independent registered public accounting firm is Ernst &amp; Young LLP, Boston, Massachusetts, PCAOB ID: 42. The Audit Committee has selected Ernst &amp; Young LLP as our independent registered public accounting firm for the years ended December 31, 2023 and 2022. In addition to retaining Ernst &amp; Young LLP to audit our consolidated financial statements for the years ended December 31, 2023 and 2022, we may engage the firm from time to time during the year to perform other services.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incurred the following fees from Ernst &amp; Young LLP for the audit of the financial statements and for other services provided during the years ended December 31, 2023 and 2022.</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43"/>
        </w:trPr>
        <w:tc>
          <w:tcPr>
            <w:tcW w:w="7760" w:type="dxa"/>
            <w:vAlign w:val="bottom"/>
            <w:tcBorders>
              <w:top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4"/>
                <w:szCs w:val="24"/>
                <w:color w:val="auto"/>
                <w:vertAlign w:val="superscript"/>
              </w:rPr>
              <w:t>(1)</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743,643</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676,184</w:t>
            </w:r>
          </w:p>
        </w:tc>
        <w:tc>
          <w:tcPr>
            <w:tcW w:w="100" w:type="dxa"/>
            <w:vAlign w:val="bottom"/>
            <w:shd w:val="clear" w:color="auto" w:fill="CFF0FC"/>
          </w:tcPr>
          <w:p>
            <w:pPr>
              <w:spacing w:after="0"/>
              <w:rPr>
                <w:sz w:val="20"/>
                <w:szCs w:val="20"/>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4"/>
                <w:szCs w:val="24"/>
                <w:color w:val="auto"/>
                <w:vertAlign w:val="superscript"/>
              </w:rPr>
              <w:t>(2)</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FF0FC"/>
          </w:tcPr>
          <w:p>
            <w:pPr>
              <w:spacing w:after="0"/>
              <w:rPr>
                <w:sz w:val="21"/>
                <w:szCs w:val="21"/>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fees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773,643</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703,684</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-7620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both"/>
        <w:ind w:left="380" w:hanging="372"/>
        <w:spacing w:after="0" w:line="248"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Audit fees consist of fees billed for the audit of our annual consolidated financial statements, the review of our interim financial statements included in our quarterly reports on Form 10-Q, and services in connection with our securities offerings, including registration statements, responding to SEC comment letters, comfort letters and consents.</w:t>
      </w:r>
    </w:p>
    <w:p>
      <w:pPr>
        <w:spacing w:after="0" w:line="1" w:lineRule="exact"/>
        <w:rPr>
          <w:rFonts w:ascii="Arial" w:cs="Arial" w:eastAsia="Arial" w:hAnsi="Arial"/>
          <w:sz w:val="18"/>
          <w:szCs w:val="18"/>
          <w:color w:val="auto"/>
        </w:rPr>
      </w:pPr>
    </w:p>
    <w:p>
      <w:pPr>
        <w:ind w:left="380" w:hanging="372"/>
        <w:spacing w:after="0" w:line="260"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 fees consist of fees billed for tax compliance, tax advice and tax planning services, including the review and preparation of federal and state income tax returns.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During our 2023 and 2022 fiscal years, no services other than those discussed above were provided by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Policy and Procedures</w:t>
      </w:r>
    </w:p>
    <w:p>
      <w:pPr>
        <w:spacing w:after="0" w:line="76"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17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17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our 2023 and 2022 fiscal years, no services were provided to us by Ernst &amp; Young LLP other than in accordance with the pre-approval policies and procedures described above.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PART IV</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63" w:lineRule="exact"/>
        <w:rPr>
          <w:sz w:val="20"/>
          <w:szCs w:val="20"/>
          <w:color w:val="auto"/>
        </w:rPr>
      </w:pPr>
    </w:p>
    <w:p>
      <w:pPr>
        <w:ind w:left="1020" w:hanging="503"/>
        <w:spacing w:after="0" w:line="27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 list of the consolidated financial statements included herein, see “</w:t>
      </w:r>
      <w:r>
        <w:rPr>
          <w:rFonts w:ascii="Arial" w:cs="Arial" w:eastAsia="Arial" w:hAnsi="Arial"/>
          <w:sz w:val="18"/>
          <w:szCs w:val="18"/>
          <w:i w:val="1"/>
          <w:iCs w:val="1"/>
          <w:color w:val="auto"/>
        </w:rPr>
        <w:t>Index to the Consolidated Financial Statements</w:t>
      </w:r>
      <w:r>
        <w:rPr>
          <w:rFonts w:ascii="Arial" w:cs="Arial" w:eastAsia="Arial" w:hAnsi="Arial"/>
          <w:sz w:val="18"/>
          <w:szCs w:val="18"/>
          <w:color w:val="auto"/>
        </w:rPr>
        <w:t>” on page F-1 of this Annual Report on Form 10-K, incorporated into this Item by reference.</w:t>
      </w:r>
    </w:p>
    <w:p>
      <w:pPr>
        <w:spacing w:after="0" w:line="17"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either not required or not applicable or the information is included in the financial statements or the notes thereto.</w:t>
      </w:r>
    </w:p>
    <w:p>
      <w:pPr>
        <w:spacing w:after="0" w:line="4"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gridSpan w:val="31"/>
          </w:tcPr>
          <w:p>
            <w:pPr>
              <w:ind w:left="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40" w:type="dxa"/>
            <w:vAlign w:val="bottom"/>
            <w:gridSpan w:val="37"/>
          </w:tcPr>
          <w:p>
            <w:pPr>
              <w:spacing w:after="0" w:line="169" w:lineRule="exact"/>
              <w:rPr>
                <w:rFonts w:ascii="Arial" w:cs="Arial" w:eastAsia="Arial" w:hAnsi="Arial"/>
                <w:sz w:val="18"/>
                <w:szCs w:val="18"/>
                <w:color w:val="0000FF"/>
              </w:rPr>
            </w:pPr>
            <w:hyperlink r:id="rId195">
              <w:r>
                <w:rPr>
                  <w:rFonts w:ascii="Arial" w:cs="Arial" w:eastAsia="Arial" w:hAnsi="Arial"/>
                  <w:sz w:val="18"/>
                  <w:szCs w:val="18"/>
                  <w:color w:val="0000FF"/>
                </w:rPr>
                <w:t>Tenth Amended and Restated Certificate of Incorporation of Registrant, as currently in effect (incorporated by reference to</w:t>
              </w:r>
            </w:hyperlink>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6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195">
              <w:r>
                <w:rPr>
                  <w:rFonts w:ascii="Arial" w:cs="Arial" w:eastAsia="Arial" w:hAnsi="Arial"/>
                  <w:sz w:val="18"/>
                  <w:szCs w:val="18"/>
                  <w:color w:val="0000FF"/>
                  <w:w w:val="99"/>
                </w:rPr>
                <w:t>Exhibit 3.1 of the Registrant’s Annual Report on Form 10-K (File No. 001-40971) filed on March 23,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160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rFonts w:ascii="Arial" w:cs="Arial" w:eastAsia="Arial" w:hAnsi="Arial"/>
                <w:sz w:val="18"/>
                <w:szCs w:val="18"/>
                <w:color w:val="0000FF"/>
              </w:rPr>
            </w:pPr>
            <w:hyperlink r:id="rId196">
              <w:r>
                <w:rPr>
                  <w:rFonts w:ascii="Arial" w:cs="Arial" w:eastAsia="Arial" w:hAnsi="Arial"/>
                  <w:sz w:val="18"/>
                  <w:szCs w:val="18"/>
                  <w:color w:val="0000FF"/>
                </w:rPr>
                <w:t>Amended and Restated Bylaws of Registrant, as currently in effect (incorporated by reference to Exhibit 3.2 of the</w:t>
              </w:r>
            </w:hyperlink>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80" w:type="dxa"/>
            <w:vAlign w:val="bottom"/>
            <w:tcBorders>
              <w:top w:val="single" w:sz="8" w:color="0000FF"/>
              <w:bottom w:val="single" w:sz="8" w:color="0000FF"/>
            </w:tcBorders>
            <w:gridSpan w:val="12"/>
          </w:tcPr>
          <w:p>
            <w:pPr>
              <w:spacing w:after="0" w:line="182" w:lineRule="exact"/>
              <w:rPr>
                <w:rFonts w:ascii="Arial" w:cs="Arial" w:eastAsia="Arial" w:hAnsi="Arial"/>
                <w:sz w:val="18"/>
                <w:szCs w:val="18"/>
                <w:color w:val="0000FF"/>
                <w:w w:val="99"/>
              </w:rPr>
            </w:pPr>
            <w:hyperlink r:id="rId196">
              <w:r>
                <w:rPr>
                  <w:rFonts w:ascii="Arial" w:cs="Arial" w:eastAsia="Arial" w:hAnsi="Arial"/>
                  <w:sz w:val="18"/>
                  <w:szCs w:val="18"/>
                  <w:color w:val="0000FF"/>
                  <w:w w:val="99"/>
                </w:rPr>
                <w:t>Registrants’ Annual Report on Form 10-K (File No. 001-40971) filed on March 23, 2022)</w:t>
              </w:r>
            </w:hyperlink>
          </w:p>
        </w:tc>
        <w:tc>
          <w:tcPr>
            <w:tcW w:w="2880" w:type="dxa"/>
            <w:vAlign w:val="bottom"/>
            <w:tcBorders>
              <w:top w:val="single" w:sz="8" w:color="0000FF"/>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sz w:val="20"/>
                <w:szCs w:val="20"/>
                <w:color w:val="auto"/>
              </w:rPr>
            </w:pPr>
            <w:r>
              <w:rPr>
                <w:rFonts w:ascii="Arial" w:cs="Arial" w:eastAsia="Arial" w:hAnsi="Arial"/>
                <w:sz w:val="18"/>
                <w:szCs w:val="18"/>
                <w:color w:val="0000FF"/>
              </w:rPr>
              <w:t>Description of Securities</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rFonts w:ascii="Arial" w:cs="Arial" w:eastAsia="Arial" w:hAnsi="Arial"/>
                <w:sz w:val="18"/>
                <w:szCs w:val="18"/>
                <w:color w:val="0000FF"/>
              </w:rPr>
            </w:pPr>
            <w:hyperlink r:id="rId197">
              <w:r>
                <w:rPr>
                  <w:rFonts w:ascii="Arial" w:cs="Arial" w:eastAsia="Arial" w:hAnsi="Arial"/>
                  <w:sz w:val="18"/>
                  <w:szCs w:val="18"/>
                  <w:color w:val="0000FF"/>
                </w:rPr>
                <w:t>Fifth Amended and Restated Investors’ Rights Agreement (incorporated by reference to Exhibit 4.2 of the Registrant’s</w:t>
              </w:r>
            </w:hyperlink>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70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99"/>
              </w:rPr>
            </w:pPr>
            <w:hyperlink r:id="rId197">
              <w:r>
                <w:rPr>
                  <w:rFonts w:ascii="Arial" w:cs="Arial" w:eastAsia="Arial" w:hAnsi="Arial"/>
                  <w:sz w:val="18"/>
                  <w:szCs w:val="18"/>
                  <w:color w:val="0000FF"/>
                  <w:w w:val="99"/>
                </w:rPr>
                <w:t>Registration Statement on Form S-1 (File No. 333-260156) filed on October 8,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3100" w:type="dxa"/>
            <w:vAlign w:val="bottom"/>
            <w:tcBorders>
              <w:top w:val="single" w:sz="8" w:color="0000FF"/>
            </w:tcBorders>
            <w:gridSpan w:val="1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28"/>
          </w:tcPr>
          <w:p>
            <w:pPr>
              <w:spacing w:after="0" w:line="195" w:lineRule="exact"/>
              <w:rPr>
                <w:rFonts w:ascii="Arial" w:cs="Arial" w:eastAsia="Arial" w:hAnsi="Arial"/>
                <w:sz w:val="18"/>
                <w:szCs w:val="18"/>
                <w:color w:val="0000FF"/>
              </w:rPr>
            </w:pPr>
            <w:hyperlink r:id="rId198">
              <w:r>
                <w:rPr>
                  <w:rFonts w:ascii="Arial" w:cs="Arial" w:eastAsia="Arial" w:hAnsi="Arial"/>
                  <w:sz w:val="18"/>
                  <w:szCs w:val="18"/>
                  <w:color w:val="0000FF"/>
                </w:rPr>
                <w:t>2009 Amended and Restated Stock Option and Restricted Stock Plan, and form of award agreements thereunder</w:t>
              </w:r>
            </w:hyperlink>
          </w:p>
        </w:tc>
        <w:tc>
          <w:tcPr>
            <w:tcW w:w="20" w:type="dxa"/>
            <w:vAlign w:val="bottom"/>
            <w:tcBorders>
              <w:bottom w:val="single" w:sz="8" w:color="0000EE"/>
            </w:tcBorders>
          </w:tcPr>
          <w:p>
            <w:pPr>
              <w:spacing w:after="0"/>
              <w:rPr>
                <w:sz w:val="17"/>
                <w:szCs w:val="17"/>
                <w:color w:val="auto"/>
              </w:rPr>
            </w:pPr>
          </w:p>
        </w:tc>
        <w:tc>
          <w:tcPr>
            <w:tcW w:w="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bottom w:val="single" w:sz="8" w:color="0000FF"/>
            </w:tcBorders>
            <w:gridSpan w:val="29"/>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(incorporated by reference to Exhibit 10.1 of the Registrant’s Registration Statement on Form S-8 (File No. 333-260589)</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gridSpan w:val="33"/>
          </w:tcPr>
          <w:p>
            <w:pPr>
              <w:spacing w:after="0" w:line="182" w:lineRule="exact"/>
              <w:rPr>
                <w:rFonts w:ascii="Arial" w:cs="Arial" w:eastAsia="Arial" w:hAnsi="Arial"/>
                <w:sz w:val="18"/>
                <w:szCs w:val="18"/>
                <w:color w:val="0000FF"/>
              </w:rPr>
            </w:pPr>
            <w:hyperlink r:id="rId198">
              <w:r>
                <w:rPr>
                  <w:rFonts w:ascii="Arial" w:cs="Arial" w:eastAsia="Arial" w:hAnsi="Arial"/>
                  <w:sz w:val="18"/>
                  <w:szCs w:val="18"/>
                  <w:color w:val="0000FF"/>
                </w:rPr>
                <w:t>filed on October 29, 2021)</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rFonts w:ascii="Arial" w:cs="Arial" w:eastAsia="Arial" w:hAnsi="Arial"/>
                <w:sz w:val="18"/>
                <w:szCs w:val="18"/>
                <w:color w:val="0000FF"/>
              </w:rPr>
            </w:pPr>
            <w:hyperlink r:id="rId199">
              <w:r>
                <w:rPr>
                  <w:rFonts w:ascii="Arial" w:cs="Arial" w:eastAsia="Arial" w:hAnsi="Arial"/>
                  <w:sz w:val="18"/>
                  <w:szCs w:val="18"/>
                  <w:color w:val="0000FF"/>
                </w:rPr>
                <w:t>2018 Equity Incentive Plan, and form of award agreements thereunder (incorporated by reference to Exhibit 10.2 of the</w:t>
              </w:r>
            </w:hyperlink>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199">
              <w:r>
                <w:rPr>
                  <w:rFonts w:ascii="Arial" w:cs="Arial" w:eastAsia="Arial" w:hAnsi="Arial"/>
                  <w:sz w:val="18"/>
                  <w:szCs w:val="18"/>
                  <w:color w:val="0000FF"/>
                </w:rPr>
                <w:t>Registrant’s Registration Statement on Form S-1 (File No. 333-260156) filed on October 25,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tcBorders>
              <w:right w:val="single" w:sz="8" w:color="0000EE"/>
            </w:tcBorders>
            <w:gridSpan w:val="4"/>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rFonts w:ascii="Arial" w:cs="Arial" w:eastAsia="Arial" w:hAnsi="Arial"/>
                <w:sz w:val="18"/>
                <w:szCs w:val="18"/>
                <w:color w:val="0000FF"/>
              </w:rPr>
            </w:pPr>
            <w:hyperlink r:id="rId200">
              <w:r>
                <w:rPr>
                  <w:rFonts w:ascii="Arial" w:cs="Arial" w:eastAsia="Arial" w:hAnsi="Arial"/>
                  <w:sz w:val="18"/>
                  <w:szCs w:val="18"/>
                  <w:color w:val="0000FF"/>
                </w:rPr>
                <w:t>2021 Stock Option and Incentive Plan, and form of award agreements thereunder (incorporated by reference to Exhibit</w:t>
              </w:r>
            </w:hyperlink>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FF"/>
            </w:tcBorders>
            <w:gridSpan w:val="30"/>
          </w:tcPr>
          <w:p>
            <w:pPr>
              <w:spacing w:after="0" w:line="182" w:lineRule="exact"/>
              <w:rPr>
                <w:rFonts w:ascii="Arial" w:cs="Arial" w:eastAsia="Arial" w:hAnsi="Arial"/>
                <w:sz w:val="18"/>
                <w:szCs w:val="18"/>
                <w:color w:val="0000FF"/>
              </w:rPr>
            </w:pPr>
            <w:hyperlink r:id="rId200">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of the Registrant’s Registration Statement on Form S-1 (File No. 333-260156) filed on October 25,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tcBorders>
              <w:right w:val="single" w:sz="8" w:color="0000EE"/>
            </w:tcBorders>
            <w:gridSpan w:val="7"/>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rFonts w:ascii="Arial" w:cs="Arial" w:eastAsia="Arial" w:hAnsi="Arial"/>
                <w:sz w:val="18"/>
                <w:szCs w:val="18"/>
                <w:color w:val="0000FF"/>
              </w:rPr>
            </w:pPr>
            <w:hyperlink r:id="rId201">
              <w:r>
                <w:rPr>
                  <w:rFonts w:ascii="Arial" w:cs="Arial" w:eastAsia="Arial" w:hAnsi="Arial"/>
                  <w:sz w:val="18"/>
                  <w:szCs w:val="18"/>
                  <w:color w:val="0000FF"/>
                </w:rPr>
                <w:t>2021 Employee Stock Purchase Plan (incorporated by reference to Exhibit 10.4 of the Registrant’s Registration Statement</w:t>
              </w:r>
            </w:hyperlink>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01">
              <w:r>
                <w:rPr>
                  <w:rFonts w:ascii="Arial" w:cs="Arial" w:eastAsia="Arial" w:hAnsi="Arial"/>
                  <w:sz w:val="18"/>
                  <w:szCs w:val="18"/>
                  <w:color w:val="0000FF"/>
                  <w:w w:val="99"/>
                </w:rPr>
                <w:t>on Form S-1 (File No. 333-260156) filed on October 25,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486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rFonts w:ascii="Arial" w:cs="Arial" w:eastAsia="Arial" w:hAnsi="Arial"/>
                <w:sz w:val="18"/>
                <w:szCs w:val="18"/>
                <w:color w:val="0000FF"/>
              </w:rPr>
            </w:pPr>
            <w:hyperlink r:id="rId202">
              <w:r>
                <w:rPr>
                  <w:rFonts w:ascii="Arial" w:cs="Arial" w:eastAsia="Arial" w:hAnsi="Arial"/>
                  <w:sz w:val="18"/>
                  <w:szCs w:val="18"/>
                  <w:color w:val="0000FF"/>
                </w:rPr>
                <w:t>Non-Employee Director Compensation Policy (incorporated by reference to Exhibit 10.5 of the Registrant’s Registration</w:t>
              </w:r>
            </w:hyperlink>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202">
              <w:r>
                <w:rPr>
                  <w:rFonts w:ascii="Arial" w:cs="Arial" w:eastAsia="Arial" w:hAnsi="Arial"/>
                  <w:sz w:val="18"/>
                  <w:szCs w:val="18"/>
                  <w:color w:val="0000FF"/>
                </w:rPr>
                <w:t>Statement on Form S-1 (File No. 333-260156) filed on October 25, 2021)</w:t>
              </w:r>
            </w:hyperlink>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34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rFonts w:ascii="Arial" w:cs="Arial" w:eastAsia="Arial" w:hAnsi="Arial"/>
                <w:sz w:val="18"/>
                <w:szCs w:val="18"/>
                <w:color w:val="0000FF"/>
              </w:rPr>
            </w:pPr>
            <w:hyperlink r:id="rId203">
              <w:r>
                <w:rPr>
                  <w:rFonts w:ascii="Arial" w:cs="Arial" w:eastAsia="Arial" w:hAnsi="Arial"/>
                  <w:sz w:val="18"/>
                  <w:szCs w:val="18"/>
                  <w:color w:val="0000FF"/>
                </w:rPr>
                <w:t>Senior Executive Cash Bonus Plan (incorporated by reference to Exhibit 10.6 of the Registrant’s Registration Statement</w:t>
              </w:r>
            </w:hyperlink>
          </w:p>
        </w:tc>
        <w:tc>
          <w:tcPr>
            <w:tcW w:w="0" w:type="dxa"/>
            <w:vAlign w:val="bottom"/>
          </w:tcPr>
          <w:p>
            <w:pPr>
              <w:spacing w:after="0"/>
              <w:rPr>
                <w:sz w:val="1"/>
                <w:szCs w:val="1"/>
                <w:color w:val="auto"/>
              </w:rPr>
            </w:pPr>
          </w:p>
        </w:tc>
      </w:tr>
      <w:tr>
        <w:trPr>
          <w:trHeight w:val="182"/>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203">
              <w:r>
                <w:rPr>
                  <w:rFonts w:ascii="Arial" w:cs="Arial" w:eastAsia="Arial" w:hAnsi="Arial"/>
                  <w:sz w:val="18"/>
                  <w:szCs w:val="18"/>
                  <w:color w:val="0000FF"/>
                  <w:w w:val="99"/>
                </w:rPr>
                <w:t>on Form S-1 (File No. 333-260156) filed on October 25,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5080" w:type="dxa"/>
            <w:vAlign w:val="bottom"/>
            <w:tcBorders>
              <w:top w:val="single" w:sz="8" w:color="0000FF"/>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40" w:type="dxa"/>
            <w:vAlign w:val="bottom"/>
            <w:gridSpan w:val="37"/>
          </w:tcPr>
          <w:p>
            <w:pPr>
              <w:spacing w:after="0" w:line="195" w:lineRule="exact"/>
              <w:rPr>
                <w:rFonts w:ascii="Arial" w:cs="Arial" w:eastAsia="Arial" w:hAnsi="Arial"/>
                <w:sz w:val="18"/>
                <w:szCs w:val="18"/>
                <w:color w:val="0000FF"/>
              </w:rPr>
            </w:pPr>
            <w:hyperlink r:id="rId204">
              <w:r>
                <w:rPr>
                  <w:rFonts w:ascii="Arial" w:cs="Arial" w:eastAsia="Arial" w:hAnsi="Arial"/>
                  <w:sz w:val="18"/>
                  <w:szCs w:val="18"/>
                  <w:color w:val="0000FF"/>
                </w:rPr>
                <w:t>Form of Indemnification Agreement between the Registrant and each of its directors and executive officers (incorporated</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204">
              <w:r>
                <w:rPr>
                  <w:rFonts w:ascii="Arial" w:cs="Arial" w:eastAsia="Arial" w:hAnsi="Arial"/>
                  <w:sz w:val="18"/>
                  <w:szCs w:val="18"/>
                  <w:color w:val="0000FF"/>
                </w:rPr>
                <w:t>by reference to Exhibit 10.7 of the Registrant’s Registration Statement on Form S-1 (File No. 333-260156) filed on October</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7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204">
              <w:r>
                <w:rPr>
                  <w:rFonts w:ascii="Arial" w:cs="Arial" w:eastAsia="Arial" w:hAnsi="Arial"/>
                  <w:sz w:val="18"/>
                  <w:szCs w:val="18"/>
                  <w:color w:val="0000FF"/>
                  <w:w w:val="97"/>
                </w:rPr>
                <w:t>25, 2021)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0" w:type="dxa"/>
            <w:vAlign w:val="bottom"/>
            <w:tcBorders>
              <w:top w:val="single" w:sz="8" w:color="0000FF"/>
            </w:tcBorders>
          </w:tcPr>
          <w:p>
            <w:pPr>
              <w:spacing w:after="0"/>
              <w:rPr>
                <w:sz w:val="15"/>
                <w:szCs w:val="15"/>
                <w:color w:val="auto"/>
              </w:rPr>
            </w:pPr>
          </w:p>
        </w:tc>
        <w:tc>
          <w:tcPr>
            <w:tcW w:w="14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240" w:type="dxa"/>
            <w:vAlign w:val="bottom"/>
          </w:tcPr>
          <w:p>
            <w:pPr>
              <w:ind w:lef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7"/>
          </w:tcPr>
          <w:p>
            <w:pPr>
              <w:spacing w:after="0"/>
              <w:rPr>
                <w:rFonts w:ascii="Arial" w:cs="Arial" w:eastAsia="Arial" w:hAnsi="Arial"/>
                <w:sz w:val="18"/>
                <w:szCs w:val="18"/>
                <w:color w:val="0000FF"/>
              </w:rPr>
            </w:pPr>
            <w:hyperlink r:id="rId205">
              <w:r>
                <w:rPr>
                  <w:rFonts w:ascii="Arial" w:cs="Arial" w:eastAsia="Arial" w:hAnsi="Arial"/>
                  <w:sz w:val="18"/>
                  <w:szCs w:val="18"/>
                  <w:color w:val="0000FF"/>
                </w:rPr>
                <w:t>Employment Agreement between the Registrant and Elisabet de los Pinos, dated January 1, 2015, as amended on</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bottom w:val="single" w:sz="8" w:color="0000FF"/>
            </w:tcBorders>
            <w:gridSpan w:val="27"/>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October 13, 2017 (incorporated by reference to Exhibit 10.8 of the Registrant’s Registration Statement on Form S-1 (File</w:t>
              </w:r>
            </w:hyperlink>
          </w:p>
        </w:tc>
        <w:tc>
          <w:tcPr>
            <w:tcW w:w="80" w:type="dxa"/>
            <w:vAlign w:val="bottom"/>
            <w:tcBorders>
              <w:bottom w:val="single" w:sz="8" w:color="0000FF"/>
            </w:tcBorders>
            <w:gridSpan w:val="4"/>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31"/>
          </w:tcPr>
          <w:p>
            <w:pPr>
              <w:spacing w:after="0" w:line="182" w:lineRule="exact"/>
              <w:rPr>
                <w:rFonts w:ascii="Arial" w:cs="Arial" w:eastAsia="Arial" w:hAnsi="Arial"/>
                <w:sz w:val="18"/>
                <w:szCs w:val="18"/>
                <w:color w:val="0000FF"/>
              </w:rPr>
            </w:pPr>
            <w:hyperlink r:id="rId205">
              <w:r>
                <w:rPr>
                  <w:rFonts w:ascii="Arial" w:cs="Arial" w:eastAsia="Arial" w:hAnsi="Arial"/>
                  <w:sz w:val="18"/>
                  <w:szCs w:val="18"/>
                  <w:color w:val="0000FF"/>
                </w:rPr>
                <w:t>No. 333-260156) filed on October 25, 2021)</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58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240" w:type="dxa"/>
            <w:vAlign w:val="bottom"/>
          </w:tcPr>
          <w:p>
            <w:pPr>
              <w:ind w:lef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7"/>
          </w:tcPr>
          <w:p>
            <w:pPr>
              <w:spacing w:after="0"/>
              <w:rPr>
                <w:rFonts w:ascii="Arial" w:cs="Arial" w:eastAsia="Arial" w:hAnsi="Arial"/>
                <w:sz w:val="18"/>
                <w:szCs w:val="18"/>
                <w:color w:val="0000FF"/>
              </w:rPr>
            </w:pPr>
            <w:hyperlink r:id="rId206">
              <w:r>
                <w:rPr>
                  <w:rFonts w:ascii="Arial" w:cs="Arial" w:eastAsia="Arial" w:hAnsi="Arial"/>
                  <w:sz w:val="18"/>
                  <w:szCs w:val="18"/>
                  <w:color w:val="0000FF"/>
                </w:rPr>
                <w:t>Employment Offer Letter between the Registrant and Julie Feder, dated August 10, 2018 (incorporated by reference to</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9"/>
              </w:rPr>
            </w:pPr>
            <w:hyperlink r:id="rId206">
              <w:r>
                <w:rPr>
                  <w:rFonts w:ascii="Arial" w:cs="Arial" w:eastAsia="Arial" w:hAnsi="Arial"/>
                  <w:sz w:val="18"/>
                  <w:szCs w:val="18"/>
                  <w:color w:val="0000FF"/>
                  <w:w w:val="99"/>
                </w:rPr>
                <w:t>Exhibit 10.9 of the Registrant’s Registration Statement on Form S-1 (File No. 333-260156) filed on October 25,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700" w:type="dxa"/>
            <w:vAlign w:val="bottom"/>
            <w:tcBorders>
              <w:top w:val="single" w:sz="8" w:color="0000FF"/>
            </w:tcBorders>
            <w:gridSpan w:val="17"/>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240" w:type="dxa"/>
            <w:vAlign w:val="bottom"/>
          </w:tcPr>
          <w:p>
            <w:pPr>
              <w:ind w:left="2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7"/>
          </w:tcPr>
          <w:p>
            <w:pPr>
              <w:spacing w:after="0"/>
              <w:rPr>
                <w:rFonts w:ascii="Arial" w:cs="Arial" w:eastAsia="Arial" w:hAnsi="Arial"/>
                <w:sz w:val="18"/>
                <w:szCs w:val="18"/>
                <w:color w:val="0000FF"/>
              </w:rPr>
            </w:pPr>
            <w:hyperlink r:id="rId207">
              <w:r>
                <w:rPr>
                  <w:rFonts w:ascii="Arial" w:cs="Arial" w:eastAsia="Arial" w:hAnsi="Arial"/>
                  <w:sz w:val="18"/>
                  <w:szCs w:val="18"/>
                  <w:color w:val="0000FF"/>
                </w:rPr>
                <w:t>Employment Offer Letter between the Registrant and Cadmus Rich, dated October 14, 2017 (incorporated by reference to</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207">
              <w:r>
                <w:rPr>
                  <w:rFonts w:ascii="Arial" w:cs="Arial" w:eastAsia="Arial" w:hAnsi="Arial"/>
                  <w:sz w:val="18"/>
                  <w:szCs w:val="18"/>
                  <w:color w:val="0000FF"/>
                  <w:w w:val="99"/>
                </w:rPr>
                <w:t>Exhibit 10.10 of the Registrant’s Registration Statement on Form S-1 (File No. 333-260156) filed on October 25, 2021)</w:t>
              </w:r>
            </w:hyperlink>
          </w:p>
        </w:tc>
        <w:tc>
          <w:tcPr>
            <w:tcW w:w="20" w:type="dxa"/>
            <w:vAlign w:val="bottom"/>
            <w:tcBorders>
              <w:top w:val="single" w:sz="8" w:color="0000FF"/>
              <w:bottom w:val="single" w:sz="8" w:color="0000EE"/>
            </w:tcBorders>
          </w:tcPr>
          <w:p>
            <w:pPr>
              <w:spacing w:after="0"/>
              <w:rPr>
                <w:sz w:val="15"/>
                <w:szCs w:val="15"/>
                <w:color w:val="auto"/>
              </w:rPr>
            </w:pPr>
          </w:p>
        </w:tc>
        <w:tc>
          <w:tcPr>
            <w:tcW w:w="500" w:type="dxa"/>
            <w:vAlign w:val="bottom"/>
            <w:tcBorders>
              <w:top w:val="single" w:sz="8" w:color="0000FF"/>
            </w:tcBorders>
            <w:gridSpan w:val="10"/>
          </w:tcPr>
          <w:p>
            <w:pPr>
              <w:spacing w:after="0"/>
              <w:rPr>
                <w:sz w:val="15"/>
                <w:szCs w:val="15"/>
                <w:color w:val="auto"/>
              </w:rPr>
            </w:pPr>
          </w:p>
        </w:tc>
        <w:tc>
          <w:tcPr>
            <w:tcW w:w="1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240" w:type="dxa"/>
            <w:vAlign w:val="bottom"/>
          </w:tcPr>
          <w:p>
            <w:pPr>
              <w:ind w:left="2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7"/>
          </w:tcPr>
          <w:p>
            <w:pPr>
              <w:spacing w:after="0"/>
              <w:rPr>
                <w:rFonts w:ascii="Arial" w:cs="Arial" w:eastAsia="Arial" w:hAnsi="Arial"/>
                <w:sz w:val="18"/>
                <w:szCs w:val="18"/>
                <w:color w:val="0000FF"/>
              </w:rPr>
            </w:pPr>
            <w:hyperlink r:id="rId208">
              <w:r>
                <w:rPr>
                  <w:rFonts w:ascii="Arial" w:cs="Arial" w:eastAsia="Arial" w:hAnsi="Arial"/>
                  <w:sz w:val="18"/>
                  <w:szCs w:val="18"/>
                  <w:color w:val="0000FF"/>
                </w:rPr>
                <w:t>Exclusive Patent License Agreement with the National Institutes of Health, dated September 3, 2013 as amended</w:t>
              </w:r>
            </w:hyperlink>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208">
              <w:r>
                <w:rPr>
                  <w:rFonts w:ascii="Arial" w:cs="Arial" w:eastAsia="Arial" w:hAnsi="Arial"/>
                  <w:sz w:val="18"/>
                  <w:szCs w:val="18"/>
                  <w:color w:val="0000FF"/>
                </w:rPr>
                <w:t>(incorporated by reference to Exhibit 10.11 of the Registrant’s Registration Statement on Form S-1 (File No. 333-260156)</w:t>
              </w:r>
            </w:hyperlink>
          </w:p>
        </w:tc>
        <w:tc>
          <w:tcPr>
            <w:tcW w:w="28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08">
              <w:r>
                <w:rPr>
                  <w:rFonts w:ascii="Arial" w:cs="Arial" w:eastAsia="Arial" w:hAnsi="Arial"/>
                  <w:sz w:val="18"/>
                  <w:szCs w:val="18"/>
                  <w:color w:val="0000FF"/>
                </w:rPr>
                <w:t>filed on October 8, 2021)</w:t>
              </w:r>
            </w:hyperlink>
          </w:p>
        </w:tc>
        <w:tc>
          <w:tcPr>
            <w:tcW w:w="30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672"/>
        </w:trPr>
        <w:tc>
          <w:tcPr>
            <w:tcW w:w="12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960" w:type="dxa"/>
            <w:vAlign w:val="bottom"/>
            <w:tcBorders>
              <w:top w:val="single" w:sz="8" w:color="0000FF"/>
            </w:tcBorders>
            <w:gridSpan w:val="4"/>
          </w:tcPr>
          <w:p>
            <w:pPr>
              <w:spacing w:after="0"/>
              <w:rPr>
                <w:sz w:val="24"/>
                <w:szCs w:val="24"/>
                <w:color w:val="auto"/>
              </w:rPr>
            </w:pPr>
          </w:p>
        </w:tc>
        <w:tc>
          <w:tcPr>
            <w:tcW w:w="2960" w:type="dxa"/>
            <w:vAlign w:val="bottom"/>
            <w:gridSpan w:val="3"/>
          </w:tcPr>
          <w:p>
            <w:pPr>
              <w:jc w:val="right"/>
              <w:ind w:right="588"/>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1" w:name="page122"/>
    <w:bookmarkEnd w:id="121"/>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9760" w:type="dxa"/>
            <w:vAlign w:val="bottom"/>
            <w:tcBorders>
              <w:bottom w:val="single" w:sz="8" w:color="0000FF"/>
            </w:tcBorders>
            <w:gridSpan w:val="22"/>
          </w:tcPr>
          <w:p>
            <w:pPr>
              <w:spacing w:after="0"/>
              <w:rPr>
                <w:rFonts w:ascii="Arial" w:cs="Arial" w:eastAsia="Arial" w:hAnsi="Arial"/>
                <w:sz w:val="18"/>
                <w:szCs w:val="18"/>
                <w:color w:val="0000FF"/>
              </w:rPr>
            </w:pPr>
            <w:hyperlink r:id="rId211">
              <w:r>
                <w:rPr>
                  <w:rFonts w:ascii="Arial" w:cs="Arial" w:eastAsia="Arial" w:hAnsi="Arial"/>
                  <w:sz w:val="18"/>
                  <w:szCs w:val="18"/>
                  <w:color w:val="0000FF"/>
                </w:rPr>
                <w:t>Exclusive License and Supply Agreement with LI-COR, Inc., dated January 31, 2014, as amended (incorporated by</w:t>
              </w:r>
            </w:hyperlink>
          </w:p>
        </w:tc>
        <w:tc>
          <w:tcPr>
            <w:tcW w:w="20" w:type="dxa"/>
            <w:vAlign w:val="bottom"/>
            <w:tcBorders>
              <w:bottom w:val="single" w:sz="8" w:color="0000EE"/>
            </w:tcBorders>
          </w:tcPr>
          <w:p>
            <w:pPr>
              <w:spacing w:after="0"/>
              <w:rPr>
                <w:sz w:val="17"/>
                <w:szCs w:val="17"/>
                <w:color w:val="auto"/>
              </w:rPr>
            </w:pP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9780" w:type="dxa"/>
            <w:vAlign w:val="bottom"/>
            <w:tcBorders>
              <w:bottom w:val="single" w:sz="8" w:color="0000FF"/>
            </w:tcBorders>
            <w:gridSpan w:val="23"/>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reference to Exhibit 10.12 of the Registrant’s Registration Statement on Form S-1 (File No. 333-260156) filed on October</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660" w:type="dxa"/>
            <w:vAlign w:val="bottom"/>
            <w:tcBorders>
              <w:bottom w:val="single" w:sz="8" w:color="0000FF"/>
            </w:tcBorders>
          </w:tcPr>
          <w:p>
            <w:pPr>
              <w:spacing w:after="0" w:line="182" w:lineRule="exact"/>
              <w:rPr>
                <w:rFonts w:ascii="Arial" w:cs="Arial" w:eastAsia="Arial" w:hAnsi="Arial"/>
                <w:sz w:val="18"/>
                <w:szCs w:val="18"/>
                <w:color w:val="0000FF"/>
                <w:w w:val="96"/>
              </w:rPr>
            </w:pPr>
            <w:hyperlink r:id="rId211">
              <w:r>
                <w:rPr>
                  <w:rFonts w:ascii="Arial" w:cs="Arial" w:eastAsia="Arial" w:hAnsi="Arial"/>
                  <w:sz w:val="18"/>
                  <w:szCs w:val="18"/>
                  <w:color w:val="0000FF"/>
                  <w:w w:val="96"/>
                </w:rPr>
                <w:t>8, 2021)</w:t>
              </w:r>
            </w:hyperlink>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9880" w:type="dxa"/>
            <w:vAlign w:val="bottom"/>
            <w:gridSpan w:val="28"/>
          </w:tcPr>
          <w:p>
            <w:pPr>
              <w:spacing w:after="0"/>
              <w:rPr>
                <w:rFonts w:ascii="Arial" w:cs="Arial" w:eastAsia="Arial" w:hAnsi="Arial"/>
                <w:sz w:val="18"/>
                <w:szCs w:val="18"/>
                <w:color w:val="0000FF"/>
              </w:rPr>
            </w:pPr>
            <w:hyperlink r:id="rId212">
              <w:r>
                <w:rPr>
                  <w:rFonts w:ascii="Arial" w:cs="Arial" w:eastAsia="Arial" w:hAnsi="Arial"/>
                  <w:sz w:val="18"/>
                  <w:szCs w:val="18"/>
                  <w:color w:val="0000FF"/>
                </w:rPr>
                <w:t>License Agreement with Clearside Biomedical, Inc., dated July 3, 2019 (incorporated by reference to Exhibit 10.13 of the</w:t>
              </w:r>
            </w:hyperlink>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986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Registrant’s Registration Statement on Form S-1 (File No. 333-260156) filed on October 8, 2021)</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10.14</w:t>
            </w:r>
          </w:p>
        </w:tc>
        <w:tc>
          <w:tcPr>
            <w:tcW w:w="9880" w:type="dxa"/>
            <w:vAlign w:val="bottom"/>
            <w:gridSpan w:val="28"/>
          </w:tcPr>
          <w:p>
            <w:pPr>
              <w:spacing w:after="0"/>
              <w:rPr>
                <w:rFonts w:ascii="Arial" w:cs="Arial" w:eastAsia="Arial" w:hAnsi="Arial"/>
                <w:sz w:val="18"/>
                <w:szCs w:val="18"/>
                <w:color w:val="0000FF"/>
              </w:rPr>
            </w:pPr>
            <w:hyperlink r:id="rId213">
              <w:r>
                <w:rPr>
                  <w:rFonts w:ascii="Arial" w:cs="Arial" w:eastAsia="Arial" w:hAnsi="Arial"/>
                  <w:sz w:val="18"/>
                  <w:szCs w:val="18"/>
                  <w:color w:val="0000FF"/>
                </w:rPr>
                <w:t>Lease Agreement with Bolton Street Partners, LLC, dated June 9, 2011, as amended (incorporated by reference to Exhibit</w:t>
              </w:r>
            </w:hyperlink>
          </w:p>
        </w:tc>
        <w:tc>
          <w:tcPr>
            <w:tcW w:w="0" w:type="dxa"/>
            <w:vAlign w:val="bottom"/>
          </w:tcPr>
          <w:p>
            <w:pPr>
              <w:spacing w:after="0"/>
              <w:rPr>
                <w:sz w:val="1"/>
                <w:szCs w:val="1"/>
                <w:color w:val="auto"/>
              </w:rPr>
            </w:pPr>
          </w:p>
        </w:tc>
      </w:tr>
      <w:tr>
        <w:trPr>
          <w:trHeight w:val="182"/>
        </w:trPr>
        <w:tc>
          <w:tcPr>
            <w:tcW w:w="1480" w:type="dxa"/>
            <w:vAlign w:val="bottom"/>
            <w:vMerge w:val="restart"/>
          </w:tcPr>
          <w:p>
            <w:pPr>
              <w:spacing w:after="0"/>
              <w:rPr>
                <w:sz w:val="20"/>
                <w:szCs w:val="20"/>
                <w:color w:val="auto"/>
              </w:rPr>
            </w:pPr>
            <w:r>
              <w:rPr>
                <w:rFonts w:ascii="Arial" w:cs="Arial" w:eastAsia="Arial" w:hAnsi="Arial"/>
                <w:sz w:val="18"/>
                <w:szCs w:val="18"/>
                <w:color w:val="auto"/>
              </w:rPr>
              <w:t>10.15</w:t>
            </w:r>
          </w:p>
        </w:tc>
        <w:tc>
          <w:tcPr>
            <w:tcW w:w="972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213">
              <w:r>
                <w:rPr>
                  <w:rFonts w:ascii="Arial" w:cs="Arial" w:eastAsia="Arial" w:hAnsi="Arial"/>
                  <w:sz w:val="18"/>
                  <w:szCs w:val="18"/>
                  <w:color w:val="0000FF"/>
                </w:rPr>
                <w:t>10.</w:t>
              </w:r>
              <w:r>
                <w:rPr>
                  <w:rFonts w:ascii="Arial" w:cs="Arial" w:eastAsia="Arial" w:hAnsi="Arial"/>
                  <w:sz w:val="18"/>
                  <w:szCs w:val="18"/>
                  <w:u w:val="single" w:color="auto"/>
                  <w:color w:val="0000FF"/>
                </w:rPr>
                <w:t>14</w:t>
              </w:r>
              <w:r>
                <w:rPr>
                  <w:rFonts w:ascii="Arial" w:cs="Arial" w:eastAsia="Arial" w:hAnsi="Arial"/>
                  <w:sz w:val="18"/>
                  <w:szCs w:val="18"/>
                  <w:color w:val="0000FF"/>
                </w:rPr>
                <w:t xml:space="preserve"> of the Registrant’s Registration Statement on Form S-1 (File No. 333-260156) filed on October 8, 2021)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vMerge w:val="continue"/>
          </w:tcPr>
          <w:p>
            <w:pPr>
              <w:spacing w:after="0"/>
              <w:rPr>
                <w:sz w:val="17"/>
                <w:szCs w:val="17"/>
                <w:color w:val="auto"/>
              </w:rPr>
            </w:pPr>
          </w:p>
        </w:tc>
        <w:tc>
          <w:tcPr>
            <w:tcW w:w="9880" w:type="dxa"/>
            <w:vAlign w:val="bottom"/>
            <w:gridSpan w:val="28"/>
          </w:tcPr>
          <w:p>
            <w:pPr>
              <w:spacing w:after="0" w:line="195" w:lineRule="exact"/>
              <w:rPr>
                <w:rFonts w:ascii="Arial" w:cs="Arial" w:eastAsia="Arial" w:hAnsi="Arial"/>
                <w:sz w:val="18"/>
                <w:szCs w:val="18"/>
                <w:color w:val="0000FF"/>
              </w:rPr>
            </w:pPr>
            <w:hyperlink r:id="rId214">
              <w:r>
                <w:rPr>
                  <w:rFonts w:ascii="Arial" w:cs="Arial" w:eastAsia="Arial" w:hAnsi="Arial"/>
                  <w:sz w:val="18"/>
                  <w:szCs w:val="18"/>
                  <w:color w:val="0000FF"/>
                </w:rPr>
                <w:t>Lease Agreement, between Registrant and Ice Box, LLC, dated as of May 16, 2022 (incorporated by reference to Exhibit</w:t>
              </w:r>
            </w:hyperlink>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812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214">
              <w:r>
                <w:rPr>
                  <w:rFonts w:ascii="Arial" w:cs="Arial" w:eastAsia="Arial" w:hAnsi="Arial"/>
                  <w:sz w:val="18"/>
                  <w:szCs w:val="18"/>
                  <w:color w:val="0000FF"/>
                  <w:w w:val="99"/>
                </w:rPr>
                <w:t>10.</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of the Registrant’s Quarterly Report on Form 10-Q (File No. 001-40971) filed on August 11, 2022)</w:t>
              </w:r>
            </w:hyperlink>
          </w:p>
        </w:tc>
        <w:tc>
          <w:tcPr>
            <w:tcW w:w="20" w:type="dxa"/>
            <w:vAlign w:val="bottom"/>
            <w:tcBorders>
              <w:top w:val="single" w:sz="8" w:color="0000FF"/>
              <w:bottom w:val="single" w:sz="8" w:color="0000EE"/>
            </w:tcBorders>
          </w:tcPr>
          <w:p>
            <w:pPr>
              <w:spacing w:after="0"/>
              <w:rPr>
                <w:sz w:val="15"/>
                <w:szCs w:val="15"/>
                <w:color w:val="auto"/>
              </w:rPr>
            </w:pPr>
          </w:p>
        </w:tc>
        <w:tc>
          <w:tcPr>
            <w:tcW w:w="166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10.16#</w:t>
            </w:r>
          </w:p>
        </w:tc>
        <w:tc>
          <w:tcPr>
            <w:tcW w:w="9880" w:type="dxa"/>
            <w:vAlign w:val="bottom"/>
            <w:gridSpan w:val="28"/>
          </w:tcPr>
          <w:p>
            <w:pPr>
              <w:spacing w:after="0"/>
              <w:rPr>
                <w:rFonts w:ascii="Arial" w:cs="Arial" w:eastAsia="Arial" w:hAnsi="Arial"/>
                <w:sz w:val="18"/>
                <w:szCs w:val="18"/>
                <w:color w:val="0000FF"/>
              </w:rPr>
            </w:pPr>
            <w:hyperlink r:id="rId215">
              <w:r>
                <w:rPr>
                  <w:rFonts w:ascii="Arial" w:cs="Arial" w:eastAsia="Arial" w:hAnsi="Arial"/>
                  <w:sz w:val="18"/>
                  <w:szCs w:val="18"/>
                  <w:color w:val="0000FF"/>
                </w:rPr>
                <w:t>Employment Offer Letter, dated August 9, 2023, by and between Jill Hopkins and the Registrant (incorporate by reference</w:t>
              </w:r>
            </w:hyperlink>
          </w:p>
        </w:tc>
        <w:tc>
          <w:tcPr>
            <w:tcW w:w="0" w:type="dxa"/>
            <w:vAlign w:val="bottom"/>
          </w:tcPr>
          <w:p>
            <w:pPr>
              <w:spacing w:after="0"/>
              <w:rPr>
                <w:sz w:val="1"/>
                <w:szCs w:val="1"/>
                <w:color w:val="auto"/>
              </w:rPr>
            </w:pPr>
          </w:p>
        </w:tc>
      </w:tr>
      <w:tr>
        <w:trPr>
          <w:trHeight w:val="182"/>
        </w:trPr>
        <w:tc>
          <w:tcPr>
            <w:tcW w:w="148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97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to Exhibit 10.1 of the Registrant’s Quarterly Report on Form 10-Q (File No. 001-40971) filed on November 9, 2023)</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80" w:type="dxa"/>
            <w:vAlign w:val="bottom"/>
            <w:vMerge w:val="continue"/>
          </w:tcPr>
          <w:p>
            <w:pPr>
              <w:spacing w:after="0"/>
              <w:rPr>
                <w:sz w:val="17"/>
                <w:szCs w:val="17"/>
                <w:color w:val="auto"/>
              </w:rPr>
            </w:pPr>
          </w:p>
        </w:tc>
        <w:tc>
          <w:tcPr>
            <w:tcW w:w="9080" w:type="dxa"/>
            <w:vAlign w:val="bottom"/>
            <w:tcBorders>
              <w:top w:val="single" w:sz="8" w:color="0000FF"/>
            </w:tcBorders>
            <w:gridSpan w:val="17"/>
          </w:tcPr>
          <w:p>
            <w:pPr>
              <w:spacing w:after="0" w:line="195" w:lineRule="exact"/>
              <w:rPr>
                <w:sz w:val="20"/>
                <w:szCs w:val="20"/>
                <w:color w:val="auto"/>
              </w:rPr>
            </w:pPr>
            <w:r>
              <w:rPr>
                <w:rFonts w:ascii="Arial" w:cs="Arial" w:eastAsia="Arial" w:hAnsi="Arial"/>
                <w:sz w:val="18"/>
                <w:szCs w:val="18"/>
                <w:color w:val="0000FF"/>
              </w:rPr>
              <w:t>Employment Offer Letter, dated August 10, 2023, by and between Mark Plavsic and the Registrant</w:t>
            </w:r>
          </w:p>
        </w:tc>
        <w:tc>
          <w:tcPr>
            <w:tcW w:w="8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spacing w:after="0"/>
              <w:rPr>
                <w:sz w:val="20"/>
                <w:szCs w:val="20"/>
                <w:color w:val="auto"/>
              </w:rPr>
            </w:pPr>
            <w:r>
              <w:rPr>
                <w:rFonts w:ascii="Arial" w:cs="Arial" w:eastAsia="Arial" w:hAnsi="Arial"/>
                <w:sz w:val="18"/>
                <w:szCs w:val="18"/>
                <w:color w:val="auto"/>
              </w:rPr>
              <w:t>10.18#</w:t>
            </w:r>
          </w:p>
        </w:tc>
        <w:tc>
          <w:tcPr>
            <w:tcW w:w="2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vMerge w:val="continue"/>
          </w:tcPr>
          <w:p>
            <w:pPr>
              <w:spacing w:after="0"/>
              <w:rPr>
                <w:sz w:val="17"/>
                <w:szCs w:val="17"/>
                <w:color w:val="auto"/>
              </w:rPr>
            </w:pPr>
          </w:p>
        </w:tc>
        <w:tc>
          <w:tcPr>
            <w:tcW w:w="9880" w:type="dxa"/>
            <w:vAlign w:val="bottom"/>
            <w:gridSpan w:val="28"/>
          </w:tcPr>
          <w:p>
            <w:pPr>
              <w:spacing w:after="0" w:line="195" w:lineRule="exact"/>
              <w:rPr>
                <w:rFonts w:ascii="Arial" w:cs="Arial" w:eastAsia="Arial" w:hAnsi="Arial"/>
                <w:sz w:val="18"/>
                <w:szCs w:val="18"/>
                <w:color w:val="0000FF"/>
              </w:rPr>
            </w:pPr>
            <w:hyperlink r:id="rId216">
              <w:r>
                <w:rPr>
                  <w:rFonts w:ascii="Arial" w:cs="Arial" w:eastAsia="Arial" w:hAnsi="Arial"/>
                  <w:sz w:val="18"/>
                  <w:szCs w:val="18"/>
                  <w:color w:val="0000FF"/>
                </w:rPr>
                <w:t>Consulting Agreement, dated September 28, 2023, by and between Cadmus Rich and the Registrant (File No. 001-40971)</w:t>
              </w:r>
            </w:hyperlink>
          </w:p>
        </w:tc>
        <w:tc>
          <w:tcPr>
            <w:tcW w:w="0" w:type="dxa"/>
            <w:vAlign w:val="bottom"/>
          </w:tcPr>
          <w:p>
            <w:pPr>
              <w:spacing w:after="0"/>
              <w:rPr>
                <w:sz w:val="1"/>
                <w:szCs w:val="1"/>
                <w:color w:val="auto"/>
              </w:rPr>
            </w:pPr>
          </w:p>
        </w:tc>
      </w:tr>
      <w:tr>
        <w:trPr>
          <w:trHeight w:val="182"/>
        </w:trPr>
        <w:tc>
          <w:tcPr>
            <w:tcW w:w="1480" w:type="dxa"/>
            <w:vAlign w:val="bottom"/>
            <w:vMerge w:val="restart"/>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4"/>
                <w:szCs w:val="24"/>
                <w:color w:val="auto"/>
                <w:vertAlign w:val="superscript"/>
              </w:rPr>
              <w:t>(1)</w:t>
            </w:r>
          </w:p>
        </w:tc>
        <w:tc>
          <w:tcPr>
            <w:tcW w:w="21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216">
              <w:r>
                <w:rPr>
                  <w:rFonts w:ascii="Arial" w:cs="Arial" w:eastAsia="Arial" w:hAnsi="Arial"/>
                  <w:sz w:val="18"/>
                  <w:szCs w:val="18"/>
                  <w:color w:val="0000FF"/>
                  <w:w w:val="98"/>
                </w:rPr>
                <w:t>filed on November 9, 2023)</w:t>
              </w:r>
            </w:hyperlink>
          </w:p>
        </w:tc>
        <w:tc>
          <w:tcPr>
            <w:tcW w:w="20" w:type="dxa"/>
            <w:vAlign w:val="bottom"/>
            <w:tcBorders>
              <w:top w:val="single" w:sz="8" w:color="0000FF"/>
              <w:bottom w:val="single" w:sz="8" w:color="0000EE"/>
            </w:tcBorders>
          </w:tcPr>
          <w:p>
            <w:pPr>
              <w:spacing w:after="0"/>
              <w:rPr>
                <w:sz w:val="15"/>
                <w:szCs w:val="15"/>
                <w:color w:val="auto"/>
              </w:rPr>
            </w:pPr>
          </w:p>
        </w:tc>
        <w:tc>
          <w:tcPr>
            <w:tcW w:w="7640" w:type="dxa"/>
            <w:vAlign w:val="bottom"/>
            <w:tcBorders>
              <w:top w:val="single" w:sz="8" w:color="0000FF"/>
            </w:tcBorders>
            <w:gridSpan w:val="22"/>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80" w:type="dxa"/>
            <w:vAlign w:val="bottom"/>
            <w:vMerge w:val="continue"/>
          </w:tcPr>
          <w:p>
            <w:pPr>
              <w:spacing w:after="0"/>
              <w:rPr>
                <w:sz w:val="17"/>
                <w:szCs w:val="17"/>
                <w:color w:val="auto"/>
              </w:rPr>
            </w:pPr>
          </w:p>
        </w:tc>
        <w:tc>
          <w:tcPr>
            <w:tcW w:w="9880" w:type="dxa"/>
            <w:vAlign w:val="bottom"/>
            <w:gridSpan w:val="28"/>
          </w:tcPr>
          <w:p>
            <w:pPr>
              <w:spacing w:after="0" w:line="195" w:lineRule="exact"/>
              <w:rPr>
                <w:rFonts w:ascii="Arial" w:cs="Arial" w:eastAsia="Arial" w:hAnsi="Arial"/>
                <w:sz w:val="18"/>
                <w:szCs w:val="18"/>
                <w:color w:val="0000FF"/>
              </w:rPr>
            </w:pPr>
            <w:hyperlink r:id="rId217">
              <w:r>
                <w:rPr>
                  <w:rFonts w:ascii="Arial" w:cs="Arial" w:eastAsia="Arial" w:hAnsi="Arial"/>
                  <w:sz w:val="18"/>
                  <w:szCs w:val="18"/>
                  <w:color w:val="0000FF"/>
                </w:rPr>
                <w:t>Transition and Release Agreement, dated November 6, 2023, by and between Cadmus Rich and the Registrant (File No.</w:t>
              </w:r>
            </w:hyperlink>
          </w:p>
        </w:tc>
        <w:tc>
          <w:tcPr>
            <w:tcW w:w="0" w:type="dxa"/>
            <w:vAlign w:val="bottom"/>
          </w:tcPr>
          <w:p>
            <w:pPr>
              <w:spacing w:after="0"/>
              <w:rPr>
                <w:sz w:val="1"/>
                <w:szCs w:val="1"/>
                <w:color w:val="auto"/>
              </w:rPr>
            </w:pPr>
          </w:p>
        </w:tc>
      </w:tr>
      <w:tr>
        <w:trPr>
          <w:trHeight w:val="182"/>
        </w:trPr>
        <w:tc>
          <w:tcPr>
            <w:tcW w:w="1480" w:type="dxa"/>
            <w:vAlign w:val="bottom"/>
            <w:vMerge w:val="restart"/>
          </w:tcPr>
          <w:p>
            <w:pPr>
              <w:spacing w:after="0"/>
              <w:rPr>
                <w:sz w:val="20"/>
                <w:szCs w:val="20"/>
                <w:color w:val="auto"/>
              </w:rPr>
            </w:pPr>
            <w:r>
              <w:rPr>
                <w:rFonts w:ascii="Arial" w:cs="Arial" w:eastAsia="Arial" w:hAnsi="Arial"/>
                <w:sz w:val="18"/>
                <w:szCs w:val="18"/>
                <w:color w:val="auto"/>
              </w:rPr>
              <w:t>19.1*</w:t>
            </w:r>
          </w:p>
        </w:tc>
        <w:tc>
          <w:tcPr>
            <w:tcW w:w="96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217">
              <w:r>
                <w:rPr>
                  <w:rFonts w:ascii="Arial" w:cs="Arial" w:eastAsia="Arial" w:hAnsi="Arial"/>
                  <w:sz w:val="18"/>
                  <w:szCs w:val="18"/>
                  <w:color w:val="0000FF"/>
                </w:rPr>
                <w:t>001-40971) filed on November 9, 2023)</w:t>
              </w:r>
            </w:hyperlink>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vMerge w:val="continue"/>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vMerge w:val="continue"/>
          </w:tcPr>
          <w:p>
            <w:pPr>
              <w:spacing w:after="0"/>
              <w:rPr>
                <w:sz w:val="17"/>
                <w:szCs w:val="17"/>
                <w:color w:val="auto"/>
              </w:rPr>
            </w:pPr>
          </w:p>
        </w:tc>
        <w:tc>
          <w:tcPr>
            <w:tcW w:w="3660" w:type="dxa"/>
            <w:vAlign w:val="bottom"/>
            <w:tcBorders>
              <w:bottom w:val="single" w:sz="8" w:color="0000FF"/>
            </w:tcBorders>
            <w:gridSpan w:val="6"/>
          </w:tcPr>
          <w:p>
            <w:pPr>
              <w:spacing w:after="0" w:line="195" w:lineRule="exact"/>
              <w:rPr>
                <w:sz w:val="20"/>
                <w:szCs w:val="20"/>
                <w:color w:val="auto"/>
              </w:rPr>
            </w:pPr>
            <w:r>
              <w:rPr>
                <w:rFonts w:ascii="Arial" w:cs="Arial" w:eastAsia="Arial" w:hAnsi="Arial"/>
                <w:sz w:val="18"/>
                <w:szCs w:val="18"/>
                <w:color w:val="0000FF"/>
                <w:w w:val="99"/>
              </w:rPr>
              <w:t>Amended and Restated Insider Trading Policy</w:t>
            </w:r>
          </w:p>
        </w:tc>
        <w:tc>
          <w:tcPr>
            <w:tcW w:w="62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line="195" w:lineRule="exact"/>
              <w:rPr>
                <w:sz w:val="20"/>
                <w:szCs w:val="20"/>
                <w:color w:val="auto"/>
              </w:rPr>
            </w:pPr>
            <w:r>
              <w:rPr>
                <w:rFonts w:ascii="Arial" w:cs="Arial" w:eastAsia="Arial" w:hAnsi="Arial"/>
                <w:sz w:val="18"/>
                <w:szCs w:val="18"/>
                <w:color w:val="auto"/>
              </w:rPr>
              <w:t>21.1*</w:t>
            </w:r>
          </w:p>
        </w:tc>
        <w:tc>
          <w:tcPr>
            <w:tcW w:w="9880" w:type="dxa"/>
            <w:vAlign w:val="bottom"/>
            <w:gridSpan w:val="28"/>
          </w:tcPr>
          <w:p>
            <w:pPr>
              <w:spacing w:after="0" w:line="195" w:lineRule="exact"/>
              <w:rPr>
                <w:sz w:val="20"/>
                <w:szCs w:val="20"/>
                <w:color w:val="auto"/>
              </w:rPr>
            </w:pPr>
            <w:r>
              <w:rPr>
                <w:rFonts w:ascii="Arial" w:cs="Arial" w:eastAsia="Arial" w:hAnsi="Arial"/>
                <w:sz w:val="18"/>
                <w:szCs w:val="18"/>
                <w:color w:val="0000FF"/>
              </w:rPr>
              <w:t>List of Subsidiaries of Registrant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9880" w:type="dxa"/>
            <w:vAlign w:val="bottom"/>
            <w:gridSpan w:val="28"/>
          </w:tcPr>
          <w:p>
            <w:pPr>
              <w:spacing w:after="0"/>
              <w:rPr>
                <w:sz w:val="20"/>
                <w:szCs w:val="20"/>
                <w:color w:val="auto"/>
              </w:rPr>
            </w:pPr>
            <w:r>
              <w:rPr>
                <w:rFonts w:ascii="Arial" w:cs="Arial" w:eastAsia="Arial" w:hAnsi="Arial"/>
                <w:sz w:val="18"/>
                <w:szCs w:val="18"/>
                <w:color w:val="0000FF"/>
              </w:rPr>
              <w:t>Consent of Ernst &amp; Young, independent registered public accounting firm.</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88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w:t>
            </w: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642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w w:val="99"/>
              </w:rPr>
              <w:t>of 1934, as Adopted Pursuant to Section 302 of the Sarbanes-Oxley Act of 2002.</w:t>
            </w:r>
          </w:p>
        </w:tc>
        <w:tc>
          <w:tcPr>
            <w:tcW w:w="3420" w:type="dxa"/>
            <w:vAlign w:val="bottom"/>
            <w:tcBorders>
              <w:top w:val="single" w:sz="8" w:color="0000FF"/>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28"/>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622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0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880" w:type="dxa"/>
            <w:vAlign w:val="bottom"/>
            <w:gridSpan w:val="28"/>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4760" w:type="dxa"/>
            <w:vAlign w:val="bottom"/>
            <w:tcBorders>
              <w:top w:val="single" w:sz="8" w:color="0000FF"/>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5000" w:type="dxa"/>
            <w:vAlign w:val="bottom"/>
            <w:tcBorders>
              <w:top w:val="single" w:sz="8" w:color="0000FF"/>
            </w:tcBorders>
            <w:gridSpan w:val="15"/>
          </w:tcPr>
          <w:p>
            <w:pPr>
              <w:spacing w:after="0"/>
              <w:rPr>
                <w:sz w:val="15"/>
                <w:szCs w:val="15"/>
                <w:color w:val="auto"/>
              </w:rPr>
            </w:pPr>
          </w:p>
        </w:tc>
        <w:tc>
          <w:tcPr>
            <w:tcW w:w="1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97.1*</w:t>
            </w:r>
          </w:p>
        </w:tc>
        <w:tc>
          <w:tcPr>
            <w:tcW w:w="2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rPr>
              <w:t>Compensation Recovery Policy</w:t>
            </w:r>
          </w:p>
        </w:tc>
        <w:tc>
          <w:tcPr>
            <w:tcW w:w="730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480" w:type="dxa"/>
            <w:vAlign w:val="bottom"/>
          </w:tcPr>
          <w:p>
            <w:pPr>
              <w:spacing w:after="0" w:line="204" w:lineRule="exact"/>
              <w:rPr>
                <w:sz w:val="20"/>
                <w:szCs w:val="20"/>
                <w:color w:val="auto"/>
              </w:rPr>
            </w:pPr>
            <w:r>
              <w:rPr>
                <w:rFonts w:ascii="Arial" w:cs="Arial" w:eastAsia="Arial" w:hAnsi="Arial"/>
                <w:sz w:val="18"/>
                <w:szCs w:val="18"/>
                <w:color w:val="auto"/>
              </w:rPr>
              <w:t>101.INS</w:t>
            </w:r>
          </w:p>
        </w:tc>
        <w:tc>
          <w:tcPr>
            <w:tcW w:w="9880" w:type="dxa"/>
            <w:vAlign w:val="bottom"/>
            <w:gridSpan w:val="28"/>
          </w:tcPr>
          <w:p>
            <w:pPr>
              <w:spacing w:after="0" w:line="204" w:lineRule="exact"/>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c>
          <w:tcPr>
            <w:tcW w:w="0" w:type="dxa"/>
            <w:vAlign w:val="bottom"/>
          </w:tcPr>
          <w:p>
            <w:pPr>
              <w:spacing w:after="0"/>
              <w:rPr>
                <w:sz w:val="1"/>
                <w:szCs w:val="1"/>
                <w:color w:val="auto"/>
              </w:rPr>
            </w:pPr>
          </w:p>
        </w:tc>
      </w:tr>
      <w:tr>
        <w:trPr>
          <w:trHeight w:val="239"/>
        </w:trPr>
        <w:tc>
          <w:tcPr>
            <w:tcW w:w="1480" w:type="dxa"/>
            <w:vAlign w:val="bottom"/>
          </w:tcPr>
          <w:p>
            <w:pPr>
              <w:spacing w:after="0"/>
              <w:rPr>
                <w:sz w:val="20"/>
                <w:szCs w:val="20"/>
                <w:color w:val="auto"/>
              </w:rPr>
            </w:pPr>
          </w:p>
        </w:tc>
        <w:tc>
          <w:tcPr>
            <w:tcW w:w="9880" w:type="dxa"/>
            <w:vAlign w:val="bottom"/>
            <w:gridSpan w:val="28"/>
          </w:tcPr>
          <w:p>
            <w:pPr>
              <w:spacing w:after="0"/>
              <w:rPr>
                <w:sz w:val="20"/>
                <w:szCs w:val="20"/>
                <w:color w:val="auto"/>
              </w:rPr>
            </w:pPr>
            <w:r>
              <w:rPr>
                <w:rFonts w:ascii="Arial" w:cs="Arial" w:eastAsia="Arial" w:hAnsi="Arial"/>
                <w:sz w:val="18"/>
                <w:szCs w:val="18"/>
                <w:color w:val="auto"/>
              </w:rPr>
              <w:t>are embedded within the Inline XBRL document.</w:t>
            </w:r>
          </w:p>
        </w:tc>
        <w:tc>
          <w:tcPr>
            <w:tcW w:w="0" w:type="dxa"/>
            <w:vAlign w:val="bottom"/>
          </w:tcPr>
          <w:p>
            <w:pPr>
              <w:spacing w:after="0"/>
              <w:rPr>
                <w:sz w:val="1"/>
                <w:szCs w:val="1"/>
                <w:color w:val="auto"/>
              </w:rPr>
            </w:pPr>
          </w:p>
        </w:tc>
      </w:tr>
      <w:tr>
        <w:trPr>
          <w:trHeight w:val="431"/>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28"/>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500" w:hanging="1479"/>
        <w:spacing w:after="0"/>
        <w:tabs>
          <w:tab w:leader="none" w:pos="15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305" w:lineRule="exact"/>
        <w:rPr>
          <w:sz w:val="20"/>
          <w:szCs w:val="20"/>
          <w:color w:val="auto"/>
        </w:rPr>
      </w:pPr>
    </w:p>
    <w:p>
      <w:pPr>
        <w:ind w:firstLine="8"/>
        <w:spacing w:after="0" w:line="271" w:lineRule="auto"/>
        <w:tabs>
          <w:tab w:leader="none" w:pos="162"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pursuant to Rule 406 promulgated under the Securities Act of 1933, as amended.</w:t>
      </w:r>
    </w:p>
    <w:p>
      <w:pPr>
        <w:spacing w:after="0" w:line="200" w:lineRule="exact"/>
        <w:rPr>
          <w:sz w:val="20"/>
          <w:szCs w:val="20"/>
          <w:color w:val="auto"/>
        </w:rPr>
      </w:pPr>
    </w:p>
    <w:p>
      <w:pPr>
        <w:spacing w:after="0" w:line="263" w:lineRule="exact"/>
        <w:rPr>
          <w:sz w:val="20"/>
          <w:szCs w:val="20"/>
          <w:color w:val="auto"/>
        </w:rPr>
      </w:pPr>
    </w:p>
    <w:p>
      <w:pPr>
        <w:ind w:right="120" w:firstLine="8"/>
        <w:spacing w:after="0" w:line="259" w:lineRule="auto"/>
        <w:tabs>
          <w:tab w:leader="none" w:pos="180" w:val="left"/>
        </w:tabs>
        <w:numPr>
          <w:ilvl w:val="0"/>
          <w:numId w:val="67"/>
        </w:numPr>
        <w:rPr>
          <w:rFonts w:ascii="Arial" w:cs="Arial" w:eastAsia="Arial" w:hAnsi="Arial"/>
          <w:sz w:val="21"/>
          <w:szCs w:val="21"/>
          <w:color w:val="auto"/>
          <w:vertAlign w:val="superscript"/>
        </w:rPr>
      </w:pPr>
      <w:r>
        <w:rPr>
          <w:rFonts w:ascii="Arial" w:cs="Arial" w:eastAsia="Arial" w:hAnsi="Arial"/>
          <w:sz w:val="16"/>
          <w:szCs w:val="16"/>
          <w:color w:val="auto"/>
        </w:rPr>
        <w:t>Schedules and exhibits have been omitted from this filing pursuant to Item 601(b)(10) of Regulation S-K. The registrant agrees to furnish supplementally a copy of any omitted schedule or exhibit to the SEC upon its request; provided, however, that the registrant may request confidential treatment pursuant to Rule 24b-2 of the Securities Exchange Act of 1934, as amended, for any schedule or exhibit so furnished.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gridSpan w:val="8"/>
            <w:vMerge w:val="restart"/>
          </w:tcPr>
          <w:p>
            <w:pPr>
              <w:spacing w:after="0"/>
              <w:rPr>
                <w:sz w:val="20"/>
                <w:szCs w:val="20"/>
                <w:color w:val="auto"/>
              </w:rPr>
            </w:pPr>
            <w:r>
              <w:rPr>
                <w:rFonts w:ascii="Arial" w:cs="Arial" w:eastAsia="Arial" w:hAnsi="Arial"/>
                <w:sz w:val="18"/>
                <w:szCs w:val="18"/>
                <w:color w:val="0000FF"/>
                <w:w w:val="99"/>
              </w:rPr>
              <w:t>Report of Independent Registered Public Accounting Firm (PCAOB ID 42)</w:t>
            </w:r>
          </w:p>
        </w:tc>
        <w:tc>
          <w:tcPr>
            <w:tcW w:w="2360" w:type="dxa"/>
            <w:vAlign w:val="bottom"/>
            <w:vMerge w:val="restart"/>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80" w:type="dxa"/>
            <w:vAlign w:val="bottom"/>
            <w:tcBorders>
              <w:bottom w:val="single" w:sz="8" w:color="0000FF"/>
            </w:tcBorders>
            <w:gridSpan w:val="8"/>
            <w:vMerge w:val="continue"/>
          </w:tcPr>
          <w:p>
            <w:pPr>
              <w:spacing w:after="0"/>
              <w:rPr>
                <w:sz w:val="17"/>
                <w:szCs w:val="17"/>
                <w:color w:val="auto"/>
              </w:rPr>
            </w:pPr>
          </w:p>
        </w:tc>
        <w:tc>
          <w:tcPr>
            <w:tcW w:w="2360" w:type="dxa"/>
            <w:vAlign w:val="bottom"/>
            <w:vMerge w:val="continue"/>
          </w:tcPr>
          <w:p>
            <w:pPr>
              <w:spacing w:after="0"/>
              <w:rPr>
                <w:sz w:val="17"/>
                <w:szCs w:val="17"/>
                <w:color w:val="auto"/>
              </w:rPr>
            </w:pPr>
          </w:p>
        </w:tc>
        <w:tc>
          <w:tcPr>
            <w:tcW w:w="2360" w:type="dxa"/>
            <w:vAlign w:val="bottom"/>
          </w:tcPr>
          <w:p>
            <w:pPr>
              <w:spacing w:after="0"/>
              <w:rPr>
                <w:sz w:val="17"/>
                <w:szCs w:val="17"/>
                <w:color w:val="auto"/>
              </w:rPr>
            </w:pPr>
          </w:p>
        </w:tc>
        <w:tc>
          <w:tcPr>
            <w:tcW w:w="620" w:type="dxa"/>
            <w:vAlign w:val="bottom"/>
            <w:gridSpan w:val="2"/>
          </w:tcPr>
          <w:p>
            <w:pPr>
              <w:jc w:val="center"/>
              <w:ind w:right="260"/>
              <w:spacing w:after="0" w:line="195"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Consolidated Balance Sheets</w:t>
            </w:r>
          </w:p>
        </w:tc>
        <w:tc>
          <w:tcPr>
            <w:tcW w:w="20" w:type="dxa"/>
            <w:vAlign w:val="bottom"/>
            <w:tcBorders>
              <w:bottom w:val="single" w:sz="8" w:color="0000EE"/>
            </w:tcBorders>
          </w:tcPr>
          <w:p>
            <w:pPr>
              <w:spacing w:after="0"/>
              <w:rPr>
                <w:sz w:val="18"/>
                <w:szCs w:val="18"/>
                <w:color w:val="auto"/>
              </w:rPr>
            </w:pPr>
          </w:p>
        </w:tc>
        <w:tc>
          <w:tcPr>
            <w:tcW w:w="5860" w:type="dxa"/>
            <w:vAlign w:val="bottom"/>
            <w:gridSpan w:val="7"/>
          </w:tcPr>
          <w:p>
            <w:pPr>
              <w:spacing w:after="0"/>
              <w:rPr>
                <w:sz w:val="18"/>
                <w:szCs w:val="18"/>
                <w:color w:val="auto"/>
              </w:rPr>
            </w:pPr>
          </w:p>
        </w:tc>
        <w:tc>
          <w:tcPr>
            <w:tcW w:w="236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9"/>
          </w:tcPr>
          <w:p>
            <w:pPr>
              <w:spacing w:after="0"/>
              <w:rPr>
                <w:sz w:val="20"/>
                <w:szCs w:val="20"/>
                <w:color w:val="auto"/>
              </w:rPr>
            </w:pPr>
            <w:r>
              <w:rPr>
                <w:rFonts w:ascii="Arial" w:cs="Arial" w:eastAsia="Arial" w:hAnsi="Arial"/>
                <w:sz w:val="18"/>
                <w:szCs w:val="18"/>
                <w:color w:val="0000FF"/>
              </w:rPr>
              <w:t>Consolidated Statements of Operations and Comprehensive Loss</w:t>
            </w:r>
          </w:p>
        </w:tc>
        <w:tc>
          <w:tcPr>
            <w:tcW w:w="236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3020" w:type="dxa"/>
            <w:vAlign w:val="bottom"/>
            <w:gridSpan w:val="2"/>
          </w:tcPr>
          <w:p>
            <w:pPr>
              <w:spacing w:after="0"/>
              <w:rPr>
                <w:sz w:val="18"/>
                <w:szCs w:val="18"/>
                <w:color w:val="auto"/>
              </w:rPr>
            </w:pPr>
          </w:p>
        </w:tc>
        <w:tc>
          <w:tcPr>
            <w:tcW w:w="236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Statements of Cash Flows</w:t>
            </w:r>
          </w:p>
        </w:tc>
        <w:tc>
          <w:tcPr>
            <w:tcW w:w="20" w:type="dxa"/>
            <w:vAlign w:val="bottom"/>
            <w:tcBorders>
              <w:top w:val="single" w:sz="8" w:color="0000FF"/>
              <w:bottom w:val="single" w:sz="8" w:color="0000EE"/>
            </w:tcBorders>
          </w:tcPr>
          <w:p>
            <w:pPr>
              <w:spacing w:after="0"/>
              <w:rPr>
                <w:sz w:val="18"/>
                <w:szCs w:val="18"/>
                <w:color w:val="auto"/>
              </w:rPr>
            </w:pPr>
          </w:p>
        </w:tc>
        <w:tc>
          <w:tcPr>
            <w:tcW w:w="660" w:type="dxa"/>
            <w:vAlign w:val="bottom"/>
            <w:tcBorders>
              <w:top w:val="single" w:sz="8" w:color="0000FF"/>
            </w:tcBorders>
            <w:gridSpan w:val="2"/>
          </w:tcPr>
          <w:p>
            <w:pPr>
              <w:spacing w:after="0"/>
              <w:rPr>
                <w:sz w:val="18"/>
                <w:szCs w:val="18"/>
                <w:color w:val="auto"/>
              </w:rPr>
            </w:pPr>
          </w:p>
        </w:tc>
        <w:tc>
          <w:tcPr>
            <w:tcW w:w="4360" w:type="dxa"/>
            <w:vAlign w:val="bottom"/>
            <w:gridSpan w:val="3"/>
          </w:tcPr>
          <w:p>
            <w:pPr>
              <w:spacing w:after="0"/>
              <w:rPr>
                <w:sz w:val="18"/>
                <w:szCs w:val="18"/>
                <w:color w:val="auto"/>
              </w:rPr>
            </w:pPr>
          </w:p>
        </w:tc>
        <w:tc>
          <w:tcPr>
            <w:tcW w:w="236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4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2360" w:type="dxa"/>
            <w:vAlign w:val="bottom"/>
          </w:tcPr>
          <w:p>
            <w:pPr>
              <w:spacing w:after="0"/>
              <w:rPr>
                <w:sz w:val="18"/>
                <w:szCs w:val="18"/>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672"/>
        </w:trPr>
        <w:tc>
          <w:tcPr>
            <w:tcW w:w="20" w:type="dxa"/>
            <w:vAlign w:val="bottom"/>
          </w:tcPr>
          <w:p>
            <w:pPr>
              <w:spacing w:after="0"/>
              <w:rPr>
                <w:sz w:val="24"/>
                <w:szCs w:val="24"/>
                <w:color w:val="auto"/>
              </w:rPr>
            </w:pPr>
          </w:p>
        </w:tc>
        <w:tc>
          <w:tcPr>
            <w:tcW w:w="2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F-1</w:t>
            </w:r>
          </w:p>
        </w:tc>
        <w:tc>
          <w:tcPr>
            <w:tcW w:w="2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4" w:name="page125"/>
    <w:bookmarkEnd w:id="124"/>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Aura Biosciences,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audited the accompanying consolidated balance sheets of Aura Biosciences, Inc. (the Company) as of December 31, 2023 and 2022, the related consolidated statements of operations and comprehensive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121,582</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185,087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67,229</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deposits</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19"/>
                <w:szCs w:val="19"/>
                <w:color w:val="auto"/>
              </w:rPr>
            </w:pPr>
          </w:p>
        </w:tc>
      </w:tr>
      <w:tr>
        <w:trPr>
          <w:trHeight w:val="22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196,702</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Restricted cash and deposits, net of current portion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assets - operating lease</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20,671</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r>
      <w:tr>
        <w:trPr>
          <w:trHeight w:val="22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40" w:type="dxa"/>
            <w:vAlign w:val="bottom"/>
          </w:tcPr>
          <w:p>
            <w:pPr>
              <w:ind w:left="2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223,935</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2,921</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Short-term operating lease liability</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r>
      <w:tr>
        <w:trPr>
          <w:trHeight w:val="22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10,457</w:t>
            </w:r>
          </w:p>
        </w:tc>
        <w:tc>
          <w:tcPr>
            <w:tcW w:w="100" w:type="dxa"/>
            <w:vAlign w:val="bottom"/>
          </w:tcPr>
          <w:p>
            <w:pPr>
              <w:spacing w:after="0"/>
              <w:rPr>
                <w:sz w:val="19"/>
                <w:szCs w:val="19"/>
                <w:color w:val="auto"/>
              </w:rPr>
            </w:pPr>
          </w:p>
        </w:tc>
      </w:tr>
      <w:tr>
        <w:trPr>
          <w:trHeight w:val="229"/>
        </w:trPr>
        <w:tc>
          <w:tcPr>
            <w:tcW w:w="7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liability</w:t>
            </w: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16,870</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4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28,352</w:t>
            </w:r>
          </w:p>
        </w:tc>
        <w:tc>
          <w:tcPr>
            <w:tcW w:w="100" w:type="dxa"/>
            <w:vAlign w:val="bottom"/>
          </w:tcPr>
          <w:p>
            <w:pPr>
              <w:spacing w:after="0"/>
              <w:rPr>
                <w:sz w:val="19"/>
                <w:szCs w:val="19"/>
                <w:color w:val="auto"/>
              </w:rPr>
            </w:pPr>
          </w:p>
        </w:tc>
      </w:tr>
      <w:tr>
        <w:trPr>
          <w:trHeight w:val="22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5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Common stock, $0.00001 par value, 150,000,000 authorized at December 31, 2023 and</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31, 2022, and 49,350,788 and 37,771,918 shares issued and outstanding at</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December 31, 2023 and December 31, 2022, respectively</w:t>
            </w:r>
          </w:p>
        </w:tc>
        <w:tc>
          <w:tcPr>
            <w:tcW w:w="160" w:type="dxa"/>
            <w:vAlign w:val="bottom"/>
            <w:shd w:val="clear" w:color="auto" w:fill="CFF0FC"/>
          </w:tcPr>
          <w:p>
            <w:pPr>
              <w:spacing w:after="0"/>
              <w:rPr>
                <w:sz w:val="20"/>
                <w:szCs w:val="20"/>
                <w:color w:val="auto"/>
              </w:rPr>
            </w:pPr>
          </w:p>
        </w:tc>
        <w:tc>
          <w:tcPr>
            <w:tcW w:w="17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512,617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406,555</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(287,308 )</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(210,900 )</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(72 )</w:t>
            </w:r>
          </w:p>
        </w:tc>
      </w:tr>
      <w:tr>
        <w:trPr>
          <w:trHeight w:val="223"/>
        </w:trPr>
        <w:tc>
          <w:tcPr>
            <w:tcW w:w="7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225,848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4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223,935</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-2833370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-1925955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-1626235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-1626235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-179070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6" w:name="page127"/>
    <w:bookmarkEnd w:id="126"/>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3"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Year Ended</w:t>
      </w:r>
    </w:p>
    <w:p>
      <w:pPr>
        <w:spacing w:after="0" w:line="13" w:lineRule="exact"/>
        <w:rPr>
          <w:sz w:val="20"/>
          <w:szCs w:val="20"/>
          <w:color w:val="auto"/>
        </w:rPr>
      </w:pPr>
    </w:p>
    <w:p>
      <w:pPr>
        <w:jc w:val="center"/>
        <w:ind w:left="798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36"/>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65,232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42,238</w:t>
            </w:r>
          </w:p>
        </w:tc>
        <w:tc>
          <w:tcPr>
            <w:tcW w:w="100" w:type="dxa"/>
            <w:vAlign w:val="bottom"/>
          </w:tcPr>
          <w:p>
            <w:pPr>
              <w:spacing w:after="0"/>
              <w:rPr>
                <w:sz w:val="21"/>
                <w:szCs w:val="21"/>
                <w:color w:val="auto"/>
              </w:rPr>
            </w:pPr>
          </w:p>
        </w:tc>
      </w:tr>
      <w:tr>
        <w:trPr>
          <w:trHeight w:val="229"/>
        </w:trPr>
        <w:tc>
          <w:tcPr>
            <w:tcW w:w="81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19,759</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1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60,295</w:t>
            </w:r>
          </w:p>
        </w:tc>
        <w:tc>
          <w:tcPr>
            <w:tcW w:w="100" w:type="dxa"/>
            <w:vAlign w:val="bottom"/>
          </w:tcPr>
          <w:p>
            <w:pPr>
              <w:spacing w:after="0"/>
              <w:rPr>
                <w:sz w:val="19"/>
                <w:szCs w:val="19"/>
                <w:color w:val="auto"/>
              </w:rPr>
            </w:pPr>
          </w:p>
        </w:tc>
      </w:tr>
      <w:tr>
        <w:trPr>
          <w:trHeight w:val="223"/>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loss</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(84,991 )</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(60,295 )</w:t>
            </w:r>
          </w:p>
        </w:tc>
      </w:tr>
      <w:tr>
        <w:trPr>
          <w:trHeight w:val="234"/>
        </w:trPr>
        <w:tc>
          <w:tcPr>
            <w:tcW w:w="8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and accretion income</w:t>
            </w:r>
          </w:p>
        </w:tc>
        <w:tc>
          <w:tcPr>
            <w:tcW w:w="30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8,588</w:t>
            </w:r>
          </w:p>
        </w:tc>
        <w:tc>
          <w:tcPr>
            <w:tcW w:w="100" w:type="dxa"/>
            <w:vAlign w:val="bottom"/>
            <w:shd w:val="clear" w:color="auto" w:fill="CCECFF"/>
          </w:tcPr>
          <w:p>
            <w:pPr>
              <w:spacing w:after="0"/>
              <w:rPr>
                <w:sz w:val="21"/>
                <w:szCs w:val="21"/>
                <w:color w:val="auto"/>
              </w:rPr>
            </w:pPr>
          </w:p>
        </w:tc>
        <w:tc>
          <w:tcPr>
            <w:tcW w:w="100" w:type="dxa"/>
            <w:vAlign w:val="bottom"/>
            <w:shd w:val="clear" w:color="auto" w:fill="CCECFF"/>
          </w:tcPr>
          <w:p>
            <w:pPr>
              <w:spacing w:after="0"/>
              <w:rPr>
                <w:sz w:val="21"/>
                <w:szCs w:val="21"/>
                <w:color w:val="auto"/>
              </w:rPr>
            </w:pPr>
          </w:p>
        </w:tc>
        <w:tc>
          <w:tcPr>
            <w:tcW w:w="320" w:type="dxa"/>
            <w:vAlign w:val="bottom"/>
            <w:shd w:val="clear" w:color="auto" w:fill="CCECFF"/>
          </w:tcPr>
          <w:p>
            <w:pPr>
              <w:spacing w:after="0"/>
              <w:rPr>
                <w:sz w:val="21"/>
                <w:szCs w:val="21"/>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1,864</w:t>
            </w:r>
          </w:p>
        </w:tc>
        <w:tc>
          <w:tcPr>
            <w:tcW w:w="100" w:type="dxa"/>
            <w:vAlign w:val="bottom"/>
            <w:shd w:val="clear" w:color="auto" w:fill="CCEC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Gain (loss) from disposal of assets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(318 )</w:t>
            </w:r>
          </w:p>
        </w:tc>
      </w:tr>
      <w:tr>
        <w:trPr>
          <w:trHeight w:val="229"/>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(76 )</w:t>
            </w:r>
          </w:p>
        </w:tc>
        <w:tc>
          <w:tcPr>
            <w:tcW w:w="100" w:type="dxa"/>
            <w:vAlign w:val="bottom"/>
            <w:shd w:val="clear" w:color="auto" w:fill="CCECFF"/>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r>
      <w:tr>
        <w:trPr>
          <w:trHeight w:val="223"/>
        </w:trPr>
        <w:tc>
          <w:tcPr>
            <w:tcW w:w="8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other income</w:t>
            </w: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8,720</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top w:val="single" w:sz="8" w:color="CFF0FC"/>
            </w:tcBorders>
          </w:tcPr>
          <w:p>
            <w:pPr>
              <w:spacing w:after="0"/>
              <w:rPr>
                <w:sz w:val="19"/>
                <w:szCs w:val="19"/>
                <w:color w:val="auto"/>
              </w:rPr>
            </w:pPr>
          </w:p>
        </w:tc>
      </w:tr>
      <w:tr>
        <w:trPr>
          <w:trHeight w:val="229"/>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(76,271 )</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(58,763 )</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Income tax benefit (provision), net</w:t>
            </w:r>
          </w:p>
        </w:tc>
        <w:tc>
          <w:tcPr>
            <w:tcW w:w="3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63"/>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CFF"/>
            </w:tcBorders>
            <w:shd w:val="clear" w:color="auto" w:fill="CCECFF"/>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spacing w:after="0"/>
              <w:rPr>
                <w:sz w:val="22"/>
                <w:szCs w:val="22"/>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120" w:type="dxa"/>
            <w:vAlign w:val="bottom"/>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(1.96 )</w:t>
            </w:r>
          </w:p>
        </w:tc>
      </w:tr>
      <w:tr>
        <w:trPr>
          <w:trHeight w:val="20"/>
        </w:trPr>
        <w:tc>
          <w:tcPr>
            <w:tcW w:w="8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stock outstanding—basic and diluted</w:t>
            </w: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39,620,036</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29,937,228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21"/>
        </w:trPr>
        <w:tc>
          <w:tcPr>
            <w:tcW w:w="81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(76,408 )</w:t>
            </w:r>
          </w:p>
        </w:tc>
        <w:tc>
          <w:tcPr>
            <w:tcW w:w="100" w:type="dxa"/>
            <w:vAlign w:val="bottom"/>
            <w:shd w:val="clear" w:color="auto" w:fill="CCECFF"/>
          </w:tcPr>
          <w:p>
            <w:pPr>
              <w:spacing w:after="0"/>
              <w:rPr>
                <w:sz w:val="21"/>
                <w:szCs w:val="21"/>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(58,763 )</w:t>
            </w:r>
          </w:p>
        </w:tc>
      </w:tr>
      <w:tr>
        <w:trPr>
          <w:trHeight w:val="241"/>
        </w:trPr>
        <w:tc>
          <w:tcPr>
            <w:tcW w:w="8120" w:type="dxa"/>
            <w:vAlign w:val="bottom"/>
          </w:tcPr>
          <w:p>
            <w:pPr>
              <w:ind w:left="20"/>
              <w:spacing w:after="0"/>
              <w:rPr>
                <w:sz w:val="20"/>
                <w:szCs w:val="20"/>
                <w:color w:val="auto"/>
              </w:rPr>
            </w:pPr>
            <w:r>
              <w:rPr>
                <w:rFonts w:ascii="Arial" w:cs="Arial" w:eastAsia="Arial" w:hAnsi="Arial"/>
                <w:sz w:val="18"/>
                <w:szCs w:val="18"/>
                <w:color w:val="auto"/>
              </w:rPr>
              <w:t>Other comprehensive items: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1"/>
        </w:trPr>
        <w:tc>
          <w:tcPr>
            <w:tcW w:w="81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gain (loss) on marketable securities</w:t>
            </w:r>
          </w:p>
        </w:tc>
        <w:tc>
          <w:tcPr>
            <w:tcW w:w="3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FF0FC"/>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(72 )</w:t>
            </w:r>
          </w:p>
        </w:tc>
      </w:tr>
      <w:tr>
        <w:trPr>
          <w:trHeight w:val="20"/>
        </w:trPr>
        <w:tc>
          <w:tcPr>
            <w:tcW w:w="8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(72 )</w:t>
            </w:r>
          </w:p>
        </w:tc>
      </w:tr>
      <w:tr>
        <w:trPr>
          <w:trHeight w:val="263"/>
        </w:trPr>
        <w:tc>
          <w:tcPr>
            <w:tcW w:w="8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(75,797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CFF"/>
            </w:tcBorders>
            <w:shd w:val="clear" w:color="auto" w:fill="CCECFF"/>
          </w:tcPr>
          <w:p>
            <w:pPr>
              <w:spacing w:after="0"/>
              <w:rPr>
                <w:sz w:val="22"/>
                <w:szCs w:val="22"/>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6041390</wp:posOffset>
            </wp:positionH>
            <wp:positionV relativeFrom="paragraph">
              <wp:posOffset>-2833370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-2833370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-2525395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-1908810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-1908810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-1309370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-1292225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-1309370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-1292225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-967105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-949960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-333375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7" w:name="page128"/>
    <w:bookmarkEnd w:id="127"/>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40" w:type="dxa"/>
            <w:vAlign w:val="bottom"/>
          </w:tcPr>
          <w:p>
            <w:pPr>
              <w:spacing w:after="0"/>
              <w:rPr>
                <w:sz w:val="21"/>
                <w:szCs w:val="21"/>
                <w:color w:val="auto"/>
              </w:rPr>
            </w:pPr>
          </w:p>
        </w:tc>
        <w:tc>
          <w:tcPr>
            <w:tcW w:w="17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Accumulated</w:t>
            </w: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22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78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Other</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7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Comprehensive</w:t>
            </w: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87"/>
        </w:trPr>
        <w:tc>
          <w:tcPr>
            <w:tcW w:w="3280" w:type="dxa"/>
            <w:vAlign w:val="bottom"/>
          </w:tcPr>
          <w:p>
            <w:pPr>
              <w:spacing w:after="0"/>
              <w:rPr>
                <w:sz w:val="7"/>
                <w:szCs w:val="7"/>
                <w:color w:val="auto"/>
              </w:rPr>
            </w:pPr>
          </w:p>
        </w:tc>
        <w:tc>
          <w:tcPr>
            <w:tcW w:w="2220" w:type="dxa"/>
            <w:vAlign w:val="bottom"/>
            <w:tcBorders>
              <w:bottom w:val="single" w:sz="8" w:color="auto"/>
            </w:tcBorders>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Deficit</w:t>
            </w:r>
          </w:p>
        </w:tc>
        <w:tc>
          <w:tcPr>
            <w:tcW w:w="17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Loss Amount</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37,771,918</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$406,555</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$(210,900)</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$(72)</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195,583</w:t>
            </w:r>
          </w:p>
        </w:tc>
        <w:tc>
          <w:tcPr>
            <w:tcW w:w="0" w:type="dxa"/>
            <w:vAlign w:val="bottom"/>
          </w:tcPr>
          <w:p>
            <w:pPr>
              <w:spacing w:after="0"/>
              <w:rPr>
                <w:sz w:val="1"/>
                <w:szCs w:val="1"/>
                <w:color w:val="auto"/>
              </w:rPr>
            </w:pPr>
          </w:p>
        </w:tc>
      </w:tr>
      <w:tr>
        <w:trPr>
          <w:trHeight w:val="177"/>
        </w:trPr>
        <w:tc>
          <w:tcPr>
            <w:tcW w:w="3280" w:type="dxa"/>
            <w:vAlign w:val="bottom"/>
          </w:tcPr>
          <w:p>
            <w:pPr>
              <w:ind w:left="20"/>
              <w:spacing w:after="0" w:line="177" w:lineRule="exact"/>
              <w:rPr>
                <w:sz w:val="20"/>
                <w:szCs w:val="20"/>
                <w:color w:val="auto"/>
              </w:rPr>
            </w:pPr>
            <w:r>
              <w:rPr>
                <w:rFonts w:ascii="Arial" w:cs="Arial" w:eastAsia="Arial" w:hAnsi="Arial"/>
                <w:sz w:val="18"/>
                <w:szCs w:val="18"/>
                <w:color w:val="auto"/>
              </w:rPr>
              <w:t>Issuance of common stock - follow-on</w:t>
            </w: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280" w:type="dxa"/>
            <w:vAlign w:val="bottom"/>
          </w:tcPr>
          <w:p>
            <w:pPr>
              <w:ind w:left="20"/>
              <w:spacing w:after="0"/>
              <w:rPr>
                <w:sz w:val="20"/>
                <w:szCs w:val="20"/>
                <w:color w:val="auto"/>
              </w:rPr>
            </w:pPr>
            <w:r>
              <w:rPr>
                <w:rFonts w:ascii="Arial" w:cs="Arial" w:eastAsia="Arial" w:hAnsi="Arial"/>
                <w:sz w:val="18"/>
                <w:szCs w:val="18"/>
                <w:color w:val="auto"/>
              </w:rPr>
              <w:t>offering, net of issuance costs of $444</w:t>
            </w:r>
          </w:p>
        </w:tc>
        <w:tc>
          <w:tcPr>
            <w:tcW w:w="13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92,616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92,616</w:t>
            </w:r>
          </w:p>
        </w:tc>
        <w:tc>
          <w:tcPr>
            <w:tcW w:w="0" w:type="dxa"/>
            <w:vAlign w:val="bottom"/>
          </w:tcPr>
          <w:p>
            <w:pPr>
              <w:spacing w:after="0"/>
              <w:rPr>
                <w:sz w:val="1"/>
                <w:szCs w:val="1"/>
                <w:color w:val="auto"/>
              </w:rPr>
            </w:pPr>
          </w:p>
        </w:tc>
      </w:tr>
      <w:tr>
        <w:trPr>
          <w:trHeight w:val="197"/>
        </w:trPr>
        <w:tc>
          <w:tcPr>
            <w:tcW w:w="32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Issuance of common stock under ATM</w:t>
            </w:r>
          </w:p>
        </w:tc>
        <w:tc>
          <w:tcPr>
            <w:tcW w:w="1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net of issuance costs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261,807</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197"/>
        </w:trPr>
        <w:tc>
          <w:tcPr>
            <w:tcW w:w="32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Employee Stock Purchase Plan</w:t>
            </w:r>
          </w:p>
        </w:tc>
        <w:tc>
          <w:tcPr>
            <w:tcW w:w="1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Vesting of restricted stock</w:t>
            </w:r>
          </w:p>
        </w:tc>
        <w:tc>
          <w:tcPr>
            <w:tcW w:w="1340" w:type="dxa"/>
            <w:vAlign w:val="bottom"/>
          </w:tcPr>
          <w:p>
            <w:pPr>
              <w:jc w:val="right"/>
              <w:spacing w:after="0"/>
              <w:rPr>
                <w:sz w:val="20"/>
                <w:szCs w:val="20"/>
                <w:color w:val="auto"/>
              </w:rPr>
            </w:pPr>
            <w:r>
              <w:rPr>
                <w:rFonts w:ascii="Arial" w:cs="Arial" w:eastAsia="Arial" w:hAnsi="Arial"/>
                <w:sz w:val="18"/>
                <w:szCs w:val="18"/>
                <w:color w:val="auto"/>
              </w:rPr>
              <w:t>43,162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exercises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258,990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197"/>
        </w:trPr>
        <w:tc>
          <w:tcPr>
            <w:tcW w:w="3280" w:type="dxa"/>
            <w:vAlign w:val="bottom"/>
          </w:tcPr>
          <w:p>
            <w:pPr>
              <w:ind w:left="20"/>
              <w:spacing w:after="0" w:line="197" w:lineRule="exact"/>
              <w:rPr>
                <w:sz w:val="20"/>
                <w:szCs w:val="20"/>
                <w:color w:val="auto"/>
              </w:rPr>
            </w:pPr>
            <w:r>
              <w:rPr>
                <w:rFonts w:ascii="Arial" w:cs="Arial" w:eastAsia="Arial" w:hAnsi="Arial"/>
                <w:sz w:val="18"/>
                <w:szCs w:val="18"/>
                <w:color w:val="auto"/>
              </w:rPr>
              <w:t>Unrealized gain on marketable</w:t>
            </w:r>
          </w:p>
        </w:tc>
        <w:tc>
          <w:tcPr>
            <w:tcW w:w="1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611</w:t>
            </w:r>
          </w:p>
        </w:tc>
        <w:tc>
          <w:tcPr>
            <w:tcW w:w="1560" w:type="dxa"/>
            <w:vAlign w:val="bottom"/>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(76,408)</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(76,408)</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49,350,788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512,617</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(287,308)</w:t>
            </w: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225,848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40" w:type="dxa"/>
            <w:vAlign w:val="bottom"/>
          </w:tcPr>
          <w:p>
            <w:pPr>
              <w:spacing w:after="0"/>
              <w:rPr>
                <w:sz w:val="24"/>
                <w:szCs w:val="24"/>
                <w:color w:val="auto"/>
              </w:rPr>
            </w:pPr>
          </w:p>
        </w:tc>
        <w:tc>
          <w:tcPr>
            <w:tcW w:w="17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Accumulated</w:t>
            </w: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22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78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Other</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178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Comprehensive</w:t>
            </w: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87"/>
        </w:trPr>
        <w:tc>
          <w:tcPr>
            <w:tcW w:w="3280" w:type="dxa"/>
            <w:vAlign w:val="bottom"/>
          </w:tcPr>
          <w:p>
            <w:pPr>
              <w:spacing w:after="0"/>
              <w:rPr>
                <w:sz w:val="7"/>
                <w:szCs w:val="7"/>
                <w:color w:val="auto"/>
              </w:rPr>
            </w:pPr>
          </w:p>
        </w:tc>
        <w:tc>
          <w:tcPr>
            <w:tcW w:w="2220" w:type="dxa"/>
            <w:vAlign w:val="bottom"/>
            <w:tcBorders>
              <w:bottom w:val="single" w:sz="8" w:color="auto"/>
            </w:tcBorders>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Deficit</w:t>
            </w:r>
          </w:p>
        </w:tc>
        <w:tc>
          <w:tcPr>
            <w:tcW w:w="17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Loss Amount</w:t>
            </w: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December 31, 2021</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29,211,643</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$304,452</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$(152,137)</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152,315</w:t>
            </w:r>
          </w:p>
        </w:tc>
        <w:tc>
          <w:tcPr>
            <w:tcW w:w="0" w:type="dxa"/>
            <w:vAlign w:val="bottom"/>
          </w:tcPr>
          <w:p>
            <w:pPr>
              <w:spacing w:after="0"/>
              <w:rPr>
                <w:sz w:val="1"/>
                <w:szCs w:val="1"/>
                <w:color w:val="auto"/>
              </w:rPr>
            </w:pPr>
          </w:p>
        </w:tc>
      </w:tr>
      <w:tr>
        <w:trPr>
          <w:trHeight w:val="177"/>
        </w:trPr>
        <w:tc>
          <w:tcPr>
            <w:tcW w:w="3280" w:type="dxa"/>
            <w:vAlign w:val="bottom"/>
          </w:tcPr>
          <w:p>
            <w:pPr>
              <w:ind w:left="20"/>
              <w:spacing w:after="0" w:line="177" w:lineRule="exact"/>
              <w:rPr>
                <w:sz w:val="20"/>
                <w:szCs w:val="20"/>
                <w:color w:val="auto"/>
              </w:rPr>
            </w:pPr>
            <w:r>
              <w:rPr>
                <w:rFonts w:ascii="Arial" w:cs="Arial" w:eastAsia="Arial" w:hAnsi="Arial"/>
                <w:sz w:val="18"/>
                <w:szCs w:val="18"/>
                <w:color w:val="auto"/>
              </w:rPr>
              <w:t>Issuance of common stock - follow-on</w:t>
            </w:r>
          </w:p>
        </w:tc>
        <w:tc>
          <w:tcPr>
            <w:tcW w:w="1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280" w:type="dxa"/>
            <w:vAlign w:val="bottom"/>
          </w:tcPr>
          <w:p>
            <w:pPr>
              <w:ind w:left="20"/>
              <w:spacing w:after="0"/>
              <w:rPr>
                <w:sz w:val="20"/>
                <w:szCs w:val="20"/>
                <w:color w:val="auto"/>
              </w:rPr>
            </w:pPr>
            <w:r>
              <w:rPr>
                <w:rFonts w:ascii="Arial" w:cs="Arial" w:eastAsia="Arial" w:hAnsi="Arial"/>
                <w:sz w:val="18"/>
                <w:szCs w:val="18"/>
                <w:color w:val="auto"/>
              </w:rPr>
              <w:t>offering, net of issuance costs of $263</w:t>
            </w:r>
          </w:p>
        </w:tc>
        <w:tc>
          <w:tcPr>
            <w:tcW w:w="1340" w:type="dxa"/>
            <w:vAlign w:val="bottom"/>
          </w:tcPr>
          <w:p>
            <w:pPr>
              <w:jc w:val="right"/>
              <w:spacing w:after="0"/>
              <w:rPr>
                <w:sz w:val="20"/>
                <w:szCs w:val="20"/>
                <w:color w:val="auto"/>
              </w:rPr>
            </w:pPr>
            <w:r>
              <w:rPr>
                <w:rFonts w:ascii="Arial" w:cs="Arial" w:eastAsia="Arial" w:hAnsi="Arial"/>
                <w:sz w:val="18"/>
                <w:szCs w:val="18"/>
                <w:color w:val="auto"/>
              </w:rPr>
              <w:t>7,705,000</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86,650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86,650</w:t>
            </w:r>
          </w:p>
        </w:tc>
        <w:tc>
          <w:tcPr>
            <w:tcW w:w="0" w:type="dxa"/>
            <w:vAlign w:val="bottom"/>
          </w:tcPr>
          <w:p>
            <w:pPr>
              <w:spacing w:after="0"/>
              <w:rPr>
                <w:sz w:val="1"/>
                <w:szCs w:val="1"/>
                <w:color w:val="auto"/>
              </w:rPr>
            </w:pPr>
          </w:p>
        </w:tc>
      </w:tr>
      <w:tr>
        <w:trPr>
          <w:trHeight w:val="197"/>
        </w:trPr>
        <w:tc>
          <w:tcPr>
            <w:tcW w:w="32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Issuance of common stock under ATM</w:t>
            </w:r>
          </w:p>
        </w:tc>
        <w:tc>
          <w:tcPr>
            <w:tcW w:w="1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7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net of issuance costs of $336</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732,189</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8,549</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8,549</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6,412</w:t>
            </w:r>
          </w:p>
        </w:tc>
        <w:tc>
          <w:tcPr>
            <w:tcW w:w="1340" w:type="dxa"/>
            <w:vAlign w:val="bottom"/>
          </w:tcPr>
          <w:p>
            <w:pPr>
              <w:spacing w:after="0"/>
              <w:rPr>
                <w:sz w:val="19"/>
                <w:szCs w:val="19"/>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Vesting of restricted stock</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51,444</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Stock option exercises</w:t>
            </w:r>
          </w:p>
        </w:tc>
        <w:tc>
          <w:tcPr>
            <w:tcW w:w="1340" w:type="dxa"/>
            <w:vAlign w:val="bottom"/>
          </w:tcPr>
          <w:p>
            <w:pPr>
              <w:jc w:val="right"/>
              <w:spacing w:after="0"/>
              <w:rPr>
                <w:sz w:val="20"/>
                <w:szCs w:val="20"/>
                <w:color w:val="auto"/>
              </w:rPr>
            </w:pPr>
            <w:r>
              <w:rPr>
                <w:rFonts w:ascii="Arial" w:cs="Arial" w:eastAsia="Arial" w:hAnsi="Arial"/>
                <w:sz w:val="18"/>
                <w:szCs w:val="18"/>
                <w:color w:val="auto"/>
              </w:rPr>
              <w:t>71,642</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3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marketable securities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(72)</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(58,763)</w:t>
            </w:r>
          </w:p>
        </w:tc>
        <w:tc>
          <w:tcPr>
            <w:tcW w:w="1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(58,763)</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2022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37,771,918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$406,555</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$(210,900)</w:t>
            </w: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$195,583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47"/>
        </w:trPr>
        <w:tc>
          <w:tcPr>
            <w:tcW w:w="7740" w:type="dxa"/>
            <w:vAlign w:val="bottom"/>
            <w:gridSpan w:val="2"/>
          </w:tcPr>
          <w:p>
            <w:pPr>
              <w:jc w:val="center"/>
              <w:ind w:left="3370"/>
              <w:spacing w:after="0"/>
              <w:rPr>
                <w:sz w:val="20"/>
                <w:szCs w:val="20"/>
                <w:color w:val="auto"/>
              </w:rPr>
            </w:pPr>
            <w:r>
              <w:rPr>
                <w:rFonts w:ascii="Arial" w:cs="Arial" w:eastAsia="Arial" w:hAnsi="Arial"/>
                <w:sz w:val="18"/>
                <w:szCs w:val="18"/>
                <w:b w:val="1"/>
                <w:bCs w:val="1"/>
                <w:color w:val="auto"/>
                <w:w w:val="99"/>
              </w:rPr>
              <w:t>Aura Biosciences, Inc.</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4"/>
        </w:trPr>
        <w:tc>
          <w:tcPr>
            <w:tcW w:w="7740" w:type="dxa"/>
            <w:vAlign w:val="bottom"/>
            <w:gridSpan w:val="2"/>
          </w:tcPr>
          <w:p>
            <w:pPr>
              <w:jc w:val="center"/>
              <w:ind w:left="3370"/>
              <w:spacing w:after="0"/>
              <w:rPr>
                <w:sz w:val="20"/>
                <w:szCs w:val="20"/>
                <w:color w:val="auto"/>
              </w:rPr>
            </w:pPr>
            <w:r>
              <w:rPr>
                <w:rFonts w:ascii="Arial" w:cs="Arial" w:eastAsia="Arial" w:hAnsi="Arial"/>
                <w:sz w:val="18"/>
                <w:szCs w:val="18"/>
                <w:b w:val="1"/>
                <w:bCs w:val="1"/>
                <w:color w:val="auto"/>
              </w:rPr>
              <w:t>Consolidated Statements of 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7"/>
        </w:trPr>
        <w:tc>
          <w:tcPr>
            <w:tcW w:w="7740" w:type="dxa"/>
            <w:vAlign w:val="bottom"/>
            <w:gridSpan w:val="2"/>
          </w:tcPr>
          <w:p>
            <w:pPr>
              <w:jc w:val="center"/>
              <w:ind w:left="3370"/>
              <w:spacing w:after="0"/>
              <w:rPr>
                <w:sz w:val="20"/>
                <w:szCs w:val="20"/>
                <w:color w:val="auto"/>
              </w:rPr>
            </w:pPr>
            <w:r>
              <w:rPr>
                <w:rFonts w:ascii="Arial" w:cs="Arial" w:eastAsia="Arial" w:hAnsi="Arial"/>
                <w:sz w:val="18"/>
                <w:szCs w:val="18"/>
                <w:b w:val="1"/>
                <w:bCs w:val="1"/>
                <w:color w:val="auto"/>
                <w:w w:val="99"/>
              </w:rPr>
              <w:t>(in thousands)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74"/>
        </w:trPr>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Twelve Months Ended</w:t>
            </w:r>
          </w:p>
        </w:tc>
      </w:tr>
      <w:tr>
        <w:trPr>
          <w:trHeight w:val="235"/>
        </w:trPr>
        <w:tc>
          <w:tcPr>
            <w:tcW w:w="7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(76,408 )</w:t>
            </w:r>
          </w:p>
        </w:tc>
        <w:tc>
          <w:tcPr>
            <w:tcW w:w="16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(58,763 )</w:t>
            </w: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80"/>
              <w:spacing w:after="0"/>
              <w:rPr>
                <w:sz w:val="20"/>
                <w:szCs w:val="20"/>
                <w:color w:val="auto"/>
              </w:rPr>
            </w:pPr>
            <w:r>
              <w:rPr>
                <w:rFonts w:ascii="Arial" w:cs="Arial" w:eastAsia="Arial" w:hAnsi="Arial"/>
                <w:sz w:val="18"/>
                <w:szCs w:val="18"/>
                <w:color w:val="auto"/>
              </w:rPr>
              <w:t>Depreciation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Accretion on marketable securities</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(3,992 )</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(527 )</w:t>
            </w:r>
          </w:p>
        </w:tc>
      </w:tr>
      <w:tr>
        <w:trPr>
          <w:trHeight w:val="229"/>
        </w:trPr>
        <w:tc>
          <w:tcPr>
            <w:tcW w:w="774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(Loss) gain on disposal of property and equipment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(22 )</w:t>
            </w:r>
          </w:p>
        </w:tc>
      </w:tr>
      <w:tr>
        <w:trPr>
          <w:trHeight w:val="229"/>
        </w:trPr>
        <w:tc>
          <w:tcPr>
            <w:tcW w:w="7740" w:type="dxa"/>
            <w:vAlign w:val="bottom"/>
            <w:gridSpan w:val="2"/>
          </w:tcPr>
          <w:p>
            <w:pPr>
              <w:ind w:left="280"/>
              <w:spacing w:after="0"/>
              <w:rPr>
                <w:sz w:val="20"/>
                <w:szCs w:val="20"/>
                <w:color w:val="auto"/>
              </w:rPr>
            </w:pPr>
            <w:r>
              <w:rPr>
                <w:rFonts w:ascii="Arial" w:cs="Arial" w:eastAsia="Arial" w:hAnsi="Arial"/>
                <w:sz w:val="18"/>
                <w:szCs w:val="18"/>
                <w:color w:val="auto"/>
              </w:rPr>
              <w:t>Non-cash lease expense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7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(3,253 )</w:t>
            </w:r>
          </w:p>
        </w:tc>
      </w:tr>
      <w:tr>
        <w:trPr>
          <w:trHeight w:val="229"/>
        </w:trPr>
        <w:tc>
          <w:tcPr>
            <w:tcW w:w="77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Other long-term assets</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(86 )</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(423 )</w:t>
            </w:r>
          </w:p>
        </w:tc>
      </w:tr>
      <w:tr>
        <w:trPr>
          <w:trHeight w:val="229"/>
        </w:trPr>
        <w:tc>
          <w:tcPr>
            <w:tcW w:w="7740" w:type="dxa"/>
            <w:vAlign w:val="bottom"/>
            <w:gridSpan w:val="2"/>
          </w:tcPr>
          <w:p>
            <w:pPr>
              <w:ind w:left="7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(1,040 )</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78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(1,322 )</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(744 )</w:t>
            </w: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40" w:type="dxa"/>
            <w:vAlign w:val="bottom"/>
            <w:gridSpan w:val="2"/>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(63,847 )</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(54,601 )</w:t>
            </w:r>
          </w:p>
        </w:tc>
      </w:tr>
      <w:tr>
        <w:trPr>
          <w:trHeight w:val="223"/>
        </w:trPr>
        <w:tc>
          <w:tcPr>
            <w:tcW w:w="774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(709 )</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(1,094 )</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Purchase of marketable securities</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(233,651 )</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(119,784 )</w:t>
            </w:r>
          </w:p>
        </w:tc>
      </w:tr>
      <w:tr>
        <w:trPr>
          <w:trHeight w:val="229"/>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Maturities of marketable securities</w:t>
            </w: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120,397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gridSpan w:val="2"/>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(113,963 )</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(67,869 )</w:t>
            </w:r>
          </w:p>
        </w:tc>
      </w:tr>
      <w:tr>
        <w:trPr>
          <w:trHeight w:val="22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ATM facility, net of issuance costs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8,549</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Proceeds from follow-on issuance of common stock</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92,616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86,650</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ESPP purchase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tcBorders>
              <w:top w:val="single" w:sz="8" w:color="CFF0FC"/>
            </w:tcBorders>
            <w:gridSpan w:val="2"/>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97,290</w:t>
            </w: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95,629</w:t>
            </w:r>
          </w:p>
        </w:tc>
        <w:tc>
          <w:tcPr>
            <w:tcW w:w="100" w:type="dxa"/>
            <w:vAlign w:val="bottom"/>
            <w:tcBorders>
              <w:top w:val="single" w:sz="8" w:color="CFF0FC"/>
            </w:tcBorders>
          </w:tcPr>
          <w:p>
            <w:pPr>
              <w:spacing w:after="0"/>
              <w:rPr>
                <w:sz w:val="19"/>
                <w:szCs w:val="19"/>
                <w:color w:val="auto"/>
              </w:rPr>
            </w:pPr>
          </w:p>
        </w:tc>
      </w:tr>
      <w:tr>
        <w:trPr>
          <w:trHeight w:val="223"/>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(80,520 )</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(26,841 )</w:t>
            </w: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149,211</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41,850</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122,370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75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Purchases of property and equipment in accounts payable and accrued expenses and other</w:t>
            </w:r>
          </w:p>
        </w:tc>
        <w:tc>
          <w:tcPr>
            <w:tcW w:w="160" w:type="dxa"/>
            <w:vAlign w:val="bottom"/>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FF0FC"/>
          </w:tcPr>
          <w:p>
            <w:pPr>
              <w:spacing w:after="0"/>
              <w:rPr>
                <w:sz w:val="20"/>
                <w:szCs w:val="20"/>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Initial measurement of right-of-use assets and lease liabilities</w:t>
            </w:r>
          </w:p>
        </w:tc>
        <w:tc>
          <w:tcPr>
            <w:tcW w:w="16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21,210</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Loss on termination of operating lease</w:t>
            </w:r>
          </w:p>
        </w:tc>
        <w:tc>
          <w:tcPr>
            <w:tcW w:w="360" w:type="dxa"/>
            <w:vAlign w:val="bottom"/>
          </w:tcPr>
          <w:p>
            <w:pPr>
              <w:spacing w:after="0"/>
              <w:rPr>
                <w:sz w:val="19"/>
                <w:szCs w:val="19"/>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Disposal of equipment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-3115945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-3115945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-2525395</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-2525395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-1634490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-1634490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-1026795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-1009650</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-1026795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-1009650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right="320"/>
        <w:spacing w:after="0" w:line="252"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such amounts shown in the unaudited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0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41,063</w:t>
            </w:r>
          </w:p>
        </w:tc>
        <w:tc>
          <w:tcPr>
            <w:tcW w:w="7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121,582</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Short-term restricted cash, end of period</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restricted cash, end of period</w:t>
            </w: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41,850</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122,370</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-179070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29" w:name="page130"/>
    <w:bookmarkEnd w:id="129"/>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Aura Biosciences, Inc., or the Company or Aura, is a clinical-stage biotechnology company developing precision immunotherapies to treat a range of solid tumors designed to preserve the function of organs afflicted with cancer. Within these consolidated financial statements, unless the context otherwise requires, references to the Company or Aura refer to Aura Biosciences, Inc. and its subsidiaries on a consolidated basis. The Company’s initial focus is in ocular and urologic oncology, both areas of high unmet medical need where local targeted therapies may enable early intervention. The Company’s proprietary platform is designed to enable the targeting of a broad range of solid tumors using Virus-Like Particles, or VLPs, that can be conjugated with drugs or loaded with nucleic acids to create Virus-Like Drug Conjugates, or VDCs. The Company’s VDCs are largely agnostic to tumor type and can recognize a subset of modified tumor associated glycosaminoglycans that are part of the heparan sulphate chain of HSPGs expressed on the cell surface of many tumor cells and in the tumor microenvironment. The Company’s lead candidate bel-sar is in late-stage clinical development for the treatment of patients with primary choroidal melanoma, and other ocular oncology indications as well as in early-stage clinical development in bladder cancer. The Company intends to assess the safety and efficacy of bel-sar in treating a range of other solid tumors, including bladder cancer as an alternative to Bacillus Calmette–Guérin therapy. Aura’s headquarters are located in Boston, Massachusetts.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and collaborative partners, competition, customer demand, management of growth, and the effectiveness of marketing by the Company.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74"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Through December 31, 2023, the Company has funded its operations primarily with proceeds from the initial and additional closings of its convertible preferred stock financings, and through its IPO, follow-on offering and at-the-market offering, or ATM. On November 9, 2023, the Company issued and sold 11,000,000 shares of common stock at a price to the public of $9.00 per share for aggregate gross proceeds of $99.0 million, or the 2023 Follow-On Offering. The Company received approximately $92.6 million in net proceeds from the 2023 Follow-On Offering after deducting underwriting discounts and commissions and offering expenses. On December 5, 2022, the Company issued and sold 7,705,000 shares of common stock, including the full exercise of the underwriters’ option to purchase additional shares at a price to the public of $12.00 per share for aggregate gross proceeds of $92.5 million, or the 2022 Follow-On Offering. The Company received approximately $86.7 million in net proceeds from the 2022 Follow-On Offering after deducting underwriting discounts, commissions and offering expenses. On November 1, 2022, the Company filed a shelf registration statement on Form S-3, or the 2022 Shelf, with the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The Company issued 261,807 shares of common stock at an average price of $12.49 for aggregate gross proceeds of $3.3 million during the year ended December 31, 2023 under the ATM. In addition, the Company issued 732,189 shares of common stock at an average price of $12.51 for aggregate gross proceeds of $9.2 million as of December 31, 2022 under the ATM. In connection with the 2023 Follow-On Offering, on November 6, 2023, the Company delivered written notice to Jefferies that the Company was suspending and terminating the prospectus related to the shares issuable in the ATM pursuant to the terms of the Sales Agreement. As a result, the Company will not make any sales of its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30" w:name="page131"/>
    <w:bookmarkEnd w:id="130"/>
    <w:p>
      <w:pPr>
        <w:jc w:val="both"/>
        <w:ind w:firstLine="509"/>
        <w:spacing w:after="0" w:line="246" w:lineRule="auto"/>
        <w:rPr>
          <w:sz w:val="20"/>
          <w:szCs w:val="20"/>
          <w:color w:val="auto"/>
        </w:rPr>
      </w:pPr>
      <w:r>
        <w:rPr>
          <w:rFonts w:ascii="Arial" w:cs="Arial" w:eastAsia="Arial" w:hAnsi="Arial"/>
          <w:sz w:val="18"/>
          <w:szCs w:val="18"/>
          <w:color w:val="auto"/>
        </w:rPr>
        <w:t>As of the issuance date of these consolidated financial statements for the year ended December 31, 2023,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or U.S. GAAP. The consolidated financial statements include those accounts of the Company and its subsidiaries after elimination of all intercompany accounts and transactions.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of assets and liabilities and disclosure of contingent assets and liabilities at the date of the consolidated financial statements and the reported amounts of expenses during the reporting period. Significant items subject to such estimates and assumptions include the fair value of stock-based compensation and accrued research and development costs. Management bases its estimates on historical experience and on various other market-specific relevant assumptions that management believes to be reasonable under the circumstances. Actual results could differ from those estimates.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operating exclusively in the United States.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74" w:lineRule="exact"/>
        <w:rPr>
          <w:sz w:val="20"/>
          <w:szCs w:val="20"/>
          <w:color w:val="auto"/>
        </w:rPr>
      </w:pPr>
    </w:p>
    <w:p>
      <w:pPr>
        <w:jc w:val="both"/>
        <w:ind w:right="20" w:firstLine="509"/>
        <w:spacing w:after="0" w:line="252" w:lineRule="auto"/>
        <w:rPr>
          <w:sz w:val="20"/>
          <w:szCs w:val="20"/>
          <w:color w:val="auto"/>
        </w:rPr>
      </w:pPr>
      <w:r>
        <w:rPr>
          <w:rFonts w:ascii="Arial" w:cs="Arial" w:eastAsia="Arial" w:hAnsi="Arial"/>
          <w:sz w:val="18"/>
          <w:szCs w:val="18"/>
          <w:color w:val="auto"/>
        </w:rPr>
        <w:t>Cash consists of standard checking accounts. As of December 31, 2023, the restricted cash account is comprised of a $0.8 million security deposit held by the lessor for the Company’s operating lease, and a less than $0.02 million deposit that is collateral for the Company’s corporate credit card.</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Cash equivalents are highly liquid investments with an original maturity of 90 days or less at the date of purchase and consist of time deposits and investments in money market funds that invest in U.S. Treasury obligations and government funds with commercial banks and financial institutions.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31" w:name="page132"/>
    <w:bookmarkEnd w:id="131"/>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61" w:lineRule="exact"/>
        <w:rPr>
          <w:sz w:val="20"/>
          <w:szCs w:val="20"/>
          <w:color w:val="auto"/>
        </w:rPr>
      </w:pPr>
    </w:p>
    <w:p>
      <w:pPr>
        <w:jc w:val="both"/>
        <w:ind w:firstLine="509"/>
        <w:spacing w:after="0" w:line="251" w:lineRule="auto"/>
        <w:rPr>
          <w:sz w:val="20"/>
          <w:szCs w:val="20"/>
          <w:color w:val="auto"/>
        </w:rPr>
      </w:pPr>
      <w:r>
        <w:rPr>
          <w:rFonts w:ascii="Arial" w:cs="Arial" w:eastAsia="Arial" w:hAnsi="Arial"/>
          <w:sz w:val="17"/>
          <w:szCs w:val="17"/>
          <w:color w:val="auto"/>
        </w:rPr>
        <w:t>All marketable securities have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When the fair value is below the amortized cost of the asset, an estimate of expected credit losses is made. The credit-related impairment amount is recognized in net income (loss); the remaining impairment amount and unrealized gains are reported as a component of accumulated other comprehensive items in stockholders’ equity. Credit losses are recognized through the use of an allowance for credit losses account and subsequent improvements in expected credit losses are recognized as a reversal of an amount in the allowance for credit losses account. If the Company has the intent to sell the security or it is more likely than not that the Company will be required to sell the security prior to recovery of its amortized cost basis, then the allowance for the credit loss is written-off and the excess of the amortized cost basis of the asset over its fair value is recorded in the consolidated statements of operations and comprehensive loss. Regardless of the Company’s intent to sell a security, it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 Unrealized gains and losses are reported as the accumulated other comprehensive items in stockholders’ equity. Amortization and accretion of premiums and discounts are recorded in other income (expense) within the consolidated statements of operations and comprehensive loss. Realized gains or losses are included in interest income or interest expense, respectively. If any adjustment to fair value reflects a decline in value of the investment, the Company considers all available evidence such as industry, financial inputs, and capital markets data to evaluate the extent to which the decline is other than temporary and, if so, marks the investment to market on the Company’s consolidated statement of operations and comprehensive loss.</w:t>
      </w:r>
    </w:p>
    <w:p>
      <w:pPr>
        <w:spacing w:after="0" w:line="3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Accounting Standards Codification 820, Fair Value Measurement, or ASC 820, establishes a fair value hierarchy for instruments measured at fair value that distinguishes between assumptions based on market data (observable inputs) and the Company’s own assumptions (unobservable inputs).</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2" w:lineRule="exact"/>
        <w:rPr>
          <w:sz w:val="20"/>
          <w:szCs w:val="20"/>
          <w:color w:val="auto"/>
        </w:rPr>
      </w:pPr>
    </w:p>
    <w:p>
      <w:pPr>
        <w:ind w:left="1020" w:hanging="368"/>
        <w:spacing w:after="0"/>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Level 1—Inputs are quoted prices (unadjusted) in active markets for identical assets or liabilities.</w:t>
      </w:r>
    </w:p>
    <w:p>
      <w:pPr>
        <w:spacing w:after="0" w:line="3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Level 2—Inputs are inputs other than quoted prices included within Level 1 that are observable for the asset or liability, either directly or indirectly.</w:t>
      </w:r>
    </w:p>
    <w:p>
      <w:pPr>
        <w:jc w:val="both"/>
        <w:ind w:left="1020" w:hanging="368"/>
        <w:spacing w:after="0" w:line="252" w:lineRule="auto"/>
        <w:tabs>
          <w:tab w:leader="none" w:pos="102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color w:val="auto"/>
        </w:rPr>
        <w:t>Level 3—Inputs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70"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2" w:name="page133"/>
    <w:bookmarkEnd w:id="132"/>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6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and cash equivalents. The Company maintains its cash in bank deposit accounts which, at times, may exceed federally insured limits. The Company has not experienced any losses in such accounts. The Company believes it is not exposed to any significant credit risk on cash.</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life of the assets. Upon sale or retirement, the cost and accumulated depreciation is eliminated from their respective accounts and the resulting gain or loss is included in income or loss for the period. Repair and maintenance expenditures are charged to expense as incurred. The estimated useful lives of the Company’s respective assets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40" w:type="dxa"/>
            <w:vAlign w:val="bottom"/>
          </w:tcPr>
          <w:p>
            <w:pPr>
              <w:spacing w:after="0"/>
              <w:rPr>
                <w:sz w:val="20"/>
                <w:szCs w:val="20"/>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Estimated Useful Life</w:t>
            </w:r>
          </w:p>
        </w:tc>
      </w:tr>
      <w:tr>
        <w:trPr>
          <w:trHeight w:val="190"/>
        </w:trPr>
        <w:tc>
          <w:tcPr>
            <w:tcW w:w="674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Leasehold improvements</w:t>
            </w:r>
          </w:p>
        </w:tc>
        <w:tc>
          <w:tcPr>
            <w:tcW w:w="450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The shorter of the life of the leasehold improvement or</w:t>
            </w:r>
          </w:p>
        </w:tc>
      </w:tr>
      <w:tr>
        <w:trPr>
          <w:trHeight w:val="235"/>
        </w:trPr>
        <w:tc>
          <w:tcPr>
            <w:tcW w:w="6740" w:type="dxa"/>
            <w:vAlign w:val="bottom"/>
            <w:shd w:val="clear" w:color="auto" w:fill="CFF0FC"/>
          </w:tcPr>
          <w:p>
            <w:pPr>
              <w:spacing w:after="0"/>
              <w:rPr>
                <w:sz w:val="20"/>
                <w:szCs w:val="20"/>
                <w:color w:val="auto"/>
              </w:rPr>
            </w:pPr>
          </w:p>
        </w:tc>
        <w:tc>
          <w:tcPr>
            <w:tcW w:w="4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 remaining term of the lease</w:t>
            </w: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IT equipment</w:t>
            </w:r>
          </w:p>
        </w:tc>
        <w:tc>
          <w:tcPr>
            <w:tcW w:w="4500" w:type="dxa"/>
            <w:vAlign w:val="bottom"/>
          </w:tcPr>
          <w:p>
            <w:pPr>
              <w:jc w:val="center"/>
              <w:spacing w:after="0"/>
              <w:rPr>
                <w:sz w:val="20"/>
                <w:szCs w:val="20"/>
                <w:color w:val="auto"/>
              </w:rPr>
            </w:pPr>
            <w:r>
              <w:rPr>
                <w:rFonts w:ascii="Arial" w:cs="Arial" w:eastAsia="Arial" w:hAnsi="Arial"/>
                <w:sz w:val="18"/>
                <w:szCs w:val="18"/>
                <w:color w:val="auto"/>
                <w:w w:val="98"/>
              </w:rPr>
              <w:t>3 years</w:t>
            </w:r>
          </w:p>
        </w:tc>
      </w:tr>
      <w:tr>
        <w:trPr>
          <w:trHeight w:val="229"/>
        </w:trPr>
        <w:tc>
          <w:tcPr>
            <w:tcW w:w="6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4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5 years</w:t>
            </w: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Office furniture</w:t>
            </w:r>
          </w:p>
        </w:tc>
        <w:tc>
          <w:tcPr>
            <w:tcW w:w="4500" w:type="dxa"/>
            <w:vAlign w:val="bottom"/>
          </w:tcPr>
          <w:p>
            <w:pPr>
              <w:jc w:val="center"/>
              <w:spacing w:after="0"/>
              <w:rPr>
                <w:sz w:val="20"/>
                <w:szCs w:val="20"/>
                <w:color w:val="auto"/>
              </w:rPr>
            </w:pPr>
            <w:r>
              <w:rPr>
                <w:rFonts w:ascii="Arial" w:cs="Arial" w:eastAsia="Arial" w:hAnsi="Arial"/>
                <w:sz w:val="18"/>
                <w:szCs w:val="18"/>
                <w:color w:val="auto"/>
                <w:w w:val="98"/>
              </w:rPr>
              <w:t>7 years</w:t>
            </w:r>
          </w:p>
        </w:tc>
      </w:tr>
    </w:tbl>
    <w:p>
      <w:pPr>
        <w:spacing w:after="0" w:line="17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Costs for capital assets not yet placed into service are capitalized as assets under construction and depreciated in accordance with the above guidelines once placed into service. Upon retirement or disposal of property and equipment, the cost and related accumulated depreciation are removed from the consolidated balance sheet and any gain or loss is reflected in the consolidated statements of operations and comprehensive loss.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reviews all long-lived assets for impairment whenever events or circumstances indicate the carrying amount of such assets may not be recoverable. Recoverability of assets to be held and used is measured by comparison of the carrying value of the assets to the future undiscounted net cash flows expected to be generated by the asset. If such asset is considered to be unrecoverable, the impairment recognized is measured by the difference between the estimated fair value of the asset and its carrying value. The Company did not recognize any impairments during the years ended December 31, 2023 or 2022.</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The Company accrues costs for clinical trial activities and contract manufacturers based upon estimates of the services received and related expenses incurred that have yet to be invoiced by the contract research organizations, clinical study sites, contract manufacturers, laboratories, consultants, or other vendors that perform the activities.</w:t>
      </w:r>
    </w:p>
    <w:p>
      <w:pPr>
        <w:spacing w:after="0" w:line="182"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Such amounts are expensed as the goods are delivered or the related services are performed or until it is no longer expected that the goods will be delivered, or the services rendered.</w:t>
      </w:r>
    </w:p>
    <w:p>
      <w:pPr>
        <w:spacing w:after="0" w:line="17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Costs incurred in obtaining technology licenses are recognized as research and development expense as incurred if the technology licensed has not reached technological feasibility and has no alternative future uses.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and Trademark Costs</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All patents and trademark related costs incurred in connection with filing and prosecuting patent and trademark applications are expensed as incurred due to uncertainty about the recovery of the expenditure. Amounts incurred are classified as general and administrative expenses in the consolidated statements of operations and comprehensive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3" w:name="page134"/>
    <w:bookmarkEnd w:id="133"/>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0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Effective January 1, 2021, the Company accounts for leases in accordance with ASU No. 2016-02, Leases (Topic 842), or ASC 842. At contract inception, the Company determines if an arrangement is or contains a lease. A lease conveys the right to control the use of an identified asset for a period of time in exchange for consideration. If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 For each lease with a term greater than twelve months, the Company records a right-of-use asset and lease liability.</w:t>
      </w:r>
    </w:p>
    <w:p>
      <w:pPr>
        <w:spacing w:after="0" w:line="18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right-of-use asset represents the economic benefit conveyed to the Company by the right to use the underlying asset over the lease term. A lease liability represents the obligation to make lease payments arising from the lease. The Company elected the practical expedient to not separate lease and non-lease components for all classes of underlying assets and therefore measures each lease payment as the total of the fixed lease and associated non-lease components. Lease liabilities are measured at lease commencement and calculated as the present value of the future lease payments in the contract using the rate implicit in the contract, when available. If an implicit rate is not readily determinable, the Company uses an incremental borrowing rate measured as the rate at which the Company could borrow, on a fully collateralized basis, a commensurate loan in the same currency over a period consistent with the lease term at the commencement date. Right-of-use assets are measured as the lease liability plus initial direct costs and prepaid lease payments, less lease incentives granted by the lessor. The lease term is measured as the noncancelable period in the contract, adjusted for any options to extend or terminate when it is reasonably certain the Company will extend the lease term via such options based on an assessment of economic factors present as of the lease commencement date. The Company elected the practical expedient to not recognize leases with a lease term of twelve months or less.</w:t>
      </w:r>
    </w:p>
    <w:p>
      <w:pPr>
        <w:spacing w:after="0" w:line="18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non-lease components together as a single lease component for all underlying assets and allocate all of the contract consideration to the lease component only.</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Company’s operating leases are presented in the consolidated balance sheet as operating lease right-of-use assets, classified as noncurrent assets, and operating lease liabilities, classified as current and noncurrent liabilities. Operating lease expense is recognized on a straight-line basis over the lease term. Variable costs associated with a lease, such as maintenance and utilities, are not included in the measurement of the lease liabilities and right-of-use assets but rather are expensed when the events determining the amount of variable consideration to be paid have occurred.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Company’s consolidated financial statements and/or tax returns. Deferred tax assets and liabilities are based upon the differences between the financial statement carrying amounts and the tax bases of existing assets and liabilities and for loss and credit carryforwards using enacted tax rates expected to be in effect in the years in which the differences are expected to reverse. Deferred tax assets are reduced by a valuation allowance if it is more likely than not that some portion or all the deferred tax asset will not be realized.</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provides reserves related to uncertain tax positions when management determines the related tax benefit is not more likely than not to be realized. The determination as to whether the tax benefit will more likely than not be realized is based upon the technical merits of the tax position as well as the consideration of the available facts and circumstances. The Company has no reserves related to uncertain tax positions as of December 31, 2023 and 2022.</w:t>
      </w:r>
    </w:p>
    <w:p>
      <w:pPr>
        <w:spacing w:after="0" w:line="17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Interest and penalty charges, if any, related to uncertain tax positions would be classified as income tax expense in the accompanying consolidated statements of operations and comprehensive loss. As of December 31, 2023 and 2022 the Company had no accrued interest related to uncertain tax positions.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4" w:name="page135"/>
    <w:bookmarkEnd w:id="134"/>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preferred stock or common stock financings as deferred offering costs until such financings are consummated. After the closing of the IPO, follow-on offering and the ATM draw downs, these costs were recorded in stockholders' equity as a reduction of additional paid-in capital generated as a result of the financings.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stock-based compensation expense for all stock-based awards based on their grant date fair value.</w:t>
      </w:r>
    </w:p>
    <w:p>
      <w:pPr>
        <w:spacing w:after="0" w:line="21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recognizes compensation expense over the requisite service period, which is generally the vesting period of the award. For awards that include performance-based vesting conditions, expense is recognized using the accelerated attribution method when the performance condition is deemed to be probable of being satisfied. As of December 31, 2023, the Company has no performance-based awards. The Company accounts for forfeitures as they occur. The Company determines the fair value of restricted stock awards in reference to the fair value of its common stock less any applicable purchase price.</w:t>
      </w:r>
    </w:p>
    <w:p>
      <w:pPr>
        <w:spacing w:after="0" w:line="17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Company determines the volatility for awards granted based on an analysis of reported data for a group of guideline companies that have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using the midpoint between the vesting date and the contractual term.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18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Net loss per share attributable to common stockholders is computed by using the two-class method, which is an earnings allocation formula that determines loss per share for the holders of the Company’s common stock and participating securities. All series of preferred stock contain participation rights in any dividend declared or accumulated by the Company and are deemed to be participating securities. Income available to common stockholders and participating convertible preferred stock is allocated to each share on an as-converted basis as if all of the earnings for the period had been distributed. The participating securities do not include a contractual obligation to share in losses of the Company and are not included in the calculation of net loss per share in the periods that have a net loss.</w:t>
      </w:r>
    </w:p>
    <w:p>
      <w:pPr>
        <w:spacing w:after="0" w:line="18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Diluted net income per share is computed using the if-converted method. The Company allocates earnings first to preferred stockholders based on dividend rights and then to common and preferred stockholders based on ownership interests. The weighted-average number of common stock included in the computation of diluted loss gives effect to all potentially dilutive common equivalent shares, including outstanding stock options, warrants, and convertible preferred stock. Common stock equivalent shares are excluded from the computation of diluted loss per share if their effect is antidilutive.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5" w:name="page136"/>
    <w:bookmarkEnd w:id="135"/>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the Financial Accounting Standards Board, or FASB, deferred the timelines for certain small public and private entities, thus the new guidance will be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adopted this standard on January 1, 2023 and the standard did not have a material impact on its results of operations, financial condition, and financial statement disclosures.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0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accounting standards that have been issued or proposed by FASB or other standards-setting bodies that do not require adoption until a future date are not expected to have a material impact on the Company’s consolidated financial statements upon adoption.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76"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2023 and 2022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Quoted prices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Significant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Significant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active markets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observable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observable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14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assets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2023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Financial assets</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40,551</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40,551</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166,002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166,002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6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Yankee bonds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4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financial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225,638</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40,551</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185,087</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Quoted prices</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7"/>
              </w:rPr>
              <w:t>Significant</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Significant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7"/>
              </w:rPr>
              <w:t>active markets</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8"/>
              </w:rPr>
              <w:t>observable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observable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7"/>
                <w:szCs w:val="17"/>
                <w:color w:val="auto"/>
              </w:rPr>
            </w:pPr>
          </w:p>
        </w:tc>
        <w:tc>
          <w:tcPr>
            <w:tcW w:w="144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assets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inputs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2022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FF0FC"/>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Financial assets</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118,582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118,582</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416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18,099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FF0FC"/>
            </w:tcBorders>
            <w:shd w:val="clear" w:color="auto" w:fill="CFF0FC"/>
          </w:tcPr>
          <w:p>
            <w:pPr>
              <w:spacing w:after="0"/>
              <w:rPr>
                <w:sz w:val="19"/>
                <w:szCs w:val="19"/>
                <w:color w:val="auto"/>
              </w:rPr>
            </w:pPr>
          </w:p>
        </w:tc>
        <w:tc>
          <w:tcPr>
            <w:tcW w:w="4160" w:type="dxa"/>
            <w:vAlign w:val="bottom"/>
            <w:tcBorders>
              <w:bottom w:val="single" w:sz="8" w:color="CFF0FC"/>
            </w:tcBorders>
            <w:gridSpan w:val="2"/>
            <w:shd w:val="clear" w:color="auto" w:fill="CFF0FC"/>
          </w:tcPr>
          <w:p>
            <w:pPr>
              <w:ind w:left="360"/>
              <w:spacing w:after="0"/>
              <w:rPr>
                <w:sz w:val="20"/>
                <w:szCs w:val="20"/>
                <w:color w:val="auto"/>
              </w:rPr>
            </w:pPr>
            <w:r>
              <w:rPr>
                <w:rFonts w:ascii="Arial" w:cs="Arial" w:eastAsia="Arial" w:hAnsi="Arial"/>
                <w:sz w:val="18"/>
                <w:szCs w:val="18"/>
                <w:color w:val="auto"/>
              </w:rPr>
              <w:t>U.S. Government agencies</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21,654</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21,654</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185,811</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118,582</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67,229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ind w:left="1100"/>
              <w:spacing w:after="0"/>
              <w:rPr>
                <w:sz w:val="20"/>
                <w:szCs w:val="20"/>
                <w:color w:val="auto"/>
              </w:rPr>
            </w:pPr>
            <w:r>
              <w:rPr>
                <w:rFonts w:ascii="Arial" w:cs="Arial" w:eastAsia="Arial" w:hAnsi="Arial"/>
                <w:sz w:val="18"/>
                <w:szCs w:val="18"/>
                <w:color w:val="auto"/>
              </w:rPr>
              <w:t>F-13</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8"/>
        </w:trPr>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-2936240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-2919095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-2936240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-2919095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-2936240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-2919095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-2919095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-1061085</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4808220</wp:posOffset>
            </wp:positionH>
            <wp:positionV relativeFrom="paragraph">
              <wp:posOffset>-1061085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-1061085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There have been no transfers between levels for the years ended December 31, 2023 and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40" w:type="dxa"/>
            <w:vAlign w:val="bottom"/>
          </w:tcPr>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2"/>
        </w:trPr>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24"/>
                <w:szCs w:val="24"/>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IT equipment</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Less—accumulated depreciation</w:t>
            </w:r>
          </w:p>
        </w:tc>
        <w:tc>
          <w:tcPr>
            <w:tcW w:w="1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(5,036 )</w:t>
            </w: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(3,864 )</w:t>
            </w:r>
          </w:p>
        </w:tc>
      </w:tr>
      <w:tr>
        <w:trPr>
          <w:trHeight w:val="223"/>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28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top w:val="single" w:sz="8" w:color="CFF0FC"/>
            </w:tcBorders>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-487680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-179070</wp:posOffset>
            </wp:positionV>
            <wp:extent cx="768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$1.3 million and $1.2 million for the years ended December 31,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7"/>
                <w:szCs w:val="17"/>
                <w:color w:val="auto"/>
              </w:rPr>
            </w:pPr>
          </w:p>
        </w:tc>
        <w:tc>
          <w:tcPr>
            <w:tcW w:w="1640" w:type="dxa"/>
            <w:vAlign w:val="bottom"/>
            <w:gridSpan w:val="6"/>
          </w:tcPr>
          <w:p>
            <w:pPr>
              <w:ind w:left="1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1,399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2,409</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5,625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6. Marketable Securities</w:t>
            </w: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5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800" w:type="dxa"/>
            <w:vAlign w:val="bottom"/>
          </w:tcPr>
          <w:p>
            <w:pPr>
              <w:ind w:left="520"/>
              <w:spacing w:after="0"/>
              <w:rPr>
                <w:sz w:val="20"/>
                <w:szCs w:val="20"/>
                <w:color w:val="auto"/>
              </w:rPr>
            </w:pPr>
            <w:r>
              <w:rPr>
                <w:rFonts w:ascii="Arial" w:cs="Arial" w:eastAsia="Arial" w:hAnsi="Arial"/>
                <w:sz w:val="18"/>
                <w:szCs w:val="18"/>
                <w:color w:val="auto"/>
              </w:rPr>
              <w:t>Marketable securities consist of the following (in thousands):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December 31, 2023</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90"/>
              <w:spacing w:after="0" w:line="190"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spacing w:after="0" w:line="190"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5"/>
          </w:tcPr>
          <w:p>
            <w:pPr>
              <w:jc w:val="center"/>
              <w:ind w:right="280"/>
              <w:spacing w:after="0" w:line="190"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spacing w:after="0" w:line="190" w:lineRule="exact"/>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165,453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Yankee bonds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184,548</w:t>
            </w:r>
          </w:p>
        </w:tc>
        <w:tc>
          <w:tcPr>
            <w:tcW w:w="1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(27 )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2022</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90"/>
              <w:spacing w:after="0" w:line="190"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3"/>
          </w:tcPr>
          <w:p>
            <w:pPr>
              <w:jc w:val="center"/>
              <w:spacing w:after="0" w:line="190"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5"/>
          </w:tcPr>
          <w:p>
            <w:pPr>
              <w:jc w:val="center"/>
              <w:ind w:right="280"/>
              <w:spacing w:after="0" w:line="190"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spacing w:after="0" w:line="190" w:lineRule="exact"/>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800" w:type="dxa"/>
            <w:vAlign w:val="bottom"/>
            <w:vMerge w:val="restart"/>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27,476</w:t>
            </w:r>
          </w:p>
        </w:tc>
        <w:tc>
          <w:tcPr>
            <w:tcW w:w="240" w:type="dxa"/>
            <w:vAlign w:val="bottom"/>
            <w:gridSpan w:val="2"/>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(92 )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21,635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67,302</w:t>
            </w:r>
          </w:p>
        </w:tc>
        <w:tc>
          <w:tcPr>
            <w:tcW w:w="12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(93 )</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-3312795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-1249680</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-1232535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-1249680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-1232535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-1249680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-1232535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-24765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4465955</wp:posOffset>
            </wp:positionH>
            <wp:positionV relativeFrom="paragraph">
              <wp:posOffset>-7620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6212840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As of December 31, 2023, the unrealized losses on the Company’s investments in commercial paper, corporate bonds, U.S. government agencies securities, Yankee bonds, and asset-backed securities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37" w:name="page138"/>
    <w:bookmarkEnd w:id="137"/>
    <w:p>
      <w:pPr>
        <w:ind w:right="180" w:firstLine="509"/>
        <w:spacing w:after="0" w:line="271" w:lineRule="auto"/>
        <w:rPr>
          <w:sz w:val="20"/>
          <w:szCs w:val="20"/>
          <w:color w:val="auto"/>
        </w:rPr>
      </w:pPr>
      <w:r>
        <w:rPr>
          <w:rFonts w:ascii="Arial" w:cs="Arial" w:eastAsia="Arial" w:hAnsi="Arial"/>
          <w:sz w:val="18"/>
          <w:szCs w:val="18"/>
          <w:color w:val="auto"/>
        </w:rPr>
        <w:t>As of December 31, 2023, 13 marketable securities with contractual maturities of one year or less were in an unrealized loss position totaling $0.03 million.</w:t>
      </w:r>
    </w:p>
    <w:p>
      <w:pPr>
        <w:spacing w:after="0" w:line="220"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As of December 31, 2023, $0.03 million unrealized losses were associated with marketable securities with contractual maturities of one year or less.</w:t>
      </w:r>
    </w:p>
    <w:p>
      <w:pPr>
        <w:spacing w:after="0" w:line="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As of December 31, 2023, all marketable securities held by the Company had remaining contractual maturities of one year or less, except for asset-backed securities and U.S. government agencies securities with a fair value of $58.7 million that had maturities of one to two years.</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impairments of the Company’s assets measured and carried at fair value during the year ended December 31, 2023.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74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2"/>
        </w:trPr>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2,705</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7,883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-179070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had 150,000,000 authorized shares of common stock, par value $0.00001 per share, of which 49,350,788 and 37,771,918 shares were issued and outstanding at December 31, 2023 and 2022, respectively.</w:t>
      </w:r>
    </w:p>
    <w:p>
      <w:pPr>
        <w:spacing w:after="0" w:line="20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addition, the Company had 10,000,000 authorized shares of preferred stock, par value $0.00001 per share, all of which shares of preferred stock will be undesignated. No authorized shares of preferred stock were issued and outstanding at December 31, 2023 and December 31,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Financings</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On November 9, 2023, the Company issued and sold 11,000,000 shares of common stock at a price to the public of $9.00 per share for aggregate gross proceeds of $99.0 million in the 2023 Follow-On Offering. The Company received approximately $92.6 million in net proceeds from the 2023 Follow-On Offering after deducting underwriting discounts and commissions and offering expenses.</w:t>
      </w:r>
    </w:p>
    <w:p>
      <w:pPr>
        <w:spacing w:after="0" w:line="22"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On December 5, 2022, the Company issued and sold 7,705,000 shares of common stock, including the full exercise of the underwriters’ option to purchase additional shares at a price to the public of $12.00 per share for aggregate gross proceeds of $92.5 million in the 2022 Follow-On Offering. The Company received approximately $86.7 million in net proceeds from the 2022 Follow-On Offering after deducting underwriting discounts, commissions and offering expenses.</w:t>
      </w:r>
    </w:p>
    <w:p>
      <w:pPr>
        <w:spacing w:after="0" w:line="2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261,807 shares of common stock at an average price of $12.49 for aggregate gross proceeds of $3.3 million during the year ended December 31, 2023 under the ATM. In addition, the Company issued 732,189 shares of common stock at an average price of $12.51 for aggregate gross proceeds of $9.2 million as of December 31, 2022 under the ATM.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9. Stock-Based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2023, the shares reserved for issuance was increased to 6,850,986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2023, the shares reserved for issuance was increased to 962,550 shares. The purchase price of the shares under the ESPP are at 85% of the lower of the fair market value of the Company’s common stock on the first trading day of the offering period or on the purchase date. As of December 31, 2023, 947,639 shares were available to be issued under the ESPP. The Company recognized $0.1 million share-based compensation expense related to the ESPP for the year ended December 31,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With the transfer of the available options from the 2018 Plan to the 2021 Plan, there were 3,307,871 options available for grant under the 2021 Plan at December 31, 2023.</w:t>
      </w:r>
    </w:p>
    <w:p>
      <w:pPr>
        <w:spacing w:after="0" w:line="1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spacing w:after="0" w:line="2" w:lineRule="exact"/>
        <w:rPr>
          <w:sz w:val="20"/>
          <w:szCs w:val="20"/>
          <w:color w:val="auto"/>
        </w:rPr>
      </w:pPr>
    </w:p>
    <w:p>
      <w:pPr>
        <w:ind w:left="1020" w:hanging="368"/>
        <w:spacing w:after="0"/>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48"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ind w:left="1020" w:hanging="368"/>
        <w:spacing w:after="0"/>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34" w:lineRule="exact"/>
        <w:rPr>
          <w:rFonts w:ascii="Times New Roman" w:cs="Times New Roman" w:eastAsia="Times New Roman" w:hAnsi="Times New Roman"/>
          <w:sz w:val="18"/>
          <w:szCs w:val="18"/>
          <w:color w:val="auto"/>
        </w:rPr>
      </w:pPr>
    </w:p>
    <w:p>
      <w:pPr>
        <w:ind w:left="1020" w:hanging="368"/>
        <w:spacing w:after="0" w:line="257" w:lineRule="auto"/>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ind w:left="1020" w:hanging="368"/>
        <w:spacing w:after="0"/>
        <w:tabs>
          <w:tab w:leader="none" w:pos="102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2018 Plan.</w:t>
      </w:r>
    </w:p>
    <w:p>
      <w:pPr>
        <w:spacing w:after="0" w:line="22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39" w:name="page140"/>
    <w:bookmarkEnd w:id="139"/>
    <w:p>
      <w:pPr>
        <w:ind w:left="520"/>
        <w:spacing w:after="0"/>
        <w:rPr>
          <w:sz w:val="20"/>
          <w:szCs w:val="20"/>
          <w:color w:val="auto"/>
        </w:rPr>
      </w:pPr>
      <w:r>
        <w:rPr>
          <w:rFonts w:ascii="Arial" w:cs="Arial" w:eastAsia="Arial" w:hAnsi="Arial"/>
          <w:sz w:val="18"/>
          <w:szCs w:val="18"/>
          <w:color w:val="auto"/>
        </w:rPr>
        <w:t>The following table summarizes stock option activity under the 2018 Plan and 2021 Plan for the year ended December 31,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Weighted-</w:t>
            </w: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2"/>
        </w:trPr>
        <w:tc>
          <w:tcPr>
            <w:tcW w:w="4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2"/>
        </w:trPr>
        <w:tc>
          <w:tcPr>
            <w:tcW w:w="4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5"/>
              </w:rPr>
              <w:t>Value</w:t>
            </w:r>
          </w:p>
        </w:tc>
      </w:tr>
      <w:tr>
        <w:trPr>
          <w:trHeight w:val="235"/>
        </w:trPr>
        <w:tc>
          <w:tcPr>
            <w:tcW w:w="4620" w:type="dxa"/>
            <w:vAlign w:val="bottom"/>
          </w:tcPr>
          <w:p>
            <w:pPr>
              <w:spacing w:after="0"/>
              <w:rPr>
                <w:sz w:val="20"/>
                <w:szCs w:val="20"/>
                <w:color w:val="auto"/>
              </w:rPr>
            </w:pPr>
          </w:p>
        </w:tc>
        <w:tc>
          <w:tcPr>
            <w:tcW w:w="17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Options</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100" w:type="dxa"/>
            <w:vAlign w:val="bottom"/>
          </w:tcPr>
          <w:p>
            <w:pPr>
              <w:spacing w:after="0"/>
              <w:rPr>
                <w:sz w:val="20"/>
                <w:szCs w:val="20"/>
                <w:color w:val="auto"/>
              </w:rPr>
            </w:pPr>
          </w:p>
        </w:tc>
      </w:tr>
      <w:tr>
        <w:trPr>
          <w:trHeight w:val="223"/>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4,303,336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16,204</w:t>
            </w: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1,608,975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(258,990 )</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(622,970 )</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2023</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5,030,351</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2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4620" w:type="dxa"/>
            <w:vAlign w:val="bottom"/>
          </w:tcPr>
          <w:p>
            <w:pPr>
              <w:ind w:left="20"/>
              <w:spacing w:after="0"/>
              <w:rPr>
                <w:sz w:val="20"/>
                <w:szCs w:val="20"/>
                <w:color w:val="auto"/>
              </w:rPr>
            </w:pPr>
            <w:r>
              <w:rPr>
                <w:rFonts w:ascii="Arial" w:cs="Arial" w:eastAsia="Arial" w:hAnsi="Arial"/>
                <w:sz w:val="18"/>
                <w:szCs w:val="18"/>
                <w:color w:val="auto"/>
              </w:rPr>
              <w:t>Exercisable at December 31, 2023</w:t>
            </w:r>
          </w:p>
        </w:tc>
        <w:tc>
          <w:tcPr>
            <w:tcW w:w="1700" w:type="dxa"/>
            <w:vAlign w:val="bottom"/>
          </w:tcPr>
          <w:p>
            <w:pPr>
              <w:jc w:val="right"/>
              <w:spacing w:after="0"/>
              <w:rPr>
                <w:sz w:val="20"/>
                <w:szCs w:val="20"/>
                <w:color w:val="auto"/>
              </w:rPr>
            </w:pPr>
            <w:r>
              <w:rPr>
                <w:rFonts w:ascii="Arial" w:cs="Arial" w:eastAsia="Arial" w:hAnsi="Arial"/>
                <w:sz w:val="18"/>
                <w:szCs w:val="18"/>
                <w:color w:val="auto"/>
              </w:rPr>
              <w:t>2,638,834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8,516</w:t>
            </w: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-196215</wp:posOffset>
            </wp:positionV>
            <wp:extent cx="768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-179070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-196215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5022850</wp:posOffset>
            </wp:positionH>
            <wp:positionV relativeFrom="paragraph">
              <wp:posOffset>-179070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-196215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-179070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both"/>
        <w:ind w:right="60" w:firstLine="509"/>
        <w:spacing w:after="0" w:line="252"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2023 and 2022 was $7.50 and $10.79 per share, respectively. The total intrinsic value of options exercised was $1.5 million and $0.8 million for the years ended December 31, 2023 and 2022, respectively.</w:t>
      </w:r>
    </w:p>
    <w:p>
      <w:pPr>
        <w:spacing w:after="0" w:line="171"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The fair value of the stock options issued as of December 31, 2023 and 2022 was measured with the following weighted-average assumptions: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7"/>
                <w:szCs w:val="17"/>
                <w:color w:val="auto"/>
              </w:rPr>
            </w:pPr>
          </w:p>
        </w:tc>
        <w:tc>
          <w:tcPr>
            <w:tcW w:w="3300" w:type="dxa"/>
            <w:vAlign w:val="bottom"/>
            <w:gridSpan w:val="6"/>
          </w:tcPr>
          <w:p>
            <w:pPr>
              <w:jc w:val="center"/>
              <w:ind w:right="70"/>
              <w:spacing w:after="0"/>
              <w:rPr>
                <w:sz w:val="20"/>
                <w:szCs w:val="20"/>
                <w:color w:val="auto"/>
              </w:rPr>
            </w:pPr>
            <w:r>
              <w:rPr>
                <w:rFonts w:ascii="Arial" w:cs="Arial" w:eastAsia="Arial" w:hAnsi="Arial"/>
                <w:sz w:val="18"/>
                <w:szCs w:val="18"/>
                <w:b w:val="1"/>
                <w:bCs w:val="1"/>
                <w:color w:val="auto"/>
                <w:w w:val="98"/>
              </w:rPr>
              <w:t>Twelve Months Ended</w:t>
            </w:r>
          </w:p>
        </w:tc>
      </w:tr>
      <w:tr>
        <w:trPr>
          <w:trHeight w:val="235"/>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0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40" w:type="dxa"/>
            <w:vAlign w:val="bottom"/>
          </w:tcPr>
          <w:p>
            <w:pPr>
              <w:jc w:val="right"/>
              <w:spacing w:after="0"/>
              <w:rPr>
                <w:sz w:val="20"/>
                <w:szCs w:val="20"/>
                <w:color w:val="auto"/>
              </w:rPr>
            </w:pPr>
            <w:r>
              <w:rPr>
                <w:rFonts w:ascii="Arial" w:cs="Arial" w:eastAsia="Arial" w:hAnsi="Arial"/>
                <w:sz w:val="18"/>
                <w:szCs w:val="18"/>
                <w:color w:val="auto"/>
              </w:rPr>
              <w:t>6.04</w:t>
            </w: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9"/>
                <w:szCs w:val="19"/>
                <w:color w:val="auto"/>
              </w:rPr>
            </w:pP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Expected volatility of the underlying stock</w:t>
            </w:r>
          </w:p>
        </w:tc>
        <w:tc>
          <w:tcPr>
            <w:tcW w:w="880" w:type="dxa"/>
            <w:vAlign w:val="bottom"/>
            <w:gridSpan w:val="2"/>
          </w:tcPr>
          <w:p>
            <w:pPr>
              <w:jc w:val="right"/>
              <w:ind w:right="70"/>
              <w:spacing w:after="0"/>
              <w:rPr>
                <w:sz w:val="20"/>
                <w:szCs w:val="20"/>
                <w:color w:val="auto"/>
              </w:rPr>
            </w:pPr>
            <w:r>
              <w:rPr>
                <w:rFonts w:ascii="Arial" w:cs="Arial" w:eastAsia="Arial" w:hAnsi="Arial"/>
                <w:sz w:val="18"/>
                <w:szCs w:val="18"/>
                <w:color w:val="auto"/>
              </w:rPr>
              <w:t>86.15 %</w:t>
            </w:r>
          </w:p>
        </w:tc>
        <w:tc>
          <w:tcPr>
            <w:tcW w:w="3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78.10 %</w:t>
            </w:r>
          </w:p>
        </w:tc>
      </w:tr>
      <w:tr>
        <w:trPr>
          <w:trHeight w:val="23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Expected dividend rate</w:t>
            </w:r>
          </w:p>
        </w:tc>
        <w:tc>
          <w:tcPr>
            <w:tcW w:w="1260" w:type="dxa"/>
            <w:vAlign w:val="bottom"/>
            <w:gridSpan w:val="3"/>
          </w:tcPr>
          <w:p>
            <w:pPr>
              <w:jc w:val="right"/>
              <w:ind w:right="54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-587375</wp:posOffset>
            </wp:positionV>
            <wp:extent cx="7132320" cy="145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The Company has granted restricted stock units with service-based vesting conditions. Unvested shares of restricted common stock may not be sold or transferred by the holder.</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 activity during the year ended December 31, 2023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Weighted-</w:t>
            </w:r>
          </w:p>
        </w:tc>
      </w:tr>
      <w:tr>
        <w:trPr>
          <w:trHeight w:val="202"/>
        </w:trPr>
        <w:tc>
          <w:tcPr>
            <w:tcW w:w="40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2"/>
        </w:trPr>
        <w:tc>
          <w:tcPr>
            <w:tcW w:w="40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900" w:type="dxa"/>
            <w:vAlign w:val="bottom"/>
            <w:gridSpan w:val="2"/>
          </w:tcPr>
          <w:p>
            <w:pPr>
              <w:jc w:val="right"/>
              <w:ind w:right="420"/>
              <w:spacing w:after="0" w:line="202" w:lineRule="exact"/>
              <w:rPr>
                <w:sz w:val="20"/>
                <w:szCs w:val="20"/>
                <w:color w:val="auto"/>
              </w:rPr>
            </w:pPr>
            <w:r>
              <w:rPr>
                <w:rFonts w:ascii="Arial" w:cs="Arial" w:eastAsia="Arial" w:hAnsi="Arial"/>
                <w:sz w:val="18"/>
                <w:szCs w:val="18"/>
                <w:b w:val="1"/>
                <w:bCs w:val="1"/>
                <w:color w:val="auto"/>
              </w:rPr>
              <w:t>Restricted Stock</w:t>
            </w:r>
          </w:p>
        </w:tc>
        <w:tc>
          <w:tcPr>
            <w:tcW w:w="164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Grant Date Fair</w:t>
            </w:r>
          </w:p>
        </w:tc>
      </w:tr>
      <w:tr>
        <w:trPr>
          <w:trHeight w:val="235"/>
        </w:trPr>
        <w:tc>
          <w:tcPr>
            <w:tcW w:w="40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6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Units</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Value</w:t>
            </w:r>
          </w:p>
        </w:tc>
        <w:tc>
          <w:tcPr>
            <w:tcW w:w="100" w:type="dxa"/>
            <w:vAlign w:val="bottom"/>
          </w:tcPr>
          <w:p>
            <w:pPr>
              <w:spacing w:after="0"/>
              <w:rPr>
                <w:sz w:val="20"/>
                <w:szCs w:val="20"/>
                <w:color w:val="auto"/>
              </w:rPr>
            </w:pPr>
          </w:p>
        </w:tc>
      </w:tr>
      <w:tr>
        <w:trPr>
          <w:trHeight w:val="223"/>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2022</w:t>
            </w:r>
          </w:p>
        </w:tc>
        <w:tc>
          <w:tcPr>
            <w:tcW w:w="5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153,950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Granted</w:t>
            </w:r>
          </w:p>
        </w:tc>
        <w:tc>
          <w:tcPr>
            <w:tcW w:w="5300" w:type="dxa"/>
            <w:vAlign w:val="bottom"/>
            <w:gridSpan w:val="2"/>
          </w:tcPr>
          <w:p>
            <w:pPr>
              <w:jc w:val="right"/>
              <w:spacing w:after="0"/>
              <w:rPr>
                <w:sz w:val="20"/>
                <w:szCs w:val="20"/>
                <w:color w:val="auto"/>
              </w:rPr>
            </w:pPr>
            <w:r>
              <w:rPr>
                <w:rFonts w:ascii="Arial" w:cs="Arial" w:eastAsia="Arial" w:hAnsi="Arial"/>
                <w:sz w:val="18"/>
                <w:szCs w:val="18"/>
                <w:color w:val="auto"/>
              </w:rPr>
              <w:t>1,110,820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r>
      <w:tr>
        <w:trPr>
          <w:trHeight w:val="229"/>
        </w:trPr>
        <w:tc>
          <w:tcPr>
            <w:tcW w:w="4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Vested/Released</w:t>
            </w:r>
          </w:p>
        </w:tc>
        <w:tc>
          <w:tcPr>
            <w:tcW w:w="55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(43,162 )</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680" w:type="dxa"/>
            <w:vAlign w:val="bottom"/>
          </w:tcPr>
          <w:p>
            <w:pPr>
              <w:spacing w:after="0"/>
              <w:rPr>
                <w:sz w:val="19"/>
                <w:szCs w:val="19"/>
                <w:color w:val="auto"/>
              </w:rPr>
            </w:pP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(128,206 )</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r>
      <w:tr>
        <w:trPr>
          <w:trHeight w:val="263"/>
        </w:trPr>
        <w:tc>
          <w:tcPr>
            <w:tcW w:w="4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December 31, 2023</w:t>
            </w:r>
          </w:p>
        </w:tc>
        <w:tc>
          <w:tcPr>
            <w:tcW w:w="368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1,093,402</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32"/>
        </w:trPr>
        <w:tc>
          <w:tcPr>
            <w:tcW w:w="4020" w:type="dxa"/>
            <w:vAlign w:val="bottom"/>
          </w:tcPr>
          <w:p>
            <w:pPr>
              <w:spacing w:after="0"/>
              <w:rPr>
                <w:sz w:val="24"/>
                <w:szCs w:val="24"/>
                <w:color w:val="auto"/>
              </w:rPr>
            </w:pPr>
          </w:p>
        </w:tc>
        <w:tc>
          <w:tcPr>
            <w:tcW w:w="5580" w:type="dxa"/>
            <w:vAlign w:val="bottom"/>
            <w:gridSpan w:val="3"/>
          </w:tcPr>
          <w:p>
            <w:pPr>
              <w:jc w:val="right"/>
              <w:ind w:right="3800"/>
              <w:spacing w:after="0"/>
              <w:rPr>
                <w:sz w:val="20"/>
                <w:szCs w:val="20"/>
                <w:color w:val="auto"/>
              </w:rPr>
            </w:pPr>
            <w:r>
              <w:rPr>
                <w:rFonts w:ascii="Arial" w:cs="Arial" w:eastAsia="Arial" w:hAnsi="Arial"/>
                <w:sz w:val="18"/>
                <w:szCs w:val="18"/>
                <w:color w:val="auto"/>
              </w:rPr>
              <w:t>F-17</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40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-915670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-898525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307" w:right="279" w:bottom="1440" w:gutter="0" w:footer="0" w:header="0"/>
        </w:sectPr>
      </w:pPr>
    </w:p>
    <w:bookmarkStart w:id="140" w:name="page141"/>
    <w:bookmarkEnd w:id="140"/>
    <w:p>
      <w:pPr>
        <w:jc w:val="both"/>
        <w:ind w:firstLine="509"/>
        <w:spacing w:after="0" w:line="271" w:lineRule="auto"/>
        <w:rPr>
          <w:sz w:val="20"/>
          <w:szCs w:val="20"/>
          <w:color w:val="auto"/>
        </w:rPr>
      </w:pPr>
      <w:r>
        <w:rPr>
          <w:rFonts w:ascii="Arial" w:cs="Arial" w:eastAsia="Arial" w:hAnsi="Arial"/>
          <w:sz w:val="18"/>
          <w:szCs w:val="18"/>
          <w:color w:val="auto"/>
        </w:rPr>
        <w:t>As a result of the 2021 Equity Incentive Plan, the Company granted restricted stock units which vest in increments of 25% annually over a period of four years. During the year ended December 31, 2023, 43,162 restricted stock units vested with a fair value of $0.6 million.</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p>
      <w:pPr>
        <w:spacing w:after="0" w:line="211"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Year Ended</w:t>
      </w:r>
    </w:p>
    <w:p>
      <w:pPr>
        <w:spacing w:after="0" w:line="13"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23"/>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CFF"/>
          </w:tcPr>
          <w:p>
            <w:pPr>
              <w:spacing w:after="0"/>
              <w:rPr>
                <w:sz w:val="19"/>
                <w:szCs w:val="19"/>
                <w:color w:val="auto"/>
              </w:rPr>
            </w:pPr>
          </w:p>
        </w:tc>
        <w:tc>
          <w:tcPr>
            <w:tcW w:w="104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100" w:type="dxa"/>
            <w:vAlign w:val="bottom"/>
            <w:shd w:val="clear" w:color="auto" w:fill="CFF0FC"/>
          </w:tcPr>
          <w:p>
            <w:pPr>
              <w:spacing w:after="0"/>
              <w:rPr>
                <w:sz w:val="19"/>
                <w:szCs w:val="19"/>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100" w:type="dxa"/>
            <w:vAlign w:val="bottom"/>
          </w:tcPr>
          <w:p>
            <w:pPr>
              <w:spacing w:after="0"/>
              <w:rPr>
                <w:sz w:val="19"/>
                <w:szCs w:val="19"/>
                <w:color w:val="auto"/>
              </w:rPr>
            </w:pPr>
          </w:p>
        </w:tc>
      </w:tr>
      <w:tr>
        <w:trPr>
          <w:trHeight w:val="263"/>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CFF"/>
            </w:tcBorders>
            <w:shd w:val="clear" w:color="auto" w:fill="CCECFF"/>
          </w:tcPr>
          <w:p>
            <w:pPr>
              <w:spacing w:after="0"/>
              <w:rPr>
                <w:sz w:val="22"/>
                <w:szCs w:val="22"/>
                <w:color w:val="auto"/>
              </w:rPr>
            </w:pPr>
          </w:p>
        </w:tc>
        <w:tc>
          <w:tcPr>
            <w:tcW w:w="104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8,772</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December 31, 2023, there was $15.1 million of unrecognized compensation expense related to stock options, which is expected to be recognized over a weighted-average period of 2.51 years.</w:t>
      </w:r>
    </w:p>
    <w:p>
      <w:pPr>
        <w:spacing w:after="0" w:line="139"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December 31, 2023, there was $9.4 million of unrecognized compensation expense related to restricted stock units, which is expected to be recognized over a weighted-average period of 3.09 years.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or the Series B Warrants. Each Series B Warrant was immediately exercisable and expires ten years from the original date of issuance. Pursuant to FASB ASC Topic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and remain outstanding as of December 31,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7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January 2012, the Company adopted the Aura Biosciences 401(k) Profit Sharing Plan and Trust, or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$0.7 million and $0.5 million for the years ended December 31, 2023 and 2022, respectively.</w:t>
      </w:r>
    </w:p>
    <w:p>
      <w:pPr>
        <w:spacing w:after="0" w:line="179" w:lineRule="exact"/>
        <w:rPr>
          <w:sz w:val="20"/>
          <w:szCs w:val="20"/>
          <w:color w:val="auto"/>
        </w:rPr>
      </w:pPr>
    </w:p>
    <w:p>
      <w:pPr>
        <w:ind w:left="520" w:right="8080" w:hanging="512"/>
        <w:spacing w:after="0" w:line="331" w:lineRule="auto"/>
        <w:tabs>
          <w:tab w:leader="none" w:pos="311"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jc w:val="both"/>
        <w:ind w:right="20" w:firstLine="509"/>
        <w:spacing w:after="0" w:line="252"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September 30, 2023 and one operating lease that was terminated in August 2022.</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which has not been deemed probable by the Company as of December 31, 2023. The lease commenced on August 1, 2022, and estimated payments due under the initial term total $35.2 million. The lease requires a letter of credit totaling $0.8 million which is classified as long-term restricted cash and deposits on the consolidated balance sheet. The landlord will reimburse the Company up to $0.5 million for certain costs related to expansion of the laboratory space. As of December 31, 2023, the Company has incurred $0.1 million of expenses related to the expansion, and has been reimbursed for $0.1 million of these expenses.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141" w:name="page142"/>
    <w:bookmarkEnd w:id="141"/>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years ended December 31, 2023 and 2022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8"/>
              </w:rPr>
              <w:t>Year Ended</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280" w:type="dxa"/>
            <w:vAlign w:val="bottom"/>
          </w:tcPr>
          <w:p>
            <w:pPr>
              <w:spacing w:after="0"/>
              <w:rPr>
                <w:sz w:val="21"/>
                <w:szCs w:val="21"/>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2023</w:t>
            </w:r>
          </w:p>
        </w:tc>
        <w:tc>
          <w:tcPr>
            <w:tcW w:w="14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7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22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3,517</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2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2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4,407</w:t>
            </w:r>
          </w:p>
        </w:tc>
        <w:tc>
          <w:tcPr>
            <w:tcW w:w="360" w:type="dxa"/>
            <w:vAlign w:val="bottom"/>
            <w:tcBorders>
              <w:bottom w:val="single" w:sz="8" w:color="CFF0FC"/>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3,145</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72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880" w:type="dxa"/>
            <w:vAlign w:val="bottom"/>
            <w:gridSpan w:val="2"/>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liabilities—operating leases</w:t>
            </w:r>
          </w:p>
        </w:tc>
        <w:tc>
          <w:tcPr>
            <w:tcW w:w="1240" w:type="dxa"/>
            <w:vAlign w:val="bottom"/>
            <w:gridSpan w:val="2"/>
            <w:shd w:val="clear" w:color="auto" w:fill="CFF0FC"/>
          </w:tcPr>
          <w:p>
            <w:pPr>
              <w:jc w:val="right"/>
              <w:ind w:right="87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3,002</w:t>
            </w:r>
          </w:p>
        </w:tc>
        <w:tc>
          <w:tcPr>
            <w:tcW w:w="58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Weighted-average remaining lease term—operating leases (years)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8.59</w:t>
            </w: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10.71 %</w:t>
            </w:r>
          </w:p>
        </w:tc>
        <w:tc>
          <w:tcPr>
            <w:tcW w:w="58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10.71 %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-589915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-572770</wp:posOffset>
            </wp:positionV>
            <wp:extent cx="768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-589915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4"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December 31, 2023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Operating lease</w:t>
            </w:r>
          </w:p>
        </w:tc>
      </w:tr>
      <w:tr>
        <w:trPr>
          <w:trHeight w:val="202"/>
        </w:trPr>
        <w:tc>
          <w:tcPr>
            <w:tcW w:w="9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9"/>
              </w:rPr>
              <w:t>payments as of</w:t>
            </w:r>
          </w:p>
        </w:tc>
      </w:tr>
      <w:tr>
        <w:trPr>
          <w:trHeight w:val="235"/>
        </w:trPr>
        <w:tc>
          <w:tcPr>
            <w:tcW w:w="9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December 31, 2023</w:t>
            </w: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top w:val="single" w:sz="8" w:color="auto"/>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r>
      <w:tr>
        <w:trPr>
          <w:trHeight w:val="229"/>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13,823</w:t>
            </w:r>
          </w:p>
        </w:tc>
        <w:tc>
          <w:tcPr>
            <w:tcW w:w="100" w:type="dxa"/>
            <w:vAlign w:val="bottom"/>
          </w:tcPr>
          <w:p>
            <w:pPr>
              <w:spacing w:after="0"/>
              <w:rPr>
                <w:sz w:val="19"/>
                <w:szCs w:val="19"/>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30,474</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(10,917 )</w:t>
            </w:r>
          </w:p>
        </w:tc>
      </w:tr>
      <w:tr>
        <w:trPr>
          <w:trHeight w:val="22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 at December 31, 2023</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Exclusive License and Supply Agreement</w:t>
      </w:r>
    </w:p>
    <w:p>
      <w:pPr>
        <w:spacing w:after="0" w:line="74" w:lineRule="exact"/>
        <w:rPr>
          <w:sz w:val="20"/>
          <w:szCs w:val="20"/>
          <w:color w:val="auto"/>
        </w:rPr>
      </w:pPr>
    </w:p>
    <w:p>
      <w:pPr>
        <w:jc w:val="both"/>
        <w:ind w:right="60" w:firstLine="509"/>
        <w:spacing w:after="0"/>
        <w:rPr>
          <w:sz w:val="20"/>
          <w:szCs w:val="20"/>
          <w:color w:val="auto"/>
        </w:rPr>
      </w:pPr>
      <w:r>
        <w:rPr>
          <w:rFonts w:ascii="Arial" w:cs="Arial" w:eastAsia="Arial" w:hAnsi="Arial"/>
          <w:sz w:val="18"/>
          <w:szCs w:val="18"/>
          <w:color w:val="auto"/>
        </w:rPr>
        <w:t>In January 2014, the Company entered into an Exclusive License and Supply Agreement, or the LI-COR Exclusive License agreement with LI-COR, Inc., or LI-COR, for the license of IRDye 700DC and related licensed patent (now expired) for the treatment and diagnosis of ocular cancers in humans as amended in January 2016, July 2017, April 2018 and April 2019. The LI-COR Exclusive License Agreement required a one-time upfront license issue fee of $0.1 million and aggregate milestone payments of up to $0.2 million upon certain regulatory and development milestones. The Company is also required to pay LI-COR low-single digit royalties on net sales. The term of the LI-COR Exclusive Agreement expires on a country-by-country basis, until the longer of (i) ten years from the first commercial sale of a licensed product in such country and (ii) the last to expire valid claim in such country.</w:t>
      </w:r>
    </w:p>
    <w:p>
      <w:pPr>
        <w:spacing w:after="0" w:line="34"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years ended December 31, 2023 and 2022.</w:t>
      </w:r>
    </w:p>
    <w:p>
      <w:pPr>
        <w:spacing w:after="0" w:line="15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Non-Exclusive License and Supply Agreement</w:t>
      </w:r>
    </w:p>
    <w:p>
      <w:pPr>
        <w:spacing w:after="0" w:line="61" w:lineRule="exact"/>
        <w:rPr>
          <w:sz w:val="20"/>
          <w:szCs w:val="20"/>
          <w:color w:val="auto"/>
        </w:rPr>
      </w:pPr>
    </w:p>
    <w:p>
      <w:pPr>
        <w:jc w:val="both"/>
        <w:ind w:right="60" w:firstLine="509"/>
        <w:spacing w:after="0" w:line="252" w:lineRule="auto"/>
        <w:rPr>
          <w:sz w:val="20"/>
          <w:szCs w:val="20"/>
          <w:color w:val="auto"/>
        </w:rPr>
      </w:pPr>
      <w:r>
        <w:rPr>
          <w:rFonts w:ascii="Arial" w:cs="Arial" w:eastAsia="Arial" w:hAnsi="Arial"/>
          <w:sz w:val="18"/>
          <w:szCs w:val="18"/>
          <w:color w:val="auto"/>
        </w:rPr>
        <w:t>In December 2014, the Company entered into a Non-Exclusive License Agreement with LI-COR for the supply of IRDye 700DX to the Company for the treatment and diagnosis of non-ocular solid tumor cancers in humans. Under the 2014 Non-Exclusive, the Company paid a license issue fee of $0.03 million on the effective date. The</w:t>
      </w:r>
    </w:p>
    <w:p>
      <w:pPr>
        <w:spacing w:after="0" w:line="17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7" w:right="279" w:bottom="1440" w:gutter="0" w:footer="0" w:header="0"/>
        </w:sectPr>
      </w:pPr>
    </w:p>
    <w:bookmarkStart w:id="142" w:name="page143"/>
    <w:bookmarkEnd w:id="142"/>
    <w:p>
      <w:pPr>
        <w:jc w:val="both"/>
        <w:spacing w:after="0" w:line="241" w:lineRule="auto"/>
        <w:rPr>
          <w:sz w:val="20"/>
          <w:szCs w:val="20"/>
          <w:color w:val="auto"/>
        </w:rPr>
      </w:pPr>
      <w:r>
        <w:rPr>
          <w:rFonts w:ascii="Arial" w:cs="Arial" w:eastAsia="Arial" w:hAnsi="Arial"/>
          <w:sz w:val="18"/>
          <w:szCs w:val="18"/>
          <w:color w:val="auto"/>
        </w:rPr>
        <w:t>Company must also pay LI-COR a non -refundable, non-creditable fee of $0.03 million per each licensed product upon pre-IND designation, as defined of such licensed product, aggregate milestone payments of up to $0.3 million upon certain regulatory and development milestones; and during the term, the Company must pay LI-COR a low-single digit percentage royalty on net sales. LI-COR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years ended December 31, 2023 and 2022, the Company recognized immaterial milestones related to this agreement.</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 License Agreement</w:t>
      </w:r>
    </w:p>
    <w:p>
      <w:pPr>
        <w:spacing w:after="0" w:line="7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3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years ended December 31, 2022 and 2021, the Company recognized $0.05 million and $0.1 million of expenses related to this agreement, respectively.</w:t>
      </w:r>
    </w:p>
    <w:p>
      <w:pPr>
        <w:spacing w:after="0" w:line="2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year ended December 31, 2023 and 2022, the Company recognized $0 million and $0.4 million of expenses related to this agreement.</w:t>
      </w:r>
    </w:p>
    <w:p>
      <w:pPr>
        <w:spacing w:after="0" w:line="38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(NIH)-Biologic Materials License Agreement</w:t>
      </w:r>
    </w:p>
    <w:p>
      <w:pPr>
        <w:spacing w:after="0" w:line="74"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December 2010, the Company entered into a Biologic Materials License Agreement with NIH for a non-exclusive right to use materials described in Schiller et al., Virology 2004 Apr.10, 321(2):205-16. This agreement required a one-time non-refundable license issuance fee of $0.02 million. No future milestone payments or royalties are due under this agreement.</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July 2011, the Company entered into a Collaboration Research and Development Agreement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first amended in 2012, 2013, 2014, 2015, 2016, 2018 and most recently in September of 2020. During the years ended December 31, 2023 and 2022, the Company paid no research collaboration fees related to this agreement.</w:t>
      </w:r>
    </w:p>
    <w:p>
      <w:pPr>
        <w:spacing w:after="0" w:line="34" w:lineRule="exact"/>
        <w:rPr>
          <w:sz w:val="20"/>
          <w:szCs w:val="20"/>
          <w:color w:val="auto"/>
        </w:rPr>
      </w:pPr>
    </w:p>
    <w:p>
      <w:pPr>
        <w:jc w:val="both"/>
        <w:ind w:firstLine="562"/>
        <w:spacing w:after="0" w:line="246" w:lineRule="auto"/>
        <w:rPr>
          <w:sz w:val="20"/>
          <w:szCs w:val="20"/>
          <w:color w:val="auto"/>
        </w:rPr>
      </w:pPr>
      <w:r>
        <w:rPr>
          <w:rFonts w:ascii="Arial" w:cs="Arial" w:eastAsia="Arial" w:hAnsi="Arial"/>
          <w:sz w:val="18"/>
          <w:szCs w:val="18"/>
          <w:color w:val="auto"/>
        </w:rPr>
        <w:t>A seventh amendment was made in October 2020, requiring payment of $0.04 million within 30 days of October 1, 2020, and another $0.03 million within 30 days of the 10th anniversary of the CRADA, which was paid in July 2021. This seventh amendment extended the term of the CRADA to September 30, 2022. The Company recognized no milestones related to this agreement and related amendments for the years ended December 31, 2023 and 2022.</w:t>
      </w:r>
    </w:p>
    <w:p>
      <w:pPr>
        <w:spacing w:after="0" w:line="4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An eighth amendment was effective in September 2022, requiring payment of $0.04 million within 30 days of November 1, 2022, and payment of another $0.03 million within 30 days of the 12th anniversary of the CRADA, which will be in August 2023. This eighth amendment extended the term of the CRADA to September 30, 2024. During the year ended December 31, 2023 and 2022, the Company recognized $0.03 million and $0.1 million of expenses related to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43" w:name="page144"/>
    <w:bookmarkEnd w:id="143"/>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The Company recognized $0.2 million and $0.02 million for patent licensing fees for the years ended December 31, 2023 and 2022, respectively.</w:t>
      </w:r>
    </w:p>
    <w:p>
      <w:pPr>
        <w:spacing w:after="0" w:line="50"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6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and those milestones have not been achieved as of December 31, 2022. Upon the sublicense by the Company of a product for which royalties are payable under the agreement, low- to mid-single-digit royalty payments would be due by the Company. The non-milestone payments in this agreement are subject to an anti-stacking clause. The Company recognized no expenses related to this agreement for the years ended December 31, 2023 and 2022, respectively.</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July 2019, the Company entered into an exclusive license agreement with Clearside Biomedical, Inc., or Clearside, for the license of Clearside’s Suprachoroidal Microneedle Technology for use in the treatment of indeterminate lesions and choroidal tumors. Upon execution of the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4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5"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Company recognized $1.0 million and $0 million related to this agreement and related amendments for the years ended December 31, 2023 and 2022.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4" w:name="page145"/>
    <w:bookmarkEnd w:id="144"/>
    <w:p>
      <w:pPr>
        <w:jc w:val="both"/>
        <w:ind w:right="20" w:firstLine="509"/>
        <w:spacing w:after="0" w:line="271" w:lineRule="auto"/>
        <w:rPr>
          <w:sz w:val="20"/>
          <w:szCs w:val="20"/>
          <w:color w:val="auto"/>
        </w:rPr>
      </w:pPr>
      <w:r>
        <w:rPr>
          <w:rFonts w:ascii="Arial" w:cs="Arial" w:eastAsia="Arial" w:hAnsi="Arial"/>
          <w:sz w:val="18"/>
          <w:szCs w:val="18"/>
          <w:color w:val="auto"/>
        </w:rPr>
        <w:t>The Company has calculated basic and diluted net loss per share for the years ended December 31, 2023 and 2022 as follows (in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7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(76,408 )</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(58,763 )</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Weighted-average common stock outstanding—basic and diluted</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39,620,036</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29,937,228</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(1.93 )</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(1.96 )</w:t>
            </w: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-24765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spacing w:after="0" w:line="153"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Twelve Months Ended</w:t>
      </w:r>
    </w:p>
    <w:p>
      <w:pPr>
        <w:spacing w:after="0" w:line="13" w:lineRule="exact"/>
        <w:rPr>
          <w:sz w:val="20"/>
          <w:szCs w:val="20"/>
          <w:color w:val="auto"/>
        </w:rPr>
      </w:pPr>
    </w:p>
    <w:p>
      <w:pPr>
        <w:jc w:val="center"/>
        <w:ind w:left="756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0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5,030,351</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4,303,336</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Restricted stock units that vest into common stock</w:t>
            </w:r>
          </w:p>
        </w:tc>
        <w:tc>
          <w:tcPr>
            <w:tcW w:w="1620" w:type="dxa"/>
            <w:vAlign w:val="bottom"/>
          </w:tcPr>
          <w:p>
            <w:pPr>
              <w:jc w:val="right"/>
              <w:spacing w:after="0"/>
              <w:rPr>
                <w:sz w:val="20"/>
                <w:szCs w:val="20"/>
                <w:color w:val="auto"/>
              </w:rPr>
            </w:pPr>
            <w:r>
              <w:rPr>
                <w:rFonts w:ascii="Arial" w:cs="Arial" w:eastAsia="Arial" w:hAnsi="Arial"/>
                <w:sz w:val="18"/>
                <w:szCs w:val="18"/>
                <w:color w:val="auto"/>
              </w:rPr>
              <w:t>1,093,402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153,950</w:t>
            </w:r>
          </w:p>
        </w:tc>
        <w:tc>
          <w:tcPr>
            <w:tcW w:w="100" w:type="dxa"/>
            <w:vAlign w:val="bottom"/>
          </w:tcPr>
          <w:p>
            <w:pPr>
              <w:spacing w:after="0"/>
              <w:rPr>
                <w:sz w:val="19"/>
                <w:szCs w:val="19"/>
                <w:color w:val="auto"/>
              </w:rPr>
            </w:pPr>
          </w:p>
        </w:tc>
      </w:tr>
      <w:tr>
        <w:trPr>
          <w:trHeight w:val="22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22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620" w:type="dxa"/>
            <w:vAlign w:val="bottom"/>
          </w:tcPr>
          <w:p>
            <w:pPr>
              <w:jc w:val="right"/>
              <w:spacing w:after="0"/>
              <w:rPr>
                <w:sz w:val="20"/>
                <w:szCs w:val="20"/>
                <w:color w:val="auto"/>
              </w:rPr>
            </w:pPr>
            <w:r>
              <w:rPr>
                <w:rFonts w:ascii="Arial" w:cs="Arial" w:eastAsia="Arial" w:hAnsi="Arial"/>
                <w:sz w:val="18"/>
                <w:szCs w:val="18"/>
                <w:color w:val="auto"/>
              </w:rPr>
              <w:t>6,136,439</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4,469,972</w:t>
            </w:r>
          </w:p>
        </w:tc>
        <w:tc>
          <w:tcPr>
            <w:tcW w:w="10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-179070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63"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Company has recorded a $0.1 million and $0 million tax provision for the periods presented due to the current state income taxes and the losses incurred and the need for a full valuation allowance on net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income tax benefit (provision), net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60" w:type="dxa"/>
            <w:vAlign w:val="bottom"/>
          </w:tcPr>
          <w:p>
            <w:pPr>
              <w:spacing w:after="0"/>
              <w:rPr>
                <w:sz w:val="20"/>
                <w:szCs w:val="20"/>
                <w:color w:val="auto"/>
              </w:rPr>
            </w:pPr>
          </w:p>
        </w:tc>
        <w:tc>
          <w:tcPr>
            <w:tcW w:w="47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 of income tax provision:</w:t>
            </w:r>
          </w:p>
        </w:tc>
        <w:tc>
          <w:tcPr>
            <w:tcW w:w="358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Current:</w:t>
            </w:r>
          </w:p>
        </w:tc>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Federal</w:t>
            </w:r>
          </w:p>
        </w:tc>
        <w:tc>
          <w:tcPr>
            <w:tcW w:w="4700" w:type="dxa"/>
            <w:vAlign w:val="bottom"/>
            <w:gridSpan w:val="2"/>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600" w:type="dxa"/>
            <w:vAlign w:val="bottom"/>
            <w:gridSpan w:val="3"/>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State</w:t>
            </w:r>
          </w:p>
        </w:tc>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Foreign</w:t>
            </w:r>
          </w:p>
        </w:tc>
        <w:tc>
          <w:tcPr>
            <w:tcW w:w="35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Total Current</w:t>
            </w:r>
          </w:p>
        </w:tc>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w:t>
            </w:r>
          </w:p>
        </w:tc>
        <w:tc>
          <w:tcPr>
            <w:tcW w:w="3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Federal</w:t>
            </w:r>
          </w:p>
        </w:tc>
        <w:tc>
          <w:tcPr>
            <w:tcW w:w="3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State</w:t>
            </w:r>
          </w:p>
        </w:tc>
        <w:tc>
          <w:tcPr>
            <w:tcW w:w="3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ind w:left="280"/>
              <w:spacing w:after="0"/>
              <w:rPr>
                <w:sz w:val="20"/>
                <w:szCs w:val="20"/>
                <w:color w:val="auto"/>
              </w:rPr>
            </w:pPr>
            <w:r>
              <w:rPr>
                <w:rFonts w:ascii="Arial" w:cs="Arial" w:eastAsia="Arial" w:hAnsi="Arial"/>
                <w:sz w:val="18"/>
                <w:szCs w:val="18"/>
                <w:color w:val="auto"/>
              </w:rPr>
              <w:t>Foreign</w:t>
            </w:r>
          </w:p>
        </w:tc>
        <w:tc>
          <w:tcPr>
            <w:tcW w:w="35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3"/>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Deferred</w:t>
            </w:r>
          </w:p>
        </w:tc>
        <w:tc>
          <w:tcPr>
            <w:tcW w:w="35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ind w:left="1020"/>
              <w:spacing w:after="0"/>
              <w:rPr>
                <w:sz w:val="20"/>
                <w:szCs w:val="20"/>
                <w:color w:val="auto"/>
              </w:rPr>
            </w:pPr>
            <w:r>
              <w:rPr>
                <w:rFonts w:ascii="Arial" w:cs="Arial" w:eastAsia="Arial" w:hAnsi="Arial"/>
                <w:sz w:val="18"/>
                <w:szCs w:val="18"/>
                <w:color w:val="auto"/>
              </w:rPr>
              <w:t>—</w:t>
            </w:r>
          </w:p>
        </w:tc>
      </w:tr>
      <w:tr>
        <w:trPr>
          <w:trHeight w:val="229"/>
        </w:trPr>
        <w:tc>
          <w:tcPr>
            <w:tcW w:w="41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Provision</w:t>
            </w:r>
          </w:p>
        </w:tc>
        <w:tc>
          <w:tcPr>
            <w:tcW w:w="358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9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Borders>
              <w:bottom w:val="single" w:sz="8" w:color="CFF0FC"/>
            </w:tcBorders>
            <w:gridSpan w:val="2"/>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32"/>
        </w:trPr>
        <w:tc>
          <w:tcPr>
            <w:tcW w:w="4160" w:type="dxa"/>
            <w:vAlign w:val="bottom"/>
          </w:tcPr>
          <w:p>
            <w:pPr>
              <w:spacing w:after="0"/>
              <w:rPr>
                <w:sz w:val="24"/>
                <w:szCs w:val="24"/>
                <w:color w:val="auto"/>
              </w:rPr>
            </w:pPr>
          </w:p>
        </w:tc>
        <w:tc>
          <w:tcPr>
            <w:tcW w:w="4700" w:type="dxa"/>
            <w:vAlign w:val="bottom"/>
            <w:gridSpan w:val="2"/>
          </w:tcPr>
          <w:p>
            <w:pPr>
              <w:jc w:val="right"/>
              <w:ind w:right="2970"/>
              <w:spacing w:after="0"/>
              <w:rPr>
                <w:sz w:val="20"/>
                <w:szCs w:val="20"/>
                <w:color w:val="auto"/>
              </w:rPr>
            </w:pPr>
            <w:r>
              <w:rPr>
                <w:rFonts w:ascii="Arial" w:cs="Arial" w:eastAsia="Arial" w:hAnsi="Arial"/>
                <w:sz w:val="18"/>
                <w:szCs w:val="18"/>
                <w:color w:val="auto"/>
              </w:rPr>
              <w:t>F-22</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416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-2105660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-2105660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-915670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-898525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45" w:name="page146"/>
    <w:bookmarkEnd w:id="145"/>
    <w:p>
      <w:pPr>
        <w:jc w:val="both"/>
        <w:ind w:right="100" w:firstLine="509"/>
        <w:spacing w:after="0" w:line="271" w:lineRule="auto"/>
        <w:rPr>
          <w:sz w:val="20"/>
          <w:szCs w:val="20"/>
          <w:color w:val="auto"/>
        </w:rPr>
      </w:pPr>
      <w:r>
        <w:rPr>
          <w:rFonts w:ascii="Arial" w:cs="Arial" w:eastAsia="Arial" w:hAnsi="Arial"/>
          <w:sz w:val="18"/>
          <w:szCs w:val="18"/>
          <w:color w:val="auto"/>
        </w:rPr>
        <w:t>A reconciliation of the federal statutory income tax rate to the Company’s effective tax rate as of December 31, 2023 and 2022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0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Tax provision at statutory rate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21.0 %</w:t>
            </w:r>
          </w:p>
        </w:tc>
        <w:tc>
          <w:tcPr>
            <w:tcW w:w="3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21.0 %</w:t>
            </w:r>
          </w:p>
        </w:tc>
      </w:tr>
      <w:tr>
        <w:trPr>
          <w:trHeight w:val="229"/>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benefit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6.6 %</w:t>
            </w:r>
          </w:p>
        </w:tc>
        <w:tc>
          <w:tcPr>
            <w:tcW w:w="3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5.6 %</w:t>
            </w:r>
          </w:p>
        </w:tc>
      </w:tr>
      <w:tr>
        <w:trPr>
          <w:trHeight w:val="229"/>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Federal tax credits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2.3 %</w:t>
            </w:r>
          </w:p>
        </w:tc>
        <w:tc>
          <w:tcPr>
            <w:tcW w:w="3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r>
      <w:tr>
        <w:trPr>
          <w:trHeight w:val="229"/>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Permanent items</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(1.0 )%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(0.1 )%</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Decrease in valuation reserve</w:t>
            </w:r>
          </w:p>
        </w:tc>
        <w:tc>
          <w:tcPr>
            <w:tcW w:w="1100" w:type="dxa"/>
            <w:vAlign w:val="bottom"/>
          </w:tcPr>
          <w:p>
            <w:pPr>
              <w:spacing w:after="0"/>
              <w:rPr>
                <w:sz w:val="19"/>
                <w:szCs w:val="19"/>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(28.8 )%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(28.5 )%</w:t>
            </w:r>
          </w:p>
        </w:tc>
      </w:tr>
      <w:tr>
        <w:trPr>
          <w:trHeight w:val="20"/>
        </w:trPr>
        <w:tc>
          <w:tcPr>
            <w:tcW w:w="77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0.0 %</w:t>
            </w:r>
          </w:p>
        </w:tc>
        <w:tc>
          <w:tcPr>
            <w:tcW w:w="3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r>
      <w:tr>
        <w:trPr>
          <w:trHeight w:val="20"/>
        </w:trPr>
        <w:tc>
          <w:tcPr>
            <w:tcW w:w="77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132320" cy="145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454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-470535</wp:posOffset>
            </wp:positionV>
            <wp:extent cx="7132320" cy="145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3" w:lineRule="exact"/>
        <w:rPr>
          <w:sz w:val="20"/>
          <w:szCs w:val="20"/>
          <w:color w:val="auto"/>
        </w:rPr>
      </w:pPr>
    </w:p>
    <w:p>
      <w:pPr>
        <w:jc w:val="both"/>
        <w:ind w:right="100" w:firstLine="509"/>
        <w:spacing w:after="0" w:line="271" w:lineRule="auto"/>
        <w:rPr>
          <w:sz w:val="20"/>
          <w:szCs w:val="20"/>
          <w:color w:val="auto"/>
        </w:rPr>
      </w:pPr>
      <w:r>
        <w:rPr>
          <w:rFonts w:ascii="Arial" w:cs="Arial" w:eastAsia="Arial" w:hAnsi="Arial"/>
          <w:sz w:val="18"/>
          <w:szCs w:val="18"/>
          <w:color w:val="auto"/>
        </w:rPr>
        <w:t>Temporary differences that give rise to significant deferred tax assets (liabilities) as of December 31, 2023 and 2022 are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45,999</w:t>
            </w:r>
          </w:p>
        </w:tc>
        <w:tc>
          <w:tcPr>
            <w:tcW w:w="28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40,617</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Capitalized research and development expenses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22,068</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10,200</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 credit carryforwards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7,924</w:t>
            </w:r>
          </w:p>
        </w:tc>
        <w:tc>
          <w:tcPr>
            <w:tcW w:w="100" w:type="dxa"/>
            <w:vAlign w:val="bottom"/>
            <w:shd w:val="clear" w:color="auto" w:fill="CFF0FC"/>
          </w:tcPr>
          <w:p>
            <w:pPr>
              <w:spacing w:after="0"/>
              <w:rPr>
                <w:sz w:val="19"/>
                <w:szCs w:val="19"/>
                <w:color w:val="auto"/>
              </w:rPr>
            </w:pPr>
          </w:p>
        </w:tc>
      </w:tr>
      <w:tr>
        <w:trPr>
          <w:trHeight w:val="243"/>
        </w:trPr>
        <w:tc>
          <w:tcPr>
            <w:tcW w:w="77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Lease liability</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5,282</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deferred tax assets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87,250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65,744</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(5,092 )</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(5,412 )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Depreciable assets</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(225 )</w:t>
            </w: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(207 )</w:t>
            </w: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(81,933 )</w:t>
            </w: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(60,032 )</w:t>
            </w:r>
          </w:p>
        </w:tc>
      </w:tr>
      <w:tr>
        <w:trPr>
          <w:trHeight w:val="263"/>
        </w:trPr>
        <w:tc>
          <w:tcPr>
            <w:tcW w:w="77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both"/>
        <w:ind w:right="100" w:firstLine="509"/>
        <w:spacing w:after="0"/>
        <w:rPr>
          <w:sz w:val="20"/>
          <w:szCs w:val="20"/>
          <w:color w:val="auto"/>
        </w:rPr>
      </w:pPr>
      <w:r>
        <w:rPr>
          <w:rFonts w:ascii="Arial" w:cs="Arial" w:eastAsia="Arial" w:hAnsi="Arial"/>
          <w:sz w:val="18"/>
          <w:szCs w:val="18"/>
          <w:color w:val="auto"/>
        </w:rPr>
        <w:t>As of December 31, 2023, the Company had federal gross net operating loss carryforwards of approximately $174.4 million which may be available to offset future taxable income, of which $44.2 million begin to expire in 2029 and go through 2037 and $130.2 million do not expire. The Company had state gross operating loss carryforwards of $148.5 million, which may be available to offset future taxable income and which would begin to expire in 2030, except for $0.7 million of state NOLs that do not expire. The Company had foreign gross operating loss carryforwards of $0.1 million, which may be available to offset future taxable income and which do not expire. As of December 31, 2023, the Company had federal and state research and experimentation credit carryforwards of $8.2 million and $2.3 million, respectively, which may be available to offset future income tax liabilities and which would begin to expire in 2029 and 2028, respectively.</w:t>
      </w:r>
    </w:p>
    <w:p>
      <w:pPr>
        <w:spacing w:after="0" w:line="183" w:lineRule="exact"/>
        <w:rPr>
          <w:sz w:val="20"/>
          <w:szCs w:val="20"/>
          <w:color w:val="auto"/>
        </w:rPr>
      </w:pPr>
    </w:p>
    <w:p>
      <w:pPr>
        <w:jc w:val="both"/>
        <w:ind w:right="100" w:firstLine="509"/>
        <w:spacing w:after="0" w:line="238" w:lineRule="auto"/>
        <w:rPr>
          <w:sz w:val="20"/>
          <w:szCs w:val="20"/>
          <w:color w:val="auto"/>
        </w:rPr>
      </w:pPr>
      <w:r>
        <w:rPr>
          <w:rFonts w:ascii="Arial" w:cs="Arial" w:eastAsia="Arial" w:hAnsi="Arial"/>
          <w:sz w:val="18"/>
          <w:szCs w:val="18"/>
          <w:color w:val="auto"/>
        </w:rPr>
        <w:t>The Company’s ability to use its operating loss carryforwards and tax credit carryforwards to offset taxable income is subject to restrictions under Sections 382 and 383 of the United States Internal Revenue Code, or the Internal Revenue Code. Under the Internal Revenue Code provisions, certain substantial changes in the Company’s ownership, including the sale of the Company or significant changes in ownership due to sales of equity, have limited and may limit in the future, the amount of net operating loss carryforwards which could be used annually to offset future taxable income. The Company has not yet completed an analysis of ownership changes. The Company may also experience ownership changes in the future as a result of subsequent shifts in our stock ownership, some of which may be outside the Company’s control. As a result, the Company’s ability to use our pre-change NOLs to offset U.S. federal taxable income may be subject to limitations, which could potentially result in increased future tax liability to the Company. In addition, at the state level, there may be periods during which the use of NOLs is suspended or otherwise limited, which could accelerate or permanently increase state taxes owed. All Federal NOLs generated post tax reform have an indefinite life, are not subject to carryback provisions, and limited to 80% of income in any year.</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7" w:right="239" w:bottom="1440" w:gutter="0" w:footer="0" w:header="0"/>
        </w:sectPr>
      </w:pPr>
    </w:p>
    <w:bookmarkStart w:id="146" w:name="page147"/>
    <w:bookmarkEnd w:id="146"/>
    <w:p>
      <w:pPr>
        <w:jc w:val="both"/>
        <w:ind w:firstLine="509"/>
        <w:spacing w:after="0" w:line="243" w:lineRule="auto"/>
        <w:rPr>
          <w:sz w:val="20"/>
          <w:szCs w:val="20"/>
          <w:color w:val="auto"/>
        </w:rPr>
      </w:pPr>
      <w:r>
        <w:rPr>
          <w:rFonts w:ascii="Arial" w:cs="Arial" w:eastAsia="Arial" w:hAnsi="Arial"/>
          <w:sz w:val="18"/>
          <w:szCs w:val="18"/>
          <w:color w:val="auto"/>
        </w:rPr>
        <w:t>The Company has not conducted a study of its research and development credit carryforwards. A study may result in an adjustment to the Company’s research and development credit carryforwards; however, until a study is completed, and any adjustment is known, no amounts will be presented as an uncertain tax position. A full valuation allowance has been provided against the Company’s research and development credit carryforwards and, if an adjustment is required, this adjustment would be offset by an adjustment to the valuation allowance. Thus, there would be no impact to the balance sheet or statement of operations at this time, if an adjustment were required.</w:t>
      </w:r>
    </w:p>
    <w:p>
      <w:pPr>
        <w:spacing w:after="0" w:line="17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Management has evaluated the positive and negative evidence bearing upon the realizability of its deferred tax assets, which are principally comprised of NOL carryforwards and tax credit carryforwards. Management has determined that it is more likely than not that the Company will not realize the benefits of its deferred tax assets, and as a result, a valuation allowance of $81.9 million has been recorded at December 31, 2023. The increase in the valuation allowance of $21.9 million during the year ended December 31, 2023 was primarily due to the increase in net operating loss generated by the Company and capitalized R&amp;D expenses related to the Section 174 requirements.</w:t>
      </w:r>
    </w:p>
    <w:p>
      <w:pPr>
        <w:spacing w:after="0" w:line="17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As of December 31, 2023 and 2022, the Company had no unrecognized tax benefits. Interest and penalty charges, if any, related to income taxes would be classified as a component of the provision for income taxes in the consolidated statements of operations. The Company does not expect any significant change in its uncertain tax positions in the next twelve months.</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The Company files income tax returns in the United States federal tax jurisdiction and several state tax jurisdictions. Since the Company is in a loss carryforward position, it is generally subject to examination by federal and state tax authorities for all tax years in which a loss carryforward is available.</w:t>
      </w:r>
    </w:p>
    <w:p>
      <w:pPr>
        <w:spacing w:after="0" w:line="171"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With respect to the income of its foreign subsidiary, the Company asserts the position that the undistributed earnings of its foreign subsidiary is permanently invested in that jurisdiction. As a result, no additional income taxes have been provided on the possible repatriation of these earnings to the parent company. The Company does not have any unremitted earnings as of December 31, 2023.</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Tax Cuts and Jobs Act subjects a U.S. shareholder to tax on Global Intangible Low-taxes Income, or GILTI, earned by certain foreign subsidiaries. Pursuant to the FASB Staff Q&amp;A, Topic 740 No.5. Accounting for Global Intangible Low-taxed Income, the Company is allowed to make an accounting policy election to either recognize deferred taxes for temporary basis differences expected to reverse as GILTI in future years or to provide for the tax expense related to GILTI in the year the tax is incurred as period expense only. The Company has elected to account for GILTI in the year the tax is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not identified any subsequent events that require disclosure.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3" w:lineRule="exact"/>
        <w:rPr>
          <w:sz w:val="20"/>
          <w:szCs w:val="20"/>
          <w:color w:val="auto"/>
        </w:rPr>
      </w:pPr>
    </w:p>
    <w:p>
      <w:pPr>
        <w:ind w:firstLine="509"/>
        <w:spacing w:after="0" w:line="280"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Aura Biosciences, Inc.</w:t>
      </w:r>
    </w:p>
    <w:p>
      <w:pPr>
        <w:spacing w:after="0" w:line="225" w:lineRule="exact"/>
        <w:rPr>
          <w:sz w:val="20"/>
          <w:szCs w:val="20"/>
          <w:color w:val="auto"/>
        </w:rPr>
      </w:pPr>
    </w:p>
    <w:p>
      <w:pPr>
        <w:ind w:left="20"/>
        <w:spacing w:after="0"/>
        <w:tabs>
          <w:tab w:leader="none" w:pos="5400" w:val="left"/>
          <w:tab w:leader="none" w:pos="7660" w:val="left"/>
        </w:tabs>
        <w:rPr>
          <w:sz w:val="20"/>
          <w:szCs w:val="20"/>
          <w:color w:val="auto"/>
        </w:rPr>
      </w:pPr>
      <w:r>
        <w:rPr>
          <w:rFonts w:ascii="Arial" w:cs="Arial" w:eastAsia="Arial" w:hAnsi="Arial"/>
          <w:sz w:val="18"/>
          <w:szCs w:val="18"/>
          <w:color w:val="auto"/>
        </w:rPr>
        <w:t>Date: March 27,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17780</wp:posOffset>
            </wp:positionV>
            <wp:extent cx="330517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20"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Elisabet de los Pinos</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9"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091" w:right="339" w:bottom="1440" w:gutter="0" w:footer="0" w:header="0"/>
        </w:sectPr>
      </w:pPr>
    </w:p>
    <w:p>
      <w:pPr>
        <w:spacing w:after="0" w:line="189" w:lineRule="exact"/>
        <w:rPr>
          <w:sz w:val="20"/>
          <w:szCs w:val="20"/>
          <w:color w:val="auto"/>
        </w:rPr>
      </w:pPr>
    </w:p>
    <w:p>
      <w:pPr>
        <w:ind w:left="1660"/>
        <w:spacing w:after="0"/>
        <w:tabs>
          <w:tab w:leader="none" w:pos="61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552259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5522595"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Elisabet de los Pinos</w:t>
            </w:r>
          </w:p>
        </w:tc>
        <w:tc>
          <w:tcPr>
            <w:tcW w:w="3160" w:type="dxa"/>
            <w:vAlign w:val="bottom"/>
          </w:tcPr>
          <w:p>
            <w:pPr>
              <w:ind w:left="180"/>
              <w:spacing w:after="0"/>
              <w:rPr>
                <w:sz w:val="20"/>
                <w:szCs w:val="20"/>
                <w:color w:val="auto"/>
              </w:rPr>
            </w:pPr>
            <w:r>
              <w:rPr>
                <w:rFonts w:ascii="Arial" w:cs="Arial" w:eastAsia="Arial" w:hAnsi="Arial"/>
                <w:sz w:val="18"/>
                <w:szCs w:val="18"/>
                <w:color w:val="auto"/>
                <w:w w:val="98"/>
              </w:rPr>
              <w:t>President and Chief Executive Officer</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Elisabet de los Pinos</w:t>
            </w:r>
          </w:p>
        </w:tc>
        <w:tc>
          <w:tcPr>
            <w:tcW w:w="3160" w:type="dxa"/>
            <w:vAlign w:val="bottom"/>
          </w:tcPr>
          <w:p>
            <w:pPr>
              <w:spacing w:after="0"/>
              <w:rPr>
                <w:sz w:val="16"/>
                <w:szCs w:val="16"/>
                <w:color w:val="auto"/>
              </w:rPr>
            </w:pPr>
          </w:p>
        </w:tc>
      </w:tr>
      <w:tr>
        <w:trPr>
          <w:trHeight w:val="2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Julie Feder</w:t>
            </w:r>
          </w:p>
        </w:tc>
        <w:tc>
          <w:tcPr>
            <w:tcW w:w="31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Julie Feder</w:t>
            </w:r>
          </w:p>
        </w:tc>
        <w:tc>
          <w:tcPr>
            <w:tcW w:w="3160" w:type="dxa"/>
            <w:vAlign w:val="bottom"/>
          </w:tcPr>
          <w:p>
            <w:pPr>
              <w:spacing w:after="0"/>
              <w:rPr>
                <w:sz w:val="16"/>
                <w:szCs w:val="16"/>
                <w:color w:val="auto"/>
              </w:rPr>
            </w:pPr>
          </w:p>
        </w:tc>
      </w:tr>
      <w:tr>
        <w:trPr>
          <w:trHeight w:val="2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David Johnson</w:t>
            </w:r>
          </w:p>
        </w:tc>
        <w:tc>
          <w:tcPr>
            <w:tcW w:w="3160" w:type="dxa"/>
            <w:vAlign w:val="bottom"/>
          </w:tcPr>
          <w:p>
            <w:pPr>
              <w:ind w:left="180"/>
              <w:spacing w:after="0"/>
              <w:rPr>
                <w:sz w:val="20"/>
                <w:szCs w:val="20"/>
                <w:color w:val="auto"/>
              </w:rPr>
            </w:pPr>
            <w:r>
              <w:rPr>
                <w:rFonts w:ascii="Arial" w:cs="Arial" w:eastAsia="Arial" w:hAnsi="Arial"/>
                <w:sz w:val="18"/>
                <w:szCs w:val="18"/>
                <w:color w:val="auto"/>
              </w:rPr>
              <w:t>Chairman of the Board of Directors</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David Johnson</w:t>
            </w:r>
          </w:p>
        </w:tc>
        <w:tc>
          <w:tcPr>
            <w:tcW w:w="3160" w:type="dxa"/>
            <w:vAlign w:val="bottom"/>
          </w:tcPr>
          <w:p>
            <w:pPr>
              <w:spacing w:after="0"/>
              <w:rPr>
                <w:sz w:val="16"/>
                <w:szCs w:val="16"/>
                <w:color w:val="auto"/>
              </w:rPr>
            </w:pPr>
          </w:p>
        </w:tc>
      </w:tr>
      <w:tr>
        <w:trPr>
          <w:trHeight w:val="2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Giovanni Mariggi</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Giovanni Mariggi</w:t>
            </w:r>
          </w:p>
        </w:tc>
        <w:tc>
          <w:tcPr>
            <w:tcW w:w="3160" w:type="dxa"/>
            <w:vAlign w:val="bottom"/>
          </w:tcPr>
          <w:p>
            <w:pPr>
              <w:spacing w:after="0"/>
              <w:rPr>
                <w:sz w:val="16"/>
                <w:szCs w:val="16"/>
                <w:color w:val="auto"/>
              </w:rPr>
            </w:pPr>
          </w:p>
        </w:tc>
      </w:tr>
      <w:tr>
        <w:trPr>
          <w:trHeight w:val="2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Antony Mattessich</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Antony Mattessich</w:t>
            </w:r>
          </w:p>
        </w:tc>
        <w:tc>
          <w:tcPr>
            <w:tcW w:w="3160" w:type="dxa"/>
            <w:vAlign w:val="bottom"/>
          </w:tcPr>
          <w:p>
            <w:pPr>
              <w:spacing w:after="0"/>
              <w:rPr>
                <w:sz w:val="16"/>
                <w:szCs w:val="16"/>
                <w:color w:val="auto"/>
              </w:rPr>
            </w:pPr>
          </w:p>
        </w:tc>
      </w:tr>
      <w:tr>
        <w:trPr>
          <w:trHeight w:val="2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Raj Parekh</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Raj Parekh</w:t>
            </w:r>
          </w:p>
        </w:tc>
        <w:tc>
          <w:tcPr>
            <w:tcW w:w="3160" w:type="dxa"/>
            <w:vAlign w:val="bottom"/>
          </w:tcPr>
          <w:p>
            <w:pPr>
              <w:spacing w:after="0"/>
              <w:rPr>
                <w:sz w:val="16"/>
                <w:szCs w:val="16"/>
                <w:color w:val="auto"/>
              </w:rPr>
            </w:pPr>
          </w:p>
        </w:tc>
      </w:tr>
      <w:tr>
        <w:trPr>
          <w:trHeight w:val="2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Sapna Srivastava</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Sapna Srivastava</w:t>
            </w:r>
          </w:p>
        </w:tc>
        <w:tc>
          <w:tcPr>
            <w:tcW w:w="3160" w:type="dxa"/>
            <w:vAlign w:val="bottom"/>
          </w:tcPr>
          <w:p>
            <w:pPr>
              <w:spacing w:after="0"/>
              <w:rPr>
                <w:sz w:val="16"/>
                <w:szCs w:val="16"/>
                <w:color w:val="auto"/>
              </w:rPr>
            </w:pPr>
          </w:p>
        </w:tc>
      </w:tr>
      <w:tr>
        <w:trPr>
          <w:trHeight w:val="289"/>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Karan Takhar</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90"/>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Karan Takhar</w:t>
            </w:r>
          </w:p>
        </w:tc>
        <w:tc>
          <w:tcPr>
            <w:tcW w:w="31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22225</wp:posOffset>
            </wp:positionV>
            <wp:extent cx="15411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1541145"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March 27, 2024</w:t>
      </w:r>
    </w:p>
    <w:p>
      <w:pPr>
        <w:sectPr>
          <w:pgSz w:w="11900" w:h="16838" w:orient="portrait"/>
          <w:cols w:equalWidth="0" w:num="2">
            <w:col w:w="8160" w:space="720"/>
            <w:col w:w="2360"/>
          </w:cols>
          <w:pgMar w:left="320" w:top="1091" w:right="339" w:bottom="1440" w:gutter="0" w:footer="0" w:header="0"/>
          <w:type w:val="continuous"/>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REGISTERED PURSUANT TO SECTION 12 OF THE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6" w:lineRule="exact"/>
        <w:rPr>
          <w:sz w:val="20"/>
          <w:szCs w:val="20"/>
          <w:color w:val="auto"/>
        </w:rPr>
      </w:pPr>
    </w:p>
    <w:p>
      <w:pPr>
        <w:ind w:firstLine="873"/>
        <w:spacing w:after="0" w:line="258" w:lineRule="auto"/>
        <w:rPr>
          <w:sz w:val="20"/>
          <w:szCs w:val="20"/>
          <w:color w:val="auto"/>
        </w:rPr>
      </w:pPr>
      <w:r>
        <w:rPr>
          <w:rFonts w:ascii="Times New Roman" w:cs="Times New Roman" w:eastAsia="Times New Roman" w:hAnsi="Times New Roman"/>
          <w:sz w:val="18"/>
          <w:szCs w:val="18"/>
          <w:color w:val="auto"/>
        </w:rPr>
        <w:t>The summary of the general terms and provisions of the registered securities of Aura Biosciences, Inc. (the “Company,” “we,” “us,” and “our”) set forth below does not purport to be complete. It is subject to and qualified in its entirety by reference to our Tenth Amended and Restated Certificate of Incorporation (“certificate of incorporation”) and our Amended and Restated Bylaws (“bylaws”), each of which are incorporated by reference as an exhibit to the Annual Report on Form 10-K of which this Exhibit 4.1 is a part, and by applicable law. We encourage you to read our certificate of incorporation, our bylaws and the applicable provisions of the Delaware General Corporation Law for additional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$0.00001 per share, and 10,000,000 shares of preferred stock, par value $0.00001 per share, all of which shares of preferred stock are undesignated.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common stockholders. The holders of our common stock do not have any cumulative voting rights. The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2"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shares of preferred stock are outstanding as of the date of our Annual Report on Form 10-K with which this Exhibit 4.1 is filed as an exhibit.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of our stockholders are entitled to rights with respect to the registration of these securities under the Securities Act. These rights are provided under the terms of our Fifth Amended and Restated Investors’ Rights Agreement, dated as of March 18, 2021 (the “Investors’ Rights Agreement”). The investors’ rights agreement between us and the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Demand Registration Rights</w:t>
      </w:r>
    </w:p>
    <w:p>
      <w:pPr>
        <w:spacing w:after="0" w:line="22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Certain of our stockholders are entitled to demand registration rights. Under the terms of our Investors’ Rights Agreement, we will be required, upon the written request of a majority of holders of the registrable securities then outstanding that would result in an aggregate offering price of at least $5.0 million, to file a registration statement and to use commercially reasonable efforts to effect the registration of all or a portion of these shares for public resale.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i w:val="1"/>
          <w:iCs w:val="1"/>
          <w:color w:val="auto"/>
        </w:rPr>
        <w:t>Short-Form Registration Rights</w:t>
      </w:r>
    </w:p>
    <w:p>
      <w:pPr>
        <w:spacing w:after="0" w:line="227" w:lineRule="exact"/>
        <w:rPr>
          <w:sz w:val="20"/>
          <w:szCs w:val="20"/>
          <w:color w:val="auto"/>
        </w:rPr>
      </w:pPr>
    </w:p>
    <w:p>
      <w:pPr>
        <w:jc w:val="both"/>
        <w:ind w:right="140"/>
        <w:spacing w:after="0" w:line="288" w:lineRule="auto"/>
        <w:rPr>
          <w:sz w:val="20"/>
          <w:szCs w:val="20"/>
          <w:color w:val="auto"/>
        </w:rPr>
      </w:pPr>
      <w:r>
        <w:rPr>
          <w:rFonts w:ascii="Times New Roman" w:cs="Times New Roman" w:eastAsia="Times New Roman" w:hAnsi="Times New Roman"/>
          <w:sz w:val="17"/>
          <w:szCs w:val="17"/>
          <w:color w:val="auto"/>
        </w:rPr>
        <w:t>Pursuant to the Investors’ Rights Agreement, if we are eligible to file a registration statement on Form S-3, upon the written request from any such holder to sell registrable securities at an aggregate price of at least $3.0 million, we will be required to use commercially reasonable efforts to effect a registration of such shares. We are required to effect only two registrations in any twelve-month period pursuant to this provision of the Investors’ Rights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2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227"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Expiration of Registration Rights</w:t>
      </w:r>
    </w:p>
    <w:p>
      <w:pPr>
        <w:spacing w:after="0" w:line="22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demand registration rights and short-form registration rights granted under the Investors’ Rights Agreement will terminate upon the earlier of (i) November 2, 2026 (ii) a liquidation event and (iii) with respect to any particular stockholder, when such stockholder is able to sell all of its shares pursuant to Rule 144 or any similar exemption under the Securities Act during any three-month period without registration.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our Certificate of Incorporation and Bylaws and Delaware Law</w:t>
      </w:r>
    </w:p>
    <w:p>
      <w:pPr>
        <w:spacing w:after="0" w:line="22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p>
    <w:p>
      <w:pPr>
        <w:spacing w:after="0" w:line="2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of Stockholders</w:t>
      </w:r>
    </w:p>
    <w:p>
      <w:pPr>
        <w:spacing w:after="0" w:line="22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659765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Certificate of Incorporation and Bylaws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Our bylaws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or our certificate of incorporation or bylaws (including the interpretation, validity or enforceability thereof); or</w:t>
      </w:r>
    </w:p>
    <w:p>
      <w:pPr>
        <w:spacing w:after="0" w:line="2" w:lineRule="exact"/>
        <w:rPr>
          <w:sz w:val="20"/>
          <w:szCs w:val="20"/>
          <w:color w:val="auto"/>
        </w:rPr>
      </w:pPr>
    </w:p>
    <w:p>
      <w:pPr>
        <w:ind w:firstLine="8"/>
        <w:spacing w:after="0" w:line="251"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that is governed by the internal affairs doctrine; provided, however, that this provision shall not apply to any causes of action arising under the Securities Act or the Exchange Act. In addition, our bylaws provide that, unless we consent to an alternative forum, the federal district courts of the United States shall be the sole and exclusive forum for resolving any complaint asserting a cause of action under the Securities Act (the Federal Forum Provision). Any person or entity purchasing or otherwise acquiring any interest in our securities shall be deemed to have notice of and consented to these forum provisions. These forum provisions may impose additional costs on stockholders and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Section 203 of the Delaware General Corporation Law</w:t>
      </w:r>
    </w:p>
    <w:p>
      <w:pPr>
        <w:spacing w:after="0" w:line="22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 w:lineRule="exact"/>
        <w:rPr>
          <w:sz w:val="20"/>
          <w:szCs w:val="20"/>
          <w:color w:val="auto"/>
        </w:rPr>
      </w:pPr>
    </w:p>
    <w:p>
      <w:pPr>
        <w:ind w:left="760" w:hanging="378"/>
        <w:spacing w:after="0" w:line="250"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our board of directors approved either the business combination or the transaction which resulted in the stockholder becoming an interested stockholder</w:t>
      </w:r>
    </w:p>
    <w:p>
      <w:pPr>
        <w:ind w:left="760" w:right="60" w:hanging="378"/>
        <w:spacing w:after="0" w:line="250"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ind w:left="760" w:right="60" w:hanging="378"/>
        <w:spacing w:after="0" w:line="255"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5"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w:t>
      </w:r>
    </w:p>
    <w:p>
      <w:pPr>
        <w:spacing w:after="0" w:line="8" w:lineRule="exact"/>
        <w:rPr>
          <w:rFonts w:ascii="Times New Roman" w:cs="Times New Roman" w:eastAsia="Times New Roman" w:hAnsi="Times New Roman"/>
          <w:sz w:val="18"/>
          <w:szCs w:val="18"/>
          <w:color w:val="auto"/>
        </w:rPr>
      </w:pPr>
    </w:p>
    <w:p>
      <w:pPr>
        <w:ind w:left="760" w:right="240" w:hanging="378"/>
        <w:spacing w:after="0" w:line="250"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ind w:left="760" w:right="140" w:hanging="378"/>
        <w:spacing w:after="0" w:line="250"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ind w:left="760" w:right="380" w:hanging="378"/>
        <w:spacing w:after="0" w:line="250"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ind w:right="280"/>
        <w:spacing w:after="0" w:line="260"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“AURA.”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 and registrar’s address is 150 Royall Street, Canton, Massachusetts 02021, and its telephone number is (800) 962-4284.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1189355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10.17</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8,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 Plavsic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12305 Creekview Drive</w:t>
      </w:r>
    </w:p>
    <w:p>
      <w:pPr>
        <w:spacing w:after="0"/>
        <w:rPr>
          <w:sz w:val="20"/>
          <w:szCs w:val="20"/>
          <w:color w:val="auto"/>
        </w:rPr>
      </w:pPr>
      <w:r>
        <w:rPr>
          <w:rFonts w:ascii="Times New Roman" w:cs="Times New Roman" w:eastAsia="Times New Roman" w:hAnsi="Times New Roman"/>
          <w:sz w:val="22"/>
          <w:szCs w:val="22"/>
          <w:color w:val="auto"/>
        </w:rPr>
        <w:t>San Diego, CA. 92128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 Offer of Employment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Mark,</w:t>
      </w:r>
    </w:p>
    <w:p>
      <w:pPr>
        <w:spacing w:after="0" w:line="2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Following up on our discussions, the following represents our offer regarding your employment by Aura Biosciences, Inc. (the “Company”) as a full-time, “at will” employee.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Your title and position will be Chief Technical Officer and will report to the Chief Executive Officer or her designee.</w:t>
      </w:r>
    </w:p>
    <w:p>
      <w:pPr>
        <w:spacing w:after="0" w:line="201" w:lineRule="exact"/>
        <w:rPr>
          <w:sz w:val="20"/>
          <w:szCs w:val="20"/>
          <w:color w:val="auto"/>
        </w:rPr>
      </w:pPr>
    </w:p>
    <w:p>
      <w:pPr>
        <w:jc w:val="both"/>
        <w:ind w:left="1500" w:hanging="743"/>
        <w:spacing w:after="0" w:line="238" w:lineRule="auto"/>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Salary and Expenses</w:t>
      </w:r>
      <w:r>
        <w:rPr>
          <w:rFonts w:ascii="Times New Roman" w:cs="Times New Roman" w:eastAsia="Times New Roman" w:hAnsi="Times New Roman"/>
          <w:sz w:val="22"/>
          <w:szCs w:val="22"/>
          <w:color w:val="auto"/>
        </w:rPr>
        <w:t>: Your compensation will be a starting salary of Four-Hundred and Fifty-Five Thousand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($455,000.00) Dollars per annum subject to any Company discretionary increase, (the “Base Salary”), which will be paid bi-weekly or in accordance with the Company’s normal payroll practices in effect from time to time. In accordance with Company policies and procedures, you will be reimbursed for all reasonable out-of-pocket expenses incurred by you on behalf of the Company, in accordance with Company policy.</w:t>
      </w:r>
    </w:p>
    <w:p>
      <w:pPr>
        <w:spacing w:after="0" w:line="174"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Annual Bonuses</w:t>
      </w:r>
      <w:r>
        <w:rPr>
          <w:rFonts w:ascii="Times New Roman" w:cs="Times New Roman" w:eastAsia="Times New Roman" w:hAnsi="Times New Roman"/>
          <w:sz w:val="22"/>
          <w:szCs w:val="22"/>
          <w:color w:val="auto"/>
        </w:rPr>
        <w:t>:</w:t>
      </w:r>
    </w:p>
    <w:p>
      <w:pPr>
        <w:spacing w:after="0" w:line="209" w:lineRule="exact"/>
        <w:rPr>
          <w:rFonts w:ascii="Times New Roman" w:cs="Times New Roman" w:eastAsia="Times New Roman" w:hAnsi="Times New Roman"/>
          <w:sz w:val="22"/>
          <w:szCs w:val="22"/>
          <w:color w:val="auto"/>
        </w:rPr>
      </w:pPr>
    </w:p>
    <w:p>
      <w:pPr>
        <w:jc w:val="both"/>
        <w:ind w:left="150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eligible to receive an annual bonus targeted at 40% of your Base Salary based on the performance of the Company (the “Bonus”). The amount of the Bonus, if any, will be at the sole discretion of the Company. You must be employed on the date that the Bonus is paid to be eligible to receive the Bonus. Your Bonus will be paid no later than March 15 of the following calendar year.</w:t>
      </w:r>
    </w:p>
    <w:p>
      <w:pPr>
        <w:spacing w:after="0" w:line="178"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Sign-on Bonus</w:t>
      </w:r>
    </w:p>
    <w:p>
      <w:pPr>
        <w:spacing w:after="0" w:line="205" w:lineRule="exact"/>
        <w:rPr>
          <w:rFonts w:ascii="Times New Roman" w:cs="Times New Roman" w:eastAsia="Times New Roman" w:hAnsi="Times New Roman"/>
          <w:sz w:val="22"/>
          <w:szCs w:val="22"/>
          <w:color w:val="auto"/>
        </w:rPr>
      </w:pPr>
    </w:p>
    <w:p>
      <w:pPr>
        <w:jc w:val="both"/>
        <w:ind w:left="2260"/>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entitled to a signing bonus (“the Signing Bonus”) in the aggregate amount of Seventy Five-Thousand ($75,000) Dollars, to cover relocation expenses to Boston and will be payable on the first payroll cycle after your start date (as defined below). You must be employed on the date that the signing bonus is paid to be eligible to receive the Signing Bonus. In the event your employment terminates for any reason prior to the one-year anniversary of the Start Date, you must repay the Company 100% of the Signing Bonus received. In the event your employment terminates for any reason subsequent to the one-year anniversary but prior to the two-year anniversary of the Start Date, you must repay to the Company 50% if the Signing Bonus.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53" w:name="page154"/>
    <w:bookmarkEnd w:id="153"/>
    <w:p>
      <w:pPr>
        <w:jc w:val="both"/>
        <w:ind w:left="743" w:hanging="743"/>
        <w:spacing w:after="0" w:line="232" w:lineRule="auto"/>
        <w:tabs>
          <w:tab w:leader="none" w:pos="74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w:t>
      </w:r>
      <w:r>
        <w:rPr>
          <w:rFonts w:ascii="Times New Roman" w:cs="Times New Roman" w:eastAsia="Times New Roman" w:hAnsi="Times New Roman"/>
          <w:sz w:val="22"/>
          <w:szCs w:val="22"/>
          <w:color w:val="auto"/>
        </w:rPr>
        <w:t>: You will be eligible to be granted the following: One-Hundred and Thirty-Eight Thousand (138,000)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to purchase at the then fair market value, as determined on the date of the grant, and One-Hundred Thousand (100,000) Restricted Stock Units (RSU’s). Both grants will be subject to the Company’s Equity Incentive Plan. The stock option price and the vesting terms will be outlined in your equity agreements that you will receive approximately 30 days from your hire date. Subject to the approval of the Company’s Board of Directors which will be addressed at the next regularly scheduled Board meeting, in addition to any other changes to the Company’s Equity Plan, your options will accelerate and fully vest in full upon the occurrence of a “Sale Event,” which means the consummation of (i) the dissolution or liquidation of the Company, (ii) the sale of all or substantially all of the assets of the Company on a consolidated basis to an unrelated person or entity (a “Person”), (iii) a merger, reorganization or consolidation involving the Company in which the shares of the Company’s voting equity outstanding immediately prior to such transaction represent or are converted into or exchanged for securities of the surviving or resulting entity immediately upon completion of such transaction which represent less than fifty percent (50%) of the outstanding voting power of such surviving or resulting entity, (iv) the acquisition of all or a majority of the outstanding voting equity of the Company in a single transaction or a series of related transactions by a Person or a group of Persons, or (v) any other acquisition of the business of the Company, as determined by the Board; provided, however, that the Company’s initial public offering, any subsequent public offering or another capital raising event, or a merger effected solely to change the Company’s domicile shall not constitute a Sale Event.</w:t>
      </w:r>
    </w:p>
    <w:p>
      <w:pPr>
        <w:spacing w:after="0" w:line="182" w:lineRule="exact"/>
        <w:rPr>
          <w:rFonts w:ascii="Times New Roman" w:cs="Times New Roman" w:eastAsia="Times New Roman" w:hAnsi="Times New Roman"/>
          <w:sz w:val="22"/>
          <w:szCs w:val="22"/>
          <w:color w:val="auto"/>
        </w:rPr>
      </w:pPr>
    </w:p>
    <w:p>
      <w:pPr>
        <w:jc w:val="both"/>
        <w:ind w:left="743" w:hanging="743"/>
        <w:spacing w:after="0" w:line="267" w:lineRule="auto"/>
        <w:tabs>
          <w:tab w:leader="none" w:pos="74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Benefits</w:t>
      </w:r>
      <w:r>
        <w:rPr>
          <w:rFonts w:ascii="Times New Roman" w:cs="Times New Roman" w:eastAsia="Times New Roman" w:hAnsi="Times New Roman"/>
          <w:sz w:val="20"/>
          <w:szCs w:val="20"/>
          <w:color w:val="auto"/>
        </w:rPr>
        <w:t>: As a full-time employee, you will be entitled to health and dental insurance benefits currently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available (healthcare, dental and vision) for which you are eligible, and you may elect to cover your spouse and immediate family. During 2023, there is no employee contribution to premiums, but this is subject to change. We also offer a 401(k)retirement plan for which you will be eligible to participate, and the Company currently matches up to 6%. Further, you will be entitled to four (4) weeks of paid vacation, pro-rated on an annual basis.</w:t>
      </w:r>
    </w:p>
    <w:p>
      <w:pPr>
        <w:spacing w:after="0" w:line="150" w:lineRule="exact"/>
        <w:rPr>
          <w:rFonts w:ascii="Times New Roman" w:cs="Times New Roman" w:eastAsia="Times New Roman" w:hAnsi="Times New Roman"/>
          <w:sz w:val="20"/>
          <w:szCs w:val="20"/>
          <w:color w:val="auto"/>
        </w:rPr>
      </w:pPr>
    </w:p>
    <w:p>
      <w:pPr>
        <w:jc w:val="both"/>
        <w:ind w:left="743" w:hanging="743"/>
        <w:spacing w:after="0" w:line="234" w:lineRule="auto"/>
        <w:tabs>
          <w:tab w:leader="none" w:pos="74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w:t>
      </w:r>
      <w:r>
        <w:rPr>
          <w:rFonts w:ascii="Times New Roman" w:cs="Times New Roman" w:eastAsia="Times New Roman" w:hAnsi="Times New Roman"/>
          <w:sz w:val="22"/>
          <w:szCs w:val="22"/>
          <w:color w:val="auto"/>
        </w:rPr>
        <w:t>: Employees of the Company are employed “at will.” This means that you may terminate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employment with the Company at any time and for any reason or no reason, upon five (5) days’ prior written notice to the Company. Likewise, the Company reserves the right to terminate your employment at any time and for any reason or no reason, upon five (5) days’ prior written notice to you or up to five (5) days’ pay in lieu of notices; provided, however, that in the event of a termination for Cause, no prior notice (written or otherwise) will be required. In the event of the termination of this Agreement by either you or the Company for any reason or no reason, your Salary under Section 1 (and the vesting of any stock options under Section 3) shall immediately cease and this Agreement and the stock option agreement shall terminate; however, the Confidential Information, Non-Solicitation, and Invention Assignment Agreement (attached hereto as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shall survive and remain in full force and effect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1009650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3" w:right="339" w:bottom="1440" w:gutter="0" w:footer="0" w:header="0"/>
        </w:sectPr>
      </w:pPr>
    </w:p>
    <w:bookmarkStart w:id="154" w:name="page155"/>
    <w:bookmarkEnd w:id="154"/>
    <w:p>
      <w:pPr>
        <w:jc w:val="both"/>
        <w:ind w:left="743" w:hanging="743"/>
        <w:spacing w:after="0"/>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Status</w:t>
      </w:r>
      <w:r>
        <w:rPr>
          <w:rFonts w:ascii="Times New Roman" w:cs="Times New Roman" w:eastAsia="Times New Roman" w:hAnsi="Times New Roman"/>
          <w:sz w:val="22"/>
          <w:szCs w:val="22"/>
          <w:color w:val="auto"/>
        </w:rPr>
        <w:t>: The Immigration Reform and Control Act require employers to verify the employment eligibility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identity of new employees. You will need to complete the I-9 Form and bring it, together with the appropriate documents, with you when you report for work. We will not be able to employ you if you cannot comply with this requirement.</w:t>
      </w:r>
    </w:p>
    <w:p>
      <w:pPr>
        <w:spacing w:after="0" w:line="174" w:lineRule="exact"/>
        <w:rPr>
          <w:rFonts w:ascii="Times New Roman" w:cs="Times New Roman" w:eastAsia="Times New Roman" w:hAnsi="Times New Roman"/>
          <w:sz w:val="22"/>
          <w:szCs w:val="22"/>
          <w:color w:val="auto"/>
        </w:rPr>
      </w:pPr>
    </w:p>
    <w:p>
      <w:pPr>
        <w:ind w:left="743" w:hanging="743"/>
        <w:spacing w:after="0"/>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Job location</w:t>
      </w:r>
      <w:r>
        <w:rPr>
          <w:rFonts w:ascii="Times New Roman" w:cs="Times New Roman" w:eastAsia="Times New Roman" w:hAnsi="Times New Roman"/>
          <w:sz w:val="22"/>
          <w:szCs w:val="22"/>
          <w:color w:val="auto"/>
        </w:rPr>
        <w:t>: 80 Guest St. Brighton, Ma.</w:t>
      </w:r>
    </w:p>
    <w:p>
      <w:pPr>
        <w:spacing w:after="0" w:line="205" w:lineRule="exact"/>
        <w:rPr>
          <w:rFonts w:ascii="Times New Roman" w:cs="Times New Roman" w:eastAsia="Times New Roman" w:hAnsi="Times New Roman"/>
          <w:sz w:val="22"/>
          <w:szCs w:val="22"/>
          <w:color w:val="auto"/>
        </w:rPr>
      </w:pPr>
    </w:p>
    <w:p>
      <w:pPr>
        <w:ind w:left="743" w:right="20" w:hanging="743"/>
        <w:spacing w:after="0" w:line="261"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References</w:t>
      </w:r>
      <w:r>
        <w:rPr>
          <w:rFonts w:ascii="Times New Roman" w:cs="Times New Roman" w:eastAsia="Times New Roman" w:hAnsi="Times New Roman"/>
          <w:sz w:val="22"/>
          <w:szCs w:val="22"/>
          <w:color w:val="auto"/>
        </w:rPr>
        <w:t>: The Company has the right to rescind this offer pending satisfactory results, in its sole discretion,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background and reference checks.</w:t>
      </w:r>
    </w:p>
    <w:p>
      <w:pPr>
        <w:spacing w:after="0" w:line="150" w:lineRule="exact"/>
        <w:rPr>
          <w:rFonts w:ascii="Times New Roman" w:cs="Times New Roman" w:eastAsia="Times New Roman" w:hAnsi="Times New Roman"/>
          <w:sz w:val="22"/>
          <w:szCs w:val="22"/>
          <w:color w:val="auto"/>
        </w:rPr>
      </w:pPr>
    </w:p>
    <w:p>
      <w:pPr>
        <w:jc w:val="both"/>
        <w:ind w:left="743" w:hanging="743"/>
        <w:spacing w:after="0" w:line="261" w:lineRule="auto"/>
        <w:tabs>
          <w:tab w:leader="none" w:pos="74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Start date and Assurances</w:t>
      </w:r>
      <w:r>
        <w:rPr>
          <w:rFonts w:ascii="Times New Roman" w:cs="Times New Roman" w:eastAsia="Times New Roman" w:hAnsi="Times New Roman"/>
          <w:sz w:val="20"/>
          <w:szCs w:val="20"/>
          <w:color w:val="auto"/>
        </w:rPr>
        <w:t>: On September 18, 2023, or as otherwise mutually agreed (the “Start Date”).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 that (i) you are not a party to any agreement that would prohibit you from entering into employment with the Company; and (ii) you have brought to the Company’s attention and provided it with a copy of any agreement that may impact your future employment with the Company or performing the services contemplated, including but not limited to any non-disclosure, non-competition, non-solicitation or invention assignment agreements containing future work restrictions. You represent that prior to the Start Date you will not take any actions on behalf of the Company or engage in any discussions or communications on behalf of the Company, including, without limitation, with any prospective Company employees or other service providers.</w:t>
      </w:r>
    </w:p>
    <w:p>
      <w:pPr>
        <w:spacing w:after="0" w:line="156" w:lineRule="exact"/>
        <w:rPr>
          <w:rFonts w:ascii="Times New Roman" w:cs="Times New Roman" w:eastAsia="Times New Roman" w:hAnsi="Times New Roman"/>
          <w:sz w:val="20"/>
          <w:szCs w:val="20"/>
          <w:color w:val="auto"/>
        </w:rPr>
      </w:pPr>
    </w:p>
    <w:p>
      <w:pPr>
        <w:jc w:val="both"/>
        <w:ind w:left="743" w:hanging="743"/>
        <w:spacing w:after="0" w:line="237"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Non-disparagement</w:t>
      </w:r>
      <w:r>
        <w:rPr>
          <w:rFonts w:ascii="Times New Roman" w:cs="Times New Roman" w:eastAsia="Times New Roman" w:hAnsi="Times New Roman"/>
          <w:sz w:val="22"/>
          <w:szCs w:val="22"/>
          <w:color w:val="auto"/>
        </w:rPr>
        <w:t>: Unless as required by law or valid subpoena, you agree that you will not, whether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employment or thereafter, directly or indirectly, make or ratify any statement, public or private, oral or written, to any person that disparages, either professionally or personally, the Company or any of its known affiliates, past and present, and each of them, as well as its and their known trustees, directors, officers, members, managers, partners, agents, attorneys, employees, stockholders, representatives, assigns, and successors, past and present, and each of them.</w:t>
      </w:r>
    </w:p>
    <w:p>
      <w:pPr>
        <w:spacing w:after="0" w:line="173" w:lineRule="exact"/>
        <w:rPr>
          <w:rFonts w:ascii="Times New Roman" w:cs="Times New Roman" w:eastAsia="Times New Roman" w:hAnsi="Times New Roman"/>
          <w:sz w:val="22"/>
          <w:szCs w:val="22"/>
          <w:color w:val="auto"/>
        </w:rPr>
      </w:pPr>
    </w:p>
    <w:p>
      <w:pPr>
        <w:jc w:val="both"/>
        <w:ind w:left="743" w:hanging="743"/>
        <w:spacing w:after="0" w:line="230" w:lineRule="auto"/>
        <w:tabs>
          <w:tab w:leader="none" w:pos="74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In the event that the Company terminates your employment without Cause, or you terminate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for Good Reason, and not due to your death or Disability, and provided you execute a separation agreement in a form provided by the Company, including, without limitation, a general release of claims (the “Release”) in favor of the Company on or before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your last date of employment and, in the Company’s sole discretion, a one-year post-employment noncompetition agreement in a form as required of the other senior executives of the Company, the Company will (i) continue to pay you your annual Base Salary for the Severance Period, and (ii) provided you have properly elected to continue your healthcare coverage pursuant to the Consolidated Omnibus Budget Reconciliation Act of 1985 (“COBRA”) the Company and you will continue to pay your healthcare and dental coverage premiums for COBRA coverage on the same premium-sharing basis for the Severance Period, or, if earlier, until you qualify for alternative health coverage pursuant to new employment or are no longer eligible to continue your coverage pursuant to COBRA. You agree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1012190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3" w:right="339" w:bottom="1440" w:gutter="0" w:footer="0" w:header="0"/>
        </w:sectPr>
      </w:pPr>
    </w:p>
    <w:bookmarkStart w:id="155" w:name="page156"/>
    <w:bookmarkEnd w:id="155"/>
    <w:p>
      <w:pPr>
        <w:jc w:val="both"/>
        <w:ind w:left="380"/>
        <w:spacing w:after="0" w:line="235" w:lineRule="auto"/>
        <w:rPr>
          <w:sz w:val="20"/>
          <w:szCs w:val="20"/>
          <w:color w:val="auto"/>
        </w:rPr>
      </w:pPr>
      <w:r>
        <w:rPr>
          <w:rFonts w:ascii="Times New Roman" w:cs="Times New Roman" w:eastAsia="Times New Roman" w:hAnsi="Times New Roman"/>
          <w:sz w:val="22"/>
          <w:szCs w:val="22"/>
          <w:color w:val="auto"/>
        </w:rPr>
        <w:t>notify the Company promptly if you become eligible for group medical care coverage through another employer. You also agree to respond promptly and fully to any reasonable requests for information by the Company concerning your eligibility for such coverage. You may continue coverage after the end of the Severance Period at your own expense for the remainder of the COBRA continuation period, subject to continued eligibility. The base salary continuation shall begin to be paid pursuant to the Company’s regular payroll schedule beginning on the first practicable payroll date that follows the date the Release is effective,</w:t>
      </w:r>
    </w:p>
    <w:p>
      <w:pPr>
        <w:spacing w:after="0" w:line="4" w:lineRule="exact"/>
        <w:rPr>
          <w:sz w:val="20"/>
          <w:szCs w:val="20"/>
          <w:color w:val="auto"/>
        </w:rPr>
      </w:pPr>
    </w:p>
    <w:p>
      <w:pPr>
        <w:jc w:val="both"/>
        <w:ind w:left="380"/>
        <w:spacing w:after="0" w:line="225" w:lineRule="auto"/>
        <w:rPr>
          <w:sz w:val="20"/>
          <w:szCs w:val="20"/>
          <w:color w:val="auto"/>
        </w:rPr>
      </w:pPr>
      <w:r>
        <w:rPr>
          <w:rFonts w:ascii="Times New Roman" w:cs="Times New Roman" w:eastAsia="Times New Roman" w:hAnsi="Times New Roman"/>
          <w:sz w:val="22"/>
          <w:szCs w:val="22"/>
          <w:color w:val="auto"/>
        </w:rPr>
        <w:t>which will be on the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after you execute the Release. If the Company does not make one or more payments of base salary continuation on a regular payroll date because the Release has not yet become effective, the Company shall make all such delayed payments by the first payroll date when it is practicable to do so after the Release becomes effective. Under no circumstances will the Release require you to release your rights to vested benefits and equity and or your rights to indemnification and defense. Further, if you die after you are terminated without Cause, the Company will pay the balance of the severance owed to you under this Agreement to your spouse. If your spouse is not alive at the time, the balance will be paid your estate.</w:t>
      </w:r>
    </w:p>
    <w:p>
      <w:pPr>
        <w:spacing w:after="0" w:line="183"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22"/>
          <w:szCs w:val="22"/>
          <w:color w:val="auto"/>
        </w:rPr>
        <w:t>The capitalized terms used in this Section 11 (unless otherwise defined therein) shall have the following meanings:</w:t>
      </w:r>
    </w:p>
    <w:p>
      <w:pPr>
        <w:spacing w:after="0" w:line="153" w:lineRule="exact"/>
        <w:rPr>
          <w:sz w:val="20"/>
          <w:szCs w:val="20"/>
          <w:color w:val="auto"/>
        </w:rPr>
      </w:pPr>
    </w:p>
    <w:p>
      <w:pPr>
        <w:jc w:val="both"/>
        <w:ind w:left="1140"/>
        <w:spacing w:after="0" w:line="23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means that you have: (i) violated your fiduciary duty to the Company or committed any other act involving material dishonesty or fraud with respect to the Company; (ii) been indicted for or pled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involving violence, conversion, theft or misappropriation of property of another, controlled substances, moral turpitude, or the regulatory good standing of the Company; (iii) engaged in grossly negligent or willful misconduct that the Company determines to be materially injurious to the Company; (iv) willfully violated any Company policy that harmed the Company or breached any material provision of any agreement between you and the Company; or (v) failed or refused to perform your material duties or failed or refused to follow a lawful directive from the CEO or the Board of Directors unrelated to a Disability. Further, before terminating you for Cause the Company will provide you in writing the reason for your termination, and if the Company determines that you can cure, 10 business days to cure. For purposes of clarity, receiving a poor performance review is not Cause for purposes of this Agreement. If you are given a cure period, the Company will only terminate your employment if you failed to cure.</w:t>
      </w:r>
    </w:p>
    <w:p>
      <w:pPr>
        <w:spacing w:after="0" w:line="178" w:lineRule="exact"/>
        <w:rPr>
          <w:sz w:val="20"/>
          <w:szCs w:val="20"/>
          <w:color w:val="auto"/>
        </w:rPr>
      </w:pPr>
    </w:p>
    <w:p>
      <w:pPr>
        <w:jc w:val="both"/>
        <w:ind w:left="11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physical or mental illness, impairment, or condition determined by a physician reasonably selected by you and the Company, and if an agreement on such selection cannot be reached, selected jointly by the two physicians identified by you and the Company, that prevents you from performing the essential functions of your role, with or without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1008380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56" w:name="page157"/>
    <w:bookmarkEnd w:id="156"/>
    <w:p>
      <w:pPr>
        <w:jc w:val="both"/>
        <w:ind w:left="1140"/>
        <w:spacing w:after="0" w:line="258" w:lineRule="auto"/>
        <w:rPr>
          <w:sz w:val="20"/>
          <w:szCs w:val="20"/>
          <w:color w:val="auto"/>
        </w:rPr>
      </w:pPr>
      <w:r>
        <w:rPr>
          <w:rFonts w:ascii="Times New Roman" w:cs="Times New Roman" w:eastAsia="Times New Roman" w:hAnsi="Times New Roman"/>
          <w:sz w:val="22"/>
          <w:szCs w:val="22"/>
          <w:color w:val="auto"/>
        </w:rPr>
        <w:t>reasonable accommodation, for a period of 90 consecutive dates, or 180 days (which need not be consecutive) in any 12 month period.</w:t>
      </w:r>
    </w:p>
    <w:p>
      <w:pPr>
        <w:spacing w:after="0" w:line="153" w:lineRule="exact"/>
        <w:rPr>
          <w:sz w:val="20"/>
          <w:szCs w:val="20"/>
          <w:color w:val="auto"/>
        </w:rPr>
      </w:pPr>
    </w:p>
    <w:p>
      <w:pPr>
        <w:jc w:val="both"/>
        <w:ind w:left="1140"/>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shall mean that you have completed all steps of the Good Reason Process (hereinafter defined) following the occurrence of any of the following events without your consent (each, a “Good Reason Condition”):</w:t>
      </w:r>
    </w:p>
    <w:p>
      <w:pPr>
        <w:spacing w:after="0" w:line="170" w:lineRule="exact"/>
        <w:rPr>
          <w:sz w:val="20"/>
          <w:szCs w:val="20"/>
          <w:color w:val="auto"/>
        </w:rPr>
      </w:pPr>
    </w:p>
    <w:p>
      <w:pPr>
        <w:ind w:left="1620" w:hanging="486"/>
        <w:spacing w:after="0"/>
        <w:tabs>
          <w:tab w:leader="none" w:pos="16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responsibilities, authority or duties;</w:t>
      </w:r>
    </w:p>
    <w:p>
      <w:pPr>
        <w:spacing w:after="0" w:line="205" w:lineRule="exact"/>
        <w:rPr>
          <w:rFonts w:ascii="Times New Roman" w:cs="Times New Roman" w:eastAsia="Times New Roman" w:hAnsi="Times New Roman"/>
          <w:sz w:val="22"/>
          <w:szCs w:val="22"/>
          <w:color w:val="auto"/>
        </w:rPr>
      </w:pPr>
    </w:p>
    <w:p>
      <w:pPr>
        <w:jc w:val="both"/>
        <w:ind w:left="1500" w:hanging="366"/>
        <w:spacing w:after="0" w:line="244" w:lineRule="auto"/>
        <w:tabs>
          <w:tab w:leader="none" w:pos="160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your Base Salary except for across-the-board salary reductions based on the Company’s financial performance similarly affecting all or substantially all senior management employees of the Company; or</w:t>
      </w:r>
    </w:p>
    <w:p>
      <w:pPr>
        <w:spacing w:after="0" w:line="172" w:lineRule="exact"/>
        <w:rPr>
          <w:rFonts w:ascii="Times New Roman" w:cs="Times New Roman" w:eastAsia="Times New Roman" w:hAnsi="Times New Roman"/>
          <w:sz w:val="22"/>
          <w:szCs w:val="22"/>
          <w:color w:val="auto"/>
        </w:rPr>
      </w:pPr>
    </w:p>
    <w:p>
      <w:pPr>
        <w:ind w:left="1560" w:hanging="426"/>
        <w:spacing w:after="0"/>
        <w:tabs>
          <w:tab w:leader="none" w:pos="15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including a breach of Section 7, of this Agreement by the Company.</w:t>
      </w:r>
    </w:p>
    <w:p>
      <w:pPr>
        <w:spacing w:after="0" w:line="2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The “Good Reason Process” consists of the following steps:</w:t>
      </w:r>
    </w:p>
    <w:p>
      <w:pPr>
        <w:spacing w:after="0" w:line="205" w:lineRule="exact"/>
        <w:rPr>
          <w:sz w:val="20"/>
          <w:szCs w:val="20"/>
          <w:color w:val="auto"/>
        </w:rPr>
      </w:pPr>
    </w:p>
    <w:p>
      <w:pPr>
        <w:ind w:left="2640" w:hanging="757"/>
        <w:spacing w:after="0"/>
        <w:tabs>
          <w:tab w:leader="none" w:pos="2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reasonably determine in good faith that a Good Reason Condition has occurred.</w:t>
      </w:r>
    </w:p>
    <w:p>
      <w:pPr>
        <w:spacing w:after="0" w:line="205" w:lineRule="exact"/>
        <w:rPr>
          <w:rFonts w:ascii="Times New Roman" w:cs="Times New Roman" w:eastAsia="Times New Roman" w:hAnsi="Times New Roman"/>
          <w:sz w:val="22"/>
          <w:szCs w:val="22"/>
          <w:color w:val="auto"/>
        </w:rPr>
      </w:pPr>
    </w:p>
    <w:p>
      <w:pPr>
        <w:ind w:left="2640" w:hanging="757"/>
        <w:spacing w:after="0" w:line="258" w:lineRule="auto"/>
        <w:tabs>
          <w:tab w:leader="none" w:pos="2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notify the Company in writing of the first occurrence of the Good Reason Condition within 60 days of the first occurrence of such condition.</w:t>
      </w:r>
    </w:p>
    <w:p>
      <w:pPr>
        <w:spacing w:after="0" w:line="157" w:lineRule="exact"/>
        <w:rPr>
          <w:rFonts w:ascii="Times New Roman" w:cs="Times New Roman" w:eastAsia="Times New Roman" w:hAnsi="Times New Roman"/>
          <w:sz w:val="22"/>
          <w:szCs w:val="22"/>
          <w:color w:val="auto"/>
        </w:rPr>
      </w:pPr>
    </w:p>
    <w:p>
      <w:pPr>
        <w:jc w:val="both"/>
        <w:ind w:left="2640" w:hanging="757"/>
        <w:spacing w:after="0" w:line="244" w:lineRule="auto"/>
        <w:tabs>
          <w:tab w:leader="none" w:pos="2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cooperate in good faith with the Company’s efforts, for a period of not less than 30 days following such notice (the “Cure Period”), to remedy the Good Reason Condition.</w:t>
      </w:r>
    </w:p>
    <w:p>
      <w:pPr>
        <w:spacing w:after="0" w:line="172" w:lineRule="exact"/>
        <w:rPr>
          <w:rFonts w:ascii="Times New Roman" w:cs="Times New Roman" w:eastAsia="Times New Roman" w:hAnsi="Times New Roman"/>
          <w:sz w:val="22"/>
          <w:szCs w:val="22"/>
          <w:color w:val="auto"/>
        </w:rPr>
      </w:pPr>
    </w:p>
    <w:p>
      <w:pPr>
        <w:ind w:left="2640" w:hanging="757"/>
        <w:spacing w:after="0" w:line="258" w:lineRule="auto"/>
        <w:tabs>
          <w:tab w:leader="none" w:pos="2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such efforts, the Good Reason Condition continues to exist at the end of the Cure Period; and</w:t>
      </w:r>
    </w:p>
    <w:p>
      <w:pPr>
        <w:spacing w:after="0" w:line="157" w:lineRule="exact"/>
        <w:rPr>
          <w:rFonts w:ascii="Times New Roman" w:cs="Times New Roman" w:eastAsia="Times New Roman" w:hAnsi="Times New Roman"/>
          <w:sz w:val="22"/>
          <w:szCs w:val="22"/>
          <w:color w:val="auto"/>
        </w:rPr>
      </w:pPr>
    </w:p>
    <w:p>
      <w:pPr>
        <w:ind w:left="2640" w:hanging="757"/>
        <w:spacing w:after="0"/>
        <w:tabs>
          <w:tab w:leader="none" w:pos="26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terminate employment within 60 days after the end of the Cure Period.</w:t>
      </w:r>
    </w:p>
    <w:p>
      <w:pPr>
        <w:spacing w:after="0" w:line="205" w:lineRule="exact"/>
        <w:rPr>
          <w:sz w:val="20"/>
          <w:szCs w:val="20"/>
          <w:color w:val="auto"/>
        </w:rPr>
      </w:pPr>
    </w:p>
    <w:p>
      <w:pPr>
        <w:ind w:left="1140" w:right="20"/>
        <w:spacing w:after="0" w:line="258" w:lineRule="auto"/>
        <w:rPr>
          <w:sz w:val="20"/>
          <w:szCs w:val="20"/>
          <w:color w:val="auto"/>
        </w:rPr>
      </w:pPr>
      <w:r>
        <w:rPr>
          <w:rFonts w:ascii="Times New Roman" w:cs="Times New Roman" w:eastAsia="Times New Roman" w:hAnsi="Times New Roman"/>
          <w:sz w:val="22"/>
          <w:szCs w:val="22"/>
          <w:color w:val="auto"/>
        </w:rPr>
        <w:t>If the Company cures the Good Reason Condition during the Cure Period, Good Reason shall be deemed not to have occurred.</w:t>
      </w:r>
    </w:p>
    <w:p>
      <w:pPr>
        <w:spacing w:after="0" w:line="153"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means nine (9) months following the date of termination. Subject to your timely acceptance of this offer and reference checks, this offer is binding. You have been provided the additional employment documents (Confidential Information, Non-Solicitation and Invention Assignment Agreement attached hereto as Exhibit B) for your review and execution. Your employment is not effective until all the agreements are signed and returned to the Company. We very much hope to work with you to build an exciting company together. Please feel free to call me if you have any questions. This Agreement is binding on the Company’s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1007745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AURA BIOSCIENCES, INC.</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-13970</wp:posOffset>
            </wp:positionV>
            <wp:extent cx="137731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137731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Elisabet de los Pinos, Ph.D., President and CEO</w:t>
      </w:r>
    </w:p>
    <w:p>
      <w:pPr>
        <w:spacing w:after="0"/>
        <w:rPr>
          <w:sz w:val="20"/>
          <w:szCs w:val="20"/>
          <w:color w:val="auto"/>
        </w:rPr>
      </w:pPr>
      <w:r>
        <w:rPr>
          <w:rFonts w:ascii="Times New Roman" w:cs="Times New Roman" w:eastAsia="Times New Roman" w:hAnsi="Times New Roman"/>
          <w:sz w:val="22"/>
          <w:szCs w:val="22"/>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0"/>
        <w:spacing w:after="0"/>
        <w:tabs>
          <w:tab w:leader="none" w:pos="5700" w:val="left"/>
        </w:tabs>
        <w:rPr>
          <w:sz w:val="20"/>
          <w:szCs w:val="20"/>
          <w:color w:val="auto"/>
        </w:rPr>
      </w:pPr>
      <w:r>
        <w:rPr>
          <w:rFonts w:ascii="Times New Roman" w:cs="Times New Roman" w:eastAsia="Times New Roman" w:hAnsi="Times New Roman"/>
          <w:sz w:val="22"/>
          <w:szCs w:val="22"/>
          <w:color w:val="auto"/>
        </w:rPr>
        <w:t>AGREED AND ACCEPTED:</w:t>
      </w:r>
      <w:r>
        <w:rPr>
          <w:sz w:val="20"/>
          <w:szCs w:val="20"/>
          <w:color w:val="auto"/>
        </w:rPr>
        <w:tab/>
      </w:r>
      <w:r>
        <w:rPr>
          <w:rFonts w:ascii="Times New Roman" w:cs="Times New Roman" w:eastAsia="Times New Roman" w:hAnsi="Times New Roman"/>
          <w:sz w:val="20"/>
          <w:szCs w:val="20"/>
          <w:color w:val="auto"/>
        </w:rPr>
        <w:t>Date Accepted: ____________</w:t>
      </w:r>
      <w:r>
        <w:rPr>
          <w:rFonts w:ascii="Times New Roman" w:cs="Times New Roman" w:eastAsia="Times New Roman" w:hAnsi="Times New Roman"/>
          <w:sz w:val="20"/>
          <w:szCs w:val="20"/>
          <w:u w:val="single" w:color="auto"/>
          <w:color w:val="auto"/>
        </w:rPr>
        <w:t>8/10/2023</w:t>
      </w:r>
    </w:p>
    <w:p>
      <w:pPr>
        <w:spacing w:after="0" w:line="200" w:lineRule="exact"/>
        <w:rPr>
          <w:sz w:val="20"/>
          <w:szCs w:val="20"/>
          <w:color w:val="auto"/>
        </w:rPr>
      </w:pPr>
    </w:p>
    <w:p>
      <w:pPr>
        <w:spacing w:after="0" w:line="2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/s/ Mark Plavsic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-13970</wp:posOffset>
            </wp:positionV>
            <wp:extent cx="10960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22"/>
          <w:szCs w:val="22"/>
          <w:color w:val="auto"/>
        </w:rPr>
        <w:t>Mark Plasvic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1310005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AURA BIOSCIENCES,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INSIDER TRADING POLICY</w:t>
      </w:r>
    </w:p>
    <w:p>
      <w:pPr>
        <w:spacing w:after="0" w:line="236"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auto"/>
        </w:rPr>
        <w:t>This memorandum sets forth the policy of Aura Biosciences, Inc. and its subsidiaries (collectively, the “Company”) regarding trading in the Company’s securities as described below and the disclosure of information concerning the Company. This Amended and Restated Insider Trading Policy (this “Insider Trading Policy”) is designed to prevent insider trading or the appearance of impropriety, to satisfy the Company’s obligation to reasonably supervise the activities of Company personnel, and to help Company personnel avoid the severe consequences associated with violations of insider trading laws. It is your obligation to understand and comply with this Insider Trading Policy.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 OVERVIEW</w:t>
      </w:r>
    </w:p>
    <w:p>
      <w:pPr>
        <w:spacing w:after="0" w:line="311" w:lineRule="exact"/>
        <w:rPr>
          <w:sz w:val="20"/>
          <w:szCs w:val="20"/>
          <w:color w:val="auto"/>
        </w:rPr>
      </w:pPr>
    </w:p>
    <w:p>
      <w:pPr>
        <w:ind w:left="440" w:hanging="432"/>
        <w:spacing w:after="0"/>
        <w:tabs>
          <w:tab w:leader="none" w:pos="440" w:val="left"/>
        </w:tabs>
        <w:numPr>
          <w:ilvl w:val="0"/>
          <w:numId w:val="7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To Whom does this Insider Trading Policy Apply?</w:t>
      </w:r>
    </w:p>
    <w:p>
      <w:pPr>
        <w:spacing w:after="0" w:line="211" w:lineRule="exact"/>
        <w:rPr>
          <w:sz w:val="20"/>
          <w:szCs w:val="20"/>
          <w:color w:val="auto"/>
        </w:rPr>
      </w:pPr>
    </w:p>
    <w:p>
      <w:pPr>
        <w:ind w:right="180" w:firstLine="749"/>
        <w:spacing w:after="0" w:line="236" w:lineRule="auto"/>
        <w:rPr>
          <w:sz w:val="20"/>
          <w:szCs w:val="20"/>
          <w:color w:val="auto"/>
        </w:rPr>
      </w:pPr>
      <w:r>
        <w:rPr>
          <w:rFonts w:ascii="Times New Roman" w:cs="Times New Roman" w:eastAsia="Times New Roman" w:hAnsi="Times New Roman"/>
          <w:sz w:val="22"/>
          <w:szCs w:val="22"/>
          <w:color w:val="auto"/>
        </w:rPr>
        <w:t>This Insider Trading Policy is applicable to the Company’s directors, officers, employees and certain designated consultants and applies to any and all transactions by such persons and their affiliates (as defined below) in the Company’s securities, including its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w:t>
      </w:r>
    </w:p>
    <w:p>
      <w:pPr>
        <w:spacing w:after="0" w:line="179" w:lineRule="exact"/>
        <w:rPr>
          <w:sz w:val="20"/>
          <w:szCs w:val="20"/>
          <w:color w:val="auto"/>
        </w:rPr>
      </w:pPr>
    </w:p>
    <w:p>
      <w:pPr>
        <w:ind w:right="80" w:firstLine="749"/>
        <w:spacing w:after="0" w:line="236" w:lineRule="auto"/>
        <w:rPr>
          <w:sz w:val="20"/>
          <w:szCs w:val="20"/>
          <w:color w:val="auto"/>
        </w:rPr>
      </w:pPr>
      <w:r>
        <w:rPr>
          <w:rFonts w:ascii="Times New Roman" w:cs="Times New Roman" w:eastAsia="Times New Roman" w:hAnsi="Times New Roman"/>
          <w:sz w:val="22"/>
          <w:szCs w:val="22"/>
          <w:color w:val="auto"/>
        </w:rPr>
        <w:t>In addition, all directors, officers, employees and designated consultants must comply with the Trading Procedures set forth in Part II of this Insider Trading Policy (the “Trading Procedures”) (collectively, and solely for the purposes of this Insider Trading Policy, these persons are referred to as “Insiders”). Generally, the Trading Procedures establish trading windows outside of which the persons covered by the Trading Procedures will be restricted from trading in the Company’s securities and also require the pre-clearance of all transactions in the Company’s securities by such persons. You will be notified if you are required to comply with the Trading Procedures.</w:t>
      </w:r>
    </w:p>
    <w:p>
      <w:pPr>
        <w:spacing w:after="0" w:line="179" w:lineRule="exact"/>
        <w:rPr>
          <w:sz w:val="20"/>
          <w:szCs w:val="20"/>
          <w:color w:val="auto"/>
        </w:rPr>
      </w:pPr>
    </w:p>
    <w:p>
      <w:pPr>
        <w:ind w:right="760" w:firstLine="749"/>
        <w:spacing w:after="0" w:line="258" w:lineRule="auto"/>
        <w:rPr>
          <w:sz w:val="20"/>
          <w:szCs w:val="20"/>
          <w:color w:val="auto"/>
        </w:rPr>
      </w:pPr>
      <w:r>
        <w:rPr>
          <w:rFonts w:ascii="Times New Roman" w:cs="Times New Roman" w:eastAsia="Times New Roman" w:hAnsi="Times New Roman"/>
          <w:sz w:val="22"/>
          <w:szCs w:val="22"/>
          <w:color w:val="auto"/>
        </w:rPr>
        <w:t>This Insider Trading Policy, including, if applicable, the Trading Procedures contained herein, also applies to the following persons (collectively, these persons and entities are referred to as “Affiliated Persons”):</w:t>
      </w:r>
    </w:p>
    <w:p>
      <w:pPr>
        <w:spacing w:after="0" w:line="157" w:lineRule="exact"/>
        <w:rPr>
          <w:sz w:val="20"/>
          <w:szCs w:val="20"/>
          <w:color w:val="auto"/>
        </w:rPr>
      </w:pPr>
    </w:p>
    <w:p>
      <w:pPr>
        <w:ind w:left="1500" w:hanging="743"/>
        <w:spacing w:after="0"/>
        <w:tabs>
          <w:tab w:leader="none" w:pos="15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spouse, child, parent, significant other or other family member, in each case, living in the same household;</w:t>
      </w:r>
    </w:p>
    <w:p>
      <w:pPr>
        <w:spacing w:after="0" w:line="228" w:lineRule="exact"/>
        <w:rPr>
          <w:rFonts w:ascii="Times New Roman" w:cs="Times New Roman" w:eastAsia="Times New Roman" w:hAnsi="Times New Roman"/>
          <w:sz w:val="20"/>
          <w:szCs w:val="20"/>
          <w:color w:val="auto"/>
        </w:rPr>
      </w:pPr>
    </w:p>
    <w:p>
      <w:pPr>
        <w:ind w:left="1500" w:right="60" w:hanging="743"/>
        <w:spacing w:after="0" w:line="307" w:lineRule="auto"/>
        <w:tabs>
          <w:tab w:leader="none" w:pos="15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trusts, family partnerships and other types of entities formed for your benefit or for the benefit of a member of your family over which you have the ability to influence or direct investment decisions concerning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967105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59" w:name="page160"/>
    <w:bookmarkEnd w:id="159"/>
    <w:p>
      <w:pPr>
        <w:ind w:left="1500" w:hanging="743"/>
        <w:spacing w:after="0"/>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persons who execute trades on your behalf; and</w:t>
      </w:r>
    </w:p>
    <w:p>
      <w:pPr>
        <w:spacing w:after="0" w:line="205" w:lineRule="exact"/>
        <w:rPr>
          <w:rFonts w:ascii="Times New Roman" w:cs="Times New Roman" w:eastAsia="Times New Roman" w:hAnsi="Times New Roman"/>
          <w:sz w:val="22"/>
          <w:szCs w:val="22"/>
          <w:color w:val="auto"/>
        </w:rPr>
      </w:pPr>
    </w:p>
    <w:p>
      <w:pPr>
        <w:ind w:left="1500" w:hanging="743"/>
        <w:spacing w:after="0" w:line="233" w:lineRule="auto"/>
        <w:tabs>
          <w:tab w:leader="none" w:pos="1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investment funds, trusts, retirement plans, partnerships, corporations and other types of entities over which you have the ability to influence or direct investment decisions concerning securities;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Trading Procedures shall not apply to any such entity that engages in the investment of securities in the ordinary course of its business (e.g., an investment fund or partnership) if such entity has established its own insider trading controls and procedures in compliance with applicable securities laws and an Insider has hereby represented to the Company that such Insider’s affiliated entities: (a) engage in the investment of securities in the ordinary course of their respective businesses; (b) have established insider trading controls and procedures in compliance with applicable securities laws; and (c) are aware such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184" w:lineRule="exact"/>
        <w:rPr>
          <w:sz w:val="20"/>
          <w:szCs w:val="20"/>
          <w:color w:val="auto"/>
        </w:rPr>
      </w:pPr>
    </w:p>
    <w:p>
      <w:pPr>
        <w:ind w:right="860" w:firstLine="749"/>
        <w:spacing w:after="0" w:line="258" w:lineRule="auto"/>
        <w:rPr>
          <w:sz w:val="20"/>
          <w:szCs w:val="20"/>
          <w:color w:val="auto"/>
        </w:rPr>
      </w:pPr>
      <w:r>
        <w:rPr>
          <w:rFonts w:ascii="Times New Roman" w:cs="Times New Roman" w:eastAsia="Times New Roman" w:hAnsi="Times New Roman"/>
          <w:sz w:val="22"/>
          <w:szCs w:val="22"/>
          <w:color w:val="auto"/>
        </w:rPr>
        <w:t>You are responsible for ensuring compliance with this Insider Trading Policy, including the Trading Procedures contained herein, by all of your Affiliated Persons.</w:t>
      </w:r>
    </w:p>
    <w:p>
      <w:pPr>
        <w:spacing w:after="0" w:line="157"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auto"/>
        </w:rPr>
        <w:t>In the event that you leave the Company for any reason, this Insider Trading Policy, including, if applicable, the Trading Procedures contained herein, will continue to apply to you and your Affiliated Persons until the later of: (1) the first trading day following the public release of earnings for the fiscal quarter in which you leave the Company or (2) the first trading day after any material nonpublic information known to you has become public or is no longer material.</w:t>
      </w:r>
    </w:p>
    <w:p>
      <w:pPr>
        <w:spacing w:after="0" w:line="173" w:lineRule="exact"/>
        <w:rPr>
          <w:sz w:val="20"/>
          <w:szCs w:val="20"/>
          <w:color w:val="auto"/>
        </w:rPr>
      </w:pPr>
    </w:p>
    <w:p>
      <w:pPr>
        <w:ind w:left="440" w:hanging="432"/>
        <w:spacing w:after="0"/>
        <w:tabs>
          <w:tab w:leader="none" w:pos="440" w:val="left"/>
        </w:tabs>
        <w:numPr>
          <w:ilvl w:val="0"/>
          <w:numId w:val="8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Prohibited by this Insider Trading Policy?</w:t>
      </w:r>
    </w:p>
    <w:p>
      <w:pPr>
        <w:spacing w:after="0" w:line="211" w:lineRule="exact"/>
        <w:rPr>
          <w:sz w:val="20"/>
          <w:szCs w:val="20"/>
          <w:color w:val="auto"/>
        </w:rPr>
      </w:pPr>
    </w:p>
    <w:p>
      <w:pPr>
        <w:jc w:val="both"/>
        <w:ind w:right="380" w:firstLine="749"/>
        <w:spacing w:after="0" w:line="239" w:lineRule="auto"/>
        <w:rPr>
          <w:sz w:val="20"/>
          <w:szCs w:val="20"/>
          <w:color w:val="auto"/>
        </w:rPr>
      </w:pPr>
      <w:r>
        <w:rPr>
          <w:rFonts w:ascii="Times New Roman" w:cs="Times New Roman" w:eastAsia="Times New Roman" w:hAnsi="Times New Roman"/>
          <w:sz w:val="22"/>
          <w:szCs w:val="22"/>
          <w:color w:val="auto"/>
        </w:rPr>
        <w:t>It is generally illegal for you to trade in the securities of the Company, whether for your account or for the account of another, while in the possession of material, nonpublic information about the Company. It is also generally illegal for you to disclose material, nonpublic information about the Company to others who may trade on the basis of that information. These illegal activities are commonly referred to as “</w:t>
      </w:r>
      <w:r>
        <w:rPr>
          <w:rFonts w:ascii="Times New Roman" w:cs="Times New Roman" w:eastAsia="Times New Roman" w:hAnsi="Times New Roman"/>
          <w:sz w:val="22"/>
          <w:szCs w:val="22"/>
          <w:i w:val="1"/>
          <w:iCs w:val="1"/>
          <w:color w:val="auto"/>
        </w:rPr>
        <w:t>insider trading</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right="760" w:firstLine="749"/>
        <w:spacing w:after="0" w:line="258" w:lineRule="auto"/>
        <w:rPr>
          <w:sz w:val="20"/>
          <w:szCs w:val="20"/>
          <w:color w:val="auto"/>
        </w:rPr>
      </w:pPr>
      <w:r>
        <w:rPr>
          <w:rFonts w:ascii="Times New Roman" w:cs="Times New Roman" w:eastAsia="Times New Roman" w:hAnsi="Times New Roman"/>
          <w:sz w:val="22"/>
          <w:szCs w:val="22"/>
          <w:color w:val="auto"/>
        </w:rPr>
        <w:t>When you know or are in possession of material, nonpublic information about the Company, whether positive or negative, you are prohibited from the following activities:</w:t>
      </w:r>
    </w:p>
    <w:p>
      <w:pPr>
        <w:spacing w:after="0" w:line="157" w:lineRule="exact"/>
        <w:rPr>
          <w:sz w:val="20"/>
          <w:szCs w:val="20"/>
          <w:color w:val="auto"/>
        </w:rPr>
      </w:pPr>
    </w:p>
    <w:p>
      <w:pPr>
        <w:ind w:left="1140" w:right="40" w:hanging="383"/>
        <w:spacing w:after="0" w:line="266" w:lineRule="auto"/>
        <w:tabs>
          <w:tab w:leader="none" w:pos="11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(whether for your account of for the account of another) in the Company’s securities, which includes common stock, options to purchase common stock, any other type of securities that the Company may issue (such as preferred stock, convertible debentures, warrants, exchange-traded options or other derivative securities), and any derivative securities that provide the economic equivalent of ownership of any of the Company’s securities or an opportunity, direct or indirect, to profit from any change in the value of the Company’s securities, except for trades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0" w:name="page161"/>
    <w:bookmarkEnd w:id="160"/>
    <w:p>
      <w:pPr>
        <w:jc w:val="both"/>
        <w:ind w:left="1140" w:right="260"/>
        <w:spacing w:after="0" w:line="244" w:lineRule="auto"/>
        <w:rPr>
          <w:sz w:val="20"/>
          <w:szCs w:val="20"/>
          <w:color w:val="auto"/>
        </w:rPr>
      </w:pPr>
      <w:r>
        <w:rPr>
          <w:rFonts w:ascii="Times New Roman" w:cs="Times New Roman" w:eastAsia="Times New Roman" w:hAnsi="Times New Roman"/>
          <w:sz w:val="22"/>
          <w:szCs w:val="22"/>
          <w:color w:val="auto"/>
        </w:rPr>
        <w:t>made in compliance with the affirmative defense of Rule 10b5-1 under the Exchange Act, such as when trades are made pursuant to a written plan that was adopted, or trading instructions that were given, before you knew or had possession of such material, nonpublic information and certain other conditions are satisfied;</w:t>
      </w:r>
    </w:p>
    <w:p>
      <w:pPr>
        <w:spacing w:after="0" w:line="64" w:lineRule="exact"/>
        <w:rPr>
          <w:sz w:val="20"/>
          <w:szCs w:val="20"/>
          <w:color w:val="auto"/>
        </w:rPr>
      </w:pPr>
    </w:p>
    <w:p>
      <w:pPr>
        <w:ind w:left="1140" w:hanging="383"/>
        <w:spacing w:after="0"/>
        <w:tabs>
          <w:tab w:leader="none" w:pos="11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giving trading advice of any kind about the Company; and</w:t>
      </w:r>
    </w:p>
    <w:p>
      <w:pPr>
        <w:spacing w:after="0" w:line="97" w:lineRule="exact"/>
        <w:rPr>
          <w:rFonts w:ascii="Times New Roman" w:cs="Times New Roman" w:eastAsia="Times New Roman" w:hAnsi="Times New Roman"/>
          <w:sz w:val="22"/>
          <w:szCs w:val="22"/>
          <w:color w:val="auto"/>
        </w:rPr>
      </w:pPr>
    </w:p>
    <w:p>
      <w:pPr>
        <w:ind w:left="1140" w:hanging="383"/>
        <w:spacing w:after="0" w:line="244" w:lineRule="auto"/>
        <w:tabs>
          <w:tab w:leader="none" w:pos="11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the material, nonpublic information about the Company, whether positive or negative, to anyone else who might then trade, or recommending to anyone that they purchase or sell the Company’s securities when you are aware of material, nonpublic information (these practices are commonly known as “</w:t>
      </w:r>
      <w:r>
        <w:rPr>
          <w:rFonts w:ascii="Times New Roman" w:cs="Times New Roman" w:eastAsia="Times New Roman" w:hAnsi="Times New Roman"/>
          <w:sz w:val="22"/>
          <w:szCs w:val="22"/>
          <w:i w:val="1"/>
          <w:iCs w:val="1"/>
          <w:color w:val="auto"/>
        </w:rPr>
        <w:t>tipping</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2"/>
          <w:szCs w:val="22"/>
          <w:color w:val="auto"/>
        </w:rPr>
        <w:t>This Insider Trading Policy does not apply to: (1) an exercise of an employee stock option when payment of the exercise price is made in cash or (2)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80" w:lineRule="exact"/>
        <w:rPr>
          <w:sz w:val="20"/>
          <w:szCs w:val="20"/>
          <w:color w:val="auto"/>
        </w:rPr>
      </w:pPr>
    </w:p>
    <w:p>
      <w:pPr>
        <w:jc w:val="both"/>
        <w:ind w:right="160" w:firstLine="749"/>
        <w:spacing w:after="0" w:line="244" w:lineRule="auto"/>
        <w:rPr>
          <w:sz w:val="20"/>
          <w:szCs w:val="20"/>
          <w:color w:val="auto"/>
        </w:rPr>
      </w:pPr>
      <w:r>
        <w:rPr>
          <w:rFonts w:ascii="Times New Roman" w:cs="Times New Roman" w:eastAsia="Times New Roman" w:hAnsi="Times New Roman"/>
          <w:sz w:val="22"/>
          <w:szCs w:val="22"/>
          <w:color w:val="auto"/>
        </w:rPr>
        <w:t>The policy does apply, however, to: the use of outstanding Company securities to pay part or all of the exercise price of an option, any sale of stock as part of a broker-assisted cashless exercise of an option or any other market sale for the purpose of generating the cash needed to pay the exercise price of an option.</w:t>
      </w:r>
    </w:p>
    <w:p>
      <w:pPr>
        <w:spacing w:after="0" w:line="172"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These prohibitions continue whenever and for as long as you know or are in possession of material, nonpublic information. Remember, anyone scrutinizing your transactions will be doing so after the fact, with the benefit of hindsight. As a practical matter, before engaging in any transaction, you should carefully consider how enforcement authorities and others might view the transaction in hindsight.</w:t>
      </w:r>
    </w:p>
    <w:p>
      <w:pPr>
        <w:spacing w:after="0" w:line="173"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is Material, Nonpublic Information?</w:t>
      </w:r>
    </w:p>
    <w:p>
      <w:pPr>
        <w:spacing w:after="0" w:line="211"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This Insider Trading Policy prohibits you from trading in the Company’s securities if you are in possession of information about the Company that is both “</w:t>
      </w:r>
      <w:r>
        <w:rPr>
          <w:rFonts w:ascii="Times New Roman" w:cs="Times New Roman" w:eastAsia="Times New Roman" w:hAnsi="Times New Roman"/>
          <w:sz w:val="22"/>
          <w:szCs w:val="22"/>
          <w:i w:val="1"/>
          <w:iCs w:val="1"/>
          <w:color w:val="auto"/>
        </w:rPr>
        <w:t>material</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i w:val="1"/>
          <w:iCs w:val="1"/>
          <w:color w:val="auto"/>
        </w:rPr>
        <w:t>nonpublic</w:t>
      </w:r>
      <w:r>
        <w:rPr>
          <w:rFonts w:ascii="Times New Roman" w:cs="Times New Roman" w:eastAsia="Times New Roman" w:hAnsi="Times New Roman"/>
          <w:sz w:val="22"/>
          <w:szCs w:val="22"/>
          <w:color w:val="auto"/>
        </w:rPr>
        <w:t>.” If you have a question whether certain information you are aware of is material or has been made public, you are encouraged to consult with the Compliance Officer.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Information</w:t>
      </w:r>
    </w:p>
    <w:p>
      <w:pPr>
        <w:spacing w:after="0" w:line="209" w:lineRule="exact"/>
        <w:rPr>
          <w:sz w:val="20"/>
          <w:szCs w:val="20"/>
          <w:color w:val="auto"/>
        </w:rPr>
      </w:pPr>
    </w:p>
    <w:p>
      <w:pPr>
        <w:ind w:right="100" w:firstLine="749"/>
        <w:spacing w:after="0" w:line="236" w:lineRule="auto"/>
        <w:rPr>
          <w:sz w:val="20"/>
          <w:szCs w:val="20"/>
          <w:color w:val="auto"/>
        </w:rPr>
      </w:pPr>
      <w:r>
        <w:rPr>
          <w:rFonts w:ascii="Times New Roman" w:cs="Times New Roman" w:eastAsia="Times New Roman" w:hAnsi="Times New Roman"/>
          <w:sz w:val="22"/>
          <w:szCs w:val="22"/>
          <w:color w:val="auto"/>
        </w:rPr>
        <w:t>Information about the Company is “material” if it could reasonably be expected to affect the investment or voting decisions of a stockholder or investor, or if the disclosure of the information could reasonably be expected to significantly alter the total mix of information in the marketplace about the Company.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items are types of information that should be considered carefully to determine whether they are material:</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1" w:name="page162"/>
    <w:bookmarkEnd w:id="161"/>
    <w:p>
      <w:pPr>
        <w:ind w:left="1500" w:right="460" w:hanging="743"/>
        <w:spacing w:after="0" w:line="244"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any programs in preclinical or clinical development, including recent regulatory interaction and/or data that have been recently generated from ongoing or recently completed preclinical or clinical trials;</w:t>
      </w:r>
    </w:p>
    <w:p>
      <w:pPr>
        <w:spacing w:after="0" w:line="64" w:lineRule="exact"/>
        <w:rPr>
          <w:rFonts w:ascii="Times New Roman" w:cs="Times New Roman" w:eastAsia="Times New Roman" w:hAnsi="Times New Roman"/>
          <w:sz w:val="22"/>
          <w:szCs w:val="22"/>
          <w:color w:val="auto"/>
        </w:rPr>
      </w:pPr>
    </w:p>
    <w:p>
      <w:pPr>
        <w:ind w:left="1500" w:right="240" w:hanging="743"/>
        <w:spacing w:after="0" w:line="258"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developments regarding the intellectual property and/or freedom to operate for any of the current programs or product candidates under development;</w:t>
      </w:r>
    </w:p>
    <w:p>
      <w:pPr>
        <w:spacing w:after="0" w:line="4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9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or revenue that are inconsistent with the consensus expectations of the investment community;</w:t>
      </w:r>
    </w:p>
    <w:p>
      <w:pPr>
        <w:spacing w:after="0" w:line="97" w:lineRule="exact"/>
        <w:rPr>
          <w:rFonts w:ascii="Times New Roman" w:cs="Times New Roman" w:eastAsia="Times New Roman" w:hAnsi="Times New Roman"/>
          <w:sz w:val="22"/>
          <w:szCs w:val="22"/>
          <w:color w:val="auto"/>
        </w:rPr>
      </w:pPr>
    </w:p>
    <w:p>
      <w:pPr>
        <w:ind w:left="1500" w:right="40" w:hanging="743"/>
        <w:spacing w:after="0" w:line="258"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restatements of the Company’s financial statements, changes in auditors or auditor notification that the Company may no longer rely on an auditor’s audit report;</w:t>
      </w:r>
    </w:p>
    <w:p>
      <w:pPr>
        <w:spacing w:after="0" w:line="49" w:lineRule="exact"/>
        <w:rPr>
          <w:rFonts w:ascii="Times New Roman" w:cs="Times New Roman" w:eastAsia="Times New Roman" w:hAnsi="Times New Roman"/>
          <w:sz w:val="22"/>
          <w:szCs w:val="22"/>
          <w:color w:val="auto"/>
        </w:rPr>
      </w:pPr>
    </w:p>
    <w:p>
      <w:pPr>
        <w:ind w:left="1500" w:right="180" w:hanging="743"/>
        <w:spacing w:after="0" w:line="258"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proposed corporate mergers, acquisitions, tender offers, joint ventures or dispositions of significant assets;</w:t>
      </w:r>
    </w:p>
    <w:p>
      <w:pPr>
        <w:spacing w:after="0" w:line="4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management or the Board of Directors;</w:t>
      </w:r>
    </w:p>
    <w:p>
      <w:pPr>
        <w:spacing w:after="0" w:line="97"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actual or threatened litigation or governmental investigations or major developments in such matters;</w:t>
      </w:r>
    </w:p>
    <w:p>
      <w:pPr>
        <w:spacing w:after="0" w:line="120" w:lineRule="exact"/>
        <w:rPr>
          <w:rFonts w:ascii="Times New Roman" w:cs="Times New Roman" w:eastAsia="Times New Roman" w:hAnsi="Times New Roman"/>
          <w:sz w:val="20"/>
          <w:szCs w:val="20"/>
          <w:color w:val="auto"/>
        </w:rPr>
      </w:pPr>
    </w:p>
    <w:p>
      <w:pPr>
        <w:ind w:left="1500" w:hanging="743"/>
        <w:spacing w:after="0"/>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cybersecurity incident;</w:t>
      </w:r>
    </w:p>
    <w:p>
      <w:pPr>
        <w:spacing w:after="0" w:line="97" w:lineRule="exact"/>
        <w:rPr>
          <w:rFonts w:ascii="Times New Roman" w:cs="Times New Roman" w:eastAsia="Times New Roman" w:hAnsi="Times New Roman"/>
          <w:sz w:val="22"/>
          <w:szCs w:val="22"/>
          <w:color w:val="auto"/>
        </w:rPr>
      </w:pPr>
    </w:p>
    <w:p>
      <w:pPr>
        <w:ind w:left="1500" w:right="180" w:hanging="743"/>
        <w:spacing w:after="0" w:line="258"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developments regarding products, customers, suppliers, orders, contracts or financing sources (e.g., the acquisition or loss of a contract);</w:t>
      </w:r>
    </w:p>
    <w:p>
      <w:pPr>
        <w:spacing w:after="0" w:line="4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declarations of stock splits, or public or private sales of additional securities;</w:t>
      </w:r>
    </w:p>
    <w:p>
      <w:pPr>
        <w:spacing w:after="0" w:line="97" w:lineRule="exact"/>
        <w:rPr>
          <w:rFonts w:ascii="Times New Roman" w:cs="Times New Roman" w:eastAsia="Times New Roman" w:hAnsi="Times New Roman"/>
          <w:sz w:val="22"/>
          <w:szCs w:val="22"/>
          <w:color w:val="auto"/>
        </w:rPr>
      </w:pPr>
    </w:p>
    <w:p>
      <w:pPr>
        <w:ind w:left="1500" w:right="320" w:hanging="743"/>
        <w:spacing w:after="0" w:line="258" w:lineRule="auto"/>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defaults under the Company’s credit agreements or indentures, or the existence of material liquidity deficiencies; and</w:t>
      </w:r>
    </w:p>
    <w:p>
      <w:pPr>
        <w:spacing w:after="0" w:line="4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bankruptcies or receiverships.</w:t>
      </w:r>
    </w:p>
    <w:p>
      <w:pPr>
        <w:spacing w:after="0" w:line="205"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By including the list above, the Company does not mean to imply that each of these items above is </w:t>
      </w:r>
      <w:r>
        <w:rPr>
          <w:rFonts w:ascii="Times New Roman" w:cs="Times New Roman" w:eastAsia="Times New Roman" w:hAnsi="Times New Roman"/>
          <w:sz w:val="22"/>
          <w:szCs w:val="22"/>
          <w:u w:val="single" w:color="auto"/>
          <w:color w:val="auto"/>
        </w:rPr>
        <w:t>per se</w:t>
      </w:r>
      <w:r>
        <w:rPr>
          <w:rFonts w:ascii="Times New Roman" w:cs="Times New Roman" w:eastAsia="Times New Roman" w:hAnsi="Times New Roman"/>
          <w:sz w:val="22"/>
          <w:szCs w:val="22"/>
          <w:color w:val="auto"/>
        </w:rPr>
        <w:t xml:space="preserve"> material. The information and events on this list still require determinations as to their materiality (although some determinations will be reached more easily than others). For example, some new products or contracts may clearly be material to an issuer; yet that does not mean that all product developments or contracts will be material. This demonstrates, in our view, why no “bright-line” standard or list of items can adequately address the range of situations that may arise. Furthermore, the Company cannot create an exclusive list of events and information that have a higher probability of being considered material.</w:t>
      </w:r>
    </w:p>
    <w:p>
      <w:pPr>
        <w:spacing w:after="0" w:line="179"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2"/>
          <w:szCs w:val="22"/>
          <w:color w:val="auto"/>
        </w:rPr>
        <w:t>The Securities and Exchange Commission (the “SEC”) has stated that there is no fixed quantitative threshold amount for determining materiality, and that even very small quantitative changes can be qualitatively material if they would result in a movement in the price of the Company’s securities.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b w:val="1"/>
          <w:bCs w:val="1"/>
          <w:color w:val="auto"/>
        </w:rPr>
        <w:t>“Nonpublic” Information</w:t>
      </w:r>
    </w:p>
    <w:p>
      <w:pPr>
        <w:spacing w:after="0" w:line="209" w:lineRule="exact"/>
        <w:rPr>
          <w:sz w:val="20"/>
          <w:szCs w:val="20"/>
          <w:color w:val="auto"/>
        </w:rPr>
      </w:pPr>
    </w:p>
    <w:p>
      <w:pPr>
        <w:ind w:right="200" w:firstLine="749"/>
        <w:spacing w:after="0" w:line="262" w:lineRule="auto"/>
        <w:rPr>
          <w:sz w:val="20"/>
          <w:szCs w:val="20"/>
          <w:color w:val="auto"/>
        </w:rPr>
      </w:pPr>
      <w:r>
        <w:rPr>
          <w:rFonts w:ascii="Times New Roman" w:cs="Times New Roman" w:eastAsia="Times New Roman" w:hAnsi="Times New Roman"/>
          <w:sz w:val="20"/>
          <w:szCs w:val="20"/>
          <w:color w:val="auto"/>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also must be adequate time for the market as a whole to absorb the information that has been disclosed. For the purposes of this Insider Trading Policy, information will be considered public after the close of trading on the first full trading day following the Company’s public release of the information.</w:t>
      </w:r>
    </w:p>
    <w:p>
      <w:pPr>
        <w:spacing w:after="0" w:line="157"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For example, if the Company announces material nonpublic information of which you are aware before trading begins on a Tuesday, the first time you can buy or sell Company securities is the opening of the market on Wednesday. However, if the Company announces this material information after trading begins on that Tuesday, the first time that you can buy or sell Company securities is the opening of the market on Thursday.</w:t>
      </w:r>
    </w:p>
    <w:p>
      <w:pPr>
        <w:spacing w:after="0" w:line="173" w:lineRule="exact"/>
        <w:rPr>
          <w:sz w:val="20"/>
          <w:szCs w:val="20"/>
          <w:color w:val="auto"/>
        </w:rPr>
      </w:pPr>
    </w:p>
    <w:p>
      <w:pPr>
        <w:ind w:left="440" w:hanging="432"/>
        <w:spacing w:after="0"/>
        <w:tabs>
          <w:tab w:leader="none" w:pos="440" w:val="left"/>
        </w:tabs>
        <w:numPr>
          <w:ilvl w:val="0"/>
          <w:numId w:val="87"/>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What are the Penalties for Insider Trading and Noncompliance with this Insider Trading Policy?</w:t>
      </w:r>
    </w:p>
    <w:p>
      <w:pPr>
        <w:spacing w:after="0" w:line="211"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Both the SEC and the national securities exchanges, through the Financial Industry Regulatory Authority (“FINRA”),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penalties for violating insider trading or tipping rules can be severe and include:</w:t>
      </w:r>
    </w:p>
    <w:p>
      <w:pPr>
        <w:spacing w:after="0" w:line="205" w:lineRule="exact"/>
        <w:rPr>
          <w:sz w:val="20"/>
          <w:szCs w:val="20"/>
          <w:color w:val="auto"/>
        </w:rPr>
      </w:pPr>
    </w:p>
    <w:p>
      <w:pPr>
        <w:ind w:left="1140" w:hanging="383"/>
        <w:spacing w:after="0"/>
        <w:tabs>
          <w:tab w:leader="none" w:pos="11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the profit gained or loss avoided by the trading;</w:t>
      </w:r>
    </w:p>
    <w:p>
      <w:pPr>
        <w:spacing w:after="0" w:line="97" w:lineRule="exact"/>
        <w:rPr>
          <w:rFonts w:ascii="Times New Roman" w:cs="Times New Roman" w:eastAsia="Times New Roman" w:hAnsi="Times New Roman"/>
          <w:sz w:val="22"/>
          <w:szCs w:val="22"/>
          <w:color w:val="auto"/>
        </w:rPr>
      </w:pPr>
    </w:p>
    <w:p>
      <w:pPr>
        <w:ind w:left="1140" w:right="40" w:hanging="383"/>
        <w:spacing w:after="0" w:line="258" w:lineRule="auto"/>
        <w:tabs>
          <w:tab w:leader="none" w:pos="11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loss suffered by the persons who, contemporaneously with the purchase or sale of securities that are subject of such violation, have purchased or sold, as applicable, securities of the same class;</w:t>
      </w:r>
    </w:p>
    <w:p>
      <w:pPr>
        <w:spacing w:after="0" w:line="49"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criminal penalties of up to $5,000,000;</w:t>
      </w:r>
    </w:p>
    <w:p>
      <w:pPr>
        <w:spacing w:after="0" w:line="97"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civil penalties of up to three times the profit made or loss avoided; and</w:t>
      </w:r>
    </w:p>
    <w:p>
      <w:pPr>
        <w:spacing w:after="0" w:line="97"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imprisonment for up to 20 years.</w:t>
      </w:r>
    </w:p>
    <w:p>
      <w:pPr>
        <w:spacing w:after="0" w:line="205" w:lineRule="exact"/>
        <w:rPr>
          <w:sz w:val="20"/>
          <w:szCs w:val="20"/>
          <w:color w:val="auto"/>
        </w:rPr>
      </w:pPr>
    </w:p>
    <w:p>
      <w:pPr>
        <w:ind w:right="20" w:firstLine="749"/>
        <w:spacing w:after="0" w:line="280" w:lineRule="auto"/>
        <w:rPr>
          <w:sz w:val="20"/>
          <w:szCs w:val="20"/>
          <w:color w:val="auto"/>
        </w:rPr>
      </w:pPr>
      <w:r>
        <w:rPr>
          <w:rFonts w:ascii="Times New Roman" w:cs="Times New Roman" w:eastAsia="Times New Roman" w:hAnsi="Times New Roman"/>
          <w:sz w:val="20"/>
          <w:szCs w:val="20"/>
          <w:color w:val="auto"/>
        </w:rPr>
        <w:t>The Company and/or the supervisors of the person engaged in insider trading may also be required to pay civil penalties of up to the greater of $1,525,000 (subject to periodic inflation adjustments) or three times the profit made or loss avoided, as well as criminal penalties of up to $25,000,000, and could under certain circumstances be subject to private lawsuits.</w:t>
      </w:r>
    </w:p>
    <w:p>
      <w:pPr>
        <w:spacing w:after="0" w:line="13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Violation of this Insider Trading Policy or any federal or state insider trading laws may subject the person violating such policy or laws to disciplinary action by the Company up to and</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3" w:right="439" w:bottom="1440" w:gutter="0" w:footer="0" w:header="0"/>
        </w:sectPr>
      </w:pPr>
    </w:p>
    <w:bookmarkStart w:id="163" w:name="page164"/>
    <w:bookmarkEnd w:id="163"/>
    <w:p>
      <w:pPr>
        <w:ind w:right="40"/>
        <w:spacing w:after="0" w:line="239" w:lineRule="auto"/>
        <w:rPr>
          <w:sz w:val="20"/>
          <w:szCs w:val="20"/>
          <w:color w:val="auto"/>
        </w:rPr>
      </w:pPr>
      <w:r>
        <w:rPr>
          <w:rFonts w:ascii="Times New Roman" w:cs="Times New Roman" w:eastAsia="Times New Roman" w:hAnsi="Times New Roman"/>
          <w:sz w:val="22"/>
          <w:szCs w:val="22"/>
          <w:color w:val="auto"/>
        </w:rPr>
        <w:t>including termination. The Company reserves the right to determine, in its own discretion and on the basis of the information available to it, whether this Insider Trading Policy has been violated. The Company may determine that specific conduct violates this Insider Trading Policy, whether or not the conduct also violates the law. It is not necessary for the Company to await the filing or conclusion of a civil or criminal action against the alleged violator before taking disciplinary action.</w:t>
      </w:r>
    </w:p>
    <w:p>
      <w:pPr>
        <w:spacing w:after="0" w:line="173" w:lineRule="exact"/>
        <w:rPr>
          <w:sz w:val="20"/>
          <w:szCs w:val="20"/>
          <w:color w:val="auto"/>
        </w:rPr>
      </w:pPr>
    </w:p>
    <w:p>
      <w:pPr>
        <w:ind w:left="440" w:hanging="432"/>
        <w:spacing w:after="0"/>
        <w:tabs>
          <w:tab w:leader="none" w:pos="440" w:val="left"/>
        </w:tabs>
        <w:numPr>
          <w:ilvl w:val="0"/>
          <w:numId w:val="89"/>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How Do You Report a Violation of this Insider Trading Policy?</w:t>
      </w:r>
    </w:p>
    <w:p>
      <w:pPr>
        <w:spacing w:after="0" w:line="211"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If you have a question about this Insider Trading Policy, including whether certain information you are aware of is material or has been made public, you are encouraged to consult with the Compliance Officer. In addition, if you violate this Insider Trading Policy or any federal or state laws governing insider trading, or know of any such violation by any director, officer or employee of the Company, you should report the violation immediately to the Compliance Officer. However if the conduct in question involves the Compliance Officer, or if you have reported such conduct to the Compliance Officer and you do not believe the Compliance Officer has dealt with it properly, or if you do not feel that you can discuss the matter with the Compliance Officer, you may raise the matter with the Chief Executive Officer.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 II. TRADING PROCEDURES</w:t>
      </w:r>
    </w:p>
    <w:p>
      <w:pPr>
        <w:spacing w:after="0" w:line="203" w:lineRule="exact"/>
        <w:rPr>
          <w:sz w:val="20"/>
          <w:szCs w:val="20"/>
          <w:color w:val="auto"/>
        </w:rPr>
      </w:pPr>
    </w:p>
    <w:p>
      <w:pPr>
        <w:ind w:left="440" w:hanging="432"/>
        <w:spacing w:after="0"/>
        <w:tabs>
          <w:tab w:leader="none" w:pos="440" w:val="left"/>
        </w:tabs>
        <w:numPr>
          <w:ilvl w:val="0"/>
          <w:numId w:val="9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Special Trading Restrictions Applicable to Insiders</w:t>
      </w:r>
    </w:p>
    <w:p>
      <w:pPr>
        <w:spacing w:after="0" w:line="211"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22"/>
          <w:szCs w:val="22"/>
          <w:color w:val="auto"/>
        </w:rPr>
        <w:t>In addition to the restrictions on trading in Company securities set forth above, Insiders and their Affiliated Persons are subject to the following special trading restrictions:</w:t>
      </w:r>
    </w:p>
    <w:p>
      <w:pPr>
        <w:spacing w:after="0" w:line="167" w:lineRule="exact"/>
        <w:rPr>
          <w:sz w:val="20"/>
          <w:szCs w:val="20"/>
          <w:color w:val="auto"/>
        </w:rPr>
      </w:pPr>
    </w:p>
    <w:p>
      <w:pPr>
        <w:ind w:left="1180" w:hanging="423"/>
        <w:spacing w:after="0"/>
        <w:tabs>
          <w:tab w:leader="none" w:pos="1180"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Policy Modification</w:t>
      </w:r>
      <w:r>
        <w:rPr>
          <w:rFonts w:ascii="Times New Roman" w:cs="Times New Roman" w:eastAsia="Times New Roman" w:hAnsi="Times New Roman"/>
          <w:sz w:val="22"/>
          <w:szCs w:val="22"/>
          <w:color w:val="auto"/>
        </w:rPr>
        <w:t>.</w:t>
      </w:r>
    </w:p>
    <w:p>
      <w:pPr>
        <w:spacing w:after="0" w:line="236" w:lineRule="exact"/>
        <w:rPr>
          <w:sz w:val="20"/>
          <w:szCs w:val="20"/>
          <w:color w:val="auto"/>
        </w:rPr>
      </w:pPr>
    </w:p>
    <w:p>
      <w:pPr>
        <w:ind w:right="3480" w:firstLine="749"/>
        <w:spacing w:after="0" w:line="259" w:lineRule="auto"/>
        <w:rPr>
          <w:sz w:val="20"/>
          <w:szCs w:val="20"/>
          <w:color w:val="auto"/>
        </w:rPr>
      </w:pPr>
      <w:r>
        <w:rPr>
          <w:rFonts w:ascii="Times New Roman" w:cs="Times New Roman" w:eastAsia="Times New Roman" w:hAnsi="Times New Roman"/>
          <w:sz w:val="20"/>
          <w:szCs w:val="20"/>
          <w:color w:val="auto"/>
        </w:rPr>
        <w:t>The Company may at any time change this Insider Trading Policy or adopt such other policies or procedures which it considers appropriate to carry out the purposes of its policies regarding insider trading and the disclosure of Company information. Notice of any such change will be delivered to you by regular or electronic mail (or other delivery</w:t>
      </w:r>
    </w:p>
    <w:p>
      <w:pPr>
        <w:spacing w:after="0" w:line="2" w:lineRule="exact"/>
        <w:rPr>
          <w:sz w:val="20"/>
          <w:szCs w:val="20"/>
          <w:color w:val="auto"/>
        </w:rPr>
      </w:pPr>
    </w:p>
    <w:p>
      <w:pPr>
        <w:jc w:val="both"/>
        <w:ind w:right="180"/>
        <w:spacing w:after="0" w:line="235" w:lineRule="auto"/>
        <w:rPr>
          <w:sz w:val="20"/>
          <w:szCs w:val="20"/>
          <w:color w:val="auto"/>
        </w:rPr>
      </w:pPr>
      <w:r>
        <w:rPr>
          <w:rFonts w:ascii="Times New Roman" w:cs="Times New Roman" w:eastAsia="Times New Roman" w:hAnsi="Times New Roman"/>
          <w:sz w:val="22"/>
          <w:szCs w:val="22"/>
          <w:color w:val="auto"/>
        </w:rPr>
        <w:t>option used by the Company) by the Company. You will be deemed to have received, be bound by and agree to revisions of this Insider Trading Policy when such revisions have been delivered to you, unless you object to any revision in a written statement received by the Compliance Officer within two (2) business days of such delivery.</w:t>
      </w:r>
    </w:p>
    <w:p>
      <w:pPr>
        <w:spacing w:after="0" w:line="200" w:lineRule="exact"/>
        <w:rPr>
          <w:sz w:val="20"/>
          <w:szCs w:val="20"/>
          <w:color w:val="auto"/>
        </w:rPr>
      </w:pPr>
    </w:p>
    <w:p>
      <w:pPr>
        <w:ind w:left="1180" w:hanging="423"/>
        <w:spacing w:after="0"/>
        <w:tabs>
          <w:tab w:leader="none" w:pos="118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Transactions</w:t>
      </w:r>
    </w:p>
    <w:p>
      <w:pPr>
        <w:spacing w:after="0" w:line="203" w:lineRule="exact"/>
        <w:rPr>
          <w:rFonts w:ascii="Times New Roman" w:cs="Times New Roman" w:eastAsia="Times New Roman" w:hAnsi="Times New Roman"/>
          <w:sz w:val="22"/>
          <w:szCs w:val="22"/>
          <w:b w:val="1"/>
          <w:bCs w:val="1"/>
          <w:color w:val="auto"/>
        </w:rPr>
      </w:pPr>
    </w:p>
    <w:p>
      <w:pPr>
        <w:ind w:left="1880" w:hanging="375"/>
        <w:spacing w:after="0" w:line="237" w:lineRule="auto"/>
        <w:tabs>
          <w:tab w:leader="none" w:pos="188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Trading During Special Blackout Windows</w:t>
      </w:r>
      <w:r>
        <w:rPr>
          <w:rFonts w:ascii="Times New Roman" w:cs="Times New Roman" w:eastAsia="Times New Roman" w:hAnsi="Times New Roman"/>
          <w:sz w:val="22"/>
          <w:szCs w:val="22"/>
          <w:color w:val="auto"/>
        </w:rPr>
        <w:t>. There are times when the Company or certain members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its board of directors or senior management or support staff may be aware of a material, nonpublic development. Although an Insider may not know the specifics of such development, if an Insider engages in a trade before such development is disclosed to the public or resolved, such Insider and the Company might be exposed to a charge of insider trading that could be costly and difficult to refute. In addition, a trade by an Insider during such a period could result in adverse publicity for the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64" w:name="page165"/>
    <w:bookmarkEnd w:id="164"/>
    <w:p>
      <w:pPr>
        <w:ind w:left="1880" w:right="140"/>
        <w:spacing w:after="0" w:line="234" w:lineRule="auto"/>
        <w:rPr>
          <w:sz w:val="20"/>
          <w:szCs w:val="20"/>
          <w:color w:val="auto"/>
        </w:rPr>
      </w:pPr>
      <w:r>
        <w:rPr>
          <w:rFonts w:ascii="Times New Roman" w:cs="Times New Roman" w:eastAsia="Times New Roman" w:hAnsi="Times New Roman"/>
          <w:sz w:val="22"/>
          <w:szCs w:val="22"/>
          <w:color w:val="auto"/>
        </w:rPr>
        <w:t>Company. Therefore, Insiders may not trade in Company securities if they are notified by the Compliance Officer that the trading window is closed because of the existence of a material, nonpublic development. The Compliance Officer will subsequently notify the Insiders once the material, nonpublic development is disclosed to the public or resolved and that, as a result, the trading window is again open. While the Compliance Officer will undertake reasonable efforts to notify the Insiders that material, nonpublic events have developed, or are soon likely to develop, it is each Insider’s individual duty to ensure that they do not make any trade in Company securities when material, nonpublic information exists, regardless of whether such Insider is aware of such development.</w:t>
      </w:r>
    </w:p>
    <w:p>
      <w:pPr>
        <w:spacing w:after="0" w:line="178" w:lineRule="exact"/>
        <w:rPr>
          <w:sz w:val="20"/>
          <w:szCs w:val="20"/>
          <w:color w:val="auto"/>
        </w:rPr>
      </w:pPr>
    </w:p>
    <w:p>
      <w:pPr>
        <w:ind w:left="1880" w:right="140" w:hanging="375"/>
        <w:spacing w:after="0" w:line="263" w:lineRule="auto"/>
        <w:tabs>
          <w:tab w:leader="none" w:pos="18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Short Sales</w:t>
      </w:r>
      <w:r>
        <w:rPr>
          <w:rFonts w:ascii="Times New Roman" w:cs="Times New Roman" w:eastAsia="Times New Roman" w:hAnsi="Times New Roman"/>
          <w:sz w:val="22"/>
          <w:szCs w:val="22"/>
          <w:color w:val="auto"/>
        </w:rPr>
        <w:t>. No Insider may at any time sell any securities of the Company that are not owned by such</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Insider at the time of the sale (a “short sale”).</w:t>
      </w:r>
    </w:p>
    <w:p>
      <w:pPr>
        <w:spacing w:after="0" w:line="146" w:lineRule="exact"/>
        <w:rPr>
          <w:rFonts w:ascii="Times New Roman" w:cs="Times New Roman" w:eastAsia="Times New Roman" w:hAnsi="Times New Roman"/>
          <w:sz w:val="22"/>
          <w:szCs w:val="22"/>
          <w:color w:val="auto"/>
        </w:rPr>
      </w:pPr>
    </w:p>
    <w:p>
      <w:pPr>
        <w:ind w:left="1880" w:right="40" w:hanging="375"/>
        <w:spacing w:after="0" w:line="245" w:lineRule="auto"/>
        <w:tabs>
          <w:tab w:leader="none" w:pos="18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Purchases or Sales of Derivative Securities or Hedging Transactions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 Insider may buy or sell puts,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calls, other derivative securities of the Company or any derivative securities that provide the economic equivalent of ownership of any of the Company’s securities or an opportunity, direct or indirect, to profit from any change in the value of the Company’s securities or engage in any other hedging transaction with respect to the Company’s securities, at any time.</w:t>
      </w:r>
    </w:p>
    <w:p>
      <w:pPr>
        <w:spacing w:after="0" w:line="165" w:lineRule="exact"/>
        <w:rPr>
          <w:rFonts w:ascii="Times New Roman" w:cs="Times New Roman" w:eastAsia="Times New Roman" w:hAnsi="Times New Roman"/>
          <w:sz w:val="22"/>
          <w:szCs w:val="22"/>
          <w:color w:val="auto"/>
        </w:rPr>
      </w:pPr>
    </w:p>
    <w:p>
      <w:pPr>
        <w:ind w:left="1880" w:right="820" w:hanging="375"/>
        <w:spacing w:after="0" w:line="263" w:lineRule="auto"/>
        <w:tabs>
          <w:tab w:leader="none" w:pos="18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Company Securities Subject to Margin Calls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No Insider may use the Company’s securities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collateral in a margin account.</w:t>
      </w:r>
    </w:p>
    <w:p>
      <w:pPr>
        <w:spacing w:after="0" w:line="146" w:lineRule="exact"/>
        <w:rPr>
          <w:rFonts w:ascii="Times New Roman" w:cs="Times New Roman" w:eastAsia="Times New Roman" w:hAnsi="Times New Roman"/>
          <w:sz w:val="22"/>
          <w:szCs w:val="22"/>
          <w:color w:val="auto"/>
        </w:rPr>
      </w:pPr>
    </w:p>
    <w:p>
      <w:pPr>
        <w:ind w:left="1880" w:right="560" w:hanging="375"/>
        <w:spacing w:after="0" w:line="263" w:lineRule="auto"/>
        <w:tabs>
          <w:tab w:leader="none" w:pos="18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No Pledges</w:t>
      </w:r>
      <w:r>
        <w:rPr>
          <w:rFonts w:ascii="Times New Roman" w:cs="Times New Roman" w:eastAsia="Times New Roman" w:hAnsi="Times New Roman"/>
          <w:sz w:val="22"/>
          <w:szCs w:val="22"/>
          <w:color w:val="auto"/>
        </w:rPr>
        <w:t>. No Insider may pledge Company securities as collateral for a loan (or modify an existing</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pledge).</w:t>
      </w:r>
    </w:p>
    <w:p>
      <w:pPr>
        <w:spacing w:after="0" w:line="16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Gifts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firstLine="749"/>
        <w:spacing w:after="0" w:line="307" w:lineRule="auto"/>
        <w:rPr>
          <w:sz w:val="20"/>
          <w:szCs w:val="20"/>
          <w:color w:val="auto"/>
        </w:rPr>
      </w:pPr>
      <w:r>
        <w:rPr>
          <w:rFonts w:ascii="Times New Roman" w:cs="Times New Roman" w:eastAsia="Times New Roman" w:hAnsi="Times New Roman"/>
          <w:sz w:val="20"/>
          <w:szCs w:val="20"/>
          <w:color w:val="auto"/>
        </w:rPr>
        <w:t>No Insider may give or make any other transfer of Company securities without consideration (e.g., a gift) during a period when the Insider is not permitted to trade unless the donee agrees not to sell the shares until such time as the Insider can sell.</w:t>
      </w:r>
    </w:p>
    <w:p>
      <w:pPr>
        <w:spacing w:after="0" w:line="107" w:lineRule="exact"/>
        <w:rPr>
          <w:sz w:val="20"/>
          <w:szCs w:val="20"/>
          <w:color w:val="auto"/>
        </w:rPr>
      </w:pPr>
    </w:p>
    <w:p>
      <w:pPr>
        <w:ind w:left="440" w:hanging="432"/>
        <w:spacing w:after="0"/>
        <w:tabs>
          <w:tab w:leader="none" w:pos="440" w:val="left"/>
        </w:tabs>
        <w:numPr>
          <w:ilvl w:val="0"/>
          <w:numId w:val="94"/>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Pre-Clearance Procedures</w:t>
      </w:r>
    </w:p>
    <w:p>
      <w:pPr>
        <w:spacing w:after="0" w:line="211" w:lineRule="exact"/>
        <w:rPr>
          <w:sz w:val="20"/>
          <w:szCs w:val="20"/>
          <w:color w:val="auto"/>
        </w:rPr>
      </w:pPr>
    </w:p>
    <w:p>
      <w:pPr>
        <w:ind w:firstLine="749"/>
        <w:spacing w:after="0" w:line="276" w:lineRule="auto"/>
        <w:rPr>
          <w:sz w:val="20"/>
          <w:szCs w:val="20"/>
          <w:color w:val="auto"/>
        </w:rPr>
      </w:pPr>
      <w:r>
        <w:rPr>
          <w:rFonts w:ascii="Times New Roman" w:cs="Times New Roman" w:eastAsia="Times New Roman" w:hAnsi="Times New Roman"/>
          <w:sz w:val="20"/>
          <w:szCs w:val="20"/>
          <w:color w:val="auto"/>
        </w:rPr>
        <w:t>No Insider may trade in Company securities unless the trade has been approved by the Compliance Officer in accordance with the procedures set forth below. The Compliance Officer will review and either approve or prohibit all proposed trades by Insiders in accordance with the procedures set forth below. The Compliance Officer may consult with the Company’s other officers and/or outside legal counsel and will receive approval for his or her own trades from the Chief Executive Officer.</w:t>
      </w:r>
    </w:p>
    <w:p>
      <w:pPr>
        <w:spacing w:after="0" w:line="1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165" w:name="page166"/>
    <w:bookmarkEnd w:id="165"/>
    <w:p>
      <w:pPr>
        <w:ind w:left="1500" w:hanging="743"/>
        <w:spacing w:after="0"/>
        <w:tabs>
          <w:tab w:leader="none" w:pos="1500" w:val="left"/>
        </w:tabs>
        <w:numPr>
          <w:ilvl w:val="0"/>
          <w:numId w:val="9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Procedures. </w:t>
      </w:r>
      <w:r>
        <w:rPr>
          <w:rFonts w:ascii="Times New Roman" w:cs="Times New Roman" w:eastAsia="Times New Roman" w:hAnsi="Times New Roman"/>
          <w:sz w:val="22"/>
          <w:szCs w:val="22"/>
          <w:color w:val="auto"/>
        </w:rPr>
        <w:t>No Insider may trade in Company securities until:</w:t>
      </w:r>
    </w:p>
    <w:p>
      <w:pPr>
        <w:spacing w:after="0" w:line="209" w:lineRule="exact"/>
        <w:rPr>
          <w:rFonts w:ascii="Times New Roman" w:cs="Times New Roman" w:eastAsia="Times New Roman" w:hAnsi="Times New Roman"/>
          <w:sz w:val="22"/>
          <w:szCs w:val="22"/>
          <w:b w:val="1"/>
          <w:bCs w:val="1"/>
          <w:color w:val="auto"/>
        </w:rPr>
      </w:pPr>
    </w:p>
    <w:p>
      <w:pPr>
        <w:ind w:left="1880" w:right="20" w:hanging="375"/>
        <w:spacing w:after="0" w:line="237" w:lineRule="auto"/>
        <w:tabs>
          <w:tab w:leader="none" w:pos="18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notified the Compliance Officer of the amount and nature of the proposed trade(s) using the Stock Transaction Request form attached to this Insider Trading Policy. In order to provide adequate time for the preparation of any required reports under Section 16 of the Exchange Act, a Stock Transaction Request form should, if practicable, be received by the Compliance Officer at least two (2) business days prior to the intended trade date;</w:t>
      </w:r>
    </w:p>
    <w:p>
      <w:pPr>
        <w:spacing w:after="0" w:line="180" w:lineRule="exact"/>
        <w:rPr>
          <w:rFonts w:ascii="Times New Roman" w:cs="Times New Roman" w:eastAsia="Times New Roman" w:hAnsi="Times New Roman"/>
          <w:sz w:val="22"/>
          <w:szCs w:val="22"/>
          <w:color w:val="auto"/>
        </w:rPr>
      </w:pPr>
    </w:p>
    <w:p>
      <w:pPr>
        <w:ind w:left="1880" w:right="100" w:hanging="375"/>
        <w:spacing w:after="0" w:line="258" w:lineRule="auto"/>
        <w:tabs>
          <w:tab w:leader="none" w:pos="18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certified to the Compliance Officer in writing prior to the proposed trade(s) that the Insider is not in possession of material, nonpublic information concerning the Company;</w:t>
      </w:r>
    </w:p>
    <w:p>
      <w:pPr>
        <w:spacing w:after="0" w:line="157" w:lineRule="exact"/>
        <w:rPr>
          <w:rFonts w:ascii="Times New Roman" w:cs="Times New Roman" w:eastAsia="Times New Roman" w:hAnsi="Times New Roman"/>
          <w:sz w:val="22"/>
          <w:szCs w:val="22"/>
          <w:color w:val="auto"/>
        </w:rPr>
      </w:pPr>
    </w:p>
    <w:p>
      <w:pPr>
        <w:ind w:left="1880" w:right="120" w:hanging="375"/>
        <w:spacing w:after="0" w:line="236" w:lineRule="auto"/>
        <w:tabs>
          <w:tab w:leader="none" w:pos="18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Insider has informed the Compliance Officer, using the Stock Transaction Request form attached hereto, whether, to the Insider’s best knowledge, (a) the Insider has (or is deemed to have) engaged in any opposite way transactions within the previous six months that were not exempt from Section 16(b) of the Exchange Act and (b) if the transaction involves a sale by an “affiliate” of the Company or of “restricted securities” (as such terms are defined under Rule 144 under the Securities Act of 1933, as amended (“Rule 144”)), whether the transaction meets all of the applicable conditions of Rule 144; and</w:t>
      </w:r>
    </w:p>
    <w:p>
      <w:pPr>
        <w:spacing w:after="0" w:line="179" w:lineRule="exact"/>
        <w:rPr>
          <w:rFonts w:ascii="Times New Roman" w:cs="Times New Roman" w:eastAsia="Times New Roman" w:hAnsi="Times New Roman"/>
          <w:sz w:val="22"/>
          <w:szCs w:val="22"/>
          <w:color w:val="auto"/>
        </w:rPr>
      </w:pPr>
    </w:p>
    <w:p>
      <w:pPr>
        <w:ind w:left="1880" w:right="120" w:hanging="375"/>
        <w:spacing w:after="0" w:line="258" w:lineRule="auto"/>
        <w:tabs>
          <w:tab w:leader="none" w:pos="18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or his or her designee has approved the trade(s) and has certified such approval in writing. Such certification may be made via digitally-signed electronic mail.</w:t>
      </w:r>
    </w:p>
    <w:p>
      <w:pPr>
        <w:spacing w:after="0" w:line="157"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approval shall last for a period of five (5) business days.</w:t>
      </w:r>
    </w:p>
    <w:p>
      <w:pPr>
        <w:spacing w:after="0" w:line="205" w:lineRule="exact"/>
        <w:rPr>
          <w:sz w:val="20"/>
          <w:szCs w:val="20"/>
          <w:color w:val="auto"/>
        </w:rPr>
      </w:pPr>
    </w:p>
    <w:p>
      <w:pPr>
        <w:ind w:right="460" w:firstLine="749"/>
        <w:spacing w:after="0" w:line="258" w:lineRule="auto"/>
        <w:rPr>
          <w:sz w:val="20"/>
          <w:szCs w:val="20"/>
          <w:color w:val="auto"/>
        </w:rPr>
      </w:pPr>
      <w:r>
        <w:rPr>
          <w:rFonts w:ascii="Times New Roman" w:cs="Times New Roman" w:eastAsia="Times New Roman" w:hAnsi="Times New Roman"/>
          <w:sz w:val="22"/>
          <w:szCs w:val="22"/>
          <w:color w:val="auto"/>
        </w:rPr>
        <w:t>The Compliance Officer does not assume the responsibility for, and approval from the Compliance Officer does not protect the Insider from, the consequences of prohibited insider trading.</w:t>
      </w:r>
    </w:p>
    <w:p>
      <w:pPr>
        <w:spacing w:after="0" w:line="153" w:lineRule="exact"/>
        <w:rPr>
          <w:sz w:val="20"/>
          <w:szCs w:val="20"/>
          <w:color w:val="auto"/>
        </w:rPr>
      </w:pPr>
    </w:p>
    <w:p>
      <w:pPr>
        <w:ind w:left="1500" w:hanging="743"/>
        <w:spacing w:after="0"/>
        <w:tabs>
          <w:tab w:leader="none" w:pos="1500" w:val="left"/>
        </w:tabs>
        <w:numPr>
          <w:ilvl w:val="0"/>
          <w:numId w:val="9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Information.</w:t>
      </w:r>
    </w:p>
    <w:p>
      <w:pPr>
        <w:spacing w:after="0" w:line="20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Insiders shall provide to the Compliance Officer any documentation reasonably requested by him or her in furtherance of the foregoing procedures. Any failure to provide such requested information will be grounds for denial of approval by the Compliance Officer.</w:t>
      </w:r>
    </w:p>
    <w:p>
      <w:pPr>
        <w:spacing w:after="0" w:line="168" w:lineRule="exact"/>
        <w:rPr>
          <w:sz w:val="20"/>
          <w:szCs w:val="20"/>
          <w:color w:val="auto"/>
        </w:rPr>
      </w:pPr>
    </w:p>
    <w:p>
      <w:pPr>
        <w:ind w:left="1500" w:hanging="743"/>
        <w:spacing w:after="0"/>
        <w:tabs>
          <w:tab w:leader="none" w:pos="1500" w:val="left"/>
        </w:tabs>
        <w:numPr>
          <w:ilvl w:val="0"/>
          <w:numId w:val="9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Obligation to Approve Trades.</w:t>
      </w:r>
    </w:p>
    <w:p>
      <w:pPr>
        <w:spacing w:after="0" w:line="20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auto"/>
        </w:rPr>
        <w:t>The existence of the foregoing approval procedures does not in any way obligate the Compliance Officer to approve any trade requested by an Insider. The Compliance Officer may reject any trading request at his or her sole discretion.</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3" w:right="379" w:bottom="1440" w:gutter="0" w:footer="0" w:header="0"/>
        </w:sectPr>
      </w:pPr>
    </w:p>
    <w:bookmarkStart w:id="166" w:name="page167"/>
    <w:bookmarkEnd w:id="166"/>
    <w:p>
      <w:pPr>
        <w:ind w:right="20" w:firstLine="749"/>
        <w:spacing w:after="0" w:line="256" w:lineRule="auto"/>
        <w:rPr>
          <w:sz w:val="20"/>
          <w:szCs w:val="20"/>
          <w:color w:val="auto"/>
        </w:rPr>
      </w:pPr>
      <w:r>
        <w:rPr>
          <w:rFonts w:ascii="Times New Roman" w:cs="Times New Roman" w:eastAsia="Times New Roman" w:hAnsi="Times New Roman"/>
          <w:sz w:val="20"/>
          <w:szCs w:val="20"/>
          <w:color w:val="auto"/>
        </w:rPr>
        <w:t>From time to time, an event may occur that is material to the Company and is known by only a few directors or executives. Insiders may not trade in Company securities if they are notified by the Compliance Officer that a proposed trade has not been cleared because of the existence of a material, nonpublic development. Even if that particular Insider is not aware of the material, nonpublic development involving the Company, if any Insider engages in a trade before a material, nonpublic development is disclosed to the public or resolved, the Insider and the Company might be exposed to a charge of insider trading that could be costly and difficult to refute even if the Insider was unaware of the development. So long as the event remains material and nonpublic, the Compliance Officer may determine not to approve any transactions in the Company’s securities.</w:t>
      </w:r>
    </w:p>
    <w:p>
      <w:pPr>
        <w:spacing w:after="0" w:line="6"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The Compliance Officer will subsequently notify the Insider once the material, nonpublic development is disclosed to the public or resolved. If an Insider requests clearance to trade in the Company’s securities during the pendency of such an event, the Compliance Officer may reject the trading request without disclosing the reason.</w:t>
      </w:r>
    </w:p>
    <w:p>
      <w:pPr>
        <w:spacing w:after="0" w:line="173" w:lineRule="exact"/>
        <w:rPr>
          <w:sz w:val="20"/>
          <w:szCs w:val="20"/>
          <w:color w:val="auto"/>
        </w:rPr>
      </w:pPr>
    </w:p>
    <w:p>
      <w:pPr>
        <w:ind w:left="1500" w:hanging="743"/>
        <w:spacing w:after="0"/>
        <w:tabs>
          <w:tab w:leader="none" w:pos="1500" w:val="left"/>
        </w:tabs>
        <w:numPr>
          <w:ilvl w:val="0"/>
          <w:numId w:val="9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Completion of Trades.</w:t>
      </w:r>
    </w:p>
    <w:p>
      <w:pPr>
        <w:spacing w:after="0" w:line="209"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22"/>
          <w:szCs w:val="22"/>
          <w:color w:val="auto"/>
        </w:rPr>
        <w:t>After receiving written clearance to engage in a trade signed by the Compliance Officer, an Insider must complete the proposed trade within five (5) business days or make a new trading request.</w:t>
      </w:r>
    </w:p>
    <w:p>
      <w:pPr>
        <w:spacing w:after="0" w:line="153" w:lineRule="exact"/>
        <w:rPr>
          <w:sz w:val="20"/>
          <w:szCs w:val="20"/>
          <w:color w:val="auto"/>
        </w:rPr>
      </w:pPr>
    </w:p>
    <w:p>
      <w:pPr>
        <w:ind w:left="1500" w:hanging="743"/>
        <w:spacing w:after="0"/>
        <w:tabs>
          <w:tab w:leader="none" w:pos="1500" w:val="left"/>
        </w:tabs>
        <w:numPr>
          <w:ilvl w:val="0"/>
          <w:numId w:val="9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Post-Trade Reporting.</w:t>
      </w:r>
    </w:p>
    <w:p>
      <w:pPr>
        <w:spacing w:after="0" w:line="209"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Any transactions in the Company’s securities by an Insider (including transactions effected pursuant to a Rule 10b5-1 Plan) must be reported to the Compliance Officer by completing the “Confirmation of Transaction” section of the Stock Transaction Request form attached to this Insider Trading Policy on the same day in which such a transaction occurs. Each report an Insider makes to the Compliance Officer should include the date of the transaction, quantity of shares, price and broker-dealer through which the transaction was effected. This reporting requirement may be satisfied by sending (or having such Insider’s broker send) duplicate confirmations of trades to the Compliance Officer if such information is received by the Compliance Officer on or before the required date. Compliance by directors and executive officers with this provision is imperative given the requirement of Section 16 of the Exchange Act that these persons generally must report changes in ownership of Company securities within two (2) business days. The sanctions for noncompliance with this reporting deadline include mandatory disclosure in the Company’s proxy statement for the next annual meeting of stockholders, as well as possible civil or criminal sanctions for chronic or egregious violators.</w:t>
      </w:r>
    </w:p>
    <w:p>
      <w:pPr>
        <w:spacing w:after="0" w:line="178" w:lineRule="exact"/>
        <w:rPr>
          <w:sz w:val="20"/>
          <w:szCs w:val="20"/>
          <w:color w:val="auto"/>
        </w:rPr>
      </w:pPr>
    </w:p>
    <w:p>
      <w:pPr>
        <w:ind w:left="440" w:hanging="432"/>
        <w:spacing w:after="0"/>
        <w:tabs>
          <w:tab w:leader="none" w:pos="440" w:val="left"/>
        </w:tabs>
        <w:numPr>
          <w:ilvl w:val="0"/>
          <w:numId w:val="10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Exemptions</w:t>
      </w:r>
    </w:p>
    <w:p>
      <w:pPr>
        <w:spacing w:after="0" w:line="207" w:lineRule="exact"/>
        <w:rPr>
          <w:rFonts w:ascii="Times New Roman" w:cs="Times New Roman" w:eastAsia="Times New Roman" w:hAnsi="Times New Roman"/>
          <w:sz w:val="22"/>
          <w:szCs w:val="22"/>
          <w:b w:val="1"/>
          <w:bCs w:val="1"/>
          <w:i w:val="1"/>
          <w:iCs w:val="1"/>
          <w:color w:val="auto"/>
        </w:rPr>
      </w:pPr>
    </w:p>
    <w:p>
      <w:pPr>
        <w:ind w:left="1500" w:hanging="743"/>
        <w:spacing w:after="0"/>
        <w:tabs>
          <w:tab w:leader="none" w:pos="1500" w:val="left"/>
        </w:tabs>
        <w:numPr>
          <w:ilvl w:val="1"/>
          <w:numId w:val="10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Pre-Approved Rule 10b5-1 Plan.</w:t>
      </w:r>
    </w:p>
    <w:p>
      <w:pPr>
        <w:spacing w:after="0" w:line="209"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Transactions effected pursuant to a Rule 10b5-1 Plan (as defined below) will not be subject to the Company’s trading windows, retirement plan blackout periods or pre-clearance procedures, and Insiders are not required to complete a Stock Transaction Request form for such transactions. Rule 10b5-1 of the Exchange Act provides an affirmative defense from insider trading liability under the federal securities laws for trading plans, arrangements or instructions that meet certain requirements. A trading plan, arrangement or instruction that meets the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167" w:name="page168"/>
    <w:bookmarkEnd w:id="167"/>
    <w:p>
      <w:pPr>
        <w:ind w:right="320"/>
        <w:spacing w:after="0" w:line="258" w:lineRule="auto"/>
        <w:rPr>
          <w:sz w:val="20"/>
          <w:szCs w:val="20"/>
          <w:color w:val="auto"/>
        </w:rPr>
      </w:pPr>
      <w:r>
        <w:rPr>
          <w:rFonts w:ascii="Times New Roman" w:cs="Times New Roman" w:eastAsia="Times New Roman" w:hAnsi="Times New Roman"/>
          <w:sz w:val="22"/>
          <w:szCs w:val="22"/>
          <w:color w:val="auto"/>
        </w:rPr>
        <w:t>requirements of Rule 10b5-1 (a “Rule 10b5-1 Plan”) enables Insiders to establish arrangements to trade in Company securities outside of the Company’s trading windows, even when in possession of material, nonpublic information.</w:t>
      </w:r>
    </w:p>
    <w:p>
      <w:pPr>
        <w:spacing w:after="0" w:line="157" w:lineRule="exact"/>
        <w:rPr>
          <w:sz w:val="20"/>
          <w:szCs w:val="20"/>
          <w:color w:val="auto"/>
        </w:rPr>
      </w:pPr>
    </w:p>
    <w:p>
      <w:pPr>
        <w:ind w:right="440" w:firstLine="749"/>
        <w:spacing w:after="0" w:line="258" w:lineRule="auto"/>
        <w:rPr>
          <w:sz w:val="20"/>
          <w:szCs w:val="20"/>
          <w:color w:val="auto"/>
        </w:rPr>
      </w:pPr>
      <w:r>
        <w:rPr>
          <w:rFonts w:ascii="Times New Roman" w:cs="Times New Roman" w:eastAsia="Times New Roman" w:hAnsi="Times New Roman"/>
          <w:sz w:val="22"/>
          <w:szCs w:val="22"/>
          <w:color w:val="auto"/>
        </w:rPr>
        <w:t>The Company has adopted a separate Rule 10b5-1 Trading Plan Policy that sets forth the requirements for putting in place a Rule 10b5-1 Plan with respect to Company securities.</w:t>
      </w:r>
    </w:p>
    <w:p>
      <w:pPr>
        <w:spacing w:after="0" w:line="153" w:lineRule="exact"/>
        <w:rPr>
          <w:sz w:val="20"/>
          <w:szCs w:val="20"/>
          <w:color w:val="auto"/>
        </w:rPr>
      </w:pPr>
    </w:p>
    <w:p>
      <w:pPr>
        <w:ind w:left="1500" w:hanging="743"/>
        <w:spacing w:after="0"/>
        <w:tabs>
          <w:tab w:leader="none" w:pos="150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Employee Benefit Plans.</w:t>
      </w:r>
    </w:p>
    <w:p>
      <w:pPr>
        <w:spacing w:after="0" w:line="203"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Exercise of Stock Options</w:t>
      </w:r>
      <w:r>
        <w:rPr>
          <w:rFonts w:ascii="Times New Roman" w:cs="Times New Roman" w:eastAsia="Times New Roman" w:hAnsi="Times New Roman"/>
          <w:sz w:val="22"/>
          <w:szCs w:val="22"/>
          <w:color w:val="auto"/>
        </w:rPr>
        <w:t>. The trading prohibitions and restrictions set forth in the Trading Procedures do not apply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exercise of an option to purchase securities of the Company when payment of the exercise price is made in cash. However, the exercise of an option to purchase securities of the Company is subject to the current reporting requirements of Section 16 of the Exchange Act and, therefore, Insiders must comply with the post-trade reporting requirement described in Section C above for any such transaction. In addition, the securities acquired upon the exercise of an option to purchase Company securities are subject to all of the requirements of this Insider Trading Policy, including the Trading Procedures contained herein. Moreover, the Trading Procedures apply to the use of outstanding Company securities to pay part or all of the exercise price of an option, any net option exercise, any exercise of a stock appreciation right, share withholding, any sale of stock as part of a broker-assisted cashless exercise of an option, or any other market sale for the purpose of generating the cash needed to pay the exercise price of an option.</w:t>
      </w:r>
    </w:p>
    <w:p>
      <w:pPr>
        <w:spacing w:after="0" w:line="176"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b w:val="1"/>
          <w:bCs w:val="1"/>
          <w:i w:val="1"/>
          <w:iCs w:val="1"/>
          <w:color w:val="auto"/>
        </w:rPr>
        <w:t>Tax Withholding on Restricted Stock/Units</w:t>
      </w:r>
      <w:r>
        <w:rPr>
          <w:rFonts w:ascii="Times New Roman" w:cs="Times New Roman" w:eastAsia="Times New Roman" w:hAnsi="Times New Roman"/>
          <w:sz w:val="22"/>
          <w:szCs w:val="22"/>
          <w:color w:val="auto"/>
        </w:rPr>
        <w:t>. The trading prohibitions and restrictions set forth in the Trading Procedures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do not apply to the withholding by the Company of shares of stock upon vesting of restricted stock or upon settlement of restricted stock units to satisfy applicable tax withholding requirements if (a) such withholding is required by the applicable plan or award agreement or (b) the election to exercise such tax withholding right was made by the Insider in compliance with the Trading Procedures.</w:t>
      </w:r>
    </w:p>
    <w:p>
      <w:pPr>
        <w:spacing w:after="0" w:line="175"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b w:val="1"/>
          <w:bCs w:val="1"/>
          <w:i w:val="1"/>
          <w:iCs w:val="1"/>
          <w:color w:val="auto"/>
        </w:rPr>
        <w:t>Employee Stock Purchase Plan</w:t>
      </w:r>
      <w:r>
        <w:rPr>
          <w:rFonts w:ascii="Times New Roman" w:cs="Times New Roman" w:eastAsia="Times New Roman" w:hAnsi="Times New Roman"/>
          <w:sz w:val="22"/>
          <w:szCs w:val="22"/>
          <w:color w:val="auto"/>
        </w:rPr>
        <w:t>. The trading prohibitions and restrictions set forth in the Trading Procedures do not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apply to periodic wage withholding contributions by the Company or employees of the Company which are used to purchase the Company’s securities pursuant to the employees’ advance instructions under the Company’s 2021 Employee Stock Purchase Plan. However, no Insider may: (a) elect to participate in the plan or alter his or her instructions regarding the level of withholding or purchase by the Insider of Company securities under such plan; or (b) make cash contributions to such plan (other than through periodic wage withholding) without complying with the Trading Procedures. Any sale of securities acquired under such plan is subject to the prohibitions and restrictions of the Trading Procedures.</w:t>
      </w:r>
    </w:p>
    <w:p>
      <w:pPr>
        <w:spacing w:after="0" w:line="173" w:lineRule="exact"/>
        <w:rPr>
          <w:sz w:val="20"/>
          <w:szCs w:val="20"/>
          <w:color w:val="auto"/>
        </w:rPr>
      </w:pPr>
    </w:p>
    <w:p>
      <w:pPr>
        <w:ind w:left="440" w:hanging="432"/>
        <w:spacing w:after="0"/>
        <w:tabs>
          <w:tab w:leader="none" w:pos="440" w:val="left"/>
        </w:tabs>
        <w:numPr>
          <w:ilvl w:val="0"/>
          <w:numId w:val="102"/>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Waivers</w:t>
      </w:r>
    </w:p>
    <w:p>
      <w:pPr>
        <w:spacing w:after="0" w:line="211"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A waiver of any provision of this Insider Trading Policy, or the Trading Procedures contained herein, in a specific instance may be authorized in writing by the Compliance Officer or his or her designee, and any such waiver shall be reported to the Company’s Board of Directors.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b w:val="1"/>
          <w:bCs w:val="1"/>
          <w:color w:val="auto"/>
        </w:rPr>
        <w:t>PART III. ACKNOWLEDGEMENT</w:t>
      </w:r>
    </w:p>
    <w:p>
      <w:pPr>
        <w:spacing w:after="0" w:line="209"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This Insider Trading Policy will be delivered to all current Insiders and to all directors, officers, employees and designated consultants at the start of their employment or relationship with the Company. Upon first receiving a copy of this Insider Trading Policy, each individual must acknowledge that he or she has received a copy and agrees to comply with the terms of this Insider Trading Policy, and, if applicable, the Trading Procedures contained herein. The acknowledgment attached hereto must be returned within ten (10) days of receipt to:</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Julie Feder</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Chief Financial Officer</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Aura Biosciences, Inc.</w:t>
      </w:r>
    </w:p>
    <w:p>
      <w:pPr>
        <w:jc w:val="center"/>
        <w:ind w:right="-79"/>
        <w:spacing w:after="0" w:line="230" w:lineRule="auto"/>
        <w:rPr>
          <w:sz w:val="20"/>
          <w:szCs w:val="20"/>
          <w:color w:val="auto"/>
        </w:rPr>
      </w:pPr>
      <w:r>
        <w:rPr>
          <w:rFonts w:ascii="Times New Roman" w:cs="Times New Roman" w:eastAsia="Times New Roman" w:hAnsi="Times New Roman"/>
          <w:sz w:val="22"/>
          <w:szCs w:val="22"/>
          <w:b w:val="1"/>
          <w:bCs w:val="1"/>
          <w:color w:val="auto"/>
        </w:rPr>
        <w:t>80 Guest Street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Boston, MA 02135</w:t>
      </w:r>
    </w:p>
    <w:p>
      <w:pPr>
        <w:spacing w:after="0" w:line="208" w:lineRule="exact"/>
        <w:rPr>
          <w:sz w:val="20"/>
          <w:szCs w:val="20"/>
          <w:color w:val="auto"/>
        </w:rPr>
      </w:pPr>
    </w:p>
    <w:p>
      <w:pPr>
        <w:jc w:val="both"/>
        <w:ind w:right="480" w:firstLine="432"/>
        <w:spacing w:after="0" w:line="244" w:lineRule="auto"/>
        <w:rPr>
          <w:sz w:val="20"/>
          <w:szCs w:val="20"/>
          <w:color w:val="auto"/>
        </w:rPr>
      </w:pPr>
      <w:r>
        <w:rPr>
          <w:rFonts w:ascii="Times New Roman" w:cs="Times New Roman" w:eastAsia="Times New Roman" w:hAnsi="Times New Roman"/>
          <w:sz w:val="22"/>
          <w:szCs w:val="22"/>
          <w:color w:val="auto"/>
        </w:rPr>
        <w:t>This acknowledgment will constitute consent for the Company to impose sanctions for violation of the Insider Trading Policy, including the Trading Procedures, and to issue any necessary stop-transfer orders to the Company’s transfer agent to ensure compliance.</w:t>
      </w:r>
    </w:p>
    <w:p>
      <w:pPr>
        <w:spacing w:after="0" w:line="199" w:lineRule="exact"/>
        <w:rPr>
          <w:sz w:val="20"/>
          <w:szCs w:val="20"/>
          <w:color w:val="auto"/>
        </w:rPr>
      </w:pPr>
    </w:p>
    <w:p>
      <w:pPr>
        <w:ind w:right="80" w:firstLine="749"/>
        <w:spacing w:after="0" w:line="237" w:lineRule="auto"/>
        <w:rPr>
          <w:sz w:val="20"/>
          <w:szCs w:val="20"/>
          <w:color w:val="auto"/>
        </w:rPr>
      </w:pPr>
      <w:r>
        <w:rPr>
          <w:rFonts w:ascii="Times New Roman" w:cs="Times New Roman" w:eastAsia="Times New Roman" w:hAnsi="Times New Roman"/>
          <w:sz w:val="22"/>
          <w:szCs w:val="22"/>
          <w:color w:val="auto"/>
        </w:rPr>
        <w:t>All directors, officers, employees and designated consultants will be required upon the Company’s request to re-acknowledge and agree to comply with the Insider Trading Policy (including any amendments or modifications). For such purpose, an individual will be deemed to have acknowledged and agreed to comply with the Insider Trading Policy, as amended from time to time, when copies of such items have been delivered by regular or electronic mail (or other delivery option used by the Company) by the Compliance Officer or his or her designee.</w:t>
      </w:r>
    </w:p>
    <w:p>
      <w:pPr>
        <w:spacing w:after="0" w:line="180" w:lineRule="exact"/>
        <w:rPr>
          <w:sz w:val="20"/>
          <w:szCs w:val="20"/>
          <w:color w:val="auto"/>
        </w:rPr>
      </w:pPr>
    </w:p>
    <w:p>
      <w:pPr>
        <w:ind w:left="5140"/>
        <w:spacing w:after="0"/>
        <w:tabs>
          <w:tab w:leader="none" w:pos="5560" w:val="left"/>
          <w:tab w:leader="none" w:pos="5980" w:val="left"/>
        </w:tabs>
        <w:rPr>
          <w:sz w:val="20"/>
          <w:szCs w:val="20"/>
          <w:color w:val="auto"/>
        </w:rPr>
      </w:pP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Questions regarding this Insider Trading Policy are encouraged and may be directed to the Compliance Officer.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Amended and Restated adopted and effective September 26, 2023.</w:t>
      </w:r>
    </w:p>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3" w:right="419" w:bottom="1440" w:gutter="0" w:footer="0" w:header="0"/>
        </w:sectPr>
      </w:pPr>
    </w:p>
    <w:bookmarkStart w:id="169" w:name="page170"/>
    <w:bookmarkEnd w:id="169"/>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STOCK TRANSACTION REQUEST</w:t>
      </w:r>
    </w:p>
    <w:p>
      <w:pPr>
        <w:spacing w:after="0" w:line="21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Pursuant to Aura Biosciences, Inc.’s Insider Trading Policy, I hereby notify Aura Biosciences, Inc. (the “Company”) of my intent to trade the securities of the Company as indicated below:</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120" w:type="dxa"/>
            <w:vAlign w:val="bottom"/>
            <w:tcBorders>
              <w:top w:val="single" w:sz="8" w:color="auto"/>
              <w:left w:val="single" w:sz="8" w:color="auto"/>
            </w:tcBorders>
          </w:tcPr>
          <w:p>
            <w:pPr>
              <w:spacing w:after="0"/>
              <w:rPr>
                <w:sz w:val="22"/>
                <w:szCs w:val="22"/>
                <w:color w:val="auto"/>
              </w:rPr>
            </w:pPr>
          </w:p>
        </w:tc>
        <w:tc>
          <w:tcPr>
            <w:tcW w:w="248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REQUESTER INFORMATION</w:t>
            </w:r>
          </w:p>
        </w:tc>
        <w:tc>
          <w:tcPr>
            <w:tcW w:w="880" w:type="dxa"/>
            <w:vAlign w:val="bottom"/>
            <w:tcBorders>
              <w:top w:val="single" w:sz="8" w:color="auto"/>
            </w:tcBorders>
          </w:tcPr>
          <w:p>
            <w:pPr>
              <w:spacing w:after="0"/>
              <w:rPr>
                <w:sz w:val="22"/>
                <w:szCs w:val="22"/>
                <w:color w:val="auto"/>
              </w:rPr>
            </w:pPr>
          </w:p>
        </w:tc>
        <w:tc>
          <w:tcPr>
            <w:tcW w:w="7760" w:type="dxa"/>
            <w:vAlign w:val="bottom"/>
            <w:tcBorders>
              <w:top w:val="single" w:sz="8" w:color="auto"/>
              <w:right w:val="single" w:sz="8" w:color="auto"/>
            </w:tcBorders>
          </w:tcPr>
          <w:p>
            <w:pPr>
              <w:spacing w:after="0"/>
              <w:rPr>
                <w:sz w:val="22"/>
                <w:szCs w:val="22"/>
                <w:color w:val="auto"/>
              </w:rPr>
            </w:pPr>
          </w:p>
        </w:tc>
      </w:tr>
      <w:tr>
        <w:trPr>
          <w:trHeight w:val="344"/>
        </w:trPr>
        <w:tc>
          <w:tcPr>
            <w:tcW w:w="120" w:type="dxa"/>
            <w:vAlign w:val="bottom"/>
            <w:tcBorders>
              <w:left w:val="single" w:sz="8" w:color="auto"/>
            </w:tcBorders>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Insider’s Name:</w:t>
            </w:r>
          </w:p>
        </w:tc>
        <w:tc>
          <w:tcPr>
            <w:tcW w:w="9660" w:type="dxa"/>
            <w:vAlign w:val="bottom"/>
            <w:tcBorders>
              <w:right w:val="single" w:sz="8" w:color="auto"/>
            </w:tcBorders>
            <w:gridSpan w:val="6"/>
          </w:tcPr>
          <w:p>
            <w:pPr>
              <w:jc w:val="center"/>
              <w:ind w:right="5850"/>
              <w:spacing w:after="0"/>
              <w:rPr>
                <w:sz w:val="20"/>
                <w:szCs w:val="20"/>
                <w:color w:val="auto"/>
              </w:rPr>
            </w:pPr>
            <w:r>
              <w:rPr>
                <w:rFonts w:ascii="Times New Roman" w:cs="Times New Roman" w:eastAsia="Times New Roman" w:hAnsi="Times New Roman"/>
                <w:sz w:val="18"/>
                <w:szCs w:val="18"/>
                <w:color w:val="auto"/>
                <w:w w:val="99"/>
              </w:rPr>
              <w:t>_________________________________________</w:t>
            </w:r>
          </w:p>
        </w:tc>
      </w:tr>
      <w:tr>
        <w:trPr>
          <w:trHeight w:val="334"/>
        </w:trPr>
        <w:tc>
          <w:tcPr>
            <w:tcW w:w="120" w:type="dxa"/>
            <w:vAlign w:val="bottom"/>
            <w:tcBorders>
              <w:left w:val="single" w:sz="8" w:color="auto"/>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4"/>
                <w:szCs w:val="24"/>
                <w:color w:val="auto"/>
              </w:rPr>
            </w:pPr>
          </w:p>
        </w:tc>
        <w:tc>
          <w:tcPr>
            <w:tcW w:w="52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39"/>
        </w:trPr>
        <w:tc>
          <w:tcPr>
            <w:tcW w:w="120" w:type="dxa"/>
            <w:vAlign w:val="bottom"/>
          </w:tcPr>
          <w:p>
            <w:pPr>
              <w:spacing w:after="0"/>
              <w:rPr>
                <w:sz w:val="20"/>
                <w:szCs w:val="20"/>
                <w:color w:val="auto"/>
              </w:rPr>
            </w:pPr>
          </w:p>
        </w:tc>
        <w:tc>
          <w:tcPr>
            <w:tcW w:w="20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INTENT TO PURCHASE</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344"/>
        </w:trPr>
        <w:tc>
          <w:tcPr>
            <w:tcW w:w="1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60" w:type="dxa"/>
            <w:vAlign w:val="bottom"/>
            <w:gridSpan w:val="4"/>
          </w:tcPr>
          <w:p>
            <w:pPr>
              <w:jc w:val="right"/>
              <w:ind w:right="689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324"/>
        </w:trPr>
        <w:tc>
          <w:tcPr>
            <w:tcW w:w="1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Intended trade date: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00" w:type="dxa"/>
            <w:vAlign w:val="bottom"/>
            <w:gridSpan w:val="3"/>
          </w:tcPr>
          <w:p>
            <w:pPr>
              <w:jc w:val="center"/>
              <w:ind w:right="6390"/>
              <w:spacing w:after="0"/>
              <w:rPr>
                <w:sz w:val="20"/>
                <w:szCs w:val="20"/>
                <w:color w:val="auto"/>
              </w:rPr>
            </w:pPr>
            <w:r>
              <w:rPr>
                <w:rFonts w:ascii="Times New Roman" w:cs="Times New Roman" w:eastAsia="Times New Roman" w:hAnsi="Times New Roman"/>
                <w:sz w:val="18"/>
                <w:szCs w:val="18"/>
                <w:color w:val="auto"/>
                <w:w w:val="99"/>
              </w:rPr>
              <w:t>__________________________</w:t>
            </w:r>
          </w:p>
        </w:tc>
      </w:tr>
      <w:tr>
        <w:trPr>
          <w:trHeight w:val="351"/>
        </w:trPr>
        <w:tc>
          <w:tcPr>
            <w:tcW w:w="120" w:type="dxa"/>
            <w:vAlign w:val="bottom"/>
          </w:tcPr>
          <w:p>
            <w:pPr>
              <w:spacing w:after="0"/>
              <w:rPr>
                <w:sz w:val="24"/>
                <w:szCs w:val="24"/>
                <w:color w:val="auto"/>
              </w:rPr>
            </w:pPr>
          </w:p>
        </w:tc>
        <w:tc>
          <w:tcPr>
            <w:tcW w:w="2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Means of acquiring shares:</w:t>
            </w:r>
          </w:p>
        </w:tc>
        <w:tc>
          <w:tcPr>
            <w:tcW w:w="460" w:type="dxa"/>
            <w:vAlign w:val="bottom"/>
          </w:tcPr>
          <w:p>
            <w:pPr>
              <w:spacing w:after="0"/>
              <w:rPr>
                <w:sz w:val="24"/>
                <w:szCs w:val="24"/>
                <w:color w:val="auto"/>
              </w:rPr>
            </w:pPr>
          </w:p>
        </w:tc>
        <w:tc>
          <w:tcPr>
            <w:tcW w:w="880" w:type="dxa"/>
            <w:vAlign w:val="bottom"/>
          </w:tcPr>
          <w:p>
            <w:pPr>
              <w:ind w:left="560"/>
              <w:spacing w:after="0"/>
              <w:rPr>
                <w:sz w:val="20"/>
                <w:szCs w:val="20"/>
                <w:color w:val="auto"/>
              </w:rPr>
            </w:pPr>
            <w:r>
              <w:rPr>
                <w:rFonts w:ascii="Wingdings" w:cs="Wingdings" w:eastAsia="Wingdings" w:hAnsi="Wingdings"/>
                <w:sz w:val="18"/>
                <w:szCs w:val="18"/>
                <w:b w:val="1"/>
                <w:bCs w:val="1"/>
                <w:color w:val="auto"/>
              </w:rPr>
              <w:t></w:t>
            </w:r>
          </w:p>
        </w:tc>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Acquisition through employee benefit plan (please specify):</w:t>
            </w:r>
          </w:p>
        </w:tc>
      </w:tr>
      <w:tr>
        <w:trPr>
          <w:trHeight w:val="539"/>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r>
      <w:tr>
        <w:trPr>
          <w:trHeight w:val="620"/>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ind w:left="560"/>
              <w:spacing w:after="0"/>
              <w:rPr>
                <w:sz w:val="20"/>
                <w:szCs w:val="20"/>
                <w:color w:val="auto"/>
              </w:rPr>
            </w:pPr>
            <w:r>
              <w:rPr>
                <w:rFonts w:ascii="Wingdings" w:cs="Wingdings" w:eastAsia="Wingdings" w:hAnsi="Wingdings"/>
                <w:sz w:val="18"/>
                <w:szCs w:val="18"/>
                <w:b w:val="1"/>
                <w:bCs w:val="1"/>
                <w:color w:val="auto"/>
              </w:rPr>
              <w:t></w:t>
            </w:r>
          </w:p>
        </w:tc>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through a broker on the open market</w:t>
            </w:r>
          </w:p>
        </w:tc>
      </w:tr>
      <w:tr>
        <w:trPr>
          <w:trHeight w:val="620"/>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ind w:left="560"/>
              <w:spacing w:after="0"/>
              <w:rPr>
                <w:sz w:val="20"/>
                <w:szCs w:val="20"/>
                <w:color w:val="auto"/>
              </w:rPr>
            </w:pPr>
            <w:r>
              <w:rPr>
                <w:rFonts w:ascii="Wingdings" w:cs="Wingdings" w:eastAsia="Wingdings" w:hAnsi="Wingdings"/>
                <w:sz w:val="18"/>
                <w:szCs w:val="18"/>
                <w:b w:val="1"/>
                <w:bCs w:val="1"/>
                <w:color w:val="auto"/>
              </w:rPr>
              <w:t></w:t>
            </w:r>
          </w:p>
        </w:tc>
        <w:tc>
          <w:tcPr>
            <w:tcW w:w="7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r>
      <w:tr>
        <w:trPr>
          <w:trHeight w:val="67"/>
        </w:trPr>
        <w:tc>
          <w:tcPr>
            <w:tcW w:w="1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7760" w:type="dxa"/>
            <w:vAlign w:val="bottom"/>
            <w:tcBorders>
              <w:bottom w:val="single" w:sz="8" w:color="auto"/>
            </w:tcBorders>
          </w:tcPr>
          <w:p>
            <w:pPr>
              <w:spacing w:after="0"/>
              <w:rPr>
                <w:sz w:val="5"/>
                <w:szCs w:val="5"/>
                <w:color w:val="auto"/>
              </w:rPr>
            </w:pPr>
          </w:p>
        </w:tc>
      </w:tr>
      <w:tr>
        <w:trPr>
          <w:trHeight w:val="236"/>
        </w:trPr>
        <w:tc>
          <w:tcPr>
            <w:tcW w:w="120" w:type="dxa"/>
            <w:vAlign w:val="bottom"/>
          </w:tcPr>
          <w:p>
            <w:pPr>
              <w:spacing w:after="0"/>
              <w:rPr>
                <w:sz w:val="20"/>
                <w:szCs w:val="20"/>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INTENT TO SELL</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760" w:type="dxa"/>
            <w:vAlign w:val="bottom"/>
          </w:tcPr>
          <w:p>
            <w:pPr>
              <w:spacing w:after="0"/>
              <w:rPr>
                <w:sz w:val="20"/>
                <w:szCs w:val="20"/>
                <w:color w:val="auto"/>
              </w:rPr>
            </w:pPr>
          </w:p>
        </w:tc>
      </w:tr>
      <w:tr>
        <w:trPr>
          <w:trHeight w:val="344"/>
        </w:trPr>
        <w:tc>
          <w:tcPr>
            <w:tcW w:w="120" w:type="dxa"/>
            <w:vAlign w:val="bottom"/>
          </w:tcPr>
          <w:p>
            <w:pPr>
              <w:spacing w:after="0"/>
              <w:rPr>
                <w:sz w:val="24"/>
                <w:szCs w:val="24"/>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360" w:type="dxa"/>
            <w:vAlign w:val="bottom"/>
            <w:gridSpan w:val="4"/>
          </w:tcPr>
          <w:p>
            <w:pPr>
              <w:jc w:val="right"/>
              <w:ind w:right="6890"/>
              <w:spacing w:after="0"/>
              <w:rPr>
                <w:sz w:val="20"/>
                <w:szCs w:val="20"/>
                <w:color w:val="auto"/>
              </w:rPr>
            </w:pPr>
            <w:r>
              <w:rPr>
                <w:rFonts w:ascii="Times New Roman" w:cs="Times New Roman" w:eastAsia="Times New Roman" w:hAnsi="Times New Roman"/>
                <w:sz w:val="18"/>
                <w:szCs w:val="18"/>
                <w:color w:val="auto"/>
              </w:rPr>
              <w:t>__________________________</w:t>
            </w:r>
          </w:p>
        </w:tc>
      </w:tr>
      <w:tr>
        <w:trPr>
          <w:trHeight w:val="324"/>
        </w:trPr>
        <w:tc>
          <w:tcPr>
            <w:tcW w:w="120" w:type="dxa"/>
            <w:vAlign w:val="bottom"/>
          </w:tcPr>
          <w:p>
            <w:pPr>
              <w:spacing w:after="0"/>
              <w:rPr>
                <w:sz w:val="24"/>
                <w:szCs w:val="24"/>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Intended trade date: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100" w:type="dxa"/>
            <w:vAlign w:val="bottom"/>
            <w:gridSpan w:val="3"/>
          </w:tcPr>
          <w:p>
            <w:pPr>
              <w:jc w:val="center"/>
              <w:ind w:right="6390"/>
              <w:spacing w:after="0"/>
              <w:rPr>
                <w:sz w:val="20"/>
                <w:szCs w:val="20"/>
                <w:color w:val="auto"/>
              </w:rPr>
            </w:pPr>
            <w:r>
              <w:rPr>
                <w:rFonts w:ascii="Times New Roman" w:cs="Times New Roman" w:eastAsia="Times New Roman" w:hAnsi="Times New Roman"/>
                <w:sz w:val="18"/>
                <w:szCs w:val="18"/>
                <w:color w:val="auto"/>
                <w:w w:val="99"/>
              </w:rPr>
              <w:t>__________________________</w:t>
            </w:r>
          </w:p>
        </w:tc>
      </w:tr>
      <w:tr>
        <w:trPr>
          <w:trHeight w:val="351"/>
        </w:trPr>
        <w:tc>
          <w:tcPr>
            <w:tcW w:w="12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Means of selling shares:</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Wingdings" w:cs="Wingdings" w:eastAsia="Wingdings" w:hAnsi="Wingdings"/>
                <w:sz w:val="18"/>
                <w:szCs w:val="18"/>
                <w:b w:val="1"/>
                <w:bCs w:val="1"/>
                <w:color w:val="auto"/>
              </w:rPr>
              <w:t></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through employee benefit plan (please specify):</w:t>
            </w:r>
          </w:p>
        </w:tc>
      </w:tr>
      <w:tr>
        <w:trPr>
          <w:trHeight w:val="539"/>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w:t>
            </w:r>
          </w:p>
        </w:tc>
      </w:tr>
      <w:tr>
        <w:trPr>
          <w:trHeight w:val="620"/>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Wingdings" w:cs="Wingdings" w:eastAsia="Wingdings" w:hAnsi="Wingdings"/>
                <w:sz w:val="18"/>
                <w:szCs w:val="18"/>
                <w:b w:val="1"/>
                <w:bCs w:val="1"/>
                <w:color w:val="auto"/>
              </w:rPr>
              <w:t></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through a broker on the open market</w:t>
            </w:r>
          </w:p>
        </w:tc>
      </w:tr>
      <w:tr>
        <w:trPr>
          <w:trHeight w:val="620"/>
        </w:trPr>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ind w:left="300"/>
              <w:spacing w:after="0"/>
              <w:rPr>
                <w:sz w:val="20"/>
                <w:szCs w:val="20"/>
                <w:color w:val="auto"/>
              </w:rPr>
            </w:pPr>
            <w:r>
              <w:rPr>
                <w:rFonts w:ascii="Wingdings" w:cs="Wingdings" w:eastAsia="Wingdings" w:hAnsi="Wingdings"/>
                <w:sz w:val="18"/>
                <w:szCs w:val="18"/>
                <w:b w:val="1"/>
                <w:bCs w:val="1"/>
                <w:color w:val="auto"/>
              </w:rPr>
              <w:t></w:t>
            </w:r>
          </w:p>
        </w:tc>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(please specify): ________________________________________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-3948430</wp:posOffset>
            </wp:positionV>
            <wp:extent cx="7132320" cy="62953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132320" cy="6295390"/>
                    </a:xfrm>
                    <a:prstGeom prst="rect">
                      <a:avLst/>
                    </a:prstGeom>
                    <a:noFill/>
                  </pic:spPr>
                </pic:pic>
              </a:graphicData>
            </a:graphic>
          </wp:anchor>
        </w:drawing>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45"/>
        </w:trPr>
        <w:tc>
          <w:tcPr>
            <w:tcW w:w="320" w:type="dxa"/>
            <w:vAlign w:val="bottom"/>
            <w:tcBorders>
              <w:bottom w:val="single" w:sz="8" w:color="auto"/>
            </w:tcBorders>
          </w:tcPr>
          <w:p>
            <w:pPr>
              <w:spacing w:after="0"/>
              <w:rPr>
                <w:sz w:val="21"/>
                <w:szCs w:val="21"/>
                <w:color w:val="auto"/>
              </w:rPr>
            </w:pPr>
          </w:p>
        </w:tc>
        <w:tc>
          <w:tcPr>
            <w:tcW w:w="492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SECTION 16</w:t>
            </w:r>
          </w:p>
        </w:tc>
        <w:tc>
          <w:tcPr>
            <w:tcW w:w="180" w:type="dxa"/>
            <w:vAlign w:val="bottom"/>
          </w:tcPr>
          <w:p>
            <w:pPr>
              <w:spacing w:after="0"/>
              <w:rPr>
                <w:sz w:val="21"/>
                <w:szCs w:val="21"/>
                <w:color w:val="auto"/>
              </w:rPr>
            </w:pPr>
          </w:p>
        </w:tc>
        <w:tc>
          <w:tcPr>
            <w:tcW w:w="56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RULE 144 (Not applicable if transaction requested involves a purchase)</w:t>
            </w:r>
          </w:p>
        </w:tc>
        <w:tc>
          <w:tcPr>
            <w:tcW w:w="0" w:type="dxa"/>
            <w:vAlign w:val="bottom"/>
          </w:tcPr>
          <w:p>
            <w:pPr>
              <w:spacing w:after="0"/>
              <w:rPr>
                <w:sz w:val="1"/>
                <w:szCs w:val="1"/>
                <w:color w:val="auto"/>
              </w:rPr>
            </w:pPr>
          </w:p>
        </w:tc>
      </w:tr>
      <w:tr>
        <w:trPr>
          <w:trHeight w:val="278"/>
        </w:trPr>
        <w:tc>
          <w:tcPr>
            <w:tcW w:w="320" w:type="dxa"/>
            <w:vAlign w:val="bottom"/>
          </w:tcPr>
          <w:p>
            <w:pPr>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 am not subject to Section 16.</w:t>
            </w:r>
          </w:p>
        </w:tc>
        <w:tc>
          <w:tcPr>
            <w:tcW w:w="1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Wingdings" w:cs="Wingdings" w:eastAsia="Wingdings" w:hAnsi="Wingdings"/>
                <w:sz w:val="18"/>
                <w:szCs w:val="18"/>
                <w:b w:val="1"/>
                <w:bCs w:val="1"/>
                <w:color w:val="auto"/>
              </w:rPr>
              <w:t></w:t>
            </w: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 am not an “affiliate” of the Company and the transaction requested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above does not involve the sale of “restricted securities” (as such</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the best of my knowledge, I have not (and am not deemed to</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are defined under Rule 144 under the Securities Act of 1933, as</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have) engaged in an opposite way transaction within the previous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 months that was not exempt from Section 16(b) of the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Exchange Act.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best of my knowledge, the transaction requested above will</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49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None of the above.</w:t>
            </w:r>
          </w:p>
        </w:tc>
        <w:tc>
          <w:tcPr>
            <w:tcW w:w="180" w:type="dxa"/>
            <w:vAlign w:val="bottom"/>
          </w:tcPr>
          <w:p>
            <w:pPr>
              <w:spacing w:after="0"/>
              <w:rPr>
                <w:sz w:val="20"/>
                <w:szCs w:val="20"/>
                <w:color w:val="auto"/>
              </w:rPr>
            </w:pPr>
          </w:p>
        </w:tc>
        <w:tc>
          <w:tcPr>
            <w:tcW w:w="340" w:type="dxa"/>
            <w:vAlign w:val="bottom"/>
          </w:tcPr>
          <w:p>
            <w:pPr>
              <w:ind w:left="20"/>
              <w:spacing w:after="0"/>
              <w:rPr>
                <w:sz w:val="20"/>
                <w:szCs w:val="20"/>
                <w:color w:val="auto"/>
              </w:rPr>
            </w:pPr>
            <w:r>
              <w:rPr>
                <w:rFonts w:ascii="Wingdings" w:cs="Wingdings" w:eastAsia="Wingdings" w:hAnsi="Wingdings"/>
                <w:sz w:val="18"/>
                <w:szCs w:val="18"/>
                <w:b w:val="1"/>
                <w:bCs w:val="1"/>
                <w:color w:val="auto"/>
              </w:rPr>
              <w:t></w:t>
            </w: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meet all of the applicable conditions of Rule 144.</w:t>
            </w: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20"/>
                <w:szCs w:val="20"/>
                <w:color w:val="auto"/>
              </w:rPr>
            </w:pPr>
            <w:r>
              <w:rPr>
                <w:rFonts w:ascii="Wingdings" w:cs="Wingdings" w:eastAsia="Wingdings" w:hAnsi="Wingdings"/>
                <w:sz w:val="18"/>
                <w:szCs w:val="18"/>
                <w:b w:val="1"/>
                <w:bCs w:val="1"/>
                <w:color w:val="auto"/>
              </w:rPr>
              <w:t></w:t>
            </w:r>
          </w:p>
        </w:tc>
        <w:tc>
          <w:tcPr>
            <w:tcW w:w="4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The transaction requested is being made pursuant to an effective</w:t>
            </w: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6060"/>
        <w:spacing w:after="0" w:line="219" w:lineRule="auto"/>
        <w:rPr>
          <w:sz w:val="20"/>
          <w:szCs w:val="20"/>
          <w:color w:val="auto"/>
        </w:rPr>
      </w:pPr>
      <w:r>
        <w:rPr>
          <w:rFonts w:ascii="Times New Roman" w:cs="Times New Roman" w:eastAsia="Times New Roman" w:hAnsi="Times New Roman"/>
          <w:sz w:val="18"/>
          <w:szCs w:val="18"/>
          <w:color w:val="auto"/>
        </w:rPr>
        <w:t>registration statement covering such transaction.</w:t>
      </w:r>
    </w:p>
    <w:p>
      <w:pPr>
        <w:jc w:val="center"/>
        <w:spacing w:after="0" w:line="237" w:lineRule="auto"/>
        <w:rPr>
          <w:sz w:val="20"/>
          <w:szCs w:val="20"/>
          <w:color w:val="auto"/>
        </w:rPr>
      </w:pPr>
      <w:r>
        <w:rPr>
          <w:rFonts w:ascii="Wingdings" w:cs="Wingdings" w:eastAsia="Wingdings" w:hAnsi="Wingdings"/>
          <w:sz w:val="18"/>
          <w:szCs w:val="18"/>
          <w:b w:val="1"/>
          <w:bCs w:val="1"/>
          <w:color w:val="auto"/>
        </w:rPr>
        <w:t></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None of the above.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4711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67"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I hereby certify that I am not (1) in possession of any material, nonpublic information concerning the Company, as defined in the Company’s Statement of Company Policy on Insider Trading and Disclosure and (2) purchasing</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811530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102" w:gutter="0" w:footer="0" w:header="0"/>
        </w:sectPr>
      </w:pPr>
    </w:p>
    <w:bookmarkStart w:id="170" w:name="page171"/>
    <w:bookmarkEnd w:id="170"/>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910590</wp:posOffset>
            </wp:positionV>
            <wp:extent cx="7145020" cy="15113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7145020" cy="1511300"/>
                    </a:xfrm>
                    <a:prstGeom prst="rect">
                      <a:avLst/>
                    </a:prstGeom>
                    <a:noFill/>
                  </pic:spPr>
                </pic:pic>
              </a:graphicData>
            </a:graphic>
          </wp:anchor>
        </w:drawing>
      </w:r>
    </w:p>
    <w:p>
      <w:pPr>
        <w:ind w:left="120"/>
        <w:spacing w:after="0" w:line="265" w:lineRule="auto"/>
        <w:rPr>
          <w:sz w:val="20"/>
          <w:szCs w:val="20"/>
          <w:color w:val="auto"/>
        </w:rPr>
      </w:pPr>
      <w:r>
        <w:rPr>
          <w:rFonts w:ascii="Times New Roman" w:cs="Times New Roman" w:eastAsia="Times New Roman" w:hAnsi="Times New Roman"/>
          <w:sz w:val="18"/>
          <w:szCs w:val="18"/>
          <w:color w:val="auto"/>
        </w:rPr>
        <w:t>any securities of the Company on margin in contravention of the Company’s Trading Procedures. I understand that, if I trade while possessing such information or in violation of such trading restrictions, I may be subject to severe civil and/or criminal penalties, and may be subject to discipline by the Company including termination.</w:t>
      </w:r>
    </w:p>
    <w:p>
      <w:pPr>
        <w:spacing w:after="0" w:line="200" w:lineRule="exact"/>
        <w:rPr>
          <w:sz w:val="20"/>
          <w:szCs w:val="20"/>
          <w:color w:val="auto"/>
        </w:rPr>
      </w:pPr>
    </w:p>
    <w:p>
      <w:pPr>
        <w:spacing w:after="0" w:line="234" w:lineRule="exact"/>
        <w:rPr>
          <w:sz w:val="20"/>
          <w:szCs w:val="20"/>
          <w:color w:val="auto"/>
        </w:rPr>
      </w:pPr>
    </w:p>
    <w:p>
      <w:pPr>
        <w:ind w:left="380"/>
        <w:spacing w:after="0"/>
        <w:tabs>
          <w:tab w:leader="none" w:pos="5920" w:val="left"/>
        </w:tabs>
        <w:rPr>
          <w:sz w:val="20"/>
          <w:szCs w:val="20"/>
          <w:color w:val="auto"/>
        </w:rPr>
      </w:pPr>
      <w:r>
        <w:rPr>
          <w:rFonts w:ascii="Times New Roman" w:cs="Times New Roman" w:eastAsia="Times New Roman" w:hAnsi="Times New Roman"/>
          <w:sz w:val="18"/>
          <w:szCs w:val="18"/>
          <w:color w:val="auto"/>
        </w:rPr>
        <w:t>Insider’s Signature</w:t>
      </w:r>
      <w:r>
        <w:rPr>
          <w:sz w:val="20"/>
          <w:szCs w:val="20"/>
          <w:color w:val="auto"/>
        </w:rPr>
        <w:tab/>
      </w:r>
      <w:r>
        <w:rPr>
          <w:rFonts w:ascii="Times New Roman" w:cs="Times New Roman" w:eastAsia="Times New Roman" w:hAnsi="Times New Roman"/>
          <w:sz w:val="18"/>
          <w:szCs w:val="18"/>
          <w:color w:val="auto"/>
        </w:rPr>
        <w:t>Date</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AUTHORIZED APPROVAL</w:t>
      </w:r>
    </w:p>
    <w:p>
      <w:pPr>
        <w:spacing w:after="0" w:line="200" w:lineRule="exact"/>
        <w:rPr>
          <w:sz w:val="20"/>
          <w:szCs w:val="20"/>
          <w:color w:val="auto"/>
        </w:rPr>
      </w:pPr>
    </w:p>
    <w:p>
      <w:pPr>
        <w:spacing w:after="0" w:line="285" w:lineRule="exact"/>
        <w:rPr>
          <w:sz w:val="20"/>
          <w:szCs w:val="20"/>
          <w:color w:val="auto"/>
        </w:rPr>
      </w:pPr>
    </w:p>
    <w:p>
      <w:pPr>
        <w:ind w:left="380"/>
        <w:spacing w:after="0"/>
        <w:tabs>
          <w:tab w:leader="none" w:pos="5920" w:val="left"/>
        </w:tabs>
        <w:rPr>
          <w:sz w:val="20"/>
          <w:szCs w:val="20"/>
          <w:color w:val="auto"/>
        </w:rPr>
      </w:pPr>
      <w:r>
        <w:rPr>
          <w:rFonts w:ascii="Times New Roman" w:cs="Times New Roman" w:eastAsia="Times New Roman" w:hAnsi="Times New Roman"/>
          <w:sz w:val="18"/>
          <w:szCs w:val="18"/>
          <w:color w:val="auto"/>
        </w:rPr>
        <w:t>Signature of Compliance Officer (or designee)</w:t>
      </w:r>
      <w:r>
        <w:rPr>
          <w:sz w:val="20"/>
          <w:szCs w:val="20"/>
          <w:color w:val="auto"/>
        </w:rPr>
        <w:tab/>
      </w:r>
      <w:r>
        <w:rPr>
          <w:rFonts w:ascii="Times New Roman" w:cs="Times New Roman" w:eastAsia="Times New Roman" w:hAnsi="Times New Roman"/>
          <w:sz w:val="18"/>
          <w:szCs w:val="18"/>
          <w:color w:val="auto"/>
        </w:rPr>
        <w:t>Date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Multiple lots must be listed on separate forms or broken out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171" w:name="page172"/>
    <w:bookmarkEnd w:id="171"/>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EXHIBIT B</w:t>
      </w: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09"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2"/>
          <w:szCs w:val="22"/>
          <w:color w:val="auto"/>
        </w:rPr>
        <w:t xml:space="preserve">I hereby acknowledge that I have read, that I understand, and that I agree to comply with, the Insider Trading Policy of </w:t>
      </w:r>
      <w:r>
        <w:rPr>
          <w:rFonts w:ascii="Times New Roman" w:cs="Times New Roman" w:eastAsia="Times New Roman" w:hAnsi="Times New Roman"/>
          <w:sz w:val="19"/>
          <w:szCs w:val="19"/>
          <w:color w:val="auto"/>
        </w:rPr>
        <w:t xml:space="preserve">Aura Biosciences, Inc. </w:t>
      </w:r>
      <w:r>
        <w:rPr>
          <w:rFonts w:ascii="Times New Roman" w:cs="Times New Roman" w:eastAsia="Times New Roman" w:hAnsi="Times New Roman"/>
          <w:sz w:val="21"/>
          <w:szCs w:val="21"/>
          <w:color w:val="auto"/>
        </w:rPr>
        <w:t>(the “Company”). I further acknowledge and agree that I am responsible for ensuring compliance with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Insider Trading Policy and the Trading Procedures included therein by all of my “Affiliated Persons”. I also understand and agree that I will be subject to sanctions, including termination of employment, that may be imposed by the Company, in its sole discretion, for violation of the Insider Trading Policy, and that the Company may give stop-transfer and other instructions to the Company’s transfer agent against the transfer of any Company securities in a transaction that the Company considers to be in contravention of the 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19685</wp:posOffset>
            </wp:positionV>
            <wp:extent cx="256857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29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10795</wp:posOffset>
            </wp:positionV>
            <wp:extent cx="25685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28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10795</wp:posOffset>
            </wp:positionV>
            <wp:extent cx="25685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256857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820420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07" w:right="51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Subsidiaries of Registrant</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5300" w:type="dxa"/>
            <w:vAlign w:val="bottom"/>
          </w:tcPr>
          <w:p>
            <w:pPr>
              <w:jc w:val="center"/>
              <w:ind w:right="217"/>
              <w:spacing w:after="0"/>
              <w:rPr>
                <w:sz w:val="20"/>
                <w:szCs w:val="20"/>
                <w:color w:val="auto"/>
              </w:rPr>
            </w:pPr>
            <w:r>
              <w:rPr>
                <w:rFonts w:ascii="Times New Roman" w:cs="Times New Roman" w:eastAsia="Times New Roman" w:hAnsi="Times New Roman"/>
                <w:sz w:val="20"/>
                <w:szCs w:val="20"/>
                <w:color w:val="auto"/>
                <w:w w:val="98"/>
              </w:rPr>
              <w:t>Jurisdiction of Incorporation</w:t>
            </w:r>
          </w:p>
        </w:tc>
      </w:tr>
      <w:tr>
        <w:trPr>
          <w:trHeight w:val="262"/>
        </w:trPr>
        <w:tc>
          <w:tcPr>
            <w:tcW w:w="594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20"/>
                <w:szCs w:val="20"/>
                <w:color w:val="auto"/>
                <w:w w:val="98"/>
              </w:rPr>
              <w:t>Subsidiary</w:t>
            </w:r>
          </w:p>
        </w:tc>
        <w:tc>
          <w:tcPr>
            <w:tcW w:w="53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20"/>
                <w:szCs w:val="20"/>
                <w:color w:val="auto"/>
                <w:w w:val="98"/>
              </w:rPr>
              <w:t>or Organization</w:t>
            </w:r>
          </w:p>
        </w:tc>
      </w:tr>
      <w:tr>
        <w:trPr>
          <w:trHeight w:val="253"/>
        </w:trPr>
        <w:tc>
          <w:tcPr>
            <w:tcW w:w="5940" w:type="dxa"/>
            <w:vAlign w:val="bottom"/>
          </w:tcPr>
          <w:p>
            <w:pPr>
              <w:jc w:val="center"/>
              <w:ind w:right="195"/>
              <w:spacing w:after="0"/>
              <w:rPr>
                <w:sz w:val="20"/>
                <w:szCs w:val="20"/>
                <w:color w:val="auto"/>
              </w:rPr>
            </w:pPr>
            <w:r>
              <w:rPr>
                <w:rFonts w:ascii="Times New Roman" w:cs="Times New Roman" w:eastAsia="Times New Roman" w:hAnsi="Times New Roman"/>
                <w:sz w:val="22"/>
                <w:szCs w:val="22"/>
                <w:color w:val="auto"/>
                <w:w w:val="98"/>
              </w:rPr>
              <w:t>Aura Biosciences Securities Corporation</w:t>
            </w:r>
          </w:p>
        </w:tc>
        <w:tc>
          <w:tcPr>
            <w:tcW w:w="5300" w:type="dxa"/>
            <w:vAlign w:val="bottom"/>
          </w:tcPr>
          <w:p>
            <w:pPr>
              <w:jc w:val="center"/>
              <w:ind w:right="197"/>
              <w:spacing w:after="0"/>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5940" w:type="dxa"/>
            <w:vAlign w:val="bottom"/>
          </w:tcPr>
          <w:p>
            <w:pPr>
              <w:jc w:val="center"/>
              <w:ind w:right="195"/>
              <w:spacing w:after="0"/>
              <w:rPr>
                <w:sz w:val="20"/>
                <w:szCs w:val="20"/>
                <w:color w:val="auto"/>
              </w:rPr>
            </w:pPr>
            <w:r>
              <w:rPr>
                <w:rFonts w:ascii="Times New Roman" w:cs="Times New Roman" w:eastAsia="Times New Roman" w:hAnsi="Times New Roman"/>
                <w:sz w:val="22"/>
                <w:szCs w:val="22"/>
                <w:color w:val="auto"/>
                <w:w w:val="97"/>
              </w:rPr>
              <w:t>Aura Biosciences B.V.</w:t>
            </w:r>
          </w:p>
        </w:tc>
        <w:tc>
          <w:tcPr>
            <w:tcW w:w="5300" w:type="dxa"/>
            <w:vAlign w:val="bottom"/>
          </w:tcPr>
          <w:p>
            <w:pPr>
              <w:jc w:val="center"/>
              <w:ind w:right="197"/>
              <w:spacing w:after="0"/>
              <w:rPr>
                <w:sz w:val="20"/>
                <w:szCs w:val="20"/>
                <w:color w:val="auto"/>
              </w:rPr>
            </w:pPr>
            <w:r>
              <w:rPr>
                <w:rFonts w:ascii="Times New Roman" w:cs="Times New Roman" w:eastAsia="Times New Roman" w:hAnsi="Times New Roman"/>
                <w:sz w:val="22"/>
                <w:szCs w:val="22"/>
                <w:color w:val="auto"/>
                <w:w w:val="97"/>
              </w:rPr>
              <w:t>Netherlands</w:t>
            </w:r>
          </w:p>
        </w:tc>
      </w:tr>
      <w:tr>
        <w:trPr>
          <w:trHeight w:val="1626"/>
        </w:trPr>
        <w:tc>
          <w:tcPr>
            <w:tcW w:w="59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consent to the incorporation by reference in the following Registration Statements:</w:t>
      </w:r>
    </w:p>
    <w:p>
      <w:pPr>
        <w:spacing w:after="0" w:line="232" w:lineRule="exact"/>
        <w:rPr>
          <w:sz w:val="20"/>
          <w:szCs w:val="20"/>
          <w:color w:val="auto"/>
        </w:rPr>
      </w:pPr>
    </w:p>
    <w:p>
      <w:pPr>
        <w:jc w:val="both"/>
        <w:ind w:left="760" w:hanging="378"/>
        <w:spacing w:after="0" w:line="246" w:lineRule="auto"/>
        <w:tabs>
          <w:tab w:leader="none" w:pos="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333- 260589) pertaining to the 2009 Amended and Restated Stock Option and Restricted Stock Plan, 2018 Equity Incentive Plan, Aura Biosciences, Inc. 2021 Stock Option and Incentive Plan, and Aura Biosciences, Inc. 2021 Employee Stock Purchase Plan,</w:t>
      </w:r>
    </w:p>
    <w:p>
      <w:pPr>
        <w:spacing w:after="0" w:line="1" w:lineRule="exact"/>
        <w:rPr>
          <w:rFonts w:ascii="Times New Roman" w:cs="Times New Roman" w:eastAsia="Times New Roman" w:hAnsi="Times New Roman"/>
          <w:sz w:val="22"/>
          <w:szCs w:val="22"/>
          <w:color w:val="auto"/>
        </w:rPr>
      </w:pPr>
    </w:p>
    <w:p>
      <w:pPr>
        <w:ind w:left="760" w:hanging="378"/>
        <w:spacing w:after="0" w:line="230" w:lineRule="auto"/>
        <w:tabs>
          <w:tab w:leader="none" w:pos="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333-263801) pertaining to the Aura Biosciences, Inc. 2021 Stock Option and Incentive Plan and Aura Biosciences, Inc. 2021 Employee Stock Purchase Plan,</w:t>
      </w:r>
    </w:p>
    <w:p>
      <w:pPr>
        <w:ind w:left="760" w:hanging="378"/>
        <w:spacing w:after="0" w:line="230" w:lineRule="auto"/>
        <w:tabs>
          <w:tab w:leader="none" w:pos="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S-8 No. 333-270571) pertaining to the 2021 Stock Option and Incentive Plan and the 2021 Employee Stock Purchase Plan of Aura Biosciences, Inc, and</w:t>
      </w:r>
    </w:p>
    <w:p>
      <w:pPr>
        <w:ind w:left="760" w:hanging="378"/>
        <w:spacing w:after="0"/>
        <w:tabs>
          <w:tab w:leader="none" w:pos="7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(Form S-3 No. 333-268105) of Aura Biosciences, Inc.</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of our report dated March 27, 2024, with respect to the consolidated financial statements of Aura Biosciences, Inc. included in this Annual Report (Form 10-K) of Aura Biosciences, Inc. for the year ended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Boston, Massachusetts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221" w:lineRule="exact"/>
        <w:rPr>
          <w:sz w:val="20"/>
          <w:szCs w:val="20"/>
          <w:color w:val="auto"/>
        </w:rPr>
      </w:pPr>
    </w:p>
    <w:p>
      <w:pPr>
        <w:ind w:left="360" w:hanging="352"/>
        <w:spacing w:after="0"/>
        <w:tabs>
          <w:tab w:leader="none" w:pos="3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Aura Biosciences, Inc;</w:t>
      </w:r>
    </w:p>
    <w:p>
      <w:pPr>
        <w:spacing w:after="0" w:line="220" w:lineRule="exact"/>
        <w:rPr>
          <w:rFonts w:ascii="Arial" w:cs="Arial" w:eastAsia="Arial" w:hAnsi="Arial"/>
          <w:sz w:val="16"/>
          <w:szCs w:val="16"/>
          <w:color w:val="auto"/>
        </w:rPr>
      </w:pPr>
    </w:p>
    <w:p>
      <w:pPr>
        <w:ind w:right="280" w:firstLine="8"/>
        <w:spacing w:after="0" w:line="285" w:lineRule="auto"/>
        <w:tabs>
          <w:tab w:leader="none" w:pos="3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6"/>
          <w:szCs w:val="16"/>
          <w:color w:val="auto"/>
        </w:rPr>
      </w:pPr>
    </w:p>
    <w:p>
      <w:pPr>
        <w:ind w:right="540" w:firstLine="8"/>
        <w:spacing w:after="0" w:line="285" w:lineRule="auto"/>
        <w:tabs>
          <w:tab w:leader="none" w:pos="3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right="20" w:firstLine="8"/>
        <w:spacing w:after="0" w:line="266" w:lineRule="auto"/>
        <w:tabs>
          <w:tab w:leader="none" w:pos="3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6"/>
          <w:szCs w:val="16"/>
          <w:color w:val="auto"/>
        </w:rPr>
      </w:pPr>
    </w:p>
    <w:p>
      <w:pPr>
        <w:ind w:right="220" w:firstLine="368"/>
        <w:spacing w:after="0" w:line="266" w:lineRule="auto"/>
        <w:tabs>
          <w:tab w:leader="none" w:pos="71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720" w:hanging="352"/>
        <w:spacing w:after="0"/>
        <w:tabs>
          <w:tab w:leader="none" w:pos="72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20" w:lineRule="exact"/>
        <w:rPr>
          <w:rFonts w:ascii="Arial" w:cs="Arial" w:eastAsia="Arial" w:hAnsi="Arial"/>
          <w:sz w:val="16"/>
          <w:szCs w:val="16"/>
          <w:color w:val="auto"/>
        </w:rPr>
      </w:pPr>
    </w:p>
    <w:p>
      <w:pPr>
        <w:ind w:right="140"/>
        <w:spacing w:after="0" w:line="265" w:lineRule="auto"/>
        <w:rPr>
          <w:rFonts w:ascii="Arial" w:cs="Arial" w:eastAsia="Arial" w:hAnsi="Arial"/>
          <w:sz w:val="16"/>
          <w:szCs w:val="16"/>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right="800" w:firstLine="368"/>
        <w:spacing w:after="0" w:line="285" w:lineRule="auto"/>
        <w:tabs>
          <w:tab w:leader="none" w:pos="71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6"/>
          <w:szCs w:val="16"/>
          <w:color w:val="auto"/>
        </w:rPr>
      </w:pPr>
    </w:p>
    <w:p>
      <w:pPr>
        <w:ind w:right="40" w:firstLine="368"/>
        <w:spacing w:after="0" w:line="266" w:lineRule="auto"/>
        <w:tabs>
          <w:tab w:leader="none" w:pos="71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right="300" w:firstLine="8"/>
        <w:spacing w:after="0" w:line="285" w:lineRule="auto"/>
        <w:tabs>
          <w:tab w:leader="none" w:pos="3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6"/>
          <w:szCs w:val="16"/>
          <w:color w:val="auto"/>
        </w:rPr>
      </w:pPr>
    </w:p>
    <w:p>
      <w:pPr>
        <w:ind w:right="400" w:firstLine="368"/>
        <w:spacing w:after="0" w:line="285" w:lineRule="auto"/>
        <w:tabs>
          <w:tab w:leader="none" w:pos="71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6"/>
          <w:szCs w:val="16"/>
          <w:color w:val="auto"/>
        </w:rPr>
      </w:pPr>
    </w:p>
    <w:p>
      <w:pPr>
        <w:ind w:right="340" w:firstLine="368"/>
        <w:spacing w:after="0" w:line="285" w:lineRule="auto"/>
        <w:tabs>
          <w:tab w:leader="none" w:pos="71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Aura Biosciences, Inc.</w:t>
      </w:r>
    </w:p>
    <w:p>
      <w:pPr>
        <w:spacing w:after="0" w:line="221" w:lineRule="exact"/>
        <w:rPr>
          <w:sz w:val="20"/>
          <w:szCs w:val="20"/>
          <w:color w:val="auto"/>
        </w:rPr>
      </w:pPr>
    </w:p>
    <w:p>
      <w:pPr>
        <w:ind w:left="80"/>
        <w:spacing w:after="0"/>
        <w:tabs>
          <w:tab w:leader="none" w:pos="620" w:val="left"/>
          <w:tab w:leader="none" w:pos="5920" w:val="left"/>
          <w:tab w:leader="none" w:pos="7900" w:val="left"/>
        </w:tabs>
        <w:rPr>
          <w:sz w:val="20"/>
          <w:szCs w:val="20"/>
          <w:color w:val="auto"/>
        </w:rPr>
      </w:pPr>
      <w:r>
        <w:rPr>
          <w:rFonts w:ascii="Arial" w:cs="Arial" w:eastAsia="Arial" w:hAnsi="Arial"/>
          <w:sz w:val="16"/>
          <w:szCs w:val="16"/>
          <w:color w:val="auto"/>
        </w:rPr>
        <w:t>Date:</w:t>
        <w:tab/>
        <w:t>March 27,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20320</wp:posOffset>
            </wp:positionV>
            <wp:extent cx="3056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4"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Elisabet de los Pinos</w:t>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Julie Feder, certify that:</w:t>
      </w:r>
    </w:p>
    <w:p>
      <w:pPr>
        <w:spacing w:after="0" w:line="221" w:lineRule="exact"/>
        <w:rPr>
          <w:sz w:val="20"/>
          <w:szCs w:val="20"/>
          <w:color w:val="auto"/>
        </w:rPr>
      </w:pPr>
    </w:p>
    <w:p>
      <w:pPr>
        <w:ind w:left="360" w:hanging="352"/>
        <w:spacing w:after="0"/>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Aura Biosciences, Inc;</w:t>
      </w:r>
    </w:p>
    <w:p>
      <w:pPr>
        <w:spacing w:after="0" w:line="220" w:lineRule="exact"/>
        <w:rPr>
          <w:rFonts w:ascii="Arial" w:cs="Arial" w:eastAsia="Arial" w:hAnsi="Arial"/>
          <w:sz w:val="16"/>
          <w:szCs w:val="16"/>
          <w:color w:val="auto"/>
        </w:rPr>
      </w:pPr>
    </w:p>
    <w:p>
      <w:pPr>
        <w:ind w:right="280" w:firstLine="8"/>
        <w:spacing w:after="0" w:line="285" w:lineRule="auto"/>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6"/>
          <w:szCs w:val="16"/>
          <w:color w:val="auto"/>
        </w:rPr>
      </w:pPr>
    </w:p>
    <w:p>
      <w:pPr>
        <w:ind w:right="540" w:firstLine="8"/>
        <w:spacing w:after="0" w:line="285" w:lineRule="auto"/>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6"/>
          <w:szCs w:val="16"/>
          <w:color w:val="auto"/>
        </w:rPr>
      </w:pPr>
    </w:p>
    <w:p>
      <w:pPr>
        <w:ind w:right="20" w:firstLine="8"/>
        <w:spacing w:after="0" w:line="266" w:lineRule="auto"/>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6"/>
          <w:szCs w:val="16"/>
          <w:color w:val="auto"/>
        </w:rPr>
      </w:pPr>
    </w:p>
    <w:p>
      <w:pPr>
        <w:ind w:right="220" w:firstLine="368"/>
        <w:spacing w:after="0" w:line="266" w:lineRule="auto"/>
        <w:tabs>
          <w:tab w:leader="none" w:pos="71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6"/>
          <w:szCs w:val="16"/>
          <w:color w:val="auto"/>
        </w:rPr>
      </w:pPr>
    </w:p>
    <w:p>
      <w:pPr>
        <w:ind w:left="720" w:hanging="352"/>
        <w:spacing w:after="0"/>
        <w:tabs>
          <w:tab w:leader="none" w:pos="72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20" w:lineRule="exact"/>
        <w:rPr>
          <w:rFonts w:ascii="Arial" w:cs="Arial" w:eastAsia="Arial" w:hAnsi="Arial"/>
          <w:sz w:val="16"/>
          <w:szCs w:val="16"/>
          <w:color w:val="auto"/>
        </w:rPr>
      </w:pPr>
    </w:p>
    <w:p>
      <w:pPr>
        <w:ind w:right="140"/>
        <w:spacing w:after="0" w:line="265" w:lineRule="auto"/>
        <w:rPr>
          <w:rFonts w:ascii="Arial" w:cs="Arial" w:eastAsia="Arial" w:hAnsi="Arial"/>
          <w:sz w:val="16"/>
          <w:szCs w:val="16"/>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6"/>
          <w:szCs w:val="16"/>
          <w:color w:val="auto"/>
        </w:rPr>
      </w:pPr>
    </w:p>
    <w:p>
      <w:pPr>
        <w:ind w:right="800" w:firstLine="368"/>
        <w:spacing w:after="0" w:line="285" w:lineRule="auto"/>
        <w:tabs>
          <w:tab w:leader="none" w:pos="71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6"/>
          <w:szCs w:val="16"/>
          <w:color w:val="auto"/>
        </w:rPr>
      </w:pPr>
    </w:p>
    <w:p>
      <w:pPr>
        <w:ind w:right="40" w:firstLine="368"/>
        <w:spacing w:after="0" w:line="266" w:lineRule="auto"/>
        <w:tabs>
          <w:tab w:leader="none" w:pos="71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6"/>
          <w:szCs w:val="16"/>
          <w:color w:val="auto"/>
        </w:rPr>
      </w:pPr>
    </w:p>
    <w:p>
      <w:pPr>
        <w:ind w:right="300" w:firstLine="8"/>
        <w:spacing w:after="0" w:line="285" w:lineRule="auto"/>
        <w:tabs>
          <w:tab w:leader="none" w:pos="3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6"/>
          <w:szCs w:val="16"/>
          <w:color w:val="auto"/>
        </w:rPr>
      </w:pPr>
    </w:p>
    <w:p>
      <w:pPr>
        <w:ind w:right="400" w:firstLine="368"/>
        <w:spacing w:after="0" w:line="285" w:lineRule="auto"/>
        <w:tabs>
          <w:tab w:leader="none" w:pos="71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6"/>
          <w:szCs w:val="16"/>
          <w:color w:val="auto"/>
        </w:rPr>
      </w:pPr>
    </w:p>
    <w:p>
      <w:pPr>
        <w:ind w:right="340" w:firstLine="368"/>
        <w:spacing w:after="0" w:line="285" w:lineRule="auto"/>
        <w:tabs>
          <w:tab w:leader="none" w:pos="71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Aura Biosciences, Inc.</w:t>
      </w:r>
    </w:p>
    <w:p>
      <w:pPr>
        <w:spacing w:after="0" w:line="221" w:lineRule="exact"/>
        <w:rPr>
          <w:sz w:val="20"/>
          <w:szCs w:val="20"/>
          <w:color w:val="auto"/>
        </w:rPr>
      </w:pPr>
    </w:p>
    <w:p>
      <w:pPr>
        <w:ind w:left="80"/>
        <w:spacing w:after="0"/>
        <w:tabs>
          <w:tab w:leader="none" w:pos="620" w:val="left"/>
          <w:tab w:leader="none" w:pos="5920" w:val="left"/>
          <w:tab w:leader="none" w:pos="8240" w:val="left"/>
        </w:tabs>
        <w:rPr>
          <w:sz w:val="20"/>
          <w:szCs w:val="20"/>
          <w:color w:val="auto"/>
        </w:rPr>
      </w:pPr>
      <w:r>
        <w:rPr>
          <w:rFonts w:ascii="Arial" w:cs="Arial" w:eastAsia="Arial" w:hAnsi="Arial"/>
          <w:sz w:val="16"/>
          <w:szCs w:val="16"/>
          <w:color w:val="auto"/>
        </w:rPr>
        <w:t>Date:</w:t>
        <w:tab/>
        <w:t>March 27,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20320</wp:posOffset>
            </wp:positionV>
            <wp:extent cx="3056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24"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Julie Feder</w:t>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6"/>
          <w:szCs w:val="16"/>
          <w:b w:val="1"/>
          <w:bCs w:val="1"/>
          <w:color w:val="auto"/>
        </w:rPr>
        <w:t>Exhibit 32.1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connection with the Annual Report on Form 10-K of Aura Biosciences, Inc. (the “Company”) for the year ended December 31, 2023 as filed with the Securities and Exchange Commission on the date hereof (the “Report”), each of the undersigned certifies, pursuant to 18 U.S.C. §1350, as adopted pursuant to §906 of the Sarbanes-Oxley Act of 2002, that, to the best of her knowledge:</w:t>
      </w:r>
    </w:p>
    <w:p>
      <w:pPr>
        <w:spacing w:after="0" w:line="386" w:lineRule="exact"/>
        <w:rPr>
          <w:sz w:val="20"/>
          <w:szCs w:val="20"/>
          <w:color w:val="auto"/>
        </w:rPr>
      </w:pPr>
    </w:p>
    <w:p>
      <w:pPr>
        <w:ind w:left="760" w:hanging="378"/>
        <w:spacing w:after="0"/>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91" w:lineRule="exact"/>
        <w:rPr>
          <w:rFonts w:ascii="Arial" w:cs="Arial" w:eastAsia="Arial" w:hAnsi="Arial"/>
          <w:sz w:val="18"/>
          <w:szCs w:val="18"/>
          <w:color w:val="auto"/>
        </w:rPr>
      </w:pPr>
    </w:p>
    <w:p>
      <w:pPr>
        <w:ind w:left="760" w:right="220" w:hanging="378"/>
        <w:spacing w:after="0" w:line="271" w:lineRule="auto"/>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Aura Biosciences, Inc.</w:t>
      </w:r>
    </w:p>
    <w:p>
      <w:pPr>
        <w:spacing w:after="0" w:line="251" w:lineRule="exact"/>
        <w:rPr>
          <w:sz w:val="20"/>
          <w:szCs w:val="20"/>
          <w:color w:val="auto"/>
        </w:rPr>
      </w:pPr>
    </w:p>
    <w:p>
      <w:pPr>
        <w:ind w:left="80"/>
        <w:spacing w:after="0"/>
        <w:tabs>
          <w:tab w:leader="none" w:pos="740" w:val="left"/>
          <w:tab w:leader="none" w:pos="5860" w:val="left"/>
          <w:tab w:leader="none" w:pos="7780" w:val="left"/>
        </w:tabs>
        <w:rPr>
          <w:sz w:val="20"/>
          <w:szCs w:val="20"/>
          <w:color w:val="auto"/>
        </w:rPr>
      </w:pPr>
      <w:r>
        <w:rPr>
          <w:rFonts w:ascii="Arial" w:cs="Arial" w:eastAsia="Arial" w:hAnsi="Arial"/>
          <w:sz w:val="18"/>
          <w:szCs w:val="18"/>
          <w:color w:val="auto"/>
        </w:rPr>
        <w:t>Date:</w:t>
        <w:tab/>
        <w:t>March 27,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17780</wp:posOffset>
            </wp:positionV>
            <wp:extent cx="30911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spacing w:after="0" w:line="25"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Elisabet de los Pinos</w:t>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ind w:left="80"/>
        <w:spacing w:after="0"/>
        <w:tabs>
          <w:tab w:leader="none" w:pos="740" w:val="left"/>
          <w:tab w:leader="none" w:pos="5860" w:val="left"/>
          <w:tab w:leader="none" w:pos="8160" w:val="left"/>
        </w:tabs>
        <w:rPr>
          <w:sz w:val="20"/>
          <w:szCs w:val="20"/>
          <w:color w:val="auto"/>
        </w:rPr>
      </w:pPr>
      <w:r>
        <w:rPr>
          <w:rFonts w:ascii="Arial" w:cs="Arial" w:eastAsia="Arial" w:hAnsi="Arial"/>
          <w:sz w:val="18"/>
          <w:szCs w:val="18"/>
          <w:color w:val="auto"/>
        </w:rPr>
        <w:t>Date:</w:t>
        <w:tab/>
        <w:t>March 27,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17780</wp:posOffset>
            </wp:positionV>
            <wp:extent cx="30911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3091180" cy="8255"/>
                    </a:xfrm>
                    <a:prstGeom prst="rect">
                      <a:avLst/>
                    </a:prstGeom>
                    <a:noFill/>
                  </pic:spPr>
                </pic:pic>
              </a:graphicData>
            </a:graphic>
          </wp:anchor>
        </w:drawing>
      </w:r>
    </w:p>
    <w:p>
      <w:pPr>
        <w:spacing w:after="0" w:line="25"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Julie Feder</w:t>
      </w:r>
    </w:p>
    <w:p>
      <w:pPr>
        <w:spacing w:after="0" w:line="30" w:lineRule="exact"/>
        <w:rPr>
          <w:sz w:val="20"/>
          <w:szCs w:val="20"/>
          <w:color w:val="auto"/>
        </w:rPr>
      </w:pPr>
    </w:p>
    <w:p>
      <w:pPr>
        <w:jc w:val="center"/>
        <w:ind w:left="62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1243965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77" w:name="page178"/>
    <w:bookmarkEnd w:id="177"/>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AURA BIOSCIENCES, INC.</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RECOVERY POLICY</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Adopted as of September 26, 2023</w:t>
      </w:r>
    </w:p>
    <w:p>
      <w:pPr>
        <w:spacing w:after="0" w:line="20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2"/>
          <w:szCs w:val="22"/>
          <w:color w:val="auto"/>
        </w:rPr>
        <w:t>Aura Biosciences,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a Compensation Recovery Policy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as described below.</w:t>
      </w:r>
    </w:p>
    <w:p>
      <w:pPr>
        <w:spacing w:after="0" w:line="153" w:lineRule="exact"/>
        <w:rPr>
          <w:sz w:val="20"/>
          <w:szCs w:val="20"/>
          <w:color w:val="auto"/>
        </w:rPr>
      </w:pPr>
    </w:p>
    <w:p>
      <w:pPr>
        <w:ind w:left="440" w:hanging="432"/>
        <w:spacing w:after="0"/>
        <w:tabs>
          <w:tab w:leader="none" w:pos="44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Overview</w:t>
      </w:r>
    </w:p>
    <w:p>
      <w:pPr>
        <w:spacing w:after="0" w:line="20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0"/>
          <w:szCs w:val="20"/>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under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Nasdaq Stock Market. Capitalized terms used and not otherwise defined herein shall have the meanings given in Section 3 below.</w:t>
      </w:r>
    </w:p>
    <w:p>
      <w:pPr>
        <w:spacing w:after="0" w:line="144" w:lineRule="exact"/>
        <w:rPr>
          <w:sz w:val="20"/>
          <w:szCs w:val="20"/>
          <w:color w:val="auto"/>
        </w:rPr>
      </w:pPr>
    </w:p>
    <w:p>
      <w:pPr>
        <w:ind w:left="440" w:hanging="432"/>
        <w:spacing w:after="0"/>
        <w:tabs>
          <w:tab w:leader="none" w:pos="44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Requirement</w:t>
      </w:r>
    </w:p>
    <w:p>
      <w:pPr>
        <w:spacing w:after="0" w:line="20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In the event the Company is required to prepare a Financial Restatement, the Company shall recover reasonably promptly all Erroneously Awarded Compensation with respect to such Financial Restatement.</w:t>
      </w:r>
    </w:p>
    <w:p>
      <w:pPr>
        <w:spacing w:after="0" w:line="153" w:lineRule="exact"/>
        <w:rPr>
          <w:sz w:val="20"/>
          <w:szCs w:val="20"/>
          <w:color w:val="auto"/>
        </w:rPr>
      </w:pPr>
    </w:p>
    <w:p>
      <w:pPr>
        <w:ind w:left="440" w:hanging="432"/>
        <w:spacing w:after="0"/>
        <w:tabs>
          <w:tab w:leader="none" w:pos="44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209" w:lineRule="exact"/>
        <w:rPr>
          <w:rFonts w:ascii="Times New Roman" w:cs="Times New Roman" w:eastAsia="Times New Roman" w:hAnsi="Times New Roman"/>
          <w:sz w:val="22"/>
          <w:szCs w:val="22"/>
          <w:b w:val="1"/>
          <w:bCs w:val="1"/>
          <w:color w:val="auto"/>
        </w:rPr>
      </w:pPr>
    </w:p>
    <w:p>
      <w:pPr>
        <w:ind w:left="1140" w:right="140" w:hanging="383"/>
        <w:spacing w:after="0" w:line="237" w:lineRule="auto"/>
        <w:tabs>
          <w:tab w:leader="none" w:pos="11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Recovery Period</w:t>
      </w:r>
      <w:r>
        <w:rPr>
          <w:rFonts w:ascii="Times New Roman" w:cs="Times New Roman" w:eastAsia="Times New Roman" w:hAnsi="Times New Roman"/>
          <w:sz w:val="22"/>
          <w:szCs w:val="22"/>
          <w:color w:val="auto"/>
        </w:rPr>
        <w:t>”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80" w:lineRule="exact"/>
        <w:rPr>
          <w:rFonts w:ascii="Times New Roman" w:cs="Times New Roman" w:eastAsia="Times New Roman" w:hAnsi="Times New Roman"/>
          <w:sz w:val="22"/>
          <w:szCs w:val="22"/>
          <w:color w:val="auto"/>
        </w:rPr>
      </w:pPr>
    </w:p>
    <w:p>
      <w:pPr>
        <w:ind w:left="1140" w:right="120" w:hanging="383"/>
        <w:spacing w:after="0" w:line="244" w:lineRule="auto"/>
        <w:tabs>
          <w:tab w:leader="none" w:pos="11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Rules</w:t>
      </w:r>
      <w:r>
        <w:rPr>
          <w:rFonts w:ascii="Times New Roman" w:cs="Times New Roman" w:eastAsia="Times New Roman" w:hAnsi="Times New Roman"/>
          <w:sz w:val="22"/>
          <w:szCs w:val="22"/>
          <w:color w:val="auto"/>
        </w:rPr>
        <w:t>” means any rules or regulations adopted by the Exchange pursuant to Rule 10D-1 under the Exchange Act and any applicable rules or regulations adopted by the SEC pursuant to Section 10D of the Exchange Act.</w:t>
      </w:r>
    </w:p>
    <w:p>
      <w:pPr>
        <w:spacing w:after="0" w:line="172"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05" w:lineRule="exact"/>
        <w:rPr>
          <w:rFonts w:ascii="Times New Roman" w:cs="Times New Roman" w:eastAsia="Times New Roman" w:hAnsi="Times New Roman"/>
          <w:sz w:val="22"/>
          <w:szCs w:val="22"/>
          <w:color w:val="auto"/>
        </w:rPr>
      </w:pPr>
    </w:p>
    <w:p>
      <w:pPr>
        <w:ind w:left="1140" w:right="160" w:hanging="383"/>
        <w:spacing w:after="0" w:line="258" w:lineRule="auto"/>
        <w:tabs>
          <w:tab w:leader="none" w:pos="11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or, in the absence of such committee, a majority of independent directors serving on the Board.</w:t>
      </w:r>
    </w:p>
    <w:p>
      <w:pPr>
        <w:spacing w:after="0" w:line="157" w:lineRule="exact"/>
        <w:rPr>
          <w:rFonts w:ascii="Times New Roman" w:cs="Times New Roman" w:eastAsia="Times New Roman" w:hAnsi="Times New Roman"/>
          <w:sz w:val="22"/>
          <w:szCs w:val="22"/>
          <w:color w:val="auto"/>
        </w:rPr>
      </w:pPr>
    </w:p>
    <w:p>
      <w:pPr>
        <w:ind w:left="1140" w:right="180" w:hanging="383"/>
        <w:spacing w:after="0" w:line="258" w:lineRule="auto"/>
        <w:tabs>
          <w:tab w:leader="none" w:pos="114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 means any Executive Officer and any other person designated by the Board or the Committee as being subject to this Policy. A person’s status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1303020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3" w:lineRule="exact"/>
        <w:rPr>
          <w:sz w:val="20"/>
          <w:szCs w:val="20"/>
          <w:color w:val="auto"/>
        </w:rPr>
      </w:pPr>
    </w:p>
    <w:p>
      <w:pPr>
        <w:ind w:left="383" w:right="20"/>
        <w:spacing w:after="0" w:line="234" w:lineRule="auto"/>
        <w:rPr>
          <w:sz w:val="20"/>
          <w:szCs w:val="20"/>
          <w:color w:val="auto"/>
        </w:rPr>
      </w:pPr>
      <w:r>
        <w:rPr>
          <w:rFonts w:ascii="Times New Roman" w:cs="Times New Roman" w:eastAsia="Times New Roman" w:hAnsi="Times New Roman"/>
          <w:sz w:val="22"/>
          <w:szCs w:val="22"/>
          <w:color w:val="auto"/>
        </w:rPr>
        <w:t>Covered Person with respect to Erroneously Awarded Compensation shall be determined as of the time 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84" w:lineRule="exact"/>
        <w:rPr>
          <w:sz w:val="20"/>
          <w:szCs w:val="20"/>
          <w:color w:val="auto"/>
        </w:rPr>
      </w:pPr>
    </w:p>
    <w:p>
      <w:pPr>
        <w:ind w:left="383" w:hanging="383"/>
        <w:spacing w:after="0"/>
        <w:tabs>
          <w:tab w:leader="none" w:pos="38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October 2, 2023.</w:t>
      </w:r>
    </w:p>
    <w:p>
      <w:pPr>
        <w:spacing w:after="0" w:line="205" w:lineRule="exact"/>
        <w:rPr>
          <w:rFonts w:ascii="Times New Roman" w:cs="Times New Roman" w:eastAsia="Times New Roman" w:hAnsi="Times New Roman"/>
          <w:sz w:val="22"/>
          <w:szCs w:val="22"/>
          <w:color w:val="auto"/>
        </w:rPr>
      </w:pPr>
    </w:p>
    <w:p>
      <w:pPr>
        <w:ind w:left="383" w:hanging="383"/>
        <w:spacing w:after="0" w:line="235" w:lineRule="auto"/>
        <w:tabs>
          <w:tab w:leader="none" w:pos="38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Erroneously Awarded Compensation</w:t>
      </w:r>
      <w:r>
        <w:rPr>
          <w:rFonts w:ascii="Times New Roman" w:cs="Times New Roman" w:eastAsia="Times New Roman" w:hAnsi="Times New Roman"/>
          <w:sz w:val="22"/>
          <w:szCs w:val="22"/>
          <w:color w:val="auto"/>
        </w:rPr>
        <w:t>”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82" w:lineRule="exact"/>
        <w:rPr>
          <w:rFonts w:ascii="Times New Roman" w:cs="Times New Roman" w:eastAsia="Times New Roman" w:hAnsi="Times New Roman"/>
          <w:sz w:val="22"/>
          <w:szCs w:val="22"/>
          <w:color w:val="auto"/>
        </w:rPr>
      </w:pPr>
    </w:p>
    <w:p>
      <w:pPr>
        <w:ind w:left="383" w:hanging="383"/>
        <w:spacing w:after="0"/>
        <w:tabs>
          <w:tab w:leader="none" w:pos="38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w:t>
      </w:r>
      <w:r>
        <w:rPr>
          <w:rFonts w:ascii="Times New Roman" w:cs="Times New Roman" w:eastAsia="Times New Roman" w:hAnsi="Times New Roman"/>
          <w:sz w:val="22"/>
          <w:szCs w:val="22"/>
          <w:color w:val="auto"/>
        </w:rPr>
        <w:t>” means the Nasdaq Stock Market LLC.</w:t>
      </w:r>
    </w:p>
    <w:p>
      <w:pPr>
        <w:spacing w:after="0" w:line="205" w:lineRule="exact"/>
        <w:rPr>
          <w:rFonts w:ascii="Times New Roman" w:cs="Times New Roman" w:eastAsia="Times New Roman" w:hAnsi="Times New Roman"/>
          <w:sz w:val="22"/>
          <w:szCs w:val="22"/>
          <w:color w:val="auto"/>
        </w:rPr>
      </w:pPr>
    </w:p>
    <w:p>
      <w:pPr>
        <w:ind w:left="383" w:right="40" w:hanging="383"/>
        <w:spacing w:after="0" w:line="234" w:lineRule="auto"/>
        <w:tabs>
          <w:tab w:leader="none" w:pos="383"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u w:val="single" w:color="auto"/>
          <w:color w:val="auto"/>
        </w:rPr>
        <w:t>Executive Officer</w:t>
      </w:r>
      <w:r>
        <w:rPr>
          <w:rFonts w:ascii="Times New Roman" w:cs="Times New Roman" w:eastAsia="Times New Roman" w:hAnsi="Times New Roman"/>
          <w:sz w:val="22"/>
          <w:szCs w:val="22"/>
          <w:color w:val="auto"/>
        </w:rPr>
        <w:t>” means any person who served the Company in any of the following roles at any time during the performance period applicable to Incentive-Based Compensation such person received during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400"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1196975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440" w:right="379" w:bottom="1440" w:gutter="0" w:footer="0" w:header="0"/>
        </w:sectPr>
      </w:pPr>
    </w:p>
    <w:bookmarkStart w:id="179" w:name="page180"/>
    <w:bookmarkEnd w:id="179"/>
    <w:p>
      <w:pPr>
        <w:spacing w:after="0" w:line="143" w:lineRule="exact"/>
        <w:rPr>
          <w:sz w:val="20"/>
          <w:szCs w:val="20"/>
          <w:color w:val="auto"/>
        </w:rPr>
      </w:pPr>
    </w:p>
    <w:p>
      <w:pPr>
        <w:ind w:left="1140" w:hanging="383"/>
        <w:spacing w:after="0" w:line="239"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Reporting Measures</w:t>
      </w:r>
      <w:r>
        <w:rPr>
          <w:rFonts w:ascii="Times New Roman" w:cs="Times New Roman" w:eastAsia="Times New Roman" w:hAnsi="Times New Roman"/>
          <w:sz w:val="22"/>
          <w:szCs w:val="22"/>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78" w:lineRule="exact"/>
        <w:rPr>
          <w:rFonts w:ascii="Times New Roman" w:cs="Times New Roman" w:eastAsia="Times New Roman" w:hAnsi="Times New Roman"/>
          <w:sz w:val="22"/>
          <w:szCs w:val="22"/>
          <w:color w:val="auto"/>
        </w:rPr>
      </w:pPr>
    </w:p>
    <w:p>
      <w:pPr>
        <w:ind w:left="1140" w:right="160" w:hanging="383"/>
        <w:spacing w:after="0" w:line="244"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means any compensation provided, directly or indirectly, by the Company or any of its subsidiaries that is granted, earned, or vested based, in whole or in part, upon the attainment of a Financial Reporting Measure.</w:t>
      </w:r>
    </w:p>
    <w:p>
      <w:pPr>
        <w:spacing w:after="0" w:line="172" w:lineRule="exact"/>
        <w:rPr>
          <w:rFonts w:ascii="Times New Roman" w:cs="Times New Roman" w:eastAsia="Times New Roman" w:hAnsi="Times New Roman"/>
          <w:sz w:val="22"/>
          <w:szCs w:val="22"/>
          <w:color w:val="auto"/>
        </w:rPr>
      </w:pPr>
    </w:p>
    <w:p>
      <w:pPr>
        <w:ind w:left="1140" w:right="40" w:hanging="383"/>
        <w:spacing w:after="0" w:line="237"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Financial Restatement</w:t>
      </w:r>
      <w:r>
        <w:rPr>
          <w:rFonts w:ascii="Times New Roman" w:cs="Times New Roman" w:eastAsia="Times New Roman" w:hAnsi="Times New Roman"/>
          <w:sz w:val="22"/>
          <w:szCs w:val="22"/>
          <w:color w:val="auto"/>
        </w:rPr>
        <w: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80" w:lineRule="exact"/>
        <w:rPr>
          <w:rFonts w:ascii="Times New Roman" w:cs="Times New Roman" w:eastAsia="Times New Roman" w:hAnsi="Times New Roman"/>
          <w:sz w:val="22"/>
          <w:szCs w:val="22"/>
          <w:color w:val="auto"/>
        </w:rPr>
      </w:pPr>
    </w:p>
    <w:p>
      <w:pPr>
        <w:ind w:left="1140" w:right="80" w:hanging="383"/>
        <w:spacing w:after="0" w:line="239" w:lineRule="auto"/>
        <w:tabs>
          <w:tab w:leader="none" w:pos="114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Date</w:t>
      </w:r>
      <w:r>
        <w:rPr>
          <w:rFonts w:ascii="Times New Roman" w:cs="Times New Roman" w:eastAsia="Times New Roman" w:hAnsi="Times New Roman"/>
          <w:sz w:val="22"/>
          <w:szCs w:val="22"/>
          <w:color w:val="auto"/>
        </w:rPr>
        <w:t>”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75" w:lineRule="exact"/>
        <w:rPr>
          <w:sz w:val="20"/>
          <w:szCs w:val="20"/>
          <w:color w:val="auto"/>
        </w:rPr>
      </w:pPr>
    </w:p>
    <w:p>
      <w:pPr>
        <w:ind w:left="440" w:hanging="432"/>
        <w:spacing w:after="0"/>
        <w:tabs>
          <w:tab w:leader="none" w:pos="44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Exception to Compensation Recovery Requirement</w:t>
      </w:r>
    </w:p>
    <w:p>
      <w:pPr>
        <w:spacing w:after="0" w:line="20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5" w:lineRule="exact"/>
        <w:rPr>
          <w:sz w:val="20"/>
          <w:szCs w:val="20"/>
          <w:color w:val="auto"/>
        </w:rPr>
      </w:pPr>
    </w:p>
    <w:p>
      <w:pPr>
        <w:ind w:left="440" w:hanging="432"/>
        <w:spacing w:after="0"/>
        <w:tabs>
          <w:tab w:leader="none" w:pos="44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 Considerations</w:t>
      </w:r>
    </w:p>
    <w:p>
      <w:pPr>
        <w:spacing w:after="0" w:line="209" w:lineRule="exact"/>
        <w:rPr>
          <w:sz w:val="20"/>
          <w:szCs w:val="20"/>
          <w:color w:val="auto"/>
        </w:rPr>
      </w:pPr>
    </w:p>
    <w:p>
      <w:pPr>
        <w:ind w:right="420"/>
        <w:spacing w:after="0" w:line="244" w:lineRule="auto"/>
        <w:rPr>
          <w:sz w:val="20"/>
          <w:szCs w:val="20"/>
          <w:color w:val="auto"/>
        </w:rPr>
      </w:pPr>
      <w:r>
        <w:rPr>
          <w:rFonts w:ascii="Times New Roman" w:cs="Times New Roman" w:eastAsia="Times New Roman" w:hAnsi="Times New Roman"/>
          <w:sz w:val="22"/>
          <w:szCs w:val="22"/>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68" w:lineRule="exact"/>
        <w:rPr>
          <w:sz w:val="20"/>
          <w:szCs w:val="20"/>
          <w:color w:val="auto"/>
        </w:rPr>
      </w:pPr>
    </w:p>
    <w:p>
      <w:pPr>
        <w:ind w:left="440" w:hanging="432"/>
        <w:spacing w:after="0"/>
        <w:tabs>
          <w:tab w:leader="none" w:pos="44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Method of Compensation Recovery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1196975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0" w:name="page181"/>
    <w:bookmarkEnd w:id="180"/>
    <w:p>
      <w:pPr>
        <w:spacing w:after="0" w:line="14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The Committee shall determine, in its sole discretion, the method for recovering Erroneously Awarded Compensation hereunder, which may include, without limitation, any one or more of the following:</w:t>
      </w:r>
    </w:p>
    <w:p>
      <w:pPr>
        <w:spacing w:after="0" w:line="157" w:lineRule="exact"/>
        <w:rPr>
          <w:sz w:val="20"/>
          <w:szCs w:val="20"/>
          <w:color w:val="auto"/>
        </w:rPr>
      </w:pPr>
    </w:p>
    <w:p>
      <w:pPr>
        <w:ind w:left="1500" w:hanging="369"/>
        <w:spacing w:after="0"/>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reimbursement of cash Incentive-Based Compensation previously paid;</w:t>
      </w:r>
    </w:p>
    <w:p>
      <w:pPr>
        <w:spacing w:after="0" w:line="205" w:lineRule="exact"/>
        <w:rPr>
          <w:rFonts w:ascii="Times New Roman" w:cs="Times New Roman" w:eastAsia="Times New Roman" w:hAnsi="Times New Roman"/>
          <w:sz w:val="22"/>
          <w:szCs w:val="22"/>
          <w:color w:val="auto"/>
        </w:rPr>
      </w:pPr>
    </w:p>
    <w:p>
      <w:pPr>
        <w:ind w:left="1500" w:right="260" w:hanging="369"/>
        <w:spacing w:after="0" w:line="258" w:lineRule="auto"/>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seeking recovery of any gain realized on the vesting, exercise, settlement, sale, transfer or other disposition of any equity-based awards;</w:t>
      </w:r>
    </w:p>
    <w:p>
      <w:pPr>
        <w:spacing w:after="0" w:line="157"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rescinding some or all outstanding vested or unvested equity-based awards;</w:t>
      </w:r>
    </w:p>
    <w:p>
      <w:pPr>
        <w:spacing w:after="0" w:line="205"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adjusting or withholding from unpaid compensation or other set-off;</w:t>
      </w:r>
    </w:p>
    <w:p>
      <w:pPr>
        <w:spacing w:after="0" w:line="205"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cancelling or offsetting against planned future grants of equity-based awards; and/or</w:t>
      </w:r>
    </w:p>
    <w:p>
      <w:pPr>
        <w:spacing w:after="0" w:line="205"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method permitted by applicable law or contract.</w:t>
      </w:r>
    </w:p>
    <w:p>
      <w:pPr>
        <w:spacing w:after="0" w:line="20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5" w:lineRule="exact"/>
        <w:rPr>
          <w:sz w:val="20"/>
          <w:szCs w:val="20"/>
          <w:color w:val="auto"/>
        </w:rPr>
      </w:pPr>
    </w:p>
    <w:p>
      <w:pPr>
        <w:ind w:left="440" w:hanging="432"/>
        <w:spacing w:after="0"/>
        <w:tabs>
          <w:tab w:leader="none" w:pos="44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Interpretation</w:t>
      </w:r>
    </w:p>
    <w:p>
      <w:pPr>
        <w:spacing w:after="0" w:line="209" w:lineRule="exact"/>
        <w:rPr>
          <w:sz w:val="20"/>
          <w:szCs w:val="20"/>
          <w:color w:val="auto"/>
        </w:rPr>
      </w:pPr>
    </w:p>
    <w:p>
      <w:pPr>
        <w:ind w:right="440"/>
        <w:spacing w:after="0" w:line="236" w:lineRule="auto"/>
        <w:rPr>
          <w:sz w:val="20"/>
          <w:szCs w:val="20"/>
          <w:color w:val="auto"/>
        </w:rPr>
      </w:pPr>
      <w:r>
        <w:rPr>
          <w:rFonts w:ascii="Times New Roman" w:cs="Times New Roman" w:eastAsia="Times New Roman" w:hAnsi="Times New Roman"/>
          <w:sz w:val="22"/>
          <w:szCs w:val="22"/>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175" w:lineRule="exact"/>
        <w:rPr>
          <w:sz w:val="20"/>
          <w:szCs w:val="20"/>
          <w:color w:val="auto"/>
        </w:rPr>
      </w:pPr>
    </w:p>
    <w:p>
      <w:pPr>
        <w:ind w:left="440" w:hanging="432"/>
        <w:spacing w:after="0"/>
        <w:tabs>
          <w:tab w:leader="none" w:pos="44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Policy Administration</w:t>
      </w:r>
    </w:p>
    <w:p>
      <w:pPr>
        <w:spacing w:after="0" w:line="20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1196975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6" w:lineRule="exact"/>
        <w:rPr>
          <w:sz w:val="20"/>
          <w:szCs w:val="20"/>
          <w:color w:val="auto"/>
        </w:rPr>
      </w:pPr>
    </w:p>
    <w:p>
      <w:pPr>
        <w:ind w:left="440" w:hanging="432"/>
        <w:spacing w:after="0"/>
        <w:tabs>
          <w:tab w:leader="none" w:pos="44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Recovery Repayments not Subject to Indemnification</w:t>
      </w:r>
    </w:p>
    <w:p>
      <w:pPr>
        <w:spacing w:after="0" w:line="209" w:lineRule="exact"/>
        <w:rPr>
          <w:sz w:val="20"/>
          <w:szCs w:val="20"/>
          <w:color w:val="auto"/>
        </w:rPr>
      </w:pPr>
    </w:p>
    <w:p>
      <w:pPr>
        <w:jc w:val="both"/>
        <w:ind w:right="220"/>
        <w:spacing w:after="0" w:line="280" w:lineRule="auto"/>
        <w:rPr>
          <w:sz w:val="20"/>
          <w:szCs w:val="20"/>
          <w:color w:val="auto"/>
        </w:rPr>
      </w:pPr>
      <w:r>
        <w:rPr>
          <w:rFonts w:ascii="Times New Roman" w:cs="Times New Roman" w:eastAsia="Times New Roman" w:hAnsi="Times New Roman"/>
          <w:sz w:val="20"/>
          <w:szCs w:val="20"/>
          <w:color w:val="auto"/>
        </w:rPr>
        <w:t>Notwithstanding anything to the contrary set forth in any agreement with, or the organizational documents of, the Company or any of its subsidiaries, Covered Persons are not entitled to indemnification for Erroneously Awarded Compensation or for any claim or losses arising out of or in any way related to Erroneously Awarded Compensation recovered under this Policy.</w:t>
      </w: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1196975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82" w:name="page183"/>
    <w:bookmarkEnd w:id="1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lowerLetter"/>
      <w:start w:val="1"/>
    </w:lvl>
  </w:abstractNum>
  <w:abstractNum w:abstractNumId="49">
    <w:nsid w:val="100F59DC"/>
    <w:multiLevelType w:val="hybridMultilevel"/>
    <w:lvl w:ilvl="0">
      <w:lvlJc w:val="left"/>
      <w:lvlText w:val="(%1)"/>
      <w:numFmt w:val="decimal"/>
      <w:start w:val="1"/>
    </w:lvl>
  </w:abstractNum>
  <w:abstractNum w:abstractNumId="50">
    <w:nsid w:val="7FB7E0AA"/>
    <w:multiLevelType w:val="hybridMultilevel"/>
    <w:lvl w:ilvl="0">
      <w:lvlJc w:val="left"/>
      <w:lvlText w:val="▪"/>
      <w:numFmt w:val="bullet"/>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1)"/>
      <w:numFmt w:val="decimal"/>
      <w:start w:val="1"/>
    </w:lvl>
  </w:abstractNum>
  <w:abstractNum w:abstractNumId="53">
    <w:nsid w:val="94211F2"/>
    <w:multiLevelType w:val="hybridMultilevel"/>
    <w:lvl w:ilvl="0">
      <w:lvlJc w:val="left"/>
      <w:lvlText w:val="(%1)"/>
      <w:numFmt w:val="decimal"/>
      <w:start w:val="1"/>
    </w:lvl>
  </w:abstractNum>
  <w:abstractNum w:abstractNumId="54">
    <w:nsid w:val="885E1B"/>
    <w:multiLevelType w:val="hybridMultilevel"/>
    <w:lvl w:ilvl="0">
      <w:lvlJc w:val="left"/>
      <w:lvlText w:val="(%1)"/>
      <w:numFmt w:val="decimal"/>
      <w:start w:val="3"/>
    </w:lvl>
  </w:abstractNum>
  <w:abstractNum w:abstractNumId="55">
    <w:nsid w:val="76272110"/>
    <w:multiLevelType w:val="hybridMultilevel"/>
    <w:lvl w:ilvl="0">
      <w:lvlJc w:val="left"/>
      <w:lvlText w:val="(%1)"/>
      <w:numFmt w:val="decimal"/>
      <w:start w:val="1"/>
    </w:lvl>
  </w:abstractNum>
  <w:abstractNum w:abstractNumId="56">
    <w:nsid w:val="4C04A8AF"/>
    <w:multiLevelType w:val="hybridMultilevel"/>
    <w:lvl w:ilvl="0">
      <w:lvlJc w:val="left"/>
      <w:lvlText w:val="(%1)"/>
      <w:numFmt w:val="decimal"/>
      <w:start w:val="3"/>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1)"/>
      <w:numFmt w:val="decimal"/>
      <w:start w:val="5"/>
    </w:lvl>
    <w:lvl w:ilvl="1">
      <w:lvlJc w:val="left"/>
      <w:lvlText w:val="(%2)"/>
      <w:numFmt w:val="lowerRoman"/>
      <w:start w:val="4"/>
    </w:lvl>
  </w:abstractNum>
  <w:abstractNum w:abstractNumId="60">
    <w:nsid w:val="74DE0EE3"/>
    <w:multiLevelType w:val="hybridMultilevel"/>
    <w:lvl w:ilvl="0">
      <w:lvlJc w:val="left"/>
      <w:lvlText w:val="(%1)"/>
      <w:numFmt w:val="decimal"/>
      <w:start w:val="1"/>
    </w:lvl>
  </w:abstractNum>
  <w:abstractNum w:abstractNumId="61">
    <w:nsid w:val="68EBC550"/>
    <w:multiLevelType w:val="hybridMultilevel"/>
    <w:lvl w:ilvl="0">
      <w:lvlJc w:val="left"/>
      <w:lvlText w:val="(%1)"/>
      <w:numFmt w:val="decimal"/>
      <w:start w:val="1"/>
    </w:lvl>
  </w:abstractNum>
  <w:abstractNum w:abstractNumId="62">
    <w:nsid w:val="2DF6D648"/>
    <w:multiLevelType w:val="hybridMultilevel"/>
    <w:lvl w:ilvl="0">
      <w:lvlJc w:val="left"/>
      <w:lvlText w:val="(%1)"/>
      <w:numFmt w:val="decimal"/>
      <w:start w:val="1"/>
    </w:lvl>
  </w:abstractNum>
  <w:abstractNum w:abstractNumId="63">
    <w:nsid w:val="46B7D447"/>
    <w:multiLevelType w:val="hybridMultilevel"/>
    <w:lvl w:ilvl="0">
      <w:lvlJc w:val="left"/>
      <w:lvlText w:val="(%1)"/>
      <w:numFmt w:val="decimal"/>
      <w:start w:val="1"/>
    </w:lvl>
  </w:abstractNum>
  <w:abstractNum w:abstractNumId="64">
    <w:nsid w:val="4A2AC315"/>
    <w:multiLevelType w:val="hybridMultilevel"/>
    <w:lvl w:ilvl="0">
      <w:lvlJc w:val="left"/>
      <w:lvlText w:val="*"/>
      <w:numFmt w:val="bullet"/>
      <w:start w:val="1"/>
    </w:lvl>
    <w:lvl w:ilvl="1">
      <w:lvlJc w:val="left"/>
      <w:lvlText w:val="%2"/>
      <w:numFmt w:val="decimal"/>
      <w:start w:val="104"/>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1)"/>
      <w:numFmt w:val="decimal"/>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1."/>
      <w:numFmt w:val="decimal"/>
      <w:start w:val="12"/>
    </w:lvl>
  </w:abstractNum>
  <w:abstractNum w:abstractNumId="70">
    <w:nsid w:val="26F324BA"/>
    <w:multiLevelType w:val="hybridMultilevel"/>
    <w:lvl w:ilvl="0">
      <w:lvlJc w:val="left"/>
      <w:lvlText w:val="(%1)"/>
      <w:numFmt w:val="decimal"/>
      <w:start w:val="4"/>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1."/>
      <w:numFmt w:val="decimal"/>
      <w:start w:val="1"/>
    </w:lvl>
    <w:lvl w:ilvl="1">
      <w:lvlJc w:val="left"/>
      <w:lvlText w:val="(%2)"/>
      <w:numFmt w:val="lowerLetter"/>
      <w:start w:val="1"/>
    </w:lvl>
  </w:abstractNum>
  <w:abstractNum w:abstractNumId="74">
    <w:nsid w:val="5FB8370B"/>
    <w:multiLevelType w:val="hybridMultilevel"/>
    <w:lvl w:ilvl="0">
      <w:lvlJc w:val="left"/>
      <w:lvlText w:val="%1."/>
      <w:numFmt w:val="decimal"/>
      <w:start w:val="3"/>
    </w:lvl>
  </w:abstractNum>
  <w:abstractNum w:abstractNumId="75">
    <w:nsid w:val="50801EE1"/>
    <w:multiLevelType w:val="hybridMultilevel"/>
    <w:lvl w:ilvl="0">
      <w:lvlJc w:val="left"/>
      <w:lvlText w:val="%1."/>
      <w:numFmt w:val="decimal"/>
      <w:start w:val="6"/>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1."/>
      <w:numFmt w:val="lowerRoman"/>
      <w:start w:val="1"/>
    </w:lvl>
  </w:abstractNum>
  <w:abstractNum w:abstractNumId="78">
    <w:nsid w:val="6AA78F7F"/>
    <w:multiLevelType w:val="hybridMultilevel"/>
    <w:lvl w:ilvl="0">
      <w:lvlJc w:val="left"/>
      <w:lvlText w:val="%1."/>
      <w:numFmt w:val="upperLetter"/>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1."/>
      <w:numFmt w:val="upperLetter"/>
      <w:start w:val="2"/>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
      <w:numFmt w:val="bullet"/>
      <w:start w:val="1"/>
    </w:lvl>
  </w:abstractNum>
  <w:abstractNum w:abstractNumId="84">
    <w:nsid w:val="73A1821B"/>
    <w:multiLevelType w:val="hybridMultilevel"/>
    <w:lvl w:ilvl="0">
      <w:lvlJc w:val="left"/>
      <w:lvlText w:val="%1."/>
      <w:numFmt w:val="upperLetter"/>
      <w:start w:val="3"/>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1."/>
      <w:numFmt w:val="upperLetter"/>
      <w:start w:val="4"/>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1."/>
      <w:numFmt w:val="upperLetter"/>
      <w:start w:val="5"/>
    </w:lvl>
  </w:abstractNum>
  <w:abstractNum w:abstractNumId="89">
    <w:nsid w:val="6A3DD3E8"/>
    <w:multiLevelType w:val="hybridMultilevel"/>
    <w:lvl w:ilvl="0">
      <w:lvlJc w:val="left"/>
      <w:lvlText w:val="%1."/>
      <w:numFmt w:val="upperLetter"/>
      <w:start w:val="1"/>
    </w:lvl>
  </w:abstractNum>
  <w:abstractNum w:abstractNumId="90">
    <w:nsid w:val="71C91298"/>
    <w:multiLevelType w:val="hybridMultilevel"/>
    <w:lvl w:ilvl="0">
      <w:lvlJc w:val="left"/>
      <w:lvlText w:val="%1."/>
      <w:numFmt w:val="decimal"/>
      <w:start w:val="1"/>
    </w:lvl>
  </w:abstractNum>
  <w:abstractNum w:abstractNumId="91">
    <w:nsid w:val="9DAF632"/>
    <w:multiLevelType w:val="hybridMultilevel"/>
    <w:lvl w:ilvl="0">
      <w:lvlJc w:val="left"/>
      <w:lvlText w:val="%1."/>
      <w:numFmt w:val="decimal"/>
      <w:start w:val="2"/>
    </w:lvl>
    <w:lvl w:ilvl="1">
      <w:lvlJc w:val="left"/>
      <w:lvlText w:val="•"/>
      <w:numFmt w:val="bullet"/>
      <w:start w:val="1"/>
    </w:lvl>
  </w:abstractNum>
  <w:abstractNum w:abstractNumId="92">
    <w:nsid w:val="53299938"/>
    <w:multiLevelType w:val="hybridMultilevel"/>
    <w:lvl w:ilvl="0">
      <w:lvlJc w:val="left"/>
      <w:lvlText w:val="%1."/>
      <w:numFmt w:val="decimal"/>
      <w:start w:val="2"/>
    </w:lvl>
    <w:lvl w:ilvl="1">
      <w:lvlJc w:val="left"/>
      <w:lvlText w:val="•"/>
      <w:numFmt w:val="bullet"/>
      <w:start w:val="1"/>
    </w:lvl>
  </w:abstractNum>
  <w:abstractNum w:abstractNumId="93">
    <w:nsid w:val="1FBFE8E0"/>
    <w:multiLevelType w:val="hybridMultilevel"/>
    <w:lvl w:ilvl="0">
      <w:lvlJc w:val="left"/>
      <w:lvlText w:val="%1."/>
      <w:numFmt w:val="upperLetter"/>
      <w:start w:val="2"/>
    </w:lvl>
  </w:abstractNum>
  <w:abstractNum w:abstractNumId="94">
    <w:nsid w:val="5092CA79"/>
    <w:multiLevelType w:val="hybridMultilevel"/>
    <w:lvl w:ilvl="0">
      <w:lvlJc w:val="left"/>
      <w:lvlText w:val="%1."/>
      <w:numFmt w:val="decimal"/>
      <w:start w:val="1"/>
    </w:lvl>
    <w:lvl w:ilvl="1">
      <w:lvlJc w:val="left"/>
      <w:lvlText w:val="•"/>
      <w:numFmt w:val="bullet"/>
      <w:start w:val="1"/>
    </w:lvl>
  </w:abstractNum>
  <w:abstractNum w:abstractNumId="95">
    <w:nsid w:val="1D545C4D"/>
    <w:multiLevelType w:val="hybridMultilevel"/>
    <w:lvl w:ilvl="0">
      <w:lvlJc w:val="left"/>
      <w:lvlText w:val="%1."/>
      <w:numFmt w:val="decimal"/>
      <w:start w:val="2"/>
    </w:lvl>
  </w:abstractNum>
  <w:abstractNum w:abstractNumId="96">
    <w:nsid w:val="59ADEA3D"/>
    <w:multiLevelType w:val="hybridMultilevel"/>
    <w:lvl w:ilvl="0">
      <w:lvlJc w:val="left"/>
      <w:lvlText w:val="%1."/>
      <w:numFmt w:val="decimal"/>
      <w:start w:val="3"/>
    </w:lvl>
  </w:abstractNum>
  <w:abstractNum w:abstractNumId="97">
    <w:nsid w:val="288F1A34"/>
    <w:multiLevelType w:val="hybridMultilevel"/>
    <w:lvl w:ilvl="0">
      <w:lvlJc w:val="left"/>
      <w:lvlText w:val="%1."/>
      <w:numFmt w:val="decimal"/>
      <w:start w:val="4"/>
    </w:lvl>
  </w:abstractNum>
  <w:abstractNum w:abstractNumId="98">
    <w:nsid w:val="2A155DBC"/>
    <w:multiLevelType w:val="hybridMultilevel"/>
    <w:lvl w:ilvl="0">
      <w:lvlJc w:val="left"/>
      <w:lvlText w:val="%1."/>
      <w:numFmt w:val="decimal"/>
      <w:start w:val="5"/>
    </w:lvl>
  </w:abstractNum>
  <w:abstractNum w:abstractNumId="99">
    <w:nsid w:val="1D9F6E5F"/>
    <w:multiLevelType w:val="hybridMultilevel"/>
    <w:lvl w:ilvl="0">
      <w:lvlJc w:val="left"/>
      <w:lvlText w:val="%1."/>
      <w:numFmt w:val="upperLetter"/>
      <w:start w:val="3"/>
    </w:lvl>
    <w:lvl w:ilvl="1">
      <w:lvlJc w:val="left"/>
      <w:lvlText w:val="%2."/>
      <w:numFmt w:val="decimal"/>
      <w:start w:val="1"/>
    </w:lvl>
  </w:abstractNum>
  <w:abstractNum w:abstractNumId="100">
    <w:nsid w:val="97E1B4E"/>
    <w:multiLevelType w:val="hybridMultilevel"/>
    <w:lvl w:ilvl="0">
      <w:lvlJc w:val="left"/>
      <w:lvlText w:val="%1."/>
      <w:numFmt w:val="decimal"/>
      <w:start w:val="2"/>
    </w:lvl>
  </w:abstractNum>
  <w:abstractNum w:abstractNumId="101">
    <w:nsid w:val="51088277"/>
    <w:multiLevelType w:val="hybridMultilevel"/>
    <w:lvl w:ilvl="0">
      <w:lvlJc w:val="left"/>
      <w:lvlText w:val="%1."/>
      <w:numFmt w:val="upperLetter"/>
      <w:start w:val="4"/>
    </w:lvl>
  </w:abstractNum>
  <w:abstractNum w:abstractNumId="102">
    <w:nsid w:val="1CA0C5FA"/>
    <w:multiLevelType w:val="hybridMultilevel"/>
    <w:lvl w:ilvl="0">
      <w:lvlJc w:val="left"/>
      <w:lvlText w:val="(%1)"/>
      <w:numFmt w:val="decimal"/>
      <w:start w:val="1"/>
    </w:lvl>
  </w:abstractNum>
  <w:abstractNum w:abstractNumId="103">
    <w:nsid w:val="53584BCB"/>
    <w:multiLevelType w:val="hybridMultilevel"/>
    <w:lvl w:ilvl="0">
      <w:lvlJc w:val="left"/>
      <w:lvlText w:val="%1."/>
      <w:numFmt w:val="decimal"/>
      <w:start w:val="1"/>
    </w:lvl>
    <w:lvl w:ilvl="1">
      <w:lvlJc w:val="left"/>
      <w:lvlText w:val="(%2)"/>
      <w:numFmt w:val="lowerLetter"/>
      <w:start w:val="1"/>
    </w:lvl>
  </w:abstractNum>
  <w:abstractNum w:abstractNumId="104">
    <w:nsid w:val="415E286C"/>
    <w:multiLevelType w:val="hybridMultilevel"/>
    <w:lvl w:ilvl="0">
      <w:lvlJc w:val="left"/>
      <w:lvlText w:val="%1."/>
      <w:numFmt w:val="decimal"/>
      <w:start w:val="1"/>
    </w:lvl>
    <w:lvl w:ilvl="1">
      <w:lvlJc w:val="left"/>
      <w:lvlText w:val="(%2)"/>
      <w:numFmt w:val="lowerLetter"/>
      <w:start w:val="1"/>
    </w:lvl>
  </w:abstractNum>
  <w:abstractNum w:abstractNumId="105">
    <w:nsid w:val="7C58FD05"/>
    <w:multiLevelType w:val="hybridMultilevel"/>
    <w:lvl w:ilvl="0">
      <w:lvlJc w:val="left"/>
      <w:lvlText w:val="(%1)"/>
      <w:numFmt w:val="decimal"/>
      <w:start w:val="1"/>
    </w:lvl>
  </w:abstractNum>
  <w:abstractNum w:abstractNumId="106">
    <w:nsid w:val="23D86AAC"/>
    <w:multiLevelType w:val="hybridMultilevel"/>
    <w:lvl w:ilvl="0">
      <w:lvlJc w:val="left"/>
      <w:lvlText w:val="%1."/>
      <w:numFmt w:val="decimal"/>
      <w:start w:val="1"/>
    </w:lvl>
  </w:abstractNum>
  <w:abstractNum w:abstractNumId="107">
    <w:nsid w:val="45E6D486"/>
    <w:multiLevelType w:val="hybridMultilevel"/>
    <w:lvl w:ilvl="0">
      <w:lvlJc w:val="left"/>
      <w:lvlText w:val="%1."/>
      <w:numFmt w:val="decimal"/>
      <w:start w:val="2"/>
    </w:lvl>
  </w:abstractNum>
  <w:abstractNum w:abstractNumId="108">
    <w:nsid w:val="5C10FE21"/>
    <w:multiLevelType w:val="hybridMultilevel"/>
    <w:lvl w:ilvl="0">
      <w:lvlJc w:val="left"/>
      <w:lvlText w:val="%1."/>
      <w:numFmt w:val="decimal"/>
      <w:start w:val="3"/>
    </w:lvl>
    <w:lvl w:ilvl="1">
      <w:lvlJc w:val="left"/>
      <w:lvlText w:val="%2."/>
      <w:numFmt w:val="lowerLetter"/>
      <w:start w:val="1"/>
    </w:lvl>
  </w:abstractNum>
  <w:abstractNum w:abstractNumId="109">
    <w:nsid w:val="E7FFA2B"/>
    <w:multiLevelType w:val="hybridMultilevel"/>
    <w:lvl w:ilvl="0">
      <w:lvlJc w:val="left"/>
      <w:lvlText w:val="%1."/>
      <w:numFmt w:val="lowerLetter"/>
      <w:start w:val="6"/>
    </w:lvl>
  </w:abstractNum>
  <w:abstractNum w:abstractNumId="110">
    <w:nsid w:val="3C5991AA"/>
    <w:multiLevelType w:val="hybridMultilevel"/>
    <w:lvl w:ilvl="0">
      <w:lvlJc w:val="left"/>
      <w:lvlText w:val="%1."/>
      <w:numFmt w:val="lowerLetter"/>
      <w:start w:val="10"/>
    </w:lvl>
  </w:abstractNum>
  <w:abstractNum w:abstractNumId="111">
    <w:nsid w:val="4BD8591A"/>
    <w:multiLevelType w:val="hybridMultilevel"/>
    <w:lvl w:ilvl="0">
      <w:lvlJc w:val="left"/>
      <w:lvlText w:val="%1."/>
      <w:numFmt w:val="decimal"/>
      <w:start w:val="4"/>
    </w:lvl>
  </w:abstractNum>
  <w:abstractNum w:abstractNumId="112">
    <w:nsid w:val="78DF6A55"/>
    <w:multiLevelType w:val="hybridMultilevel"/>
    <w:lvl w:ilvl="0">
      <w:lvlJc w:val="left"/>
      <w:lvlText w:val="%1."/>
      <w:numFmt w:val="decimal"/>
      <w:start w:val="5"/>
    </w:lvl>
  </w:abstractNum>
  <w:abstractNum w:abstractNumId="113">
    <w:nsid w:val="39B7AAA2"/>
    <w:multiLevelType w:val="hybridMultilevel"/>
    <w:lvl w:ilvl="0">
      <w:lvlJc w:val="left"/>
      <w:lvlText w:val="%1."/>
      <w:numFmt w:val="decimal"/>
      <w:start w:val="6"/>
    </w:lvl>
  </w:abstractNum>
  <w:abstractNum w:abstractNumId="114">
    <w:nsid w:val="2B0D8DBE"/>
    <w:multiLevelType w:val="hybridMultilevel"/>
    <w:lvl w:ilvl="0">
      <w:lvlJc w:val="left"/>
      <w:lvlText w:val="%1."/>
      <w:numFmt w:val="lowerLetter"/>
      <w:start w:val="1"/>
    </w:lvl>
  </w:abstractNum>
  <w:abstractNum w:abstractNumId="115">
    <w:nsid w:val="6C80EC70"/>
    <w:multiLevelType w:val="hybridMultilevel"/>
    <w:lvl w:ilvl="0">
      <w:lvlJc w:val="left"/>
      <w:lvlText w:val="%1."/>
      <w:numFmt w:val="decimal"/>
      <w:start w:val="7"/>
    </w:lvl>
  </w:abstractNum>
  <w:abstractNum w:abstractNumId="116">
    <w:nsid w:val="379E21B5"/>
    <w:multiLevelType w:val="hybridMultilevel"/>
    <w:lvl w:ilvl="0">
      <w:lvlJc w:val="left"/>
      <w:lvlText w:val="%1."/>
      <w:numFmt w:val="decimal"/>
      <w:start w:val="8"/>
    </w:lvl>
  </w:abstractNum>
  <w:abstractNum w:abstractNumId="117">
    <w:nsid w:val="69E37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195" Type="http://schemas.openxmlformats.org/officeDocument/2006/relationships/hyperlink" Target="https://www.sec.gov/Archives/edgar/data/1501796/000095017022004425/aura-ex3_1.htm" TargetMode="External"/><Relationship Id="rId196" Type="http://schemas.openxmlformats.org/officeDocument/2006/relationships/hyperlink" Target="https://www.sec.gov/Archives/edgar/data/1501796/000095017022004425/aura-ex3_2.htm" TargetMode="External"/><Relationship Id="rId197" Type="http://schemas.openxmlformats.org/officeDocument/2006/relationships/hyperlink" Target="https://www.sec.gov/Archives/edgar/data/1501796/000119312521295543/d209588dex42.htm" TargetMode="External"/><Relationship Id="rId198" Type="http://schemas.openxmlformats.org/officeDocument/2006/relationships/hyperlink" Target="https://www.sec.gov/Archives/edgar/data/0001501796/000119312521295543/d209588dex101.htm" TargetMode="External"/><Relationship Id="rId199" Type="http://schemas.openxmlformats.org/officeDocument/2006/relationships/hyperlink" Target="https://www.sec.gov/Archives/edgar/data/0001501796/000119312521295543/d209588dex102.htm" TargetMode="External"/><Relationship Id="rId200" Type="http://schemas.openxmlformats.org/officeDocument/2006/relationships/hyperlink" Target="https://www.sec.gov/Archives/edgar/data/1501796/000119312521305934/d209588dex103.htm" TargetMode="External"/><Relationship Id="rId201" Type="http://schemas.openxmlformats.org/officeDocument/2006/relationships/hyperlink" Target="https://www.sec.gov/Archives/edgar/data/1501796/000119312521305934/d209588dex104.htm" TargetMode="External"/><Relationship Id="rId202" Type="http://schemas.openxmlformats.org/officeDocument/2006/relationships/hyperlink" Target="https://www.sec.gov/Archives/edgar/data/1501796/000119312521305934/d209588dex105.htm" TargetMode="External"/><Relationship Id="rId203" Type="http://schemas.openxmlformats.org/officeDocument/2006/relationships/hyperlink" Target="https://www.sec.gov/Archives/edgar/data/1501796/000119312521305934/d209588dex106.htm" TargetMode="External"/><Relationship Id="rId204" Type="http://schemas.openxmlformats.org/officeDocument/2006/relationships/hyperlink" Target="https://www.sec.gov/Archives/edgar/data/1501796/000119312521305934/d209588dex107.htm" TargetMode="External"/><Relationship Id="rId205" Type="http://schemas.openxmlformats.org/officeDocument/2006/relationships/hyperlink" Target="https://www.sec.gov/Archives/edgar/data/1501796/000119312521305934/d209588dex108.htm" TargetMode="External"/><Relationship Id="rId206" Type="http://schemas.openxmlformats.org/officeDocument/2006/relationships/hyperlink" Target="https://www.sec.gov/Archives/edgar/data/1501796/000119312521305934/d209588dex109.htm" TargetMode="External"/><Relationship Id="rId207" Type="http://schemas.openxmlformats.org/officeDocument/2006/relationships/hyperlink" Target="https://www.sec.gov/Archives/edgar/data/0001501796/000119312521305934/d209588dex1010.htm" TargetMode="External"/><Relationship Id="rId208" Type="http://schemas.openxmlformats.org/officeDocument/2006/relationships/hyperlink" Target="https://www.sec.gov/Archives/edgar/data/0001501796/000119312521295543/d209588dex1011.htm" TargetMode="External"/><Relationship Id="rId211" Type="http://schemas.openxmlformats.org/officeDocument/2006/relationships/hyperlink" Target="https://www.sec.gov/Archives/edgar/data/0001501796/000119312521295543/d209588dex1012.htm" TargetMode="External"/><Relationship Id="rId212" Type="http://schemas.openxmlformats.org/officeDocument/2006/relationships/hyperlink" Target="https://www.sec.gov/Archives/edgar/data/0001501796/000119312521295543/d209588dex1013.htm" TargetMode="External"/><Relationship Id="rId213" Type="http://schemas.openxmlformats.org/officeDocument/2006/relationships/hyperlink" Target="https://www.sec.gov/Archives/edgar/data/0001501796/000119312521295543/d209588dex1014.htm" TargetMode="External"/><Relationship Id="rId214" Type="http://schemas.openxmlformats.org/officeDocument/2006/relationships/hyperlink" Target="https://www.sec.gov/Archives/edgar/data/1501796/000095017022016911/aura-ex10_1.htm" TargetMode="External"/><Relationship Id="rId215" Type="http://schemas.openxmlformats.org/officeDocument/2006/relationships/hyperlink" Target="https://www.sec.gov/Archives/edgar/data/1501796/000095017023062097/aura-ex10_1.htm" TargetMode="External"/><Relationship Id="rId216" Type="http://schemas.openxmlformats.org/officeDocument/2006/relationships/hyperlink" Target="https://www.sec.gov/Archives/edgar/data/1501796/000095017023062097/aura-ex10_3.htm" TargetMode="External"/><Relationship Id="rId217" Type="http://schemas.openxmlformats.org/officeDocument/2006/relationships/hyperlink" Target="https://www.sec.gov/Archives/edgar/data/1501796/000095017023062097/aura-ex10_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2024-03-27T06:21:45Z</dcterms:created>
  <dcterms:modified xsi:type="dcterms:W3CDTF">2024-03-27T06:21:45Z</dcterms:modified>
</cp:coreProperties>
</file>