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12026_090933.xml.htm"/>
      <w:bookmarkStart w:id="1" w:name="ksform409012026_0909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Kratz Erica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Aura Biosciences, Inc.</w:t>
              </w:r>
            </w:hyperlink>
            <w:r>
              <w:rPr/>
              <w:t xml:space="preserve"> [ </w:t>
            </w:r>
            <w:r>
              <w:rPr>
                <w:rFonts w:ascii="Times;serif" w:hAnsi="Times;serif"/>
                <w:color w:val="0000FF"/>
                <w:sz w:val="24"/>
                <w:shd w:fill="FFFFFF" w:val="clear"/>
              </w:rPr>
              <w:t>AURA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Reg. &amp; Quality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100,885</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100,885</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199,115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199,115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199,115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an inducement award granted pursuant to a restricted stock unit ("RSU") award agreement with the Issuer. Each RSU represents the right to receive one share of the Issuer's Common Stock. These RSUs vest in four substantially equal annual installments, subject to the Reporting Person's continued service as of the relevant vesting date, with the first tranche scheduled to vest on September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shall vest as follows: 25% of the options vest on August 10, 2027 with the remainder vesting thereafter pro-rata in 36 monthly installments, subject to the Reporting Person's continued service as of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Elazzouzi,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0" w:after="0"/>
        <w:ind w:left="0" w:right="0" w:hanging="0"/>
        <w:jc w:val="center"/>
        <w:rPr>
          <w:b/>
          <w:sz w:val="21"/>
        </w:rPr>
      </w:pPr>
      <w:bookmarkStart w:id="2" w:name="ex24-09012026_090936.htm"/>
      <w:bookmarkStart w:id="3" w:name="ksex2409012026_090936"/>
      <w:bookmarkEnd w:id="2"/>
      <w:bookmarkEnd w:id="3"/>
      <w:r>
        <w:rPr>
          <w:b/>
          <w:sz w:val="21"/>
        </w:rPr>
        <w:t>POWER OF ATTORNEY</w:t>
      </w:r>
      <w:r>
        <w:br w:type="page"/>
      </w:r>
    </w:p>
    <w:p>
      <w:pPr>
        <w:pStyle w:val="TextBody"/>
        <w:bidi w:val="0"/>
        <w:spacing w:before="0" w:after="0"/>
        <w:ind w:left="0" w:right="0" w:hanging="0"/>
        <w:jc w:val="center"/>
        <w:rPr/>
      </w:pPr>
      <w:r>
        <w:rPr/>
      </w:r>
    </w:p>
    <w:p>
      <w:pPr>
        <w:pStyle w:val="TextBody"/>
        <w:bidi w:val="0"/>
        <w:spacing w:before="0" w:after="0"/>
        <w:ind w:left="0" w:right="0" w:firstLine="720"/>
        <w:jc w:val="both"/>
        <w:rPr>
          <w:sz w:val="21"/>
        </w:rPr>
      </w:pPr>
      <w:r>
        <w:rPr>
          <w:sz w:val="21"/>
        </w:rPr>
        <w:t>Know all by these present, that I, the undersigned director and/or officer of Aura Biosciences, Inc., a Delaware corporation (the “</w:t>
      </w:r>
      <w:r>
        <w:rPr>
          <w:b/>
          <w:i/>
          <w:sz w:val="21"/>
        </w:rPr>
        <w:t>Company</w:t>
      </w:r>
      <w:r>
        <w:rPr>
          <w:sz w:val="21"/>
        </w:rPr>
        <w:t>”), hereby constitute and appoint Amy Elazzouzi and Daniel Grassi, as long as such individual is providing services to the Company, as my true and lawful attorney-in-fact and agent, with full power to act, together or each without the other, with full power of substitution and resubstitution, for me and in my name, place and stead, in any and all capacities:</w: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w:t>
      </w:r>
      <w:r>
        <w:rPr>
          <w:b/>
          <w:i/>
          <w:sz w:val="21"/>
        </w:rPr>
        <w:t>SEC</w:t>
      </w:r>
      <w:r>
        <w:rPr>
          <w:sz w:val="21"/>
        </w:rPr>
        <w:t>”) in accordance with Section 16(a) of the Securities Exchange Act of 1934, as amended (the “</w:t>
      </w:r>
      <w:r>
        <w:rPr>
          <w:b/>
          <w:i/>
          <w:sz w:val="21"/>
        </w:rPr>
        <w:t>Exchange Act</w:t>
      </w:r>
      <w:r>
        <w:rPr>
          <w:sz w:val="21"/>
        </w:rPr>
        <w:t>”), and the rules promulgated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53670"/>
                <wp:effectExtent l="0" t="0" r="0" b="0"/>
                <wp:wrapSquare wrapText="right"/>
                <wp:docPr id="5" name="Frame1"/>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execute as my attorney-in-fact and cause the filing for and on behalf of the undersigned any voluntary filings under Section 16(a) of the Exchange Act;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53670"/>
                <wp:effectExtent l="0" t="0" r="0" b="0"/>
                <wp:wrapSquare wrapText="right"/>
                <wp:docPr id="6" name="Frame2"/>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request electronic filing codes from the SEC by filing the Form ID or Amended Form ID (including any amendments thereto) and any other documents necessary or appropriate to obtain codes and credentials enabling the undersigned to file such reports electronically;</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53670"/>
                <wp:effectExtent l="0" t="0" r="0" b="0"/>
                <wp:wrapSquare wrapText="right"/>
                <wp:docPr id="7" name="Frame3"/>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prepare, file, and submit any documents or reports that may be required under SEC Rule 144 under the Securities Act of 1933, as amended (the “</w:t>
      </w:r>
      <w:r>
        <w:rPr>
          <w:b/>
          <w:i/>
          <w:sz w:val="21"/>
        </w:rPr>
        <w:t>Securities Act</w:t>
      </w:r>
      <w:r>
        <w:rPr>
          <w:sz w:val="21"/>
        </w:rPr>
        <w:t>”), including, without limitation, Notices of Proposed Sale of Securities Pursuant to Rule 144 (“</w:t>
      </w:r>
      <w:r>
        <w:rPr>
          <w:b/>
          <w:i/>
          <w:sz w:val="21"/>
        </w:rPr>
        <w:t>Form 144</w:t>
      </w:r>
      <w:r>
        <w:rPr>
          <w:sz w:val="21"/>
        </w:rPr>
        <w:t>”), to permit the undersigned to sell Company common stock without registration under the Securities Act in reliance on Rule 144 as amended from time to time; or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53670"/>
                <wp:effectExtent l="0" t="0" r="0" b="0"/>
                <wp:wrapSquare wrapText="right"/>
                <wp:docPr id="8" name="Frame4"/>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53670"/>
                <wp:effectExtent l="0" t="0" r="0" b="0"/>
                <wp:wrapSquare wrapText="right"/>
                <wp:docPr id="9" name="Frame5"/>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The undersigned acknowledges that the foregoing attorney-in-fact, in serving in such capacity at the request of the undersigned, are not assuming, nor is the Company assuming, any of the undersigned’s responsibilities to comply with Section 16(a) of the Exchange Act, Rule 144, or the Securities Act. The Company will use all reasonable efforts to apprise the undersigned of applicable filing requirements for purposes of Section 16(a) of the Exchange Act or the Securities Act.</w: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spacing w:before="0" w:after="0"/>
        <w:ind w:left="0" w:right="0" w:hanging="0"/>
        <w:jc w:val="both"/>
        <w:rPr/>
      </w:pPr>
      <w:r>
        <w:rPr/>
      </w:r>
    </w:p>
    <w:p>
      <w:pPr>
        <w:pStyle w:val="TextBody"/>
        <w:bidi w:val="0"/>
        <w:spacing w:before="0" w:after="0"/>
        <w:ind w:left="0" w:right="0" w:firstLine="720"/>
        <w:jc w:val="both"/>
        <w:rPr>
          <w:sz w:val="21"/>
        </w:rPr>
      </w:pPr>
      <w:r>
        <w:rPr>
          <w:sz w:val="21"/>
        </w:rPr>
        <w:t>IN WITNESS WHEREOF, the undersigned has caused this Power of Attorney to be executed as of this August 31, 2026.</w:t>
      </w:r>
    </w:p>
    <w:p>
      <w:pPr>
        <w:pStyle w:val="TextBody"/>
        <w:bidi w:val="0"/>
        <w:spacing w:before="0" w:after="0"/>
        <w:ind w:left="0" w:right="0" w:hanging="0"/>
        <w:jc w:val="both"/>
        <w:rPr/>
      </w:pPr>
      <w:r>
        <w:rPr/>
      </w:r>
    </w:p>
    <w:p>
      <w:pPr>
        <w:pStyle w:val="TextBody"/>
        <w:pBdr/>
        <w:bidi w:val="0"/>
        <w:spacing w:before="0" w:after="0"/>
        <w:ind w:left="0" w:right="0" w:hanging="0"/>
        <w:jc w:val="left"/>
        <w:rPr>
          <w:sz w:val="21"/>
          <w:u w:val="single"/>
        </w:rPr>
      </w:pPr>
      <w:r>
        <w:rPr>
          <w:sz w:val="21"/>
          <w:u w:val="single"/>
        </w:rPr>
        <w:t>/s/ Erica Kratz</w:t>
      </w:r>
    </w:p>
    <w:p>
      <w:pPr>
        <w:pStyle w:val="TextBody"/>
        <w:pBdr/>
        <w:bidi w:val="0"/>
        <w:spacing w:before="0" w:after="0"/>
        <w:ind w:left="0" w:right="0" w:hanging="0"/>
        <w:jc w:val="left"/>
        <w:rPr>
          <w:sz w:val="21"/>
        </w:rPr>
      </w:pPr>
      <w:r>
        <w:rPr>
          <w:sz w:val="21"/>
        </w:rPr>
        <w:t>Signature</w:t>
      </w:r>
    </w:p>
    <w:p>
      <w:pPr>
        <w:pStyle w:val="TextBody"/>
        <w:bidi w:val="0"/>
        <w:spacing w:before="0" w:after="0"/>
        <w:ind w:left="0" w:right="0" w:hanging="0"/>
        <w:jc w:val="left"/>
        <w:rPr/>
      </w:pPr>
      <w:r>
        <w:rPr/>
      </w:r>
    </w:p>
    <w:p>
      <w:pPr>
        <w:pStyle w:val="TextBody"/>
        <w:pBdr/>
        <w:bidi w:val="0"/>
        <w:spacing w:before="0" w:after="0"/>
        <w:ind w:left="0" w:right="0" w:hanging="30"/>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5248275" cy="153670"/>
                <wp:effectExtent l="0" t="0" r="0" b="0"/>
                <wp:wrapSquare wrapText="right"/>
                <wp:docPr id="10" name="Frame6"/>
                <a:graphic xmlns:a="http://schemas.openxmlformats.org/drawingml/2006/main">
                  <a:graphicData uri="http://schemas.microsoft.com/office/word/2010/wordprocessingShape">
                    <wps:wsp>
                      <wps:cNvSpPr txBox="1"/>
                      <wps:spPr>
                        <a:xfrm>
                          <a:off x="0" y="0"/>
                          <a:ext cx="5248275" cy="153670"/>
                        </a:xfrm>
                        <a:prstGeom prst="rect"/>
                        <a:solidFill>
                          <a:srgbClr val="FFFFFF"/>
                        </a:solidFill>
                      </wps:spPr>
                      <wps:txbx>
                        <w:txbxContent>
                          <w:p>
                            <w:pPr>
                              <w:pStyle w:val="TextBody"/>
                              <w:bidi w:val="0"/>
                              <w:spacing w:before="0" w:after="283"/>
                              <w:jc w:val="left"/>
                              <w:rPr>
                                <w:sz w:val="21"/>
                                <w:u w:val="single"/>
                              </w:rPr>
                            </w:pPr>
                            <w:r>
                              <w:rPr>
                                <w:sz w:val="21"/>
                                <w:u w:val="single"/>
                              </w:rPr>
                              <w:t>Erica Kratz, PhD</w:t>
                            </w:r>
                          </w:p>
                        </w:txbxContent>
                      </wps:txbx>
                      <wps:bodyPr anchor="t" lIns="0" tIns="0" rIns="0" bIns="0">
                        <a:noAutofit/>
                      </wps:bodyPr>
                    </wps:wsp>
                  </a:graphicData>
                </a:graphic>
              </wp:anchor>
            </w:drawing>
          </mc:Choice>
          <mc:Fallback>
            <w:pict>
              <v:rect style="position:absolute;rotation:-0;width:413.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u w:val="single"/>
                        </w:rPr>
                      </w:pPr>
                      <w:r>
                        <w:rPr>
                          <w:sz w:val="21"/>
                          <w:u w:val="single"/>
                        </w:rPr>
                        <w:t>Erica Kratz, PhD</w:t>
                      </w:r>
                    </w:p>
                  </w:txbxContent>
                </v:textbox>
                <w10:wrap type="square" side="right"/>
              </v:rect>
            </w:pict>
          </mc:Fallback>
        </mc:AlternateContent>
      </w:r>
    </w:p>
    <w:p>
      <w:pPr>
        <w:pStyle w:val="TextBody"/>
        <w:pBdr/>
        <w:bidi w:val="0"/>
        <w:spacing w:before="0" w:after="0"/>
        <w:ind w:left="0" w:right="0" w:hanging="0"/>
        <w:jc w:val="left"/>
        <w:rPr>
          <w:sz w:val="21"/>
        </w:rPr>
      </w:pPr>
      <w:r>
        <w:rPr>
          <w:sz w:val="21"/>
        </w:rPr>
        <w:t>Print Name</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785" TargetMode="External"/><Relationship Id="rId5" Type="http://schemas.openxmlformats.org/officeDocument/2006/relationships/hyperlink" Target="http://www.sec.gov/cgi-bin/browse-edgar?action=getcompany&amp;CIK=0001501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1263</Words>
  <Characters>6728</Characters>
  <CharactersWithSpaces>7892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