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1099820</wp:posOffset>
            </wp:positionH>
            <wp:positionV relativeFrom="page">
              <wp:posOffset>980440</wp:posOffset>
            </wp:positionV>
            <wp:extent cx="5349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997585</wp:posOffset>
            </wp:positionV>
            <wp:extent cx="5349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Proxy Statement Pursuant to Section 14(a) of the Securities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Exchange Act of 1934</w:t>
      </w:r>
    </w:p>
    <w:p>
      <w:pPr>
        <w:spacing w:after="0" w:line="150" w:lineRule="exact"/>
        <w:rPr>
          <w:sz w:val="24"/>
          <w:szCs w:val="24"/>
          <w:color w:val="auto"/>
        </w:rPr>
      </w:pPr>
    </w:p>
    <w:p>
      <w:pPr>
        <w:ind w:left="30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30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1000" w:hanging="708"/>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1000" w:hanging="708"/>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35" w:lineRule="exact"/>
        <w:rPr>
          <w:sz w:val="24"/>
          <w:szCs w:val="24"/>
          <w:color w:val="auto"/>
        </w:rPr>
      </w:pPr>
    </w:p>
    <w:p>
      <w:pPr>
        <w:ind w:left="1000" w:hanging="708"/>
        <w:spacing w:after="0"/>
        <w:tabs>
          <w:tab w:leader="none" w:pos="10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1" w:lineRule="exact"/>
        <w:rPr>
          <w:sz w:val="24"/>
          <w:szCs w:val="24"/>
          <w:color w:val="auto"/>
        </w:rPr>
      </w:pPr>
    </w:p>
    <w:p>
      <w:pPr>
        <w:ind w:left="1000" w:hanging="708"/>
        <w:spacing w:after="0"/>
        <w:tabs>
          <w:tab w:leader="none" w:pos="10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1000" w:hanging="708"/>
        <w:spacing w:after="0"/>
        <w:tabs>
          <w:tab w:leader="none" w:pos="10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AURA BIOSCIENCES, INC.</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1000" w:hanging="708"/>
        <w:spacing w:after="0"/>
        <w:tabs>
          <w:tab w:leader="none" w:pos="10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1000" w:hanging="708"/>
        <w:spacing w:after="0"/>
        <w:tabs>
          <w:tab w:leader="none" w:pos="10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1000" w:hanging="708"/>
        <w:spacing w:after="0"/>
        <w:tabs>
          <w:tab w:leader="none" w:pos="10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-658495</wp:posOffset>
            </wp:positionH>
            <wp:positionV relativeFrom="paragraph">
              <wp:posOffset>1040765</wp:posOffset>
            </wp:positionV>
            <wp:extent cx="70377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1186180</wp:posOffset>
            </wp:positionV>
            <wp:extent cx="175704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570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AURA BIOSCIENCES,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 Guest Street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 02135</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August 5, 2026</w:t>
      </w:r>
    </w:p>
    <w:p>
      <w:pPr>
        <w:spacing w:after="0" w:line="207" w:lineRule="exact"/>
        <w:rPr>
          <w:sz w:val="20"/>
          <w:szCs w:val="20"/>
          <w:color w:val="auto"/>
        </w:rPr>
      </w:pPr>
    </w:p>
    <w:p>
      <w:pPr>
        <w:ind w:left="300" w:right="359" w:firstLine="441"/>
        <w:spacing w:after="0" w:line="261"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or the Special Meeting, of Aura Biosciences, Inc., or the Company, will be held online on August 5, 2026 at 9:30 a.m. Eastern Time. You may attend the meeting virtually via the Internet at www.virtualshareholdermeeting.com/AURA2026SM for the purpose of considering and voting upon the following:</w:t>
      </w:r>
    </w:p>
    <w:p>
      <w:pPr>
        <w:spacing w:after="0" w:line="72" w:lineRule="exact"/>
        <w:rPr>
          <w:sz w:val="20"/>
          <w:szCs w:val="20"/>
          <w:color w:val="auto"/>
        </w:rPr>
      </w:pPr>
    </w:p>
    <w:p>
      <w:pPr>
        <w:ind w:left="1180" w:right="399" w:hanging="448"/>
        <w:spacing w:after="0" w:line="312" w:lineRule="auto"/>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Tenth Amended and Restated Certificate of Incorporation to increase the number of authorized shares of common stock from 150,000,000 to 500,000,000;</w:t>
      </w:r>
    </w:p>
    <w:p>
      <w:pPr>
        <w:spacing w:after="0" w:line="31" w:lineRule="exact"/>
        <w:rPr>
          <w:rFonts w:ascii="Times New Roman" w:cs="Times New Roman" w:eastAsia="Times New Roman" w:hAnsi="Times New Roman"/>
          <w:sz w:val="17"/>
          <w:szCs w:val="17"/>
          <w:color w:val="auto"/>
        </w:rPr>
      </w:pPr>
    </w:p>
    <w:p>
      <w:pPr>
        <w:ind w:left="1180" w:hanging="448"/>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Amendment No. 1 to the Company’s 2021 Stock Option and Incentive Plan; and</w:t>
      </w:r>
    </w:p>
    <w:p>
      <w:pPr>
        <w:spacing w:after="0" w:line="117" w:lineRule="exact"/>
        <w:rPr>
          <w:rFonts w:ascii="Times New Roman" w:cs="Times New Roman" w:eastAsia="Times New Roman" w:hAnsi="Times New Roman"/>
          <w:sz w:val="18"/>
          <w:szCs w:val="18"/>
          <w:color w:val="auto"/>
        </w:rPr>
      </w:pPr>
    </w:p>
    <w:p>
      <w:pPr>
        <w:ind w:left="1180" w:right="779" w:hanging="448"/>
        <w:spacing w:after="0" w:line="282"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properly brought before the Special Meeting or any adjournment or postponement of the Special Meeting.</w:t>
      </w:r>
    </w:p>
    <w:p>
      <w:pPr>
        <w:spacing w:after="0" w:line="162" w:lineRule="exact"/>
        <w:rPr>
          <w:sz w:val="20"/>
          <w:szCs w:val="20"/>
          <w:color w:val="auto"/>
        </w:rPr>
      </w:pPr>
    </w:p>
    <w:p>
      <w:pPr>
        <w:ind w:left="300" w:right="319" w:firstLine="441"/>
        <w:spacing w:after="0" w:line="282" w:lineRule="auto"/>
        <w:rPr>
          <w:sz w:val="20"/>
          <w:szCs w:val="20"/>
          <w:color w:val="auto"/>
        </w:rPr>
      </w:pPr>
      <w:r>
        <w:rPr>
          <w:rFonts w:ascii="Times New Roman" w:cs="Times New Roman" w:eastAsia="Times New Roman" w:hAnsi="Times New Roman"/>
          <w:sz w:val="18"/>
          <w:szCs w:val="18"/>
          <w:color w:val="auto"/>
        </w:rPr>
        <w:t>Only Aura Biosciences, Inc. stockholders of record at the close of business on June 12, 2026 will be entitled to vote at the Special Meeting and any adjournment or postponement thereof.</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proxy materials are first being mailed to our stockholders on or about June 29, 2026.</w:t>
      </w:r>
    </w:p>
    <w:p>
      <w:pPr>
        <w:spacing w:after="0" w:line="225" w:lineRule="exact"/>
        <w:rPr>
          <w:sz w:val="20"/>
          <w:szCs w:val="20"/>
          <w:color w:val="auto"/>
        </w:rPr>
      </w:pPr>
    </w:p>
    <w:p>
      <w:pPr>
        <w:ind w:left="300" w:right="639" w:firstLine="441"/>
        <w:spacing w:after="0" w:line="289" w:lineRule="auto"/>
        <w:rPr>
          <w:sz w:val="20"/>
          <w:szCs w:val="20"/>
          <w:color w:val="auto"/>
        </w:rPr>
      </w:pPr>
      <w:r>
        <w:rPr>
          <w:rFonts w:ascii="Times New Roman" w:cs="Times New Roman" w:eastAsia="Times New Roman" w:hAnsi="Times New Roman"/>
          <w:sz w:val="17"/>
          <w:szCs w:val="17"/>
          <w:color w:val="auto"/>
        </w:rPr>
        <w:t>Please see the “General Information” section of the proxy statement that accompanies this notice for more details regarding the logistics of the virtual Special Meeting, including the ability of stockholders to submit questions during the Special Meeting, and technical details and support related to accessing the virtual platform.</w:t>
      </w:r>
    </w:p>
    <w:p>
      <w:pPr>
        <w:spacing w:after="0" w:line="158" w:lineRule="exact"/>
        <w:rPr>
          <w:sz w:val="20"/>
          <w:szCs w:val="20"/>
          <w:color w:val="auto"/>
        </w:rPr>
      </w:pPr>
    </w:p>
    <w:p>
      <w:pPr>
        <w:ind w:left="300" w:right="379" w:firstLine="441"/>
        <w:spacing w:after="0" w:line="256" w:lineRule="auto"/>
        <w:rPr>
          <w:sz w:val="20"/>
          <w:szCs w:val="20"/>
          <w:color w:val="auto"/>
        </w:rPr>
      </w:pPr>
      <w:r>
        <w:rPr>
          <w:rFonts w:ascii="Times New Roman" w:cs="Times New Roman" w:eastAsia="Times New Roman" w:hAnsi="Times New Roman"/>
          <w:sz w:val="18"/>
          <w:szCs w:val="18"/>
          <w:color w:val="auto"/>
        </w:rPr>
        <w:t>Your vote is important. Whether or not you expect to attend the virtual meeting, it is important that your shares be represented. To ensure that your vote is recorded promptly, please vote as soon as possible, even if you plan to attend the meeting, by submitting your proxy via the Internet at the address listed on the proxy card, or by signing, dating and returning the proxy card. Even if you have voted by proxy, you may still vote at the virtual meeting. Please note, however, that if your shares are held through a broker, bank or other nominee and you wish to vote at the meeting, you must obtain a proxy issued in your name from that record holder.</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Natalie Holles</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Natalie Holles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Boston, MA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884555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4"/>
        </w:trPr>
        <w:tc>
          <w:tcPr>
            <w:tcW w:w="58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PROXY STATEMENT FOR THE SPECIAL MEETING OF STOCKHOLDERS</w:t>
            </w:r>
          </w:p>
        </w:tc>
        <w:tc>
          <w:tcPr>
            <w:tcW w:w="196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2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GENERAL INFORMATION</w:t>
            </w:r>
          </w:p>
        </w:tc>
        <w:tc>
          <w:tcPr>
            <w:tcW w:w="20" w:type="dxa"/>
            <w:vAlign w:val="bottom"/>
            <w:tcBorders>
              <w:bottom w:val="single" w:sz="8" w:color="0000EE"/>
            </w:tcBorders>
          </w:tcPr>
          <w:p>
            <w:pPr>
              <w:spacing w:after="0"/>
              <w:rPr>
                <w:sz w:val="24"/>
                <w:szCs w:val="24"/>
                <w:color w:val="auto"/>
              </w:rPr>
            </w:pPr>
          </w:p>
        </w:tc>
        <w:tc>
          <w:tcPr>
            <w:tcW w:w="5680" w:type="dxa"/>
            <w:vAlign w:val="bottom"/>
            <w:gridSpan w:val="12"/>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2"/>
        </w:trPr>
        <w:tc>
          <w:tcPr>
            <w:tcW w:w="7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PROPOSAL NO. 1 – APPROVAL OF AN AMENDMENT TO OUR TENTH AMENDED AND</w:t>
            </w:r>
          </w:p>
        </w:tc>
        <w:tc>
          <w:tcPr>
            <w:tcW w:w="580" w:type="dxa"/>
            <w:vAlign w:val="bottom"/>
          </w:tcPr>
          <w:p>
            <w:pPr>
              <w:spacing w:after="0"/>
              <w:rPr>
                <w:sz w:val="24"/>
                <w:szCs w:val="24"/>
                <w:color w:val="auto"/>
              </w:rPr>
            </w:pPr>
          </w:p>
        </w:tc>
      </w:tr>
      <w:tr>
        <w:trPr>
          <w:trHeight w:val="20"/>
        </w:trPr>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73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RESTATED CERTIFICATE OF INCORPORATION TO INCREASE AUTHORIZED SHARES OF</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78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COMMON STOCK FROM 150,000,000 TO 500,000,000</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78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PROPOSAL NO. 2 – APPROVAL OF AMENDMENT NO. 1 TO THE AURA BIOSCIENCES, INC. 2021</w:t>
            </w:r>
          </w:p>
        </w:tc>
        <w:tc>
          <w:tcPr>
            <w:tcW w:w="580" w:type="dxa"/>
            <w:vAlign w:val="bottom"/>
          </w:tcPr>
          <w:p>
            <w:pPr>
              <w:spacing w:after="0"/>
              <w:rPr>
                <w:sz w:val="24"/>
                <w:szCs w:val="24"/>
                <w:color w:val="auto"/>
              </w:rPr>
            </w:pPr>
          </w:p>
        </w:tc>
      </w:tr>
      <w:tr>
        <w:trPr>
          <w:trHeight w:val="196"/>
        </w:trPr>
        <w:tc>
          <w:tcPr>
            <w:tcW w:w="78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STOCK OPTION AND INCENTIVE PLAN</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7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NON-EMPLOYEE DIRECTOR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12"/>
        </w:trPr>
        <w:tc>
          <w:tcPr>
            <w:tcW w:w="24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1340" w:type="dxa"/>
            <w:vAlign w:val="bottom"/>
            <w:tcBorders>
              <w:top w:val="single" w:sz="8" w:color="0000FF"/>
            </w:tcBorders>
            <w:gridSpan w:val="2"/>
          </w:tcPr>
          <w:p>
            <w:pPr>
              <w:spacing w:after="0"/>
              <w:rPr>
                <w:sz w:val="24"/>
                <w:szCs w:val="24"/>
                <w:color w:val="auto"/>
              </w:rPr>
            </w:pPr>
          </w:p>
        </w:tc>
        <w:tc>
          <w:tcPr>
            <w:tcW w:w="404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2"/>
        </w:trPr>
        <w:tc>
          <w:tcPr>
            <w:tcW w:w="24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PRINCIPAL STOCKHOLDERS</w:t>
            </w:r>
          </w:p>
        </w:tc>
        <w:tc>
          <w:tcPr>
            <w:tcW w:w="5440" w:type="dxa"/>
            <w:vAlign w:val="bottom"/>
            <w:gridSpan w:val="10"/>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2"/>
        </w:trPr>
        <w:tc>
          <w:tcPr>
            <w:tcW w:w="1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HOUSEHOLDING</w:t>
            </w:r>
          </w:p>
        </w:tc>
        <w:tc>
          <w:tcPr>
            <w:tcW w:w="20" w:type="dxa"/>
            <w:vAlign w:val="bottom"/>
            <w:tcBorders>
              <w:bottom w:val="single" w:sz="8" w:color="0000EE"/>
            </w:tcBorders>
          </w:tcPr>
          <w:p>
            <w:pPr>
              <w:spacing w:after="0"/>
              <w:rPr>
                <w:sz w:val="24"/>
                <w:szCs w:val="24"/>
                <w:color w:val="auto"/>
              </w:rPr>
            </w:pPr>
          </w:p>
        </w:tc>
        <w:tc>
          <w:tcPr>
            <w:tcW w:w="6400" w:type="dxa"/>
            <w:vAlign w:val="bottom"/>
            <w:gridSpan w:val="17"/>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2"/>
        </w:trPr>
        <w:tc>
          <w:tcPr>
            <w:tcW w:w="23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STOCKHOLDER PROPOSALS</w:t>
            </w:r>
          </w:p>
        </w:tc>
        <w:tc>
          <w:tcPr>
            <w:tcW w:w="5460" w:type="dxa"/>
            <w:vAlign w:val="bottom"/>
            <w:gridSpan w:val="11"/>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2"/>
        </w:trPr>
        <w:tc>
          <w:tcPr>
            <w:tcW w:w="1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MATTERS</w:t>
            </w:r>
          </w:p>
        </w:tc>
        <w:tc>
          <w:tcPr>
            <w:tcW w:w="20" w:type="dxa"/>
            <w:vAlign w:val="bottom"/>
            <w:tcBorders>
              <w:bottom w:val="single" w:sz="8" w:color="0000EE"/>
            </w:tcBorders>
          </w:tcPr>
          <w:p>
            <w:pPr>
              <w:spacing w:after="0"/>
              <w:rPr>
                <w:sz w:val="24"/>
                <w:szCs w:val="24"/>
                <w:color w:val="auto"/>
              </w:rPr>
            </w:pPr>
          </w:p>
        </w:tc>
        <w:tc>
          <w:tcPr>
            <w:tcW w:w="6340" w:type="dxa"/>
            <w:vAlign w:val="bottom"/>
            <w:gridSpan w:val="15"/>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2"/>
        </w:trPr>
        <w:tc>
          <w:tcPr>
            <w:tcW w:w="33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w w:val="99"/>
              </w:rPr>
              <w:t>APPENDIX A – CHARTER AMENDMENT</w:t>
            </w:r>
          </w:p>
        </w:tc>
        <w:tc>
          <w:tcPr>
            <w:tcW w:w="4500" w:type="dxa"/>
            <w:vAlign w:val="bottom"/>
            <w:gridSpan w:val="8"/>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412"/>
        </w:trPr>
        <w:tc>
          <w:tcPr>
            <w:tcW w:w="48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w w:val="99"/>
              </w:rPr>
              <w:t>APPENDIX B – 2021 STOCK OPTION AND INCENTIVE PLAN</w:t>
            </w:r>
          </w:p>
        </w:tc>
        <w:tc>
          <w:tcPr>
            <w:tcW w:w="296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412"/>
        </w:trPr>
        <w:tc>
          <w:tcPr>
            <w:tcW w:w="72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FF"/>
                <w:w w:val="99"/>
              </w:rPr>
              <w:t>APPENDIX C – AMENDMENT NO. 1 TO THE 2021 STOCK OPTION AND INCENTIVE PLAN</w:t>
            </w:r>
          </w:p>
        </w:tc>
        <w:tc>
          <w:tcPr>
            <w:tcW w:w="58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1049020</wp:posOffset>
            </wp:positionV>
            <wp:extent cx="1757045"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570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AURA BIOSCIENCES,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 Guest Street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Boston, MA 02135</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AUGUST 5, 2026</w:t>
      </w:r>
    </w:p>
    <w:p>
      <w:pPr>
        <w:spacing w:after="0" w:line="229" w:lineRule="exact"/>
        <w:rPr>
          <w:sz w:val="20"/>
          <w:szCs w:val="20"/>
          <w:color w:val="auto"/>
        </w:rPr>
      </w:pPr>
    </w:p>
    <w:p>
      <w:pPr>
        <w:ind w:left="300" w:right="339" w:firstLine="441"/>
        <w:spacing w:after="0" w:line="254" w:lineRule="auto"/>
        <w:rPr>
          <w:sz w:val="20"/>
          <w:szCs w:val="20"/>
          <w:color w:val="auto"/>
        </w:rPr>
      </w:pPr>
      <w:r>
        <w:rPr>
          <w:rFonts w:ascii="Times New Roman" w:cs="Times New Roman" w:eastAsia="Times New Roman" w:hAnsi="Times New Roman"/>
          <w:sz w:val="18"/>
          <w:szCs w:val="18"/>
          <w:color w:val="auto"/>
        </w:rPr>
        <w:t>This proxy statement contains information about the Special Meeting of Stockholders, or the Special Meeting, of Aura Biosciences, Inc., which will be held online on August 5, 2026 at 9:30 a.m. Eastern Time. The Special Meeting will be held virtually. You may attend the Special Meeting virtually via the Internet at www.virtualshareholdermeeting.com/AURA2026SM, where you will be able to vote electronically and submit questions. You will need the 16-digit control number included with the proxy card in order to attend the Special Meeting. The board of directors of Aura Biosciences, Inc., or the Board of Directors, is using this proxy statement to solicit proxies for use at the Special Meeting. In this proxy statement, the terms “Aura,” “Aura Biosciences,” the “Company,” “we,” “us,” and “our” refer to Aura Biosciences, Inc. The mailing address of our principal executive offices is Aura Biosciences, Inc., 80 Guest Street, Boston, MA 02135.</w:t>
      </w:r>
    </w:p>
    <w:p>
      <w:pPr>
        <w:spacing w:after="0" w:line="188" w:lineRule="exact"/>
        <w:rPr>
          <w:sz w:val="20"/>
          <w:szCs w:val="20"/>
          <w:color w:val="auto"/>
        </w:rPr>
      </w:pPr>
    </w:p>
    <w:p>
      <w:pPr>
        <w:ind w:left="300" w:right="339" w:firstLine="441"/>
        <w:spacing w:after="0" w:line="258"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this proxy statement and the accompanying proxy card. You may revoke your proxy at any time before it is exercised at the meeting by giving our Corporate Secretary written notice to that effect.</w:t>
      </w:r>
    </w:p>
    <w:p>
      <w:pPr>
        <w:spacing w:after="0" w:line="179" w:lineRule="exact"/>
        <w:rPr>
          <w:sz w:val="20"/>
          <w:szCs w:val="20"/>
          <w:color w:val="auto"/>
        </w:rPr>
      </w:pPr>
    </w:p>
    <w:p>
      <w:pPr>
        <w:jc w:val="both"/>
        <w:ind w:left="1960" w:right="1939" w:hanging="58"/>
        <w:spacing w:after="0" w:line="317" w:lineRule="auto"/>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Special Meeting of Stockholders to be Held on August 5, 2026:</w:t>
      </w:r>
    </w:p>
    <w:p>
      <w:pPr>
        <w:spacing w:after="0" w:line="132" w:lineRule="exact"/>
        <w:rPr>
          <w:sz w:val="20"/>
          <w:szCs w:val="20"/>
          <w:color w:val="auto"/>
        </w:rPr>
      </w:pPr>
    </w:p>
    <w:p>
      <w:pPr>
        <w:jc w:val="center"/>
        <w:ind w:left="2120" w:right="160"/>
        <w:spacing w:after="0" w:line="268" w:lineRule="auto"/>
        <w:rPr>
          <w:sz w:val="20"/>
          <w:szCs w:val="20"/>
          <w:color w:val="auto"/>
        </w:rPr>
      </w:pPr>
      <w:r>
        <w:rPr>
          <w:rFonts w:ascii="Times New Roman" w:cs="Times New Roman" w:eastAsia="Times New Roman" w:hAnsi="Times New Roman"/>
          <w:sz w:val="18"/>
          <w:szCs w:val="18"/>
          <w:b w:val="1"/>
          <w:bCs w:val="1"/>
          <w:color w:val="auto"/>
        </w:rPr>
        <w:t>This proxy statement and accompanying materials are first being mailed to stockholders on or about June 29, 2026. This proxy statement is available for viewing, printing and downloading at www.ProxyVote.com.</w:t>
      </w:r>
    </w:p>
    <w:p>
      <w:pPr>
        <w:spacing w:after="0" w:line="198" w:lineRule="exact"/>
        <w:rPr>
          <w:sz w:val="20"/>
          <w:szCs w:val="20"/>
          <w:color w:val="auto"/>
        </w:rPr>
      </w:pPr>
    </w:p>
    <w:p>
      <w:pPr>
        <w:ind w:left="300" w:right="299"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copy of this proxy statement, as filed with the Securities and Exchange Commission, or the SEC, except for exhibits, will be furnished without charge to any stockholder upon written request to Aura Biosciences, Inc., 80 Guest Street, Boston, MA 02135, Attention: Corporate Secretary. This proxy statement is also available on the SEC’s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300" w:right="319" w:firstLine="441"/>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under applicable federal securities laws and therefore permitted to conform with certain reduced public company reporting requirements. As an emerging growth company, we provide in this proxy statement the scaled disclosure permitted under the Jumpstart Our Business Startups Act of 2012, or the JOBS Act, including the compensation disclosures required of a “smaller reporting company,” as that term is defined in Rule 12b-2 promulgated under the Securities Exchange Act of 1934, as amended, or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the last day of the fiscal year following the fifth anniversary of our initial public offering in November 2021; (ii) the last day of the fiscal year in which our total annual gross revenue is equal to or more than $1.235 billion; (iii) the date on which we have issued more than $1 billion in nonconvertible debt during the previous three years; or (iv) the date on which we are deemed to be a large accelerated filer under the rules of the Securities and Exchange Commission, or the SEC. Even after we are no longer an “emerging growth company,” we may remain a “smaller reporting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AURA BIOSCIENCES,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are you holding a virtual Special Meeting?</w:t>
      </w:r>
    </w:p>
    <w:p>
      <w:pPr>
        <w:spacing w:after="0" w:line="121" w:lineRule="exact"/>
        <w:rPr>
          <w:sz w:val="20"/>
          <w:szCs w:val="20"/>
          <w:color w:val="auto"/>
        </w:rPr>
      </w:pPr>
    </w:p>
    <w:p>
      <w:pPr>
        <w:ind w:left="300" w:right="479" w:firstLine="441"/>
        <w:spacing w:after="0" w:line="261" w:lineRule="auto"/>
        <w:rPr>
          <w:sz w:val="20"/>
          <w:szCs w:val="20"/>
          <w:color w:val="auto"/>
        </w:rPr>
      </w:pPr>
      <w:r>
        <w:rPr>
          <w:rFonts w:ascii="Times New Roman" w:cs="Times New Roman" w:eastAsia="Times New Roman" w:hAnsi="Times New Roman"/>
          <w:sz w:val="18"/>
          <w:szCs w:val="18"/>
          <w:color w:val="auto"/>
        </w:rPr>
        <w:t>We have implemented the virtual format in order to facilitate stockholder attendance at our Special Meeting. We have designed our virtual format to enhance, rather than constrain, stockholder access, participation and communication. For example, the virtual format allows stockholders to communicate with us in advance of, and during, the Special Meeting so they can ask questions of our Board of Directors or management.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and participate in the Special Meeting online?</w:t>
      </w:r>
    </w:p>
    <w:p>
      <w:pPr>
        <w:spacing w:after="0" w:line="121" w:lineRule="exact"/>
        <w:rPr>
          <w:sz w:val="20"/>
          <w:szCs w:val="20"/>
          <w:color w:val="auto"/>
        </w:rPr>
      </w:pPr>
    </w:p>
    <w:p>
      <w:pPr>
        <w:ind w:left="300" w:right="319" w:firstLine="441"/>
        <w:spacing w:after="0" w:line="258" w:lineRule="auto"/>
        <w:rPr>
          <w:sz w:val="20"/>
          <w:szCs w:val="20"/>
          <w:color w:val="auto"/>
        </w:rPr>
      </w:pPr>
      <w:r>
        <w:rPr>
          <w:rFonts w:ascii="Times New Roman" w:cs="Times New Roman" w:eastAsia="Times New Roman" w:hAnsi="Times New Roman"/>
          <w:sz w:val="18"/>
          <w:szCs w:val="18"/>
          <w:color w:val="auto"/>
        </w:rPr>
        <w:t>To attend and participate in the Special Meeting, stockholders will need to access the live audio webcast of the meeting. To do so, stockholders of record will need to visit www.virtualshareholdermeeting.com/AURA2026SM and use their control number provided in the proxy card being mailed to you to preregister to this website, and beneficial owners of shares held in street name will need to follow the same instructions. Registration will open 15 minutes prior to the meeting.</w:t>
      </w:r>
    </w:p>
    <w:p>
      <w:pPr>
        <w:spacing w:after="0" w:line="1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live audio webcast of the Special Meeting will begin promptly at 9:30 a.m. Eastern Time.</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get help if I have trouble checking in or listening to the meeting online?</w:t>
      </w:r>
    </w:p>
    <w:p>
      <w:pPr>
        <w:spacing w:after="0" w:line="121" w:lineRule="exact"/>
        <w:rPr>
          <w:sz w:val="20"/>
          <w:szCs w:val="20"/>
          <w:color w:val="auto"/>
        </w:rPr>
      </w:pPr>
    </w:p>
    <w:p>
      <w:pPr>
        <w:jc w:val="both"/>
        <w:ind w:left="300" w:right="759" w:firstLine="441"/>
        <w:spacing w:after="0" w:line="266" w:lineRule="auto"/>
        <w:rPr>
          <w:sz w:val="20"/>
          <w:szCs w:val="20"/>
          <w:color w:val="auto"/>
        </w:rPr>
      </w:pPr>
      <w:r>
        <w:rPr>
          <w:rFonts w:ascii="Times New Roman" w:cs="Times New Roman" w:eastAsia="Times New Roman" w:hAnsi="Times New Roman"/>
          <w:sz w:val="18"/>
          <w:szCs w:val="18"/>
          <w:color w:val="auto"/>
        </w:rPr>
        <w:t>There will be a support number available on the login page of the virtual meeting 15 minutes before the meeting begins for any stockholders having technical difficulties. The technical support line will not be able to provide control numbers, but will be able to assist with any technical issues.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left="300" w:right="539" w:firstLine="441"/>
        <w:spacing w:after="0" w:line="261" w:lineRule="auto"/>
        <w:rPr>
          <w:sz w:val="20"/>
          <w:szCs w:val="20"/>
          <w:color w:val="auto"/>
        </w:rPr>
      </w:pPr>
      <w:r>
        <w:rPr>
          <w:rFonts w:ascii="Times New Roman" w:cs="Times New Roman" w:eastAsia="Times New Roman" w:hAnsi="Times New Roman"/>
          <w:sz w:val="18"/>
          <w:szCs w:val="18"/>
          <w:color w:val="auto"/>
        </w:rPr>
        <w:t>Our proxy materials, including this proxy statement and the accompanying proxy card or, for shares held in street name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held for your account by a broker, bank or other nominee), and a voting instruction form, will be mailed to stockholders on or about June 29, 2026. This proxy statement is available for viewing, printing and downloading at www.ProxyVote.com.</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Board of Directors is soliciting your vote for the Special Meeting.</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is the record date for the Special Meeting?</w:t>
      </w:r>
    </w:p>
    <w:p>
      <w:pPr>
        <w:spacing w:after="0" w:line="121" w:lineRule="exact"/>
        <w:rPr>
          <w:sz w:val="20"/>
          <w:szCs w:val="20"/>
          <w:color w:val="auto"/>
        </w:rPr>
      </w:pPr>
    </w:p>
    <w:p>
      <w:pPr>
        <w:ind w:left="300" w:right="879" w:firstLine="441"/>
        <w:spacing w:after="0" w:line="282" w:lineRule="auto"/>
        <w:rPr>
          <w:sz w:val="20"/>
          <w:szCs w:val="20"/>
          <w:color w:val="auto"/>
        </w:rPr>
      </w:pPr>
      <w:r>
        <w:rPr>
          <w:rFonts w:ascii="Times New Roman" w:cs="Times New Roman" w:eastAsia="Times New Roman" w:hAnsi="Times New Roman"/>
          <w:sz w:val="18"/>
          <w:szCs w:val="18"/>
          <w:color w:val="auto"/>
        </w:rPr>
        <w:t>The record date for determination of stockholders entitled to vote at the Special Meeting is the close of business on June 12, 2026.</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can be cast by all stockholders?</w:t>
      </w:r>
    </w:p>
    <w:p>
      <w:pPr>
        <w:spacing w:after="0" w:line="121" w:lineRule="exact"/>
        <w:rPr>
          <w:sz w:val="20"/>
          <w:szCs w:val="20"/>
          <w:color w:val="auto"/>
        </w:rPr>
      </w:pPr>
    </w:p>
    <w:p>
      <w:pPr>
        <w:ind w:left="300" w:right="419" w:firstLine="441"/>
        <w:spacing w:after="0" w:line="256" w:lineRule="auto"/>
        <w:rPr>
          <w:sz w:val="20"/>
          <w:szCs w:val="20"/>
          <w:color w:val="auto"/>
        </w:rPr>
      </w:pPr>
      <w:r>
        <w:rPr>
          <w:rFonts w:ascii="Times New Roman" w:cs="Times New Roman" w:eastAsia="Times New Roman" w:hAnsi="Times New Roman"/>
          <w:sz w:val="18"/>
          <w:szCs w:val="18"/>
          <w:color w:val="auto"/>
        </w:rPr>
        <w:t>There were 103,436,416 shares of our common stock, par value $0.00001 per share, outstanding on June 12, 2026, all of which are entitled to vote with respect to all matters to be acted upon at the Special Meeting. Each stockholder of record is entitled to one vote for each share of our common stock held by such stockholder. As the stockholder of record, you have the right to grant your voting proxy directly to the individuals listed on the proxy card or vote on your own behalf at our virtual Special Meeting. No shares of preferred stock were outstanding as of June 12, 2026.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27" w:right="1440" w:bottom="1440" w:gutter="0" w:footer="0" w:header="0"/>
        </w:sectPr>
      </w:pPr>
    </w:p>
    <w:bookmarkStart w:id="5" w:name="page6"/>
    <w:bookmarkEnd w:id="5"/>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19" w:lineRule="exact"/>
        <w:rPr>
          <w:sz w:val="20"/>
          <w:szCs w:val="20"/>
          <w:color w:val="auto"/>
        </w:rPr>
      </w:pPr>
    </w:p>
    <w:p>
      <w:pPr>
        <w:ind w:left="300" w:right="399"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Registered Stockholders</w:t>
      </w:r>
      <w:r>
        <w:rPr>
          <w:rFonts w:ascii="Times New Roman" w:cs="Times New Roman" w:eastAsia="Times New Roman" w:hAnsi="Times New Roman"/>
          <w:sz w:val="18"/>
          <w:szCs w:val="18"/>
          <w:color w:val="auto"/>
        </w:rPr>
        <w:t>. If shares of our common stock are registered directly in your name with our transfer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you are considered the stockholder of record with respect to those shares. As the stockholder of record, you have the right to grant your voting proxy directly to the individuals listed on the proxy card or vote on your own behalf at our virtual Special Meeting. Throughout this proxy statement, we refer to these registered stockholders as “stockholders of record.”</w:t>
      </w:r>
    </w:p>
    <w:p>
      <w:pPr>
        <w:spacing w:after="0" w:line="197" w:lineRule="exact"/>
        <w:rPr>
          <w:sz w:val="20"/>
          <w:szCs w:val="20"/>
          <w:color w:val="auto"/>
        </w:rPr>
      </w:pPr>
    </w:p>
    <w:p>
      <w:pPr>
        <w:ind w:left="300" w:right="299"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shares of our common stock are held on your behalf in a brokerage account or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bank or other nominee, you are considered 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virtual Special Meeting. However, since a beneficial owner is not the stockholder of record, you may not vote your shares of our common stock on your own behalf at the Special Meeting unless you follow your broker’s procedures for obtaining a legal proxy. Note you should also be receiving a voting instruction form for you to use from your broker. Throughout this proxy statement, we refer to stockholders who hold their shares through a broker, bank or other nominee as “street name stockholders.”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If you are a stockholder of record, there are four ways to vote:</w:t>
      </w:r>
    </w:p>
    <w:p>
      <w:pPr>
        <w:spacing w:after="0" w:line="113" w:lineRule="exact"/>
        <w:rPr>
          <w:sz w:val="20"/>
          <w:szCs w:val="20"/>
          <w:color w:val="auto"/>
        </w:rPr>
      </w:pPr>
    </w:p>
    <w:p>
      <w:pPr>
        <w:ind w:left="1180" w:right="419" w:hanging="448"/>
        <w:spacing w:after="0" w:line="262" w:lineRule="auto"/>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Internet</w:t>
      </w:r>
      <w:r>
        <w:rPr>
          <w:rFonts w:ascii="Times New Roman" w:cs="Times New Roman" w:eastAsia="Times New Roman" w:hAnsi="Times New Roman"/>
          <w:sz w:val="18"/>
          <w:szCs w:val="18"/>
          <w:color w:val="auto"/>
        </w:rPr>
        <w:t>. You may vote at www.ProxyVote.com, 24 hours a day, seven days a week. Use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Internet to transmit your voting instructions and for electronic delivery of information up until 11:59 p.m. Eastern Time the day before the meeting date. You will need the control number included on your proxy card.</w:t>
      </w:r>
    </w:p>
    <w:p>
      <w:pPr>
        <w:spacing w:after="0" w:line="68" w:lineRule="exact"/>
        <w:rPr>
          <w:rFonts w:ascii="Times New Roman" w:cs="Times New Roman" w:eastAsia="Times New Roman" w:hAnsi="Times New Roman"/>
          <w:sz w:val="18"/>
          <w:szCs w:val="18"/>
          <w:color w:val="auto"/>
        </w:rPr>
      </w:pPr>
    </w:p>
    <w:p>
      <w:pPr>
        <w:ind w:left="1180" w:right="579" w:hanging="448"/>
        <w:spacing w:after="0" w:line="268" w:lineRule="auto"/>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During the Special Meeting</w:t>
      </w:r>
      <w:r>
        <w:rPr>
          <w:rFonts w:ascii="Times New Roman" w:cs="Times New Roman" w:eastAsia="Times New Roman" w:hAnsi="Times New Roman"/>
          <w:sz w:val="18"/>
          <w:szCs w:val="18"/>
          <w:color w:val="auto"/>
        </w:rPr>
        <w:t>. You may vote during the Special Meeting by going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www.virtualshareholdermeeting.com/AURA2026SM. You will need the control number included on your proxy card.</w:t>
      </w:r>
    </w:p>
    <w:p>
      <w:pPr>
        <w:spacing w:after="0" w:line="62" w:lineRule="exact"/>
        <w:rPr>
          <w:rFonts w:ascii="Times New Roman" w:cs="Times New Roman" w:eastAsia="Times New Roman" w:hAnsi="Times New Roman"/>
          <w:sz w:val="18"/>
          <w:szCs w:val="18"/>
          <w:color w:val="auto"/>
        </w:rPr>
      </w:pPr>
    </w:p>
    <w:p>
      <w:pPr>
        <w:ind w:left="1180" w:right="419" w:hanging="448"/>
        <w:spacing w:after="0" w:line="262" w:lineRule="auto"/>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Telephone</w:t>
      </w:r>
      <w:r>
        <w:rPr>
          <w:rFonts w:ascii="Times New Roman" w:cs="Times New Roman" w:eastAsia="Times New Roman" w:hAnsi="Times New Roman"/>
          <w:sz w:val="18"/>
          <w:szCs w:val="18"/>
          <w:color w:val="auto"/>
        </w:rPr>
        <w:t>. You may vote using a touch-tone telephone by calling 1-800-690-6903, 24 hours a day,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seven days a week. Use any touch-tone telephone to transmit your voting instructions up until 11:59 p.m. Eastern Time the day before the meeting date. You will need the control number included on your proxy card.</w:t>
      </w:r>
    </w:p>
    <w:p>
      <w:pPr>
        <w:spacing w:after="0" w:line="68" w:lineRule="exact"/>
        <w:rPr>
          <w:rFonts w:ascii="Times New Roman" w:cs="Times New Roman" w:eastAsia="Times New Roman" w:hAnsi="Times New Roman"/>
          <w:sz w:val="18"/>
          <w:szCs w:val="18"/>
          <w:color w:val="auto"/>
        </w:rPr>
      </w:pPr>
    </w:p>
    <w:p>
      <w:pPr>
        <w:jc w:val="both"/>
        <w:ind w:left="1180" w:right="619" w:hanging="448"/>
        <w:spacing w:after="0" w:line="268" w:lineRule="auto"/>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Mail</w:t>
      </w:r>
      <w:r>
        <w:rPr>
          <w:rFonts w:ascii="Times New Roman" w:cs="Times New Roman" w:eastAsia="Times New Roman" w:hAnsi="Times New Roman"/>
          <w:sz w:val="18"/>
          <w:szCs w:val="18"/>
          <w:color w:val="auto"/>
        </w:rPr>
        <w:t>. You may vote by completing and mailing your proxy card. Mark, sign and date your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 and return it in the postage-paid envelope we have provided or return it to Vote Processing, c/o Broadridge, 51 Mercedes Way, Edgewood, NY 11717.</w:t>
      </w:r>
    </w:p>
    <w:p>
      <w:pPr>
        <w:spacing w:after="0" w:line="175" w:lineRule="exact"/>
        <w:rPr>
          <w:sz w:val="20"/>
          <w:szCs w:val="20"/>
          <w:color w:val="auto"/>
        </w:rPr>
      </w:pPr>
    </w:p>
    <w:p>
      <w:pPr>
        <w:ind w:left="300" w:right="499" w:firstLine="441"/>
        <w:spacing w:after="0" w:line="282" w:lineRule="auto"/>
        <w:rPr>
          <w:sz w:val="20"/>
          <w:szCs w:val="20"/>
          <w:color w:val="auto"/>
        </w:rPr>
      </w:pPr>
      <w:r>
        <w:rPr>
          <w:rFonts w:ascii="Times New Roman" w:cs="Times New Roman" w:eastAsia="Times New Roman" w:hAnsi="Times New Roman"/>
          <w:sz w:val="18"/>
          <w:szCs w:val="18"/>
          <w:color w:val="auto"/>
        </w:rPr>
        <w:t>Even if you plan to participate in our virtual Special Meeting, we recommend that you also vote by proxy so that your vote will be counted if you later decide not to participate in the Special Meeting.</w:t>
      </w:r>
    </w:p>
    <w:p>
      <w:pPr>
        <w:spacing w:after="0" w:line="162" w:lineRule="exact"/>
        <w:rPr>
          <w:sz w:val="20"/>
          <w:szCs w:val="20"/>
          <w:color w:val="auto"/>
        </w:rPr>
      </w:pPr>
    </w:p>
    <w:p>
      <w:pPr>
        <w:ind w:left="300" w:right="319" w:firstLine="441"/>
        <w:spacing w:after="0" w:line="255" w:lineRule="auto"/>
        <w:rPr>
          <w:sz w:val="20"/>
          <w:szCs w:val="20"/>
          <w:color w:val="auto"/>
        </w:rPr>
      </w:pPr>
      <w:r>
        <w:rPr>
          <w:rFonts w:ascii="Times New Roman" w:cs="Times New Roman" w:eastAsia="Times New Roman" w:hAnsi="Times New Roman"/>
          <w:sz w:val="18"/>
          <w:szCs w:val="18"/>
          <w:color w:val="auto"/>
        </w:rPr>
        <w:t>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or other nominee. As discussed above, if you are a street name stockholder, you may not vote your shares on your own behalf at the Special Meeting unless you obtain a legal proxy from your broker, bank or other nominee.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9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By Proxy</w:t>
      </w:r>
    </w:p>
    <w:p>
      <w:pPr>
        <w:spacing w:after="0" w:line="121" w:lineRule="exact"/>
        <w:rPr>
          <w:sz w:val="20"/>
          <w:szCs w:val="20"/>
          <w:color w:val="auto"/>
        </w:rPr>
      </w:pPr>
    </w:p>
    <w:p>
      <w:pPr>
        <w:ind w:left="300" w:right="719" w:firstLine="441"/>
        <w:spacing w:after="0" w:line="266" w:lineRule="auto"/>
        <w:rPr>
          <w:sz w:val="20"/>
          <w:szCs w:val="20"/>
          <w:color w:val="auto"/>
        </w:rPr>
      </w:pPr>
      <w:r>
        <w:rPr>
          <w:rFonts w:ascii="Times New Roman" w:cs="Times New Roman" w:eastAsia="Times New Roman" w:hAnsi="Times New Roman"/>
          <w:sz w:val="18"/>
          <w:szCs w:val="18"/>
          <w:color w:val="auto"/>
        </w:rPr>
        <w:t>If you will not be attending the Special Meeting, you may vote by proxy. You can vote by proxy over the Internet by following the instructions provided in the enclosed proxy card. Proxies submitted by mail must be received before the start of the Special Meeting.</w:t>
      </w:r>
    </w:p>
    <w:p>
      <w:pPr>
        <w:spacing w:after="0" w:line="176" w:lineRule="exact"/>
        <w:rPr>
          <w:sz w:val="20"/>
          <w:szCs w:val="20"/>
          <w:color w:val="auto"/>
        </w:rPr>
      </w:pPr>
    </w:p>
    <w:p>
      <w:pPr>
        <w:ind w:left="300" w:right="299" w:firstLine="441"/>
        <w:spacing w:after="0" w:line="254" w:lineRule="auto"/>
        <w:rPr>
          <w:sz w:val="20"/>
          <w:szCs w:val="20"/>
          <w:color w:val="auto"/>
        </w:rPr>
      </w:pPr>
      <w:r>
        <w:rPr>
          <w:rFonts w:ascii="Times New Roman" w:cs="Times New Roman" w:eastAsia="Times New Roman" w:hAnsi="Times New Roman"/>
          <w:sz w:val="18"/>
          <w:szCs w:val="18"/>
          <w:color w:val="auto"/>
        </w:rPr>
        <w:t>If you complete and timely submit your proxy before the Special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Special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188" w:lineRule="exact"/>
        <w:rPr>
          <w:sz w:val="20"/>
          <w:szCs w:val="20"/>
          <w:color w:val="auto"/>
        </w:rPr>
      </w:pPr>
    </w:p>
    <w:p>
      <w:pPr>
        <w:ind w:left="300" w:right="419" w:firstLine="441"/>
        <w:spacing w:after="0" w:line="258"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Special Meeting, including, among other things, consideration of a motion to adjourn the Special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Special Meeting.</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revoke my proxy?</w:t>
      </w:r>
    </w:p>
    <w:p>
      <w:pPr>
        <w:spacing w:after="0" w:line="121" w:lineRule="exact"/>
        <w:rPr>
          <w:sz w:val="20"/>
          <w:szCs w:val="20"/>
          <w:color w:val="auto"/>
        </w:rPr>
      </w:pPr>
    </w:p>
    <w:p>
      <w:pPr>
        <w:ind w:left="300" w:right="359" w:firstLine="441"/>
        <w:spacing w:after="0" w:line="254" w:lineRule="auto"/>
        <w:rPr>
          <w:sz w:val="20"/>
          <w:szCs w:val="20"/>
          <w:color w:val="auto"/>
        </w:rPr>
      </w:pPr>
      <w:r>
        <w:rPr>
          <w:rFonts w:ascii="Times New Roman" w:cs="Times New Roman" w:eastAsia="Times New Roman" w:hAnsi="Times New Roman"/>
          <w:sz w:val="18"/>
          <w:szCs w:val="18"/>
          <w:color w:val="auto"/>
        </w:rPr>
        <w:t>You may revoke your proxy by (1) entering a new vote by mail that we receive before the start of the Special Meeting or over the Internet or via telephone, (2) attending and voting at the Special Meeting online (although attendance at the Special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Special Meeting. Such written notice of revocation or subsequent proxy card should be sent to our principal executive offices at Aura Biosciences, Inc., 80 Guest Street, Boston, MA 02135, Attention: Corporate Secretary.</w:t>
      </w:r>
    </w:p>
    <w:p>
      <w:pPr>
        <w:spacing w:after="0" w:line="192" w:lineRule="exact"/>
        <w:rPr>
          <w:sz w:val="20"/>
          <w:szCs w:val="20"/>
          <w:color w:val="auto"/>
        </w:rPr>
      </w:pPr>
    </w:p>
    <w:p>
      <w:pPr>
        <w:ind w:left="300" w:right="719" w:firstLine="441"/>
        <w:spacing w:after="0" w:line="282" w:lineRule="auto"/>
        <w:rPr>
          <w:sz w:val="20"/>
          <w:szCs w:val="20"/>
          <w:color w:val="auto"/>
        </w:rPr>
      </w:pPr>
      <w:r>
        <w:rPr>
          <w:rFonts w:ascii="Times New Roman" w:cs="Times New Roman" w:eastAsia="Times New Roman" w:hAnsi="Times New Roman"/>
          <w:sz w:val="18"/>
          <w:szCs w:val="18"/>
          <w:color w:val="auto"/>
        </w:rPr>
        <w:t>If a broker, bank, or other nominee holds your shares, you must contact such broker, bank, or nominee in order to find out how to change your vote.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121" w:lineRule="exact"/>
        <w:rPr>
          <w:sz w:val="20"/>
          <w:szCs w:val="20"/>
          <w:color w:val="auto"/>
        </w:rPr>
      </w:pPr>
    </w:p>
    <w:p>
      <w:pPr>
        <w:ind w:left="300" w:right="579" w:firstLine="441"/>
        <w:spacing w:after="0" w:line="266" w:lineRule="auto"/>
        <w:rPr>
          <w:sz w:val="20"/>
          <w:szCs w:val="20"/>
          <w:color w:val="auto"/>
        </w:rPr>
      </w:pPr>
      <w:r>
        <w:rPr>
          <w:rFonts w:ascii="Times New Roman" w:cs="Times New Roman" w:eastAsia="Times New Roman" w:hAnsi="Times New Roman"/>
          <w:sz w:val="18"/>
          <w:szCs w:val="18"/>
          <w:color w:val="auto"/>
        </w:rPr>
        <w:t>Our Amended and Restated Bylaws, or bylaws, provide that a majority of the outstanding shares entitled to vote, present in person or represented by proxy, will constitute a quorum for the transaction of business at the Special Meeting.</w:t>
      </w:r>
    </w:p>
    <w:p>
      <w:pPr>
        <w:spacing w:after="0" w:line="176" w:lineRule="exact"/>
        <w:rPr>
          <w:sz w:val="20"/>
          <w:szCs w:val="20"/>
          <w:color w:val="auto"/>
        </w:rPr>
      </w:pPr>
    </w:p>
    <w:p>
      <w:pPr>
        <w:ind w:left="300" w:right="359" w:firstLine="441"/>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or the DGCL, shares that are voted “abstain” and broker “non-votes” (as discussed below) are counted as present for purposes of determining whether a quorum is present at the Special Meeting. If a quorum is not present, the meeting may be adjourned until a quorum is obtained.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is the vote counted?</w:t>
      </w:r>
    </w:p>
    <w:p>
      <w:pPr>
        <w:spacing w:after="0" w:line="121" w:lineRule="exact"/>
        <w:rPr>
          <w:sz w:val="20"/>
          <w:szCs w:val="20"/>
          <w:color w:val="auto"/>
        </w:rPr>
      </w:pPr>
    </w:p>
    <w:p>
      <w:pPr>
        <w:ind w:left="300" w:right="399" w:firstLine="441"/>
        <w:spacing w:after="0" w:line="266" w:lineRule="auto"/>
        <w:rPr>
          <w:sz w:val="20"/>
          <w:szCs w:val="20"/>
          <w:color w:val="auto"/>
        </w:rPr>
      </w:pPr>
      <w:r>
        <w:rPr>
          <w:rFonts w:ascii="Times New Roman" w:cs="Times New Roman" w:eastAsia="Times New Roman" w:hAnsi="Times New Roman"/>
          <w:sz w:val="18"/>
          <w:szCs w:val="18"/>
          <w:color w:val="auto"/>
        </w:rPr>
        <w:t>Under our bylaws, any proposal other than an election of directors is decided by a majority of the votes properly cast for and against such proposal, except where a larger vote is required by law or by our Tenth Amended and Restated Certificate of Incorporation, as amended, or certificate of incorporation, or bylaws.</w:t>
      </w:r>
    </w:p>
    <w:p>
      <w:pPr>
        <w:spacing w:after="0" w:line="176" w:lineRule="exact"/>
        <w:rPr>
          <w:sz w:val="20"/>
          <w:szCs w:val="20"/>
          <w:color w:val="auto"/>
        </w:rPr>
      </w:pPr>
    </w:p>
    <w:p>
      <w:pPr>
        <w:ind w:left="300" w:right="299" w:firstLine="441"/>
        <w:spacing w:after="0" w:line="255" w:lineRule="auto"/>
        <w:rPr>
          <w:sz w:val="20"/>
          <w:szCs w:val="20"/>
          <w:color w:val="auto"/>
        </w:rPr>
      </w:pPr>
      <w:r>
        <w:rPr>
          <w:rFonts w:ascii="Times New Roman" w:cs="Times New Roman" w:eastAsia="Times New Roman" w:hAnsi="Times New Roman"/>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“routine” items, but will not be allowed to vote your shares with respect to “non-routine” items. A broker “non-vote” typically occurs when non-routine proposals are presented and a nominee holding shares for a beneficial owner does not vote on a particular proposal because the nominee does not have discretionary voting power with respect to that item and has not received instructions from the beneficial owner.</w:t>
      </w:r>
    </w:p>
    <w:p>
      <w:pPr>
        <w:spacing w:after="0" w:line="189" w:lineRule="exact"/>
        <w:rPr>
          <w:sz w:val="20"/>
          <w:szCs w:val="20"/>
          <w:color w:val="auto"/>
        </w:rPr>
      </w:pPr>
    </w:p>
    <w:p>
      <w:pPr>
        <w:jc w:val="both"/>
        <w:ind w:left="300" w:right="679" w:firstLine="441"/>
        <w:spacing w:after="0" w:line="266" w:lineRule="auto"/>
        <w:rPr>
          <w:sz w:val="20"/>
          <w:szCs w:val="20"/>
          <w:color w:val="auto"/>
        </w:rPr>
      </w:pPr>
      <w:r>
        <w:rPr>
          <w:rFonts w:ascii="Times New Roman" w:cs="Times New Roman" w:eastAsia="Times New Roman" w:hAnsi="Times New Roman"/>
          <w:sz w:val="18"/>
          <w:szCs w:val="18"/>
          <w:color w:val="auto"/>
        </w:rPr>
        <w:t>Proposal No. 1 is a “routine” item. Therefore, if you do not return voting instructions to your broker, your shares may be voted by your broker in its discretion on Proposal No. 1. If all brokers exercise this discretionary authority, then no broker non-votes are expected to exist in connection with Proposal No. 1.</w:t>
      </w:r>
    </w:p>
    <w:p>
      <w:pPr>
        <w:spacing w:after="0" w:line="176" w:lineRule="exact"/>
        <w:rPr>
          <w:sz w:val="20"/>
          <w:szCs w:val="20"/>
          <w:color w:val="auto"/>
        </w:rPr>
      </w:pPr>
    </w:p>
    <w:p>
      <w:pPr>
        <w:ind w:left="300" w:right="419" w:firstLine="441"/>
        <w:spacing w:after="0" w:line="266" w:lineRule="auto"/>
        <w:rPr>
          <w:sz w:val="20"/>
          <w:szCs w:val="20"/>
          <w:color w:val="auto"/>
        </w:rPr>
      </w:pPr>
      <w:r>
        <w:rPr>
          <w:rFonts w:ascii="Times New Roman" w:cs="Times New Roman" w:eastAsia="Times New Roman" w:hAnsi="Times New Roman"/>
          <w:sz w:val="18"/>
          <w:szCs w:val="18"/>
          <w:color w:val="auto"/>
        </w:rPr>
        <w:t>Proposal No. 2 is a “non-routine” item. Therefore, if you do not instruct your broker how to vote with respect to Proposal No. 2, your broker may not vote on that proposal, and those shares will be counted as broker “non-votes.”</w:t>
      </w:r>
    </w:p>
    <w:p>
      <w:pPr>
        <w:spacing w:after="0" w:line="176" w:lineRule="exact"/>
        <w:rPr>
          <w:sz w:val="20"/>
          <w:szCs w:val="20"/>
          <w:color w:val="auto"/>
        </w:rPr>
      </w:pPr>
    </w:p>
    <w:p>
      <w:pPr>
        <w:jc w:val="both"/>
        <w:ind w:left="300" w:right="559" w:firstLine="441"/>
        <w:spacing w:after="0" w:line="261" w:lineRule="auto"/>
        <w:rPr>
          <w:sz w:val="20"/>
          <w:szCs w:val="20"/>
          <w:color w:val="auto"/>
        </w:rPr>
      </w:pPr>
      <w:r>
        <w:rPr>
          <w:rFonts w:ascii="Times New Roman" w:cs="Times New Roman" w:eastAsia="Times New Roman" w:hAnsi="Times New Roman"/>
          <w:sz w:val="18"/>
          <w:szCs w:val="18"/>
          <w:color w:val="auto"/>
        </w:rPr>
        <w:t>To approve an amendment to our certificate of incorporation to increase the number of authorized shares of common stock from 150,000,000 to 500,000,000, the votes cast “For” Proposal No. 1 must exceed the votes cast “Against” Proposal No. 1. Abstentions and broker non-votes, if any, are not considered votes cast and, therefore, will have no effect on the vote on Proposal No. 1.</w:t>
      </w:r>
    </w:p>
    <w:p>
      <w:pPr>
        <w:spacing w:after="0" w:line="180" w:lineRule="exact"/>
        <w:rPr>
          <w:sz w:val="20"/>
          <w:szCs w:val="20"/>
          <w:color w:val="auto"/>
        </w:rPr>
      </w:pPr>
    </w:p>
    <w:p>
      <w:pPr>
        <w:ind w:left="300" w:right="299" w:firstLine="441"/>
        <w:spacing w:after="0" w:line="266" w:lineRule="auto"/>
        <w:rPr>
          <w:sz w:val="20"/>
          <w:szCs w:val="20"/>
          <w:color w:val="auto"/>
        </w:rPr>
      </w:pPr>
      <w:r>
        <w:rPr>
          <w:rFonts w:ascii="Times New Roman" w:cs="Times New Roman" w:eastAsia="Times New Roman" w:hAnsi="Times New Roman"/>
          <w:sz w:val="18"/>
          <w:szCs w:val="18"/>
          <w:color w:val="auto"/>
        </w:rPr>
        <w:t>To approve Amendment No. 1 to the 2021 Stock Option and Incentive Plan, Proposal No. 2 must receive “For” votes from a majority of the votes properly cast “For” and “Against” such matter. Abstentions and broker non-votes, if any, are not considered votes cast and, therefore, will have no effect on the vote on Proposal No. 2.</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121" w:lineRule="exact"/>
        <w:rPr>
          <w:sz w:val="20"/>
          <w:szCs w:val="20"/>
          <w:color w:val="auto"/>
        </w:rPr>
      </w:pPr>
    </w:p>
    <w:p>
      <w:pPr>
        <w:ind w:left="300" w:right="299" w:firstLine="441"/>
        <w:spacing w:after="0" w:line="256" w:lineRule="auto"/>
        <w:rPr>
          <w:sz w:val="20"/>
          <w:szCs w:val="20"/>
          <w:color w:val="auto"/>
        </w:rPr>
      </w:pPr>
      <w:r>
        <w:rPr>
          <w:rFonts w:ascii="Times New Roman" w:cs="Times New Roman" w:eastAsia="Times New Roman" w:hAnsi="Times New Roman"/>
          <w:sz w:val="18"/>
          <w:szCs w:val="18"/>
          <w:color w:val="auto"/>
        </w:rPr>
        <w:t>We are making this solicitation and will pay the entire cost of preparing and distributing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Special Meeting?</w:t>
      </w:r>
    </w:p>
    <w:p>
      <w:pPr>
        <w:spacing w:after="0" w:line="121" w:lineRule="exact"/>
        <w:rPr>
          <w:sz w:val="20"/>
          <w:szCs w:val="20"/>
          <w:color w:val="auto"/>
        </w:rPr>
      </w:pPr>
    </w:p>
    <w:p>
      <w:pPr>
        <w:ind w:left="300" w:right="379" w:firstLine="441"/>
        <w:spacing w:after="0" w:line="258" w:lineRule="auto"/>
        <w:rPr>
          <w:sz w:val="20"/>
          <w:szCs w:val="20"/>
          <w:color w:val="auto"/>
        </w:rPr>
      </w:pPr>
      <w:r>
        <w:rPr>
          <w:rFonts w:ascii="Times New Roman" w:cs="Times New Roman" w:eastAsia="Times New Roman" w:hAnsi="Times New Roman"/>
          <w:sz w:val="18"/>
          <w:szCs w:val="18"/>
          <w:color w:val="auto"/>
        </w:rPr>
        <w:t>We plan to announce preliminary voting results at the Special Meeting. Final voting results will be published in a Current Report on Form 8-K, or Form 8-K, that we expect to file with the SEC within four business days after the Special Meeting. If final voting results are not available to us in time to file a Form 8-K within four business days after the Special Meeting, we intend to file a Form 8-K to publish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PROPOSAL NO. 1 - APPROVAL OF AN AMENDMENT TO OUR TENTH AMENDED AND RESTATED CERTIFICATE OF INCORPORATION TO INCREASE AUTHORIZED SHARES OF COMMON STOCK FROM 150,000,000 TO 500,000,000</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and Reasons for the Proposed Charter Amendment</w:t>
      </w:r>
    </w:p>
    <w:p>
      <w:pPr>
        <w:spacing w:after="0" w:line="121" w:lineRule="exact"/>
        <w:rPr>
          <w:sz w:val="20"/>
          <w:szCs w:val="20"/>
          <w:color w:val="auto"/>
        </w:rPr>
      </w:pPr>
    </w:p>
    <w:p>
      <w:pPr>
        <w:ind w:left="300" w:right="439" w:firstLine="441"/>
        <w:spacing w:after="0" w:line="261" w:lineRule="auto"/>
        <w:rPr>
          <w:sz w:val="20"/>
          <w:szCs w:val="20"/>
          <w:color w:val="auto"/>
        </w:rPr>
      </w:pPr>
      <w:r>
        <w:rPr>
          <w:rFonts w:ascii="Times New Roman" w:cs="Times New Roman" w:eastAsia="Times New Roman" w:hAnsi="Times New Roman"/>
          <w:sz w:val="18"/>
          <w:szCs w:val="18"/>
          <w:color w:val="auto"/>
        </w:rPr>
        <w:t>Aura’s stockholders are being asked to approve an amendment to the Company’s Tenth Amended and Restated Certificate of Incorporation to increase the authorized number of shares of common stock from 150,000,000 to 500,000,000. We refer to this proposed amendment to our Tenth Amended and Restated Certificate of Incorporation as the “Charter Amendment” in this proxy statement.</w:t>
      </w:r>
    </w:p>
    <w:p>
      <w:pPr>
        <w:spacing w:after="0" w:line="180" w:lineRule="exact"/>
        <w:rPr>
          <w:sz w:val="20"/>
          <w:szCs w:val="20"/>
          <w:color w:val="auto"/>
        </w:rPr>
      </w:pPr>
    </w:p>
    <w:p>
      <w:pPr>
        <w:ind w:left="300" w:right="359" w:firstLine="441"/>
        <w:spacing w:after="0" w:line="269" w:lineRule="auto"/>
        <w:rPr>
          <w:sz w:val="20"/>
          <w:szCs w:val="20"/>
          <w:color w:val="auto"/>
        </w:rPr>
      </w:pPr>
      <w:r>
        <w:rPr>
          <w:rFonts w:ascii="Times New Roman" w:cs="Times New Roman" w:eastAsia="Times New Roman" w:hAnsi="Times New Roman"/>
          <w:sz w:val="17"/>
          <w:szCs w:val="17"/>
          <w:color w:val="auto"/>
        </w:rPr>
        <w:t>Our Board of Directors believes that additional authorized shares of common stock would give us the necessary flexibility to issue shares for various corporate purposes, including, in particular, raising capital, and enable us to take timely advantage of market conditions and opportunities. Other corporate purposes for which the additional authorized shares could be used include, but are not limited to, potential strategic transactions, including mergers, acquisitions, and other business combinations; future grants and awards under equity compensation plans; stock splits and dividends; and other general corporate working capital needs. We currently do not have any specific plans, arrangements or understandings to issue additional shares of our common stock, except for (i) the issuance of shares of common stock pursuant to our equity incentive plans and (ii) potential issuances pursuant to our sales agreement with Jefferies LLC, through which we may offer and sell shares of our common stock from time to time in “at-the-market” offerings. Having additional authorized shares available will provide additional flexibility to use our common stock for business and financial purposes in the future as well as to have sufficient shares available to provide appropriate equity incentives for our employees. The additional shares may be used for various purposes without further stockholder approval, except as may be required in certain cases by law or the Nasdaq rules.</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As of June 1, 2026, our common stock share utilization was approximately as follows:</w:t>
      </w:r>
    </w:p>
    <w:p>
      <w:pPr>
        <w:spacing w:after="0" w:line="10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 Shares of</w:t>
            </w:r>
          </w:p>
        </w:tc>
        <w:tc>
          <w:tcPr>
            <w:tcW w:w="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gridSpan w:val="3"/>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w w:val="97"/>
              </w:rPr>
              <w:t>Common 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Authorized for issuance</w:t>
            </w:r>
          </w:p>
        </w:tc>
        <w:tc>
          <w:tcPr>
            <w:tcW w:w="19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150,000,000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w:t>
            </w: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103,397,416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Reserved for issuance</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Available for future grant under employee equity incentive plans</w:t>
            </w: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6,528,472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i w:val="1"/>
                <w:iCs w:val="1"/>
                <w:color w:val="auto"/>
              </w:rPr>
              <w:t>Outstanding awards under our employee equity incentive plans</w:t>
            </w:r>
          </w:p>
        </w:tc>
        <w:tc>
          <w:tcPr>
            <w:tcW w:w="19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10,949,361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Pre-funded warrants (unexercised)</w:t>
            </w: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7,371,435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i w:val="1"/>
                <w:iCs w:val="1"/>
                <w:color w:val="auto"/>
              </w:rPr>
              <w:t>Common stock warrants (unexercised)</w:t>
            </w:r>
          </w:p>
        </w:tc>
        <w:tc>
          <w:tcPr>
            <w:tcW w:w="19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3,801,750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Inducement awards</w:t>
            </w:r>
          </w:p>
        </w:tc>
        <w:tc>
          <w:tcPr>
            <w:tcW w:w="19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3,323,065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 usage (issued and outstanding + reserved for issuance)</w:t>
            </w:r>
          </w:p>
        </w:tc>
        <w:tc>
          <w:tcPr>
            <w:tcW w:w="19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135,371,499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issuance</w:t>
            </w:r>
          </w:p>
        </w:tc>
        <w:tc>
          <w:tcPr>
            <w:tcW w:w="1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31,974,083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 usage as a percent of authorized</w:t>
            </w:r>
          </w:p>
        </w:tc>
        <w:tc>
          <w:tcPr>
            <w:tcW w:w="208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00" w:right="319" w:firstLine="441"/>
        <w:spacing w:after="0" w:line="254" w:lineRule="auto"/>
        <w:rPr>
          <w:sz w:val="20"/>
          <w:szCs w:val="20"/>
          <w:color w:val="auto"/>
        </w:rPr>
      </w:pPr>
      <w:r>
        <w:rPr>
          <w:rFonts w:ascii="Times New Roman" w:cs="Times New Roman" w:eastAsia="Times New Roman" w:hAnsi="Times New Roman"/>
          <w:sz w:val="18"/>
          <w:szCs w:val="18"/>
          <w:color w:val="auto"/>
        </w:rPr>
        <w:t>Given the number of shares available for issuance as of the record date, our Board of Directors does not believe the currently available number of unissued shares of common stock is an adequate number of shares to assure that there will be sufficient shares available for issuance in connection with any possible future equity and equity-based financings, possible future awards under equity compensation plans, and other corporate purposes. Therefore, our Board of Directors has approved the above-described increase in our authorized shares of common stock as a means of providing us with the flexibility to act with respect to the issuance of common stock or securities exercisable for, or convertible into, common stock in circumstances which they believe will advance our interests and the interests of our stockholders. The failure to approve this proposal may prevent us from continuing to pursue effective strategies to access capital in the public and private markets.</w:t>
      </w:r>
    </w:p>
    <w:p>
      <w:pPr>
        <w:spacing w:after="0" w:line="188" w:lineRule="exact"/>
        <w:rPr>
          <w:sz w:val="20"/>
          <w:szCs w:val="20"/>
          <w:color w:val="auto"/>
        </w:rPr>
      </w:pPr>
    </w:p>
    <w:p>
      <w:pPr>
        <w:ind w:left="300" w:right="539" w:firstLine="441"/>
        <w:spacing w:after="0" w:line="266" w:lineRule="auto"/>
        <w:rPr>
          <w:sz w:val="20"/>
          <w:szCs w:val="20"/>
          <w:color w:val="auto"/>
        </w:rPr>
      </w:pPr>
      <w:r>
        <w:rPr>
          <w:rFonts w:ascii="Times New Roman" w:cs="Times New Roman" w:eastAsia="Times New Roman" w:hAnsi="Times New Roman"/>
          <w:sz w:val="18"/>
          <w:szCs w:val="18"/>
          <w:color w:val="auto"/>
        </w:rPr>
        <w:t>For the reasons stated above, our Board of Directors has unanimously determined that the proposed Charter Amendment is advisable and in the best interest of Aura and our stockholders, and authorized and approved the proposed Charter Amendment and directed that it be considered at the Special Meeting.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27" w:right="1440" w:bottom="1440" w:gutter="0" w:footer="0" w:header="0"/>
        </w:sectPr>
      </w:pPr>
    </w:p>
    <w:bookmarkStart w:id="9" w:name="page10"/>
    <w:bookmarkEnd w:id="9"/>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Form of the Amendment</w:t>
      </w:r>
    </w:p>
    <w:p>
      <w:pPr>
        <w:spacing w:after="0" w:line="229" w:lineRule="exact"/>
        <w:rPr>
          <w:sz w:val="20"/>
          <w:szCs w:val="20"/>
          <w:color w:val="auto"/>
        </w:rPr>
      </w:pPr>
    </w:p>
    <w:p>
      <w:pPr>
        <w:ind w:left="300" w:right="499" w:firstLine="441"/>
        <w:spacing w:after="0" w:line="256" w:lineRule="auto"/>
        <w:rPr>
          <w:sz w:val="20"/>
          <w:szCs w:val="20"/>
          <w:color w:val="auto"/>
        </w:rPr>
      </w:pPr>
      <w:r>
        <w:rPr>
          <w:rFonts w:ascii="Times New Roman" w:cs="Times New Roman" w:eastAsia="Times New Roman" w:hAnsi="Times New Roman"/>
          <w:sz w:val="18"/>
          <w:szCs w:val="18"/>
          <w:color w:val="auto"/>
        </w:rPr>
        <w:t>If the stockholders approve this proposal, our Tenth Amended and Restated Certificate of Incorporation will be amended to increase the number of shares of common stock the Company is authorized to issue from 150,000,000 shares to 500,000,000 shares. The par value of the common stock will remain at $0.00001 per share. There will be no change to the number of authorized shares of undesignated preferred stock. The Certificate of Amendment would amend the first paragraph of ARTICLE IV of the Tenth Amended and Restated Certificate of Incorporation in its entirety to read as follows:</w:t>
      </w:r>
    </w:p>
    <w:p>
      <w:pPr>
        <w:spacing w:after="0" w:line="187" w:lineRule="exact"/>
        <w:rPr>
          <w:sz w:val="20"/>
          <w:szCs w:val="20"/>
          <w:color w:val="auto"/>
        </w:rPr>
      </w:pPr>
    </w:p>
    <w:p>
      <w:pPr>
        <w:ind w:left="300" w:right="359" w:firstLine="441"/>
        <w:spacing w:after="0" w:line="258"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five hundred ten million (510,000,000), of which (i) five hundred million (500,000,000) shares shall be a class designated as common stock, par value $0.00001 per share (the “Common Stock”), and (ii) ten million (10,000,000) shares shall be a class designated as undesignated preferred stock, par value $0.00001 per share (the “Undesignated Preferred Stock”).”</w:t>
      </w:r>
    </w:p>
    <w:p>
      <w:pPr>
        <w:spacing w:after="0" w:line="183" w:lineRule="exact"/>
        <w:rPr>
          <w:sz w:val="20"/>
          <w:szCs w:val="20"/>
          <w:color w:val="auto"/>
        </w:rPr>
      </w:pPr>
    </w:p>
    <w:p>
      <w:pPr>
        <w:ind w:left="300" w:right="679" w:firstLine="441"/>
        <w:spacing w:after="0" w:line="282" w:lineRule="auto"/>
        <w:rPr>
          <w:sz w:val="20"/>
          <w:szCs w:val="20"/>
          <w:color w:val="auto"/>
        </w:rPr>
      </w:pPr>
      <w:r>
        <w:rPr>
          <w:rFonts w:ascii="Times New Roman" w:cs="Times New Roman" w:eastAsia="Times New Roman" w:hAnsi="Times New Roman"/>
          <w:sz w:val="18"/>
          <w:szCs w:val="18"/>
          <w:color w:val="auto"/>
        </w:rPr>
        <w:t>The remaining text of ARTICLE IV of our Tenth Amended and Restated Certificate of Incorporation will remain unchanged.</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Rights of Additional Authorized Shares</w:t>
      </w:r>
    </w:p>
    <w:p>
      <w:pPr>
        <w:spacing w:after="0" w:line="121" w:lineRule="exact"/>
        <w:rPr>
          <w:sz w:val="20"/>
          <w:szCs w:val="20"/>
          <w:color w:val="auto"/>
        </w:rPr>
      </w:pPr>
    </w:p>
    <w:p>
      <w:pPr>
        <w:ind w:left="300" w:right="399" w:firstLine="441"/>
        <w:spacing w:after="0" w:line="258" w:lineRule="auto"/>
        <w:rPr>
          <w:sz w:val="20"/>
          <w:szCs w:val="20"/>
          <w:color w:val="auto"/>
        </w:rPr>
      </w:pPr>
      <w:r>
        <w:rPr>
          <w:rFonts w:ascii="Times New Roman" w:cs="Times New Roman" w:eastAsia="Times New Roman" w:hAnsi="Times New Roman"/>
          <w:sz w:val="18"/>
          <w:szCs w:val="18"/>
          <w:color w:val="auto"/>
        </w:rPr>
        <w:t>The additional authorized shares of common stock, if and when issued, would be part of our existing class of common stock and would have the same rights and privileges as the shares of common stock currently outstanding. The Company’s stockholders do not have preemptive rights with respect to the common stock. Accordingly, should our Board of Directors elect to issue additional shares of common stock, existing stockholders would not have any preferential rights to purchase the shares.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Adverse Effects of the Amendment</w:t>
      </w:r>
    </w:p>
    <w:p>
      <w:pPr>
        <w:spacing w:after="0" w:line="121" w:lineRule="exact"/>
        <w:rPr>
          <w:sz w:val="20"/>
          <w:szCs w:val="20"/>
          <w:color w:val="auto"/>
        </w:rPr>
      </w:pPr>
    </w:p>
    <w:p>
      <w:pPr>
        <w:ind w:left="300" w:right="379" w:firstLine="441"/>
        <w:spacing w:after="0" w:line="255" w:lineRule="auto"/>
        <w:rPr>
          <w:sz w:val="20"/>
          <w:szCs w:val="20"/>
          <w:color w:val="auto"/>
        </w:rPr>
      </w:pPr>
      <w:r>
        <w:rPr>
          <w:rFonts w:ascii="Times New Roman" w:cs="Times New Roman" w:eastAsia="Times New Roman" w:hAnsi="Times New Roman"/>
          <w:sz w:val="18"/>
          <w:szCs w:val="18"/>
          <w:color w:val="auto"/>
        </w:rPr>
        <w:t>Future issuances of common stock or securities convertible into common stock could have a dilutive effect on the earnings per share, book value per share, voting power and percentage interest of holdings of current stockholders. In addition, the availability of additional shares of common stock for issuance could, under certain circumstances, discourage or make more difficult efforts to obtain control of the Company. The Board of Directors is not aware of any attempt, or contemplated attempt, to acquire control of the Company. This proposal is not being presented with the intent that it be used to prevent or discourage any acquisition attempt, but nothing would prevent our Board of Directors from taking any appropriate actions not inconsistent with its fiduciary duties.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Timing and Effect of the Charter Amendment</w:t>
      </w:r>
    </w:p>
    <w:p>
      <w:pPr>
        <w:spacing w:after="0" w:line="121" w:lineRule="exact"/>
        <w:rPr>
          <w:sz w:val="20"/>
          <w:szCs w:val="20"/>
          <w:color w:val="auto"/>
        </w:rPr>
      </w:pPr>
    </w:p>
    <w:p>
      <w:pPr>
        <w:ind w:left="300" w:right="299" w:firstLine="441"/>
        <w:spacing w:after="0" w:line="254" w:lineRule="auto"/>
        <w:rPr>
          <w:sz w:val="20"/>
          <w:szCs w:val="20"/>
          <w:color w:val="auto"/>
        </w:rPr>
      </w:pPr>
      <w:r>
        <w:rPr>
          <w:rFonts w:ascii="Times New Roman" w:cs="Times New Roman" w:eastAsia="Times New Roman" w:hAnsi="Times New Roman"/>
          <w:sz w:val="18"/>
          <w:szCs w:val="18"/>
          <w:color w:val="auto"/>
        </w:rPr>
        <w:t>If the proposed Charter Amendment is approved by our stockholders, it will become effective immediately upon the filing of the Certificate of Amendment with the Secretary of State of the State of Delaware, which we expect to file promptly after the Special Meeting. Other than the amendment to ARTICLE IV, the remainder of our Tenth Amended and Restated Certificate of Incorporation, as amended, will remain unchanged after effectiveness of the Charter Amendment. If the proposed Charter Amendment is not approved by our stockholders, our Tenth Amended and Restated Certificate of Incorporation will remain unchanged. In accordance with the DGCL, the Board of Directors may elect to abandon the proposed Charter Amendment without further action by the stockholders at any time prior to the effectiveness of the filing of the Certificate of Amendment with the Secretary of State of the State of Delaware, notwithstanding stockholder approval of the proposed Charter Amendment.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21" w:lineRule="exact"/>
        <w:rPr>
          <w:sz w:val="20"/>
          <w:szCs w:val="20"/>
          <w:color w:val="auto"/>
        </w:rPr>
      </w:pPr>
    </w:p>
    <w:p>
      <w:pPr>
        <w:ind w:left="300" w:right="419" w:firstLine="441"/>
        <w:spacing w:after="0" w:line="261" w:lineRule="auto"/>
        <w:rPr>
          <w:sz w:val="20"/>
          <w:szCs w:val="20"/>
          <w:color w:val="auto"/>
        </w:rPr>
      </w:pPr>
      <w:r>
        <w:rPr>
          <w:rFonts w:ascii="Times New Roman" w:cs="Times New Roman" w:eastAsia="Times New Roman" w:hAnsi="Times New Roman"/>
          <w:sz w:val="18"/>
          <w:szCs w:val="18"/>
          <w:color w:val="auto"/>
        </w:rPr>
        <w:t>To approve an amendment to our Tenth Amended and Restated Certificate of Incorporation to increase the number of authorized shares of common stock from 150,000,000 to 500,000,000, the votes cast “For” this Proposal No. 1 must exceed the votes cast “Against” this Proposal No. 1. Abstentions and broker non-votes, if any, are not considered votes cast and, therefore, will have no effect on the vote on Proposal No. 1.</w:t>
      </w:r>
    </w:p>
    <w:p>
      <w:pPr>
        <w:spacing w:after="0" w:line="284" w:lineRule="exact"/>
        <w:rPr>
          <w:sz w:val="20"/>
          <w:szCs w:val="20"/>
          <w:color w:val="auto"/>
        </w:rPr>
      </w:pPr>
    </w:p>
    <w:p>
      <w:pPr>
        <w:ind w:left="300" w:right="65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1 to amend Aura’s Tenth Amended and Restated Certificate of Incorporation.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jc w:val="center"/>
        <w:ind w:left="300" w:right="359"/>
        <w:spacing w:after="0" w:line="286" w:lineRule="auto"/>
        <w:rPr>
          <w:sz w:val="20"/>
          <w:szCs w:val="20"/>
          <w:color w:val="auto"/>
        </w:rPr>
      </w:pPr>
      <w:r>
        <w:rPr>
          <w:rFonts w:ascii="Times New Roman" w:cs="Times New Roman" w:eastAsia="Times New Roman" w:hAnsi="Times New Roman"/>
          <w:sz w:val="18"/>
          <w:szCs w:val="18"/>
          <w:b w:val="1"/>
          <w:bCs w:val="1"/>
          <w:color w:val="auto"/>
        </w:rPr>
        <w:t>PROPOSAL NO. 2 - APPROVAL OF AMENDMENT NO. 1 TO THE AURA BIOSCIENCES, INC. 2021 STOCK OPTION AND INCENTIVE PLAN</w:t>
      </w:r>
    </w:p>
    <w:p>
      <w:pPr>
        <w:spacing w:after="0" w:line="159" w:lineRule="exact"/>
        <w:rPr>
          <w:sz w:val="20"/>
          <w:szCs w:val="20"/>
          <w:color w:val="auto"/>
        </w:rPr>
      </w:pPr>
    </w:p>
    <w:p>
      <w:pPr>
        <w:ind w:left="300" w:right="319" w:firstLine="441"/>
        <w:spacing w:after="0" w:line="266" w:lineRule="auto"/>
        <w:rPr>
          <w:sz w:val="20"/>
          <w:szCs w:val="20"/>
          <w:color w:val="auto"/>
        </w:rPr>
      </w:pPr>
      <w:r>
        <w:rPr>
          <w:rFonts w:ascii="Times New Roman" w:cs="Times New Roman" w:eastAsia="Times New Roman" w:hAnsi="Times New Roman"/>
          <w:sz w:val="18"/>
          <w:szCs w:val="18"/>
          <w:color w:val="auto"/>
        </w:rPr>
        <w:t>On June 11, 2026, our Board of Directors approved Amendment No. 1, or the First Amendment, to the Aura Biosciences, Inc. 2021 Stock Option and Incentive Plan, or the 2021 Plan, and, as amended by the First Amendment, the Amended Plan, subject to approval from our stockholders at the Special Meeting.</w:t>
      </w:r>
    </w:p>
    <w:p>
      <w:pPr>
        <w:spacing w:after="0" w:line="176" w:lineRule="exact"/>
        <w:rPr>
          <w:sz w:val="20"/>
          <w:szCs w:val="20"/>
          <w:color w:val="auto"/>
        </w:rPr>
      </w:pPr>
    </w:p>
    <w:p>
      <w:pPr>
        <w:ind w:left="300" w:right="359" w:firstLine="441"/>
        <w:spacing w:after="0" w:line="256" w:lineRule="auto"/>
        <w:rPr>
          <w:sz w:val="20"/>
          <w:szCs w:val="20"/>
          <w:color w:val="auto"/>
        </w:rPr>
      </w:pPr>
      <w:r>
        <w:rPr>
          <w:rFonts w:ascii="Times New Roman" w:cs="Times New Roman" w:eastAsia="Times New Roman" w:hAnsi="Times New Roman"/>
          <w:sz w:val="18"/>
          <w:szCs w:val="18"/>
          <w:color w:val="auto"/>
        </w:rPr>
        <w:t xml:space="preserve">The First Amendment will amend the evergreen provision in the 2021 Plan to provide that any of the Company’s outstanding pre-funded warrants shall be added to the total number of shares of common stock that are issued and outstanding as of each December 31 for purposes of the evergreen formula used in calculating the annual increase in the shares available to grant under the 2021 Plan. The proposed amendment to the formula to calculate the annual increase pursuant to the evergreen provision is the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xml:space="preserve"> change to the 2021 Plan proposed by the First Amendment.</w:t>
      </w:r>
    </w:p>
    <w:p>
      <w:pPr>
        <w:spacing w:after="0" w:line="187" w:lineRule="exact"/>
        <w:rPr>
          <w:sz w:val="20"/>
          <w:szCs w:val="20"/>
          <w:color w:val="auto"/>
        </w:rPr>
      </w:pPr>
    </w:p>
    <w:p>
      <w:pPr>
        <w:jc w:val="both"/>
        <w:ind w:left="300" w:right="499" w:firstLine="441"/>
        <w:spacing w:after="0" w:line="266" w:lineRule="auto"/>
        <w:rPr>
          <w:sz w:val="20"/>
          <w:szCs w:val="20"/>
          <w:color w:val="auto"/>
        </w:rPr>
      </w:pPr>
      <w:r>
        <w:rPr>
          <w:rFonts w:ascii="Times New Roman" w:cs="Times New Roman" w:eastAsia="Times New Roman" w:hAnsi="Times New Roman"/>
          <w:sz w:val="18"/>
          <w:szCs w:val="18"/>
          <w:color w:val="auto"/>
        </w:rPr>
        <w:t>To be approved, this proposal must receive “For” votes from a majority of the votes properly cast “For” and “Against” such matter. Abstentions and broker non-votes, if any, are not considered votes cast and, therefore, will have no effect on this proposal.</w:t>
      </w:r>
    </w:p>
    <w:p>
      <w:pPr>
        <w:spacing w:after="0" w:line="176" w:lineRule="exact"/>
        <w:rPr>
          <w:sz w:val="20"/>
          <w:szCs w:val="20"/>
          <w:color w:val="auto"/>
        </w:rPr>
      </w:pPr>
    </w:p>
    <w:p>
      <w:pPr>
        <w:jc w:val="both"/>
        <w:ind w:left="300" w:right="499" w:firstLine="441"/>
        <w:spacing w:after="0" w:line="282" w:lineRule="auto"/>
        <w:rPr>
          <w:sz w:val="20"/>
          <w:szCs w:val="20"/>
          <w:color w:val="auto"/>
        </w:rPr>
      </w:pPr>
      <w:r>
        <w:rPr>
          <w:rFonts w:ascii="Times New Roman" w:cs="Times New Roman" w:eastAsia="Times New Roman" w:hAnsi="Times New Roman"/>
          <w:sz w:val="18"/>
          <w:szCs w:val="18"/>
          <w:color w:val="auto"/>
        </w:rPr>
        <w:t>If the Amendment is not approved by stockholders at the Special Meeting, the 2021 Plan will continue in its current form without change.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Rationale for First Amendment</w:t>
      </w:r>
    </w:p>
    <w:p>
      <w:pPr>
        <w:spacing w:after="0" w:line="229" w:lineRule="exact"/>
        <w:rPr>
          <w:sz w:val="20"/>
          <w:szCs w:val="20"/>
          <w:color w:val="auto"/>
        </w:rPr>
      </w:pPr>
    </w:p>
    <w:p>
      <w:pPr>
        <w:ind w:left="300" w:right="299" w:firstLine="441"/>
        <w:spacing w:after="0" w:line="258" w:lineRule="auto"/>
        <w:rPr>
          <w:sz w:val="20"/>
          <w:szCs w:val="20"/>
          <w:color w:val="auto"/>
        </w:rPr>
      </w:pPr>
      <w:r>
        <w:rPr>
          <w:rFonts w:ascii="Times New Roman" w:cs="Times New Roman" w:eastAsia="Times New Roman" w:hAnsi="Times New Roman"/>
          <w:sz w:val="18"/>
          <w:szCs w:val="18"/>
          <w:color w:val="auto"/>
        </w:rPr>
        <w:t>We operate in a competitive market and new hire, annual and other equity grants are essential in helping us attract and retain talented individuals. Our compensation committee, or the Compensation Committee, and the Board of Directors believe our stock-based compensation programs enable us to maintain our competitive position in recruiting and retaining highly skilled and engaged personnel. We also believe that stock options, restricted stock units and other equity-based awards are a key element of our stock-based compensation program.</w:t>
      </w:r>
    </w:p>
    <w:p>
      <w:pPr>
        <w:spacing w:after="0" w:line="183" w:lineRule="exact"/>
        <w:rPr>
          <w:sz w:val="20"/>
          <w:szCs w:val="20"/>
          <w:color w:val="auto"/>
        </w:rPr>
      </w:pPr>
    </w:p>
    <w:p>
      <w:pPr>
        <w:ind w:left="300" w:right="319" w:firstLine="441"/>
        <w:spacing w:after="0" w:line="255" w:lineRule="auto"/>
        <w:rPr>
          <w:sz w:val="20"/>
          <w:szCs w:val="20"/>
          <w:color w:val="auto"/>
        </w:rPr>
      </w:pPr>
      <w:r>
        <w:rPr>
          <w:rFonts w:ascii="Times New Roman" w:cs="Times New Roman" w:eastAsia="Times New Roman" w:hAnsi="Times New Roman"/>
          <w:sz w:val="18"/>
          <w:szCs w:val="18"/>
          <w:color w:val="auto"/>
        </w:rPr>
        <w:t>In order for us to continue to leverage stock options, restricted stock units and other equity-based awards as part of our recruiting and retention strategy, we would like to include pre-funded warrants in calculating the total number of shares of common stock that are issued and outstanding for purposes of the evergreen calculation under the 2021 Plan. The current evergreen provision calculation is based solely on shares of common stock that are issued and outstanding. The First Amendment would only be effective for annual evergreen increases to our share reserve under the 2021 Plan beginning with the increase on January 1, 2027 until the Amended Plan’s expiration in October 2031.</w:t>
      </w:r>
    </w:p>
    <w:p>
      <w:pPr>
        <w:spacing w:after="0" w:line="189" w:lineRule="exact"/>
        <w:rPr>
          <w:sz w:val="20"/>
          <w:szCs w:val="20"/>
          <w:color w:val="auto"/>
        </w:rPr>
      </w:pPr>
    </w:p>
    <w:p>
      <w:pPr>
        <w:ind w:left="300" w:right="439" w:firstLine="441"/>
        <w:spacing w:after="0" w:line="255" w:lineRule="auto"/>
        <w:rPr>
          <w:sz w:val="20"/>
          <w:szCs w:val="20"/>
          <w:color w:val="auto"/>
        </w:rPr>
      </w:pPr>
      <w:r>
        <w:rPr>
          <w:rFonts w:ascii="Times New Roman" w:cs="Times New Roman" w:eastAsia="Times New Roman" w:hAnsi="Times New Roman"/>
          <w:sz w:val="18"/>
          <w:szCs w:val="18"/>
          <w:color w:val="auto"/>
        </w:rPr>
        <w:t>In May 2025 and May 2026, we completed underwritten public offerings of our common stock and in lieu of common stock, certain investors purchased pre-funded warrants to purchase shares of our common stock. By issuing pre-funded warrants, we increased the funds available to progress our business without increasing the outstanding shares. As a result of issuing pre-funded warrants, which do not increase the outstanding shares, the shares available annually under the evergreen provision of our 2021 Plan did not increase proportionally. We are seeking to remedy this so we have a proportional amount of available shares in our equity-based compensation program to attract and retain talented individuals.</w:t>
      </w:r>
    </w:p>
    <w:p>
      <w:pPr>
        <w:spacing w:after="0" w:line="189" w:lineRule="exact"/>
        <w:rPr>
          <w:sz w:val="20"/>
          <w:szCs w:val="20"/>
          <w:color w:val="auto"/>
        </w:rPr>
      </w:pPr>
    </w:p>
    <w:p>
      <w:pPr>
        <w:ind w:left="300" w:right="399" w:firstLine="441"/>
        <w:spacing w:after="0" w:line="272" w:lineRule="auto"/>
        <w:rPr>
          <w:sz w:val="20"/>
          <w:szCs w:val="20"/>
          <w:color w:val="auto"/>
        </w:rPr>
      </w:pPr>
      <w:r>
        <w:rPr>
          <w:rFonts w:ascii="Times New Roman" w:cs="Times New Roman" w:eastAsia="Times New Roman" w:hAnsi="Times New Roman"/>
          <w:sz w:val="17"/>
          <w:szCs w:val="17"/>
          <w:color w:val="auto"/>
        </w:rPr>
        <w:t>For illustrative purposes, as of June 1, 2026, we had 103,397,416 shares of common stock that were issued and outstanding and 7,371,435 pre-funded warrants outstanding. Assuming these are the shares of common stock and pre-funded warrants outstanding on January 1, 2027, under the 2021 Plan’s current evergreen provision, our Board would be able to authorize up to an additional 5,169,870 shares for issuance. Under the same scenario, but with the First Amendment’s evergreen provision, our Board would be able to authorize up to an additional 5,538,442 shares for issuance, resulting in an increase of 368,572 shares, or approximately 0.3% of our total capitalization. If stockholders approve the First Amendment, the share reserve will increase with any future shares added pursuant to the Amended Plan’s “evergreen” provision until the Amended Plan’s expiration in October 2031.</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27" w:right="1440" w:bottom="1440" w:gutter="0" w:footer="0" w:header="0"/>
        </w:sectPr>
      </w:pPr>
    </w:p>
    <w:bookmarkStart w:id="12" w:name="page13"/>
    <w:bookmarkEnd w:id="12"/>
    <w:p>
      <w:pPr>
        <w:spacing w:after="0" w:line="194" w:lineRule="exact"/>
        <w:rPr>
          <w:sz w:val="20"/>
          <w:szCs w:val="20"/>
          <w:color w:val="auto"/>
        </w:rPr>
      </w:pPr>
    </w:p>
    <w:p>
      <w:pPr>
        <w:ind w:left="300" w:right="319" w:firstLine="441"/>
        <w:spacing w:after="0" w:line="254" w:lineRule="auto"/>
        <w:rPr>
          <w:sz w:val="20"/>
          <w:szCs w:val="20"/>
          <w:color w:val="auto"/>
        </w:rPr>
      </w:pPr>
      <w:r>
        <w:rPr>
          <w:rFonts w:ascii="Times New Roman" w:cs="Times New Roman" w:eastAsia="Times New Roman" w:hAnsi="Times New Roman"/>
          <w:sz w:val="18"/>
          <w:szCs w:val="18"/>
          <w:color w:val="auto"/>
        </w:rPr>
        <w:t>We believe that this proposal to amend the evergreen provision is within the spirit of the 2021 Plan. Our Board of Directors has determined that the inclusion of pre-funded warrants in calculating the total number of shares of common stock that are issued and outstanding on each December 31 for purposes of calculating the annual increase under the 2021 Plan is reasonable based on our analysis and does not represent an excess number of shares. The pre-funded warrants, if included, would allow us to have a number of shares in our 2021 Plan reserve that are comparable in size to similarly-situated companies that do not have pre-funded warrants outstanding. Moreover, we anticipate that if our request to amend the evergreen provision is approved by our stockholders, it will facilitate our ability to provide equity incentives to attract, retain, and motivate employees, as well as continue a culture of ownership that aligns with our mission and values.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the Current Plan and the Amended Plan</w:t>
      </w:r>
    </w:p>
    <w:p>
      <w:pPr>
        <w:spacing w:after="0" w:line="229" w:lineRule="exact"/>
        <w:rPr>
          <w:sz w:val="20"/>
          <w:szCs w:val="20"/>
          <w:color w:val="auto"/>
        </w:rPr>
      </w:pPr>
    </w:p>
    <w:p>
      <w:pPr>
        <w:jc w:val="both"/>
        <w:ind w:left="300" w:right="659" w:firstLine="441"/>
        <w:spacing w:after="0" w:line="266" w:lineRule="auto"/>
        <w:rPr>
          <w:sz w:val="20"/>
          <w:szCs w:val="20"/>
          <w:color w:val="auto"/>
        </w:rPr>
      </w:pPr>
      <w:r>
        <w:rPr>
          <w:rFonts w:ascii="Times New Roman" w:cs="Times New Roman" w:eastAsia="Times New Roman" w:hAnsi="Times New Roman"/>
          <w:sz w:val="18"/>
          <w:szCs w:val="18"/>
          <w:color w:val="auto"/>
        </w:rPr>
        <w:t>The following description of certain features of the Plan as it currently exists and whether it is amended is intended to be a summary only. The summary is qualified in its entirety by the full text of the 2021 Plan and the First Amendment, each of which is attached hereto as Appendix B and Appendix C, respectively.</w:t>
      </w:r>
    </w:p>
    <w:p>
      <w:pPr>
        <w:spacing w:after="0" w:line="1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 xml:space="preserve">Plan Limits. </w:t>
      </w:r>
      <w:r>
        <w:rPr>
          <w:rFonts w:ascii="Times New Roman" w:cs="Times New Roman" w:eastAsia="Times New Roman" w:hAnsi="Times New Roman"/>
          <w:sz w:val="18"/>
          <w:szCs w:val="18"/>
          <w:color w:val="auto"/>
        </w:rPr>
        <w:t>The Amended Plan provides a limit as to the maximum number of shares that may be issued.</w:t>
      </w:r>
    </w:p>
    <w:p>
      <w:pPr>
        <w:spacing w:after="0" w:line="29" w:lineRule="exact"/>
        <w:rPr>
          <w:sz w:val="20"/>
          <w:szCs w:val="20"/>
          <w:color w:val="auto"/>
        </w:rPr>
      </w:pPr>
    </w:p>
    <w:p>
      <w:pPr>
        <w:ind w:left="940" w:right="419" w:hanging="324"/>
        <w:spacing w:after="0" w:line="252"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3,352,166 shares of common stock were previously authorized for issuance pursuant to awards under the 2021 Plan, plus the number of shares available for issuance under the 2021 Plan were subject to an annual increase on each January 1, beginning on January 1, 2022, by a number of shares equal to (A) 5% of the shares of common stock outstanding as of the last day of the immediately preceding fiscal year and (B) such lesser number of shares of common stock as determined by the Administrator (as defined below) (the “Evergreen Increase”).</w:t>
      </w:r>
    </w:p>
    <w:p>
      <w:pPr>
        <w:spacing w:after="0" w:line="189" w:lineRule="exact"/>
        <w:rPr>
          <w:rFonts w:ascii="Times New Roman" w:cs="Times New Roman" w:eastAsia="Times New Roman" w:hAnsi="Times New Roman"/>
          <w:sz w:val="18"/>
          <w:szCs w:val="18"/>
          <w:color w:val="auto"/>
        </w:rPr>
      </w:pPr>
    </w:p>
    <w:p>
      <w:pPr>
        <w:ind w:left="940" w:right="379" w:hanging="324"/>
        <w:spacing w:after="0" w:line="274" w:lineRule="auto"/>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Amendment treats, for the purposes of the Evergreen Increase, outstanding pre-funded warrants as outstanding common stock such that on the first day of each calendar year beginning on January 1, 2027 and ending on and including January 1, 2031, the number of shares of common stock reserved for issuance under the 2021 Plan will increase by (A) 5% of the shares of common stock outstanding or issuable upon exercise of outstanding pre-funded warrants, in each case, as of the last day of the immediately preceding fiscal year and (B) such lesser number of shares of common stock as determined by the Administrator.</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On June 12, 2026, the closing price of our common stock on the Nasdaq Global Select Market was $6.41 per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w:t>
      </w:r>
    </w:p>
    <w:p>
      <w:pPr>
        <w:spacing w:after="0" w:line="205" w:lineRule="exact"/>
        <w:rPr>
          <w:sz w:val="20"/>
          <w:szCs w:val="20"/>
          <w:color w:val="auto"/>
        </w:rPr>
      </w:pPr>
    </w:p>
    <w:p>
      <w:pPr>
        <w:ind w:left="300" w:right="339"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Amended Plan will be administered by either our Board of Directors 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or a similar committee (the “Administrator”). The Administrator has full power to select, from among the individuals eligible for awards, the individuals to whom awards will be granted, to make any combination of awards to participants, and to determine the specific terms and conditions of each award, subject to the provisions of the Amended Plan. The Administrator may delegate to a committee consisting of one or more officers of the Company the authority to grant awards to employees who are not subject to the reporting and other provisions of Section 16 of the Exchange Act, subject to certain limitations and guidelines.</w:t>
      </w:r>
    </w:p>
    <w:p>
      <w:pPr>
        <w:spacing w:after="0" w:line="183" w:lineRule="exact"/>
        <w:rPr>
          <w:sz w:val="20"/>
          <w:szCs w:val="20"/>
          <w:color w:val="auto"/>
        </w:rPr>
      </w:pPr>
    </w:p>
    <w:p>
      <w:pPr>
        <w:ind w:left="300" w:right="339" w:firstLine="441"/>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Eligibility; Plan Limits. </w:t>
      </w:r>
      <w:r>
        <w:rPr>
          <w:rFonts w:ascii="Times New Roman" w:cs="Times New Roman" w:eastAsia="Times New Roman" w:hAnsi="Times New Roman"/>
          <w:sz w:val="17"/>
          <w:szCs w:val="17"/>
          <w:color w:val="auto"/>
        </w:rPr>
        <w:t>All employees, non-employee directors and consultants are eligible to participate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Amended Plan, subject to the discretion of the Administrator. As of June 1, 2026, approximately 161 individuals would have been eligible to participate in the Amended Plan had it been effective on such date, which includes 5 executive officers, 109 employees who are not executive officers, 6 non-employee directors and approximately 41 consultants. There are certain limits on the number of awards that may be granted under the Amended Plan.</w:t>
      </w:r>
    </w:p>
    <w:p>
      <w:pPr>
        <w:spacing w:after="0" w:line="168" w:lineRule="exact"/>
        <w:rPr>
          <w:sz w:val="20"/>
          <w:szCs w:val="20"/>
          <w:color w:val="auto"/>
        </w:rPr>
      </w:pPr>
    </w:p>
    <w:p>
      <w:pPr>
        <w:ind w:left="300" w:right="399"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Director Compensation Limit. </w:t>
      </w:r>
      <w:r>
        <w:rPr>
          <w:rFonts w:ascii="Times New Roman" w:cs="Times New Roman" w:eastAsia="Times New Roman" w:hAnsi="Times New Roman"/>
          <w:sz w:val="18"/>
          <w:szCs w:val="18"/>
          <w:color w:val="auto"/>
        </w:rPr>
        <w:t>The Amended Plan provides that the value of all awards awarded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Plan and all other cash compensation paid by the Company to any non-employee director in any calendar year shall not exceed $750,000, provided, however, that such amount shall be $1,000,000 for the calendar year in which the applicable non-employee director is initially elected or appointed to our Board of Directors.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line="192" w:lineRule="exact"/>
        <w:rPr>
          <w:sz w:val="20"/>
          <w:szCs w:val="20"/>
          <w:color w:val="auto"/>
        </w:rPr>
      </w:pPr>
    </w:p>
    <w:p>
      <w:pPr>
        <w:ind w:left="300" w:right="299"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Amended Plan permits the granting of (1) options to purchase common stock intended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 as incentive stock options under Section 422 of the Code and (2) options that do not so qualify. Options granted under the Amended Plan will be non-qualified options if they fail to qualify as incentive options or exceed the annual limit on incentive stock options. Incentive stock options may only be granted to employees of the Company and its subsidiaries. Non-qualified options may be granted to any persons eligible to receive incentive options and to non-employee directors and consultants. The option exercise price of each option will be determined by the Administrator. Except in the case of options (i) granted pursuant to a transaction described in, and in a manner consistent with, Section 424(a) of the Code, (ii) granted to individuals who are not subject to U.S. income tax on the date of grant or (iii) that are compliant with Section 409A of the Code, the exercise price of an option may not be less than 100% of the fair market value of the common stock on the date of grant. Fair market value for this purpose will be determined by reference to the price of the shares of common stock on Nasdaq. The exercise price of an option may not be reduced after the date of the option grant without stockholder approval, other than to appropriately reflect changes in our capital structure.</w:t>
      </w:r>
    </w:p>
    <w:p>
      <w:pPr>
        <w:spacing w:after="0" w:line="189" w:lineRule="exact"/>
        <w:rPr>
          <w:sz w:val="20"/>
          <w:szCs w:val="20"/>
          <w:color w:val="auto"/>
        </w:rPr>
      </w:pPr>
    </w:p>
    <w:p>
      <w:pPr>
        <w:ind w:left="300" w:right="439" w:firstLine="441"/>
        <w:spacing w:after="0" w:line="277" w:lineRule="auto"/>
        <w:rPr>
          <w:sz w:val="20"/>
          <w:szCs w:val="20"/>
          <w:color w:val="auto"/>
        </w:rPr>
      </w:pPr>
      <w:r>
        <w:rPr>
          <w:rFonts w:ascii="Times New Roman" w:cs="Times New Roman" w:eastAsia="Times New Roman" w:hAnsi="Times New Roman"/>
          <w:sz w:val="17"/>
          <w:szCs w:val="17"/>
          <w:color w:val="auto"/>
        </w:rPr>
        <w:t>The term of each option will be fixed by the Administrator and may not exceed ten years from the date of grant. The Administrator will determine at what time or times each option may be exercised. Options may be made exercisable in installments and the exercisability of options may be accelerated by the Administrator. In general, unless otherwise permitted by the Administrator, no option granted under the Amended Plan is transferable by the optionee other than by will or by the laws of descent and distribution or pursuant to a domestic relations order.</w:t>
      </w:r>
    </w:p>
    <w:p>
      <w:pPr>
        <w:spacing w:after="0" w:line="168" w:lineRule="exact"/>
        <w:rPr>
          <w:sz w:val="20"/>
          <w:szCs w:val="20"/>
          <w:color w:val="auto"/>
        </w:rPr>
      </w:pPr>
    </w:p>
    <w:p>
      <w:pPr>
        <w:ind w:left="300" w:right="479" w:firstLine="441"/>
        <w:spacing w:after="0" w:line="258" w:lineRule="auto"/>
        <w:rPr>
          <w:sz w:val="20"/>
          <w:szCs w:val="20"/>
          <w:color w:val="auto"/>
        </w:rPr>
      </w:pPr>
      <w:r>
        <w:rPr>
          <w:rFonts w:ascii="Times New Roman" w:cs="Times New Roman" w:eastAsia="Times New Roman" w:hAnsi="Times New Roman"/>
          <w:sz w:val="18"/>
          <w:szCs w:val="18"/>
          <w:color w:val="auto"/>
        </w:rPr>
        <w:t>Upon exercise of options, the option exercise price must be paid in full either in cash, by certified or bank check or other instrument acceptable to the Administrator or by delivery (or attestation to the ownership) of shares of common stock that are beneficially owned by the optionee and that are not subject to risk of forfeiture. In addition, non-qualified options may be exercised using a net exercise feature which reduces the number of shares issued to the optionee by the number of shares with a fair market value equal to the exercise price.</w:t>
      </w:r>
    </w:p>
    <w:p>
      <w:pPr>
        <w:spacing w:after="0" w:line="183" w:lineRule="exact"/>
        <w:rPr>
          <w:sz w:val="20"/>
          <w:szCs w:val="20"/>
          <w:color w:val="auto"/>
        </w:rPr>
      </w:pPr>
    </w:p>
    <w:p>
      <w:pPr>
        <w:ind w:left="300" w:right="479" w:firstLine="441"/>
        <w:spacing w:after="0" w:line="266" w:lineRule="auto"/>
        <w:rPr>
          <w:sz w:val="20"/>
          <w:szCs w:val="20"/>
          <w:color w:val="auto"/>
        </w:rPr>
      </w:pPr>
      <w:r>
        <w:rPr>
          <w:rFonts w:ascii="Times New Roman" w:cs="Times New Roman" w:eastAsia="Times New Roman" w:hAnsi="Times New Roman"/>
          <w:sz w:val="18"/>
          <w:szCs w:val="18"/>
          <w:color w:val="auto"/>
        </w:rPr>
        <w:t>To qualify as incentive options, options must meet additional federal tax requirements, including a $100,000 limit on the value of shares subject to incentive options that first become exercisable by a participant in any one calendar year.</w:t>
      </w:r>
    </w:p>
    <w:p>
      <w:pPr>
        <w:spacing w:after="0" w:line="174" w:lineRule="exact"/>
        <w:rPr>
          <w:sz w:val="20"/>
          <w:szCs w:val="20"/>
          <w:color w:val="auto"/>
        </w:rPr>
      </w:pPr>
    </w:p>
    <w:p>
      <w:pPr>
        <w:ind w:left="300" w:right="419"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The Administrator may award stock appreciation rights subject to such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restrictions as the Administrator may determine. Stock appreciation rights entitle the recipient to shares of common stock or cash equal to the value of the appreciation in the stock price over the exercise price. The exercise price may not be less than the fair market value of the common stock on the date of grant. The term of a stock appreciation right may not exceed ten years.</w:t>
      </w:r>
    </w:p>
    <w:p>
      <w:pPr>
        <w:spacing w:after="0" w:line="183" w:lineRule="exact"/>
        <w:rPr>
          <w:sz w:val="20"/>
          <w:szCs w:val="20"/>
          <w:color w:val="auto"/>
        </w:rPr>
      </w:pPr>
    </w:p>
    <w:p>
      <w:pPr>
        <w:ind w:left="300" w:right="399"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The Administrator may award shares of common stock to participants subject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restrictions as the Administrator may determine. These conditions and restrictions may include the achievement of certain performance goals and/or continued employment with the Company through a specified restricted period. During the vesting period, restricted stock awards may be credited with dividend equivalent rights (but dividend equivalents payable with respect to restricted stock awards with vesting tied to the attainment of performance criteria shall not be paid unless and until such performance conditions are attained).</w:t>
      </w:r>
    </w:p>
    <w:p>
      <w:pPr>
        <w:spacing w:after="0" w:line="182" w:lineRule="exact"/>
        <w:rPr>
          <w:sz w:val="20"/>
          <w:szCs w:val="20"/>
          <w:color w:val="auto"/>
        </w:rPr>
      </w:pPr>
    </w:p>
    <w:p>
      <w:pPr>
        <w:ind w:left="300" w:right="399"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Administrator may award restricted stock units to participants.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are ultimately payable in the form of shares of common stock or cash subject to such conditions and restrictions as the Administrator may determine. These conditions and restrictions may include the achievement of certain performance goals and/or continued employment with the Company through a specified vesting period. In the Administrator’s sole discretion, it may permit a participant to make an advance election to receive a portion of his or her future cash compensation otherwise due in the form of a restricted stock unit award, subject to the participant’s compliance with the procedures established by the Administrator and requirements of Section 409A of the Code. During the deferral period, the deferred stock awards may be credited with dividend equivalent rights.</w:t>
      </w:r>
    </w:p>
    <w:p>
      <w:pPr>
        <w:spacing w:after="0" w:line="185" w:lineRule="exact"/>
        <w:rPr>
          <w:sz w:val="20"/>
          <w:szCs w:val="20"/>
          <w:color w:val="auto"/>
        </w:rPr>
      </w:pPr>
    </w:p>
    <w:p>
      <w:pPr>
        <w:ind w:left="300" w:right="579"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Unrestricted Stock Awards. </w:t>
      </w:r>
      <w:r>
        <w:rPr>
          <w:rFonts w:ascii="Times New Roman" w:cs="Times New Roman" w:eastAsia="Times New Roman" w:hAnsi="Times New Roman"/>
          <w:sz w:val="18"/>
          <w:szCs w:val="18"/>
          <w:color w:val="auto"/>
        </w:rPr>
        <w:t>The Administrator may also grant (or sell at par value or such higher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determined by the Administrator) shares of common stock that are free from any restrictions under the Amended Plan. Unrestricted stock may be granted to any participant in recognition of past services or other valid consideration and may be issued in lieu of cash compensation due to such participant.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spacing w:after="0" w:line="192" w:lineRule="exact"/>
        <w:rPr>
          <w:sz w:val="20"/>
          <w:szCs w:val="20"/>
          <w:color w:val="auto"/>
        </w:rPr>
      </w:pPr>
    </w:p>
    <w:p>
      <w:pPr>
        <w:ind w:left="300" w:right="339"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Rights. </w:t>
      </w:r>
      <w:r>
        <w:rPr>
          <w:rFonts w:ascii="Times New Roman" w:cs="Times New Roman" w:eastAsia="Times New Roman" w:hAnsi="Times New Roman"/>
          <w:sz w:val="18"/>
          <w:szCs w:val="18"/>
          <w:color w:val="auto"/>
        </w:rPr>
        <w:t>The Administrator may grant dividend equivalent rights to participants,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 the recipient to receive credits for dividends that would be paid if the recipient had held specified shares of common stock. Dividend equivalent rights are granted as a component of another award of Restricted Stock Units or as a freestanding award, and may be paid only if the related award becomes vested. Dividend equivalent rights may be settled in cash, shares of common stock or a combination thereof, in a single installment or installments, as specified in the award.</w:t>
      </w:r>
    </w:p>
    <w:p>
      <w:pPr>
        <w:spacing w:after="0" w:line="182" w:lineRule="exact"/>
        <w:rPr>
          <w:sz w:val="20"/>
          <w:szCs w:val="20"/>
          <w:color w:val="auto"/>
        </w:rPr>
      </w:pPr>
    </w:p>
    <w:p>
      <w:pPr>
        <w:ind w:left="300" w:right="399"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Cash-Based Awards. </w:t>
      </w:r>
      <w:r>
        <w:rPr>
          <w:rFonts w:ascii="Times New Roman" w:cs="Times New Roman" w:eastAsia="Times New Roman" w:hAnsi="Times New Roman"/>
          <w:sz w:val="18"/>
          <w:szCs w:val="18"/>
          <w:color w:val="auto"/>
        </w:rPr>
        <w:t>The Administrator may grant cash bonuses under the Amended Plan to participants.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bonuses may be subject to the achievement of certain performance goals.</w:t>
      </w:r>
    </w:p>
    <w:p>
      <w:pPr>
        <w:spacing w:after="0" w:line="158" w:lineRule="exact"/>
        <w:rPr>
          <w:sz w:val="20"/>
          <w:szCs w:val="20"/>
          <w:color w:val="auto"/>
        </w:rPr>
      </w:pPr>
    </w:p>
    <w:p>
      <w:pPr>
        <w:ind w:left="300" w:right="319"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Change of Control Provisions. </w:t>
      </w:r>
      <w:r>
        <w:rPr>
          <w:rFonts w:ascii="Times New Roman" w:cs="Times New Roman" w:eastAsia="Times New Roman" w:hAnsi="Times New Roman"/>
          <w:sz w:val="18"/>
          <w:szCs w:val="18"/>
          <w:color w:val="auto"/>
        </w:rPr>
        <w:t>In the event of a “sale event,” as defined in the Amended Plan, awards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Amended Plan may be assumed, continued or substituted. In the event that awards are not assumed, continued or substituted, except as otherwise provided in the relevant award certificate, upon the effective time of the sale event, all awards with time-based conditions will become vested and exercisable upon the sale event, and awards with conditions and restrictions relating to the attainment of performance goals may become vested and non-forfeitable in connection with a sale event in the Administrator’s discretion or to the extent specified in the relevant award certificate. In addition, the Company may make or provide for payment, in cash or in kind, to participants holding options and stock appreciation rights equal to the difference between the per share cash consideration and the exercise price of the options or stock appreciation rights (provided that, in the case of an option or stock appreciation right with an exercise price equal to or greater than the per share cash consideration, such option or stock appreciation right shall be cancelled for no consideration). The Company shall also have the option to make or provide for a payment, in cash or in kind, to grantees holding other awards in an amount equal to the per share cash consideration multiplied by the number of vested shares under such awards. All awards will terminate in connection with a sale event unless they are assumed by the successor entity.</w:t>
      </w:r>
    </w:p>
    <w:p>
      <w:pPr>
        <w:spacing w:after="0" w:line="185" w:lineRule="exact"/>
        <w:rPr>
          <w:sz w:val="20"/>
          <w:szCs w:val="20"/>
          <w:color w:val="auto"/>
        </w:rPr>
      </w:pPr>
    </w:p>
    <w:p>
      <w:pPr>
        <w:ind w:left="300" w:right="519"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Adjustments for Stock Dividends, Stock Splits, Etc. </w:t>
      </w:r>
      <w:r>
        <w:rPr>
          <w:rFonts w:ascii="Times New Roman" w:cs="Times New Roman" w:eastAsia="Times New Roman" w:hAnsi="Times New Roman"/>
          <w:sz w:val="18"/>
          <w:szCs w:val="18"/>
          <w:color w:val="auto"/>
        </w:rPr>
        <w:t>The Amended Plan requires the Administrator to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adjustments to the number of shares of common stock that are subject to the Amended Plan, to certain limits in the Amended Plan, and to any outstanding awards to reflect stock dividends, stock splits, extraordinary cash dividends and similar events.</w:t>
      </w:r>
    </w:p>
    <w:p>
      <w:pPr>
        <w:spacing w:after="0" w:line="180" w:lineRule="exact"/>
        <w:rPr>
          <w:sz w:val="20"/>
          <w:szCs w:val="20"/>
          <w:color w:val="auto"/>
        </w:rPr>
      </w:pPr>
    </w:p>
    <w:p>
      <w:pPr>
        <w:ind w:left="300" w:right="339"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Tax Withholding. </w:t>
      </w:r>
      <w:r>
        <w:rPr>
          <w:rFonts w:ascii="Times New Roman" w:cs="Times New Roman" w:eastAsia="Times New Roman" w:hAnsi="Times New Roman"/>
          <w:sz w:val="18"/>
          <w:szCs w:val="18"/>
          <w:color w:val="auto"/>
        </w:rPr>
        <w:t>Participants in the Amended Plan are responsible for the payment of any federal, state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taxes that the Company is required by law to withhold upon the exercise of options or stock appreciation rights or vesting of other awards. The Administrator may require that tax withholding obligations satisfied by withholding shares of common stock to be issued pursuant to exercise or vesting.</w:t>
      </w:r>
    </w:p>
    <w:p>
      <w:pPr>
        <w:spacing w:after="0" w:line="180" w:lineRule="exact"/>
        <w:rPr>
          <w:sz w:val="20"/>
          <w:szCs w:val="20"/>
          <w:color w:val="auto"/>
        </w:rPr>
      </w:pPr>
    </w:p>
    <w:p>
      <w:pPr>
        <w:ind w:left="300" w:right="439"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Amendments and Termination. </w:t>
      </w:r>
      <w:r>
        <w:rPr>
          <w:rFonts w:ascii="Times New Roman" w:cs="Times New Roman" w:eastAsia="Times New Roman" w:hAnsi="Times New Roman"/>
          <w:sz w:val="18"/>
          <w:szCs w:val="18"/>
          <w:color w:val="auto"/>
        </w:rPr>
        <w:t>The Board of Directors may at any time amend or discontinue the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and the Administrator may at any time amend or cancel any outstanding award for the purpose of satisfying changes in the law or for any other lawful purpose. However, no such action may adversely affect any rights under any outstanding award without the holder’s consent. To the extent required under the rules of Nasdaq, any amendments that materially change the terms of the Amended Plan will be subject to approval by our stockholders. Amendments shall also be subject to approval by our stockholders if and to the extent determined by the Administrator to be required by the Code to preserve the qualified status of incentive options.</w:t>
      </w:r>
    </w:p>
    <w:p>
      <w:pPr>
        <w:spacing w:after="0" w:line="183" w:lineRule="exact"/>
        <w:rPr>
          <w:sz w:val="20"/>
          <w:szCs w:val="20"/>
          <w:color w:val="auto"/>
        </w:rPr>
      </w:pPr>
    </w:p>
    <w:p>
      <w:pPr>
        <w:ind w:left="300" w:right="499"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Effective Date of Plan. </w:t>
      </w:r>
      <w:r>
        <w:rPr>
          <w:rFonts w:ascii="Times New Roman" w:cs="Times New Roman" w:eastAsia="Times New Roman" w:hAnsi="Times New Roman"/>
          <w:sz w:val="18"/>
          <w:szCs w:val="18"/>
          <w:color w:val="auto"/>
        </w:rPr>
        <w:t>The First Amendment was approved by our Board of Directors on June 11,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of incentive options may be granted under the Amended Plan until October 7, 2031. No other awards may be granted under the Amended Plan after October 27, 2031.</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21" w:lineRule="exact"/>
        <w:rPr>
          <w:sz w:val="20"/>
          <w:szCs w:val="20"/>
          <w:color w:val="auto"/>
        </w:rPr>
      </w:pPr>
    </w:p>
    <w:p>
      <w:pPr>
        <w:ind w:left="300" w:right="399" w:firstLine="405"/>
        <w:spacing w:after="0" w:line="266" w:lineRule="auto"/>
        <w:rPr>
          <w:sz w:val="20"/>
          <w:szCs w:val="20"/>
          <w:color w:val="auto"/>
        </w:rPr>
      </w:pPr>
      <w:r>
        <w:rPr>
          <w:rFonts w:ascii="Times New Roman" w:cs="Times New Roman" w:eastAsia="Times New Roman" w:hAnsi="Times New Roman"/>
          <w:sz w:val="18"/>
          <w:szCs w:val="18"/>
          <w:color w:val="auto"/>
        </w:rPr>
        <w:t>Because the grant of awards under the Amended Plan is within the discretion of the Administrator, the company cannot determine the dollar value or number of shares of common stock that will in the future be received by or allocated to any participant in the Amended Plan.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 w:name="page16"/>
    <w:bookmarkEnd w:id="15"/>
    <w:p>
      <w:pPr>
        <w:spacing w:after="0" w:line="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Plan Benefits</w:t>
      </w:r>
    </w:p>
    <w:p>
      <w:pPr>
        <w:spacing w:after="0" w:line="121" w:lineRule="exact"/>
        <w:rPr>
          <w:sz w:val="20"/>
          <w:szCs w:val="20"/>
          <w:color w:val="auto"/>
        </w:rPr>
      </w:pPr>
    </w:p>
    <w:p>
      <w:pPr>
        <w:jc w:val="both"/>
        <w:ind w:left="300" w:right="439" w:firstLine="405"/>
        <w:spacing w:after="0" w:line="254"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underlying options and restricted stock units granted under the 2021 Plan from its inception through June 1, 2026 to certain individuals and certain groups of individuals.</w:t>
      </w:r>
    </w:p>
    <w:tbl>
      <w:tblPr>
        <w:tblLayout w:type="fixed"/>
        <w:tblInd w:w="300" w:type="dxa"/>
        <w:tblCellMar>
          <w:top w:w="0" w:type="dxa"/>
          <w:left w:w="0" w:type="dxa"/>
          <w:bottom w:w="0" w:type="dxa"/>
          <w:right w:w="0" w:type="dxa"/>
        </w:tblCellMar>
      </w:tblPr>
      <w:tr>
        <w:trPr>
          <w:trHeight w:val="133"/>
        </w:trPr>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00" w:type="dxa"/>
            <w:vAlign w:val="bottom"/>
          </w:tcPr>
          <w:p>
            <w:pPr>
              <w:ind w:left="340"/>
              <w:spacing w:after="0" w:line="133"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1"/>
                <w:szCs w:val="11"/>
                <w:color w:val="auto"/>
              </w:rPr>
            </w:pPr>
          </w:p>
        </w:tc>
        <w:tc>
          <w:tcPr>
            <w:tcW w:w="128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4"/>
                <w:szCs w:val="14"/>
                <w:b w:val="1"/>
                <w:bCs w:val="1"/>
                <w:color w:val="auto"/>
              </w:rPr>
              <w:t>Number of RSUs</w:t>
            </w:r>
          </w:p>
        </w:tc>
        <w:tc>
          <w:tcPr>
            <w:tcW w:w="0" w:type="dxa"/>
            <w:vAlign w:val="bottom"/>
          </w:tcPr>
          <w:p>
            <w:pPr>
              <w:spacing w:after="0"/>
              <w:rPr>
                <w:sz w:val="1"/>
                <w:szCs w:val="1"/>
                <w:color w:val="auto"/>
              </w:rPr>
            </w:pPr>
          </w:p>
        </w:tc>
      </w:tr>
      <w:tr>
        <w:trPr>
          <w:trHeight w:val="173"/>
        </w:trPr>
        <w:tc>
          <w:tcPr>
            <w:tcW w:w="5760" w:type="dxa"/>
            <w:vAlign w:val="bottom"/>
            <w:vMerge w:val="continue"/>
          </w:tcPr>
          <w:p>
            <w:pPr>
              <w:spacing w:after="0"/>
              <w:rPr>
                <w:sz w:val="15"/>
                <w:szCs w:val="15"/>
                <w:color w:val="auto"/>
              </w:rPr>
            </w:pPr>
          </w:p>
        </w:tc>
        <w:tc>
          <w:tcPr>
            <w:tcW w:w="13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280" w:type="dxa"/>
            <w:vAlign w:val="bottom"/>
            <w:gridSpan w:val="2"/>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Elisabet de los Pinos, Ph.D., </w:t>
            </w:r>
            <w:r>
              <w:rPr>
                <w:rFonts w:ascii="Times New Roman" w:cs="Times New Roman" w:eastAsia="Times New Roman" w:hAnsi="Times New Roman"/>
                <w:sz w:val="18"/>
                <w:szCs w:val="18"/>
                <w:i w:val="1"/>
                <w:iCs w:val="1"/>
                <w:color w:val="auto"/>
              </w:rPr>
              <w:t>Former President and Chief Executive Officer</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1,247,995</w:t>
            </w:r>
          </w:p>
        </w:tc>
        <w:tc>
          <w:tcPr>
            <w:tcW w:w="8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Anthony Gibney, </w:t>
            </w:r>
            <w:r>
              <w:rPr>
                <w:rFonts w:ascii="Times New Roman" w:cs="Times New Roman" w:eastAsia="Times New Roman" w:hAnsi="Times New Roman"/>
                <w:sz w:val="18"/>
                <w:szCs w:val="18"/>
                <w:i w:val="1"/>
                <w:iCs w:val="1"/>
                <w:color w:val="auto"/>
              </w:rPr>
              <w:t>Chief Financial and Business Officer</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383,755</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232,745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xml:space="preserve">J. Jill Hopkins, M.D., </w:t>
            </w:r>
            <w:r>
              <w:rPr>
                <w:rFonts w:ascii="Times New Roman" w:cs="Times New Roman" w:eastAsia="Times New Roman" w:hAnsi="Times New Roman"/>
                <w:sz w:val="18"/>
                <w:szCs w:val="18"/>
                <w:i w:val="1"/>
                <w:iCs w:val="1"/>
                <w:color w:val="auto"/>
              </w:rPr>
              <w:t>Chief Medical Officer and President of Research and</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Development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481,794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373,206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executive officers as a group</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1,533,406</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1,136,094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All current directors who are not executive officers as a group</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Each associate of any executive officers and current directors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Each other person who received or is to receive 5% of awards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employees, excluding executive officers, as a group</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4,878,942</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3,467,423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Aspects Under the Code</w:t>
      </w:r>
    </w:p>
    <w:p>
      <w:pPr>
        <w:spacing w:after="0" w:line="337" w:lineRule="exact"/>
        <w:rPr>
          <w:sz w:val="20"/>
          <w:szCs w:val="20"/>
          <w:color w:val="auto"/>
        </w:rPr>
      </w:pPr>
    </w:p>
    <w:p>
      <w:pPr>
        <w:ind w:left="300" w:right="399"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principal federal income tax consequences of certain transactions under the Amended Plan. It does not describe all federal tax consequences under the Amended Plan, nor does it describe state or local tax consequences.</w:t>
      </w:r>
    </w:p>
    <w:p>
      <w:pPr>
        <w:spacing w:after="0" w:line="282" w:lineRule="exact"/>
        <w:rPr>
          <w:sz w:val="20"/>
          <w:szCs w:val="20"/>
          <w:color w:val="auto"/>
        </w:rPr>
      </w:pPr>
    </w:p>
    <w:p>
      <w:pPr>
        <w:ind w:left="300" w:right="299" w:firstLine="648"/>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Incentive Options. </w:t>
      </w:r>
      <w:r>
        <w:rPr>
          <w:rFonts w:ascii="Times New Roman" w:cs="Times New Roman" w:eastAsia="Times New Roman" w:hAnsi="Times New Roman"/>
          <w:sz w:val="17"/>
          <w:szCs w:val="17"/>
          <w:color w:val="auto"/>
        </w:rPr>
        <w:t>No taxable income is generally realized by the optionee upon the grant or exercise of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incentive option. If shares of common stock issued to an optionee pursuant to the exercise of an incentive option are sold or transferred after two years from the date of grant and after one year from the date of exercise, then (i) upon sale of such shares, any amount realized in excess of the option exercise price (the amount paid for the shares) will be taxed to the optionee as a long-term capital gain, and any loss sustained will be a long-term capital loss, and (ii) the Company will not be entitled to any deduction for federal income tax purposes. The exercise of an incentive option will give rise to an item of tax preference that may result in alternative minimum tax liability for the optionee.</w:t>
      </w:r>
    </w:p>
    <w:p>
      <w:pPr>
        <w:spacing w:after="0" w:line="281" w:lineRule="exact"/>
        <w:rPr>
          <w:sz w:val="20"/>
          <w:szCs w:val="20"/>
          <w:color w:val="auto"/>
        </w:rPr>
      </w:pPr>
    </w:p>
    <w:p>
      <w:pPr>
        <w:ind w:left="300" w:right="499" w:firstLine="648"/>
        <w:spacing w:after="0" w:line="276" w:lineRule="auto"/>
        <w:rPr>
          <w:sz w:val="20"/>
          <w:szCs w:val="20"/>
          <w:color w:val="auto"/>
        </w:rPr>
      </w:pPr>
      <w:r>
        <w:rPr>
          <w:rFonts w:ascii="Times New Roman" w:cs="Times New Roman" w:eastAsia="Times New Roman" w:hAnsi="Times New Roman"/>
          <w:sz w:val="17"/>
          <w:szCs w:val="17"/>
          <w:color w:val="auto"/>
        </w:rPr>
        <w:t>If shares of common stock acquired upon the exercise of an incentive option are disposed of prior to the expiration of the two-year and one-year holding periods described above (a “disqualifying disposition”), generally</w:t>
      </w:r>
    </w:p>
    <w:p>
      <w:pPr>
        <w:spacing w:after="0" w:line="1" w:lineRule="exact"/>
        <w:rPr>
          <w:sz w:val="20"/>
          <w:szCs w:val="20"/>
          <w:color w:val="auto"/>
        </w:rPr>
      </w:pPr>
    </w:p>
    <w:p>
      <w:pPr>
        <w:ind w:left="300" w:right="539" w:hanging="8"/>
        <w:spacing w:after="0" w:line="253" w:lineRule="auto"/>
        <w:tabs>
          <w:tab w:leader="none" w:pos="5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will realize ordinary income in the year of disposition in an amount equal to the excess (if any) of the fair market value of the shares of common stock at exercise (or, if less, the amount realized on a sale of such shares of common stock) over the option price thereof, and (ii) we will be entitled to deduct such amount. Special rules will apply where all or a portion of the exercise price of the incentive option is paid by tendering shares of common stock.</w:t>
      </w:r>
    </w:p>
    <w:p>
      <w:pPr>
        <w:spacing w:after="0" w:line="295" w:lineRule="exact"/>
        <w:rPr>
          <w:sz w:val="20"/>
          <w:szCs w:val="20"/>
          <w:color w:val="auto"/>
        </w:rPr>
      </w:pPr>
    </w:p>
    <w:p>
      <w:pPr>
        <w:ind w:left="300" w:right="399" w:firstLine="648"/>
        <w:spacing w:after="0" w:line="258" w:lineRule="auto"/>
        <w:rPr>
          <w:sz w:val="20"/>
          <w:szCs w:val="20"/>
          <w:color w:val="auto"/>
        </w:rPr>
      </w:pPr>
      <w:r>
        <w:rPr>
          <w:rFonts w:ascii="Times New Roman" w:cs="Times New Roman" w:eastAsia="Times New Roman" w:hAnsi="Times New Roman"/>
          <w:sz w:val="18"/>
          <w:szCs w:val="18"/>
          <w:color w:val="auto"/>
        </w:rPr>
        <w:t>If an incentive option is exercised at a time when it no longer qualifies for the tax treatment described above, the option is treated as a non-qualified option. Generally, an incentive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p>
      <w:pPr>
        <w:spacing w:after="0" w:line="300" w:lineRule="exact"/>
        <w:rPr>
          <w:sz w:val="20"/>
          <w:szCs w:val="20"/>
          <w:color w:val="auto"/>
        </w:rPr>
      </w:pPr>
    </w:p>
    <w:p>
      <w:pPr>
        <w:ind w:left="300" w:right="3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Non-Qualified Options. </w:t>
      </w:r>
      <w:r>
        <w:rPr>
          <w:rFonts w:ascii="Times New Roman" w:cs="Times New Roman" w:eastAsia="Times New Roman" w:hAnsi="Times New Roman"/>
          <w:sz w:val="18"/>
          <w:szCs w:val="18"/>
          <w:color w:val="auto"/>
        </w:rPr>
        <w:t>No income is realized by the optionee at the time a non-qualified option is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(i) at exercise, ordinary income is realized by the optionee in an amount equal to the difference between the option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option is paid by tendering shares of common stock. Upon exercise, the optionee will also be subject to Social Security taxes on the excess of the fair market value over the exercise price of the option.</w:t>
      </w:r>
    </w:p>
    <w:p>
      <w:pPr>
        <w:spacing w:after="0" w:line="293" w:lineRule="exact"/>
        <w:rPr>
          <w:sz w:val="20"/>
          <w:szCs w:val="20"/>
          <w:color w:val="auto"/>
        </w:rPr>
      </w:pPr>
    </w:p>
    <w:p>
      <w:pPr>
        <w:ind w:left="300" w:right="419" w:firstLine="648"/>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Other Awards. </w:t>
      </w:r>
      <w:r>
        <w:rPr>
          <w:rFonts w:ascii="Times New Roman" w:cs="Times New Roman" w:eastAsia="Times New Roman" w:hAnsi="Times New Roman"/>
          <w:sz w:val="17"/>
          <w:szCs w:val="17"/>
          <w:color w:val="auto"/>
        </w:rPr>
        <w:t>The Company generally will be entitled to a tax deduction in connection with other awards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Amended Plan in an amount equal to the ordinary income realized by the participant at the time the participant recognizes such income. Participants typically are subject to income tax and recognize such tax at the time that an award is exercised, vests or becomes non-forfeitable, unless the award provides for a further deferral.</w:t>
      </w:r>
    </w:p>
    <w:p>
      <w:pPr>
        <w:spacing w:after="0" w:line="272" w:lineRule="exact"/>
        <w:rPr>
          <w:sz w:val="20"/>
          <w:szCs w:val="20"/>
          <w:color w:val="auto"/>
        </w:rPr>
      </w:pPr>
    </w:p>
    <w:p>
      <w:pPr>
        <w:ind w:left="300" w:right="33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Parachute Payments. </w:t>
      </w:r>
      <w:r>
        <w:rPr>
          <w:rFonts w:ascii="Times New Roman" w:cs="Times New Roman" w:eastAsia="Times New Roman" w:hAnsi="Times New Roman"/>
          <w:sz w:val="18"/>
          <w:szCs w:val="18"/>
          <w:color w:val="auto"/>
        </w:rPr>
        <w:t>The vesting of any portion of an award that is accelerated due to the occurrence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control (such as a sale event) may cause a portion of the payments with respect to such accelerated awards to be treated as “parachute payments” as defined in the Code. Any such parachute payments may be non-deductible to the Company, in whole or in part, and may subject the recipient to a non-deductible 20% federal excise tax on all or a portion of such payment (in addition to other taxes ordinarily payable).</w:t>
      </w:r>
    </w:p>
    <w:p>
      <w:pPr>
        <w:spacing w:after="0" w:line="291" w:lineRule="exact"/>
        <w:rPr>
          <w:sz w:val="20"/>
          <w:szCs w:val="20"/>
          <w:color w:val="auto"/>
        </w:rPr>
      </w:pPr>
    </w:p>
    <w:p>
      <w:pPr>
        <w:ind w:left="300" w:right="4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Limitation on Deductions. </w:t>
      </w:r>
      <w:r>
        <w:rPr>
          <w:rFonts w:ascii="Times New Roman" w:cs="Times New Roman" w:eastAsia="Times New Roman" w:hAnsi="Times New Roman"/>
          <w:sz w:val="18"/>
          <w:szCs w:val="18"/>
          <w:color w:val="auto"/>
        </w:rPr>
        <w:t>Under Section 162(m) of the Code, the Company’s deduction for awards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Amended Plan may be limited to the extent that any “covered employee” (as defined in Section 162(m) of the Code) receives compensation in excess of $1 million a year.</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Certain Persons in this Proposal</w:t>
      </w:r>
    </w:p>
    <w:p>
      <w:pPr>
        <w:spacing w:after="0" w:line="121" w:lineRule="exact"/>
        <w:rPr>
          <w:sz w:val="20"/>
          <w:szCs w:val="20"/>
          <w:color w:val="auto"/>
        </w:rPr>
      </w:pPr>
    </w:p>
    <w:p>
      <w:pPr>
        <w:ind w:left="300" w:right="379" w:firstLine="648"/>
        <w:spacing w:after="0" w:line="282" w:lineRule="auto"/>
        <w:rPr>
          <w:sz w:val="20"/>
          <w:szCs w:val="20"/>
          <w:color w:val="auto"/>
        </w:rPr>
      </w:pPr>
      <w:r>
        <w:rPr>
          <w:rFonts w:ascii="Times New Roman" w:cs="Times New Roman" w:eastAsia="Times New Roman" w:hAnsi="Times New Roman"/>
          <w:sz w:val="18"/>
          <w:szCs w:val="18"/>
          <w:color w:val="auto"/>
        </w:rPr>
        <w:t>Our executive officers and members of our Board of Directors have an interest in this proposal by virtue of their being eligible to receive equity awards under the Amended Plan.</w:t>
      </w:r>
    </w:p>
    <w:p>
      <w:pPr>
        <w:spacing w:after="0" w:line="162" w:lineRule="exact"/>
        <w:rPr>
          <w:sz w:val="20"/>
          <w:szCs w:val="20"/>
          <w:color w:val="auto"/>
        </w:rPr>
      </w:pPr>
    </w:p>
    <w:p>
      <w:pPr>
        <w:ind w:left="300" w:right="339" w:firstLine="648"/>
        <w:spacing w:after="0" w:line="258" w:lineRule="auto"/>
        <w:rPr>
          <w:sz w:val="20"/>
          <w:szCs w:val="20"/>
          <w:color w:val="auto"/>
        </w:rPr>
      </w:pPr>
      <w:r>
        <w:rPr>
          <w:rFonts w:ascii="Times New Roman" w:cs="Times New Roman" w:eastAsia="Times New Roman" w:hAnsi="Times New Roman"/>
          <w:sz w:val="18"/>
          <w:szCs w:val="18"/>
          <w:color w:val="auto"/>
        </w:rPr>
        <w:t>It is not possible to determine the benefits that will be received by participants in the Amended Plan, including our named executive officers and our non-employee directors, in the future because all grants are made in the discretion of our Board of Directors or our Compensation Committee. Neither our Board of Directors nor our Compensation Committee has approved any awards that are conditioned upon stockholder approval of the Amended Plan.</w:t>
      </w:r>
    </w:p>
    <w:p>
      <w:pPr>
        <w:spacing w:after="0" w:line="183" w:lineRule="exact"/>
        <w:rPr>
          <w:sz w:val="20"/>
          <w:szCs w:val="20"/>
          <w:color w:val="auto"/>
        </w:rPr>
      </w:pPr>
    </w:p>
    <w:p>
      <w:pPr>
        <w:ind w:left="300" w:right="539" w:firstLine="648"/>
        <w:spacing w:after="0" w:line="282" w:lineRule="auto"/>
        <w:rPr>
          <w:sz w:val="20"/>
          <w:szCs w:val="20"/>
          <w:color w:val="auto"/>
        </w:rPr>
      </w:pPr>
      <w:r>
        <w:rPr>
          <w:rFonts w:ascii="Times New Roman" w:cs="Times New Roman" w:eastAsia="Times New Roman" w:hAnsi="Times New Roman"/>
          <w:sz w:val="18"/>
          <w:szCs w:val="18"/>
          <w:color w:val="auto"/>
        </w:rPr>
        <w:t>Other than as described herein, we do not believe that our executive officers or directors have substantial interests in this proposal that are different from or greater than those of any other of our stockholders.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300" w:right="899" w:firstLine="648"/>
        <w:spacing w:after="0" w:line="257"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the shares of our common stock that may be issued under our existing equity compensation plans.</w:t>
      </w:r>
    </w:p>
    <w:tbl>
      <w:tblPr>
        <w:tblLayout w:type="fixed"/>
        <w:tblInd w:w="300" w:type="dxa"/>
        <w:tblCellMar>
          <w:top w:w="0" w:type="dxa"/>
          <w:left w:w="0" w:type="dxa"/>
          <w:bottom w:w="0" w:type="dxa"/>
          <w:right w:w="0" w:type="dxa"/>
        </w:tblCellMar>
      </w:tblPr>
      <w:tr>
        <w:trPr>
          <w:trHeight w:val="131"/>
        </w:trPr>
        <w:tc>
          <w:tcPr>
            <w:tcW w:w="2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20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00" w:type="dxa"/>
            <w:vAlign w:val="bottom"/>
          </w:tcPr>
          <w:p>
            <w:pPr>
              <w:spacing w:after="0"/>
              <w:rPr>
                <w:sz w:val="12"/>
                <w:szCs w:val="12"/>
                <w:color w:val="auto"/>
              </w:rPr>
            </w:pPr>
          </w:p>
        </w:tc>
        <w:tc>
          <w:tcPr>
            <w:tcW w:w="1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00" w:type="dxa"/>
            <w:vAlign w:val="bottom"/>
          </w:tcPr>
          <w:p>
            <w:pPr>
              <w:spacing w:after="0"/>
              <w:rPr>
                <w:sz w:val="12"/>
                <w:szCs w:val="12"/>
                <w:color w:val="auto"/>
              </w:rPr>
            </w:pPr>
          </w:p>
        </w:tc>
        <w:tc>
          <w:tcPr>
            <w:tcW w:w="1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2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9"/>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00" w:type="dxa"/>
            <w:vAlign w:val="bottom"/>
          </w:tcPr>
          <w:p>
            <w:pPr>
              <w:spacing w:after="0"/>
              <w:rPr>
                <w:sz w:val="12"/>
                <w:szCs w:val="12"/>
                <w:color w:val="auto"/>
              </w:rPr>
            </w:pPr>
          </w:p>
        </w:tc>
        <w:tc>
          <w:tcPr>
            <w:tcW w:w="1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73"/>
        </w:trPr>
        <w:tc>
          <w:tcPr>
            <w:tcW w:w="24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(a)</w:t>
            </w:r>
          </w:p>
        </w:tc>
        <w:tc>
          <w:tcPr>
            <w:tcW w:w="20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 ($) (b)</w:t>
            </w:r>
          </w:p>
        </w:tc>
        <w:tc>
          <w:tcPr>
            <w:tcW w:w="22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4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rPr>
              <w:t>Equity compensation plans</w:t>
            </w:r>
          </w:p>
        </w:tc>
        <w:tc>
          <w:tcPr>
            <w:tcW w:w="18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9,158,359</w:t>
            </w: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(2</w:t>
            </w:r>
          </w:p>
        </w:tc>
        <w:tc>
          <w:tcPr>
            <w:tcW w:w="19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 xml:space="preserve">7.93 </w:t>
            </w:r>
            <w:r>
              <w:rPr>
                <w:rFonts w:ascii="Times New Roman" w:cs="Times New Roman" w:eastAsia="Times New Roman" w:hAnsi="Times New Roman"/>
                <w:sz w:val="19"/>
                <w:szCs w:val="19"/>
                <w:color w:val="auto"/>
                <w:vertAlign w:val="superscript"/>
              </w:rPr>
              <w:t>(2)</w:t>
            </w:r>
          </w:p>
        </w:tc>
        <w:tc>
          <w:tcPr>
            <w:tcW w:w="20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11,149,306 </w:t>
            </w:r>
            <w:r>
              <w:rPr>
                <w:rFonts w:ascii="Times New Roman" w:cs="Times New Roman" w:eastAsia="Times New Roman" w:hAnsi="Times New Roman"/>
                <w:sz w:val="19"/>
                <w:szCs w:val="19"/>
                <w:color w:val="auto"/>
                <w:vertAlign w:val="superscript"/>
              </w:rPr>
              <w:t>(3)</w:t>
            </w:r>
          </w:p>
        </w:tc>
        <w:tc>
          <w:tcPr>
            <w:tcW w:w="0" w:type="dxa"/>
            <w:vAlign w:val="bottom"/>
          </w:tcPr>
          <w:p>
            <w:pPr>
              <w:spacing w:after="0"/>
              <w:rPr>
                <w:sz w:val="1"/>
                <w:szCs w:val="1"/>
                <w:color w:val="auto"/>
              </w:rPr>
            </w:pPr>
          </w:p>
        </w:tc>
      </w:tr>
      <w:tr>
        <w:trPr>
          <w:trHeight w:val="175"/>
        </w:trPr>
        <w:tc>
          <w:tcPr>
            <w:tcW w:w="2400" w:type="dxa"/>
            <w:vAlign w:val="bottom"/>
            <w:shd w:val="clear" w:color="auto" w:fill="CFF0FC"/>
          </w:tcPr>
          <w:p>
            <w:pPr>
              <w:ind w:left="100"/>
              <w:spacing w:after="0" w:line="175" w:lineRule="exact"/>
              <w:rPr>
                <w:sz w:val="20"/>
                <w:szCs w:val="20"/>
                <w:color w:val="auto"/>
              </w:rPr>
            </w:pPr>
            <w:r>
              <w:rPr>
                <w:rFonts w:ascii="Times New Roman" w:cs="Times New Roman" w:eastAsia="Times New Roman" w:hAnsi="Times New Roman"/>
                <w:sz w:val="14"/>
                <w:szCs w:val="14"/>
                <w:color w:val="auto"/>
              </w:rPr>
              <w:t>approved by security holders</w:t>
            </w:r>
            <w:r>
              <w:rPr>
                <w:rFonts w:ascii="Times New Roman" w:cs="Times New Roman" w:eastAsia="Times New Roman" w:hAnsi="Times New Roman"/>
                <w:sz w:val="19"/>
                <w:szCs w:val="19"/>
                <w:color w:val="auto"/>
                <w:vertAlign w:val="superscript"/>
              </w:rPr>
              <w:t>(1)</w:t>
            </w:r>
          </w:p>
        </w:tc>
        <w:tc>
          <w:tcPr>
            <w:tcW w:w="1840" w:type="dxa"/>
            <w:vAlign w:val="bottom"/>
            <w:gridSpan w:val="2"/>
            <w:vMerge w:val="continue"/>
            <w:shd w:val="clear" w:color="auto" w:fill="CFF0FC"/>
          </w:tcPr>
          <w:p>
            <w:pPr>
              <w:spacing w:after="0"/>
              <w:rPr>
                <w:sz w:val="15"/>
                <w:szCs w:val="15"/>
                <w:color w:val="auto"/>
              </w:rPr>
            </w:pP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1960" w:type="dxa"/>
            <w:vAlign w:val="bottom"/>
            <w:gridSpan w:val="2"/>
            <w:vMerge w:val="continue"/>
            <w:shd w:val="clear" w:color="auto" w:fill="CFF0FC"/>
          </w:tcPr>
          <w:p>
            <w:pPr>
              <w:spacing w:after="0"/>
              <w:rPr>
                <w:sz w:val="15"/>
                <w:szCs w:val="15"/>
                <w:color w:val="auto"/>
              </w:rPr>
            </w:pPr>
          </w:p>
        </w:tc>
        <w:tc>
          <w:tcPr>
            <w:tcW w:w="202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Equity compensation plans not</w:t>
            </w:r>
          </w:p>
        </w:tc>
        <w:tc>
          <w:tcPr>
            <w:tcW w:w="80" w:type="dxa"/>
            <w:vAlign w:val="bottom"/>
          </w:tcPr>
          <w:p>
            <w:pPr>
              <w:spacing w:after="0"/>
              <w:rPr>
                <w:sz w:val="10"/>
                <w:szCs w:val="10"/>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0"/>
                <w:szCs w:val="10"/>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40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color w:val="auto"/>
              </w:rPr>
              <w:t>approved by security holders</w:t>
            </w:r>
          </w:p>
        </w:tc>
        <w:tc>
          <w:tcPr>
            <w:tcW w:w="80" w:type="dxa"/>
            <w:vAlign w:val="bottom"/>
          </w:tcPr>
          <w:p>
            <w:pPr>
              <w:spacing w:after="0"/>
              <w:rPr>
                <w:sz w:val="13"/>
                <w:szCs w:val="13"/>
                <w:color w:val="auto"/>
              </w:rPr>
            </w:pPr>
          </w:p>
        </w:tc>
        <w:tc>
          <w:tcPr>
            <w:tcW w:w="17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78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4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CFF0FC"/>
            </w:tcBorders>
            <w:shd w:val="clear" w:color="auto" w:fill="CFF0FC"/>
          </w:tcPr>
          <w:p>
            <w:pPr>
              <w:spacing w:after="0"/>
              <w:rPr>
                <w:sz w:val="15"/>
                <w:szCs w:val="15"/>
                <w:color w:val="auto"/>
              </w:rPr>
            </w:pPr>
          </w:p>
        </w:tc>
        <w:tc>
          <w:tcPr>
            <w:tcW w:w="17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9,158,359</w:t>
            </w:r>
          </w:p>
        </w:tc>
        <w:tc>
          <w:tcPr>
            <w:tcW w:w="200" w:type="dxa"/>
            <w:vAlign w:val="bottom"/>
            <w:tcBorders>
              <w:bottom w:val="single" w:sz="8" w:color="CFF0FC"/>
            </w:tcBorders>
            <w:shd w:val="clear" w:color="auto" w:fill="CFF0FC"/>
          </w:tcPr>
          <w:p>
            <w:pPr>
              <w:spacing w:after="0"/>
              <w:rPr>
                <w:sz w:val="15"/>
                <w:szCs w:val="15"/>
                <w:color w:val="auto"/>
              </w:rPr>
            </w:pPr>
          </w:p>
        </w:tc>
        <w:tc>
          <w:tcPr>
            <w:tcW w:w="1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7.93</w:t>
            </w:r>
          </w:p>
        </w:tc>
        <w:tc>
          <w:tcPr>
            <w:tcW w:w="220" w:type="dxa"/>
            <w:vAlign w:val="bottom"/>
            <w:tcBorders>
              <w:bottom w:val="single" w:sz="8" w:color="CFF0FC"/>
            </w:tcBorders>
            <w:shd w:val="clear" w:color="auto" w:fill="CFF0FC"/>
          </w:tcPr>
          <w:p>
            <w:pPr>
              <w:spacing w:after="0"/>
              <w:rPr>
                <w:sz w:val="15"/>
                <w:szCs w:val="15"/>
                <w:color w:val="auto"/>
              </w:rPr>
            </w:pPr>
          </w:p>
        </w:tc>
        <w:tc>
          <w:tcPr>
            <w:tcW w:w="17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11,149,306</w:t>
            </w:r>
          </w:p>
        </w:tc>
        <w:tc>
          <w:tcPr>
            <w:tcW w:w="2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-24765</wp:posOffset>
            </wp:positionV>
            <wp:extent cx="514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-8255</wp:posOffset>
            </wp:positionV>
            <wp:extent cx="514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514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51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-24765</wp:posOffset>
            </wp:positionV>
            <wp:extent cx="514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-8255</wp:posOffset>
            </wp:positionV>
            <wp:extent cx="514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p>
      <w:pPr>
        <w:spacing w:after="0" w:line="200" w:lineRule="exact"/>
        <w:rPr>
          <w:sz w:val="20"/>
          <w:szCs w:val="20"/>
          <w:color w:val="auto"/>
        </w:rPr>
      </w:pPr>
    </w:p>
    <w:p>
      <w:pPr>
        <w:spacing w:after="0" w:line="210" w:lineRule="exact"/>
        <w:rPr>
          <w:sz w:val="20"/>
          <w:szCs w:val="20"/>
          <w:color w:val="auto"/>
        </w:rPr>
      </w:pPr>
    </w:p>
    <w:p>
      <w:pPr>
        <w:ind w:left="1060" w:right="319" w:hanging="444"/>
        <w:spacing w:after="0" w:line="266"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plans: our Amended and Restated 2009 Stock Option and Restricted Stock Plan, or the 2009 Plan, our 2018 Equity Incentive Plan, or the 2018 Plan, the 2021 Plan, and our 2021 Employee Stock Purchase Plan, or the 2021 ESPP.</w:t>
      </w:r>
    </w:p>
    <w:p>
      <w:pPr>
        <w:spacing w:after="0" w:line="67" w:lineRule="exact"/>
        <w:rPr>
          <w:rFonts w:ascii="Times New Roman" w:cs="Times New Roman" w:eastAsia="Times New Roman" w:hAnsi="Times New Roman"/>
          <w:sz w:val="18"/>
          <w:szCs w:val="18"/>
          <w:color w:val="auto"/>
        </w:rPr>
      </w:pPr>
    </w:p>
    <w:p>
      <w:pPr>
        <w:ind w:left="1060" w:right="359" w:hanging="444"/>
        <w:spacing w:after="0" w:line="256"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6,467,582 shares issuable upon the exercise of outstanding options under the 2009 Plan, the 2018 Plan, and the 2021 Plan and 2,690,777 shares issuable upon the vesting of outstanding restricted stock units. This does not include purchase rights under the 2021 ESPP because the purchase right (and therefore the number of shares to be purchased) will not be determined until the end of the current purchase period. Since restricted stock units do not have any exercise price, such units are not included in the weighted average exercise price calculation.</w:t>
      </w:r>
    </w:p>
    <w:p>
      <w:pPr>
        <w:spacing w:after="0" w:line="79" w:lineRule="exact"/>
        <w:rPr>
          <w:rFonts w:ascii="Times New Roman" w:cs="Times New Roman" w:eastAsia="Times New Roman" w:hAnsi="Times New Roman"/>
          <w:sz w:val="18"/>
          <w:szCs w:val="18"/>
          <w:color w:val="auto"/>
        </w:rPr>
      </w:pPr>
    </w:p>
    <w:p>
      <w:pPr>
        <w:ind w:left="1060" w:right="339" w:hanging="444"/>
        <w:spacing w:after="0" w:line="252" w:lineRule="auto"/>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 total of 3,847,257 shares of our common stock have been reserved for issuance pursuant to the 2021 Plan, which number excludes the 3,179,388 shares that were added to the 2021 Plan as a result of the automatic annual increase on January 1, 2026. The 2021 Plan provides that the number of shares reserved and available for issuance under the plan will automatically increase each January 1, beginning on January 1, 2022, by 5% of the outstanding number of shares of our common stock on the immediately preceding December 31 or such lesser number of shares as determined by the Compensation Committee. This number will be subject to adjustment in the event of a stock split, stock dividend or other change in our capitalization.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2021 Plan, the 2018 Plan and the 2009 Plan will be added back to the shares of common stock available for issuance under the 2021 Plan. Our Company no longer makes grants under the 2009 Plan and 2018 Plan. As of December 31, 2025, a total of 1,565,471 shares of our common stock have been reserved for issuance pursuant to the 2021 ESPP, which number excludes the 335,217 shares that were added to the plan as a result of the automatic annual increase on January 1, 2026. The 2021 ESPP provides that the number of shares reserved and available for issuance under the plan will automatically increase each January 1, beginning on January 1, 2022, by the lesser of (i) 335,217 shares of our common stock, (ii) 1% of the outstanding number of shares of our common stock on the immediately preceding December 31 or (iii) such lesser number of shares as determined by the Compensation Committee. This number will be subject to adjustment in the event of a stock split, stock dividend or other change in our capitalization.</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29" w:lineRule="exact"/>
        <w:rPr>
          <w:sz w:val="20"/>
          <w:szCs w:val="20"/>
          <w:color w:val="auto"/>
        </w:rPr>
      </w:pPr>
    </w:p>
    <w:p>
      <w:pPr>
        <w:ind w:left="300" w:right="319" w:firstLine="648"/>
        <w:spacing w:after="0" w:line="261" w:lineRule="auto"/>
        <w:rPr>
          <w:sz w:val="20"/>
          <w:szCs w:val="20"/>
          <w:color w:val="auto"/>
        </w:rPr>
      </w:pPr>
      <w:r>
        <w:rPr>
          <w:rFonts w:ascii="Times New Roman" w:cs="Times New Roman" w:eastAsia="Times New Roman" w:hAnsi="Times New Roman"/>
          <w:sz w:val="18"/>
          <w:szCs w:val="18"/>
          <w:color w:val="auto"/>
        </w:rPr>
        <w:t>To approve Amendment No. 1 to the 2021 Stock Option and Incentive Plan, this Proposal No. 2 must receive “For” votes from a majority of the votes properly cast “For” and “Against” such matter. Abstentions and broker non-votes, if any, are not considered votes cast and, therefore, will have no effect on the vote on this Proposal No. 2.</w:t>
      </w:r>
    </w:p>
    <w:p>
      <w:pPr>
        <w:spacing w:after="0" w:line="284" w:lineRule="exact"/>
        <w:rPr>
          <w:sz w:val="20"/>
          <w:szCs w:val="20"/>
          <w:color w:val="auto"/>
        </w:rPr>
      </w:pPr>
    </w:p>
    <w:p>
      <w:pPr>
        <w:ind w:left="300" w:right="37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2 to approve Amendment No. 1 to the Aura Biosciences, Inc. 2021 Stock Option and Incentive Plan.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ind w:left="300" w:right="319" w:firstLine="441"/>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non-employee member of our Board of Directors and received compensation for such service during fiscal year 2025. Directors who also serve as employees received no additional compensation for their service as directors. During fiscal year 2025, Elisabet de los Pinos, Ph.D., our former Chief Executive Officer, was a member of our Board of Directors, as well as an employee, and received no additional compensation for her services as a director. See the section titled “2025 Summary Compensation Table” for more information about her compensation in fiscal year 2025.</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6"/>
              </w:rPr>
              <w:t>FEES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8"/>
              <w:spacing w:after="0" w:line="146" w:lineRule="exact"/>
              <w:rPr>
                <w:sz w:val="20"/>
                <w:szCs w:val="20"/>
                <w:color w:val="auto"/>
              </w:rPr>
            </w:pPr>
            <w:r>
              <w:rPr>
                <w:rFonts w:ascii="Times New Roman" w:cs="Times New Roman" w:eastAsia="Times New Roman" w:hAnsi="Times New Roman"/>
                <w:sz w:val="14"/>
                <w:szCs w:val="14"/>
                <w:b w:val="1"/>
                <w:bCs w:val="1"/>
                <w:color w:val="auto"/>
              </w:rPr>
              <w:t>IN CASH</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 xml:space="preserve"> (1)(2)</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8"/>
                <w:szCs w:val="8"/>
                <w:b w:val="1"/>
                <w:bCs w:val="1"/>
                <w:color w:val="auto"/>
              </w:rPr>
              <w:t xml:space="preserve"> (1)(2)</w:t>
            </w:r>
          </w:p>
        </w:tc>
        <w:tc>
          <w:tcPr>
            <w:tcW w:w="180" w:type="dxa"/>
            <w:vAlign w:val="bottom"/>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Teresa Marie Bitetti</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34,436</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123,060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126,066</w:t>
            </w:r>
          </w:p>
        </w:tc>
        <w:tc>
          <w:tcPr>
            <w:tcW w:w="3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283,562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David Johnson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77,931</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Giovanni Mariggi, Ph.D. </w:t>
            </w:r>
            <w:r>
              <w:rPr>
                <w:rFonts w:ascii="Times New Roman" w:cs="Times New Roman" w:eastAsia="Times New Roman" w:hAnsi="Times New Roman"/>
                <w:sz w:val="24"/>
                <w:szCs w:val="24"/>
                <w:color w:val="auto"/>
                <w:vertAlign w:val="superscript"/>
              </w:rPr>
              <w:t>(3)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Antony Mattessich</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77,931</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Sapna Srivastava, Ph.D.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80,340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77,931</w:t>
            </w:r>
          </w:p>
        </w:tc>
        <w:tc>
          <w:tcPr>
            <w:tcW w:w="3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213,271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Karan Takhar </w:t>
            </w:r>
            <w:r>
              <w:rPr>
                <w:rFonts w:ascii="Times New Roman" w:cs="Times New Roman" w:eastAsia="Times New Roman" w:hAnsi="Times New Roman"/>
                <w:sz w:val="24"/>
                <w:szCs w:val="24"/>
                <w:color w:val="auto"/>
                <w:vertAlign w:val="superscript"/>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1060" w:right="299" w:hanging="444"/>
        <w:spacing w:after="0" w:line="254"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of restricted stock unit and option awards granted to our directors during our fiscal year ended December 31, 2025, computed in accordance with Financial Accounting Standards Board Accounting Standards Codification Topic 718, or FASB ASC Topic 718. A discussion of the assumptions used in determining grant date fair value may be found in Note 9 to our consolidated financial statements included in our Annual Report on Form 10-K for the fiscal year ended December 31, 2025, filed with the SEC on March 30, 2026. This amount does not correspond to the actual value that may be recognized by the director upon settlement or exercise of the applicable award or sale of the underlying shares of stock. Except as noted below, none of our directors held options to purchase our common stock or any other stock awards as of December 31, 2025.</w:t>
      </w:r>
    </w:p>
    <w:p>
      <w:pPr>
        <w:spacing w:after="0" w:line="80" w:lineRule="exact"/>
        <w:rPr>
          <w:rFonts w:ascii="Times New Roman" w:cs="Times New Roman" w:eastAsia="Times New Roman" w:hAnsi="Times New Roman"/>
          <w:sz w:val="18"/>
          <w:szCs w:val="18"/>
          <w:color w:val="auto"/>
        </w:rPr>
      </w:pPr>
    </w:p>
    <w:p>
      <w:pPr>
        <w:ind w:left="1060" w:right="419" w:hanging="444"/>
        <w:spacing w:after="0" w:line="282"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reflects the aggregate number of outstanding stock options and unvested restricted stock units held by our non-employee directors as of December 31, 2025:</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60" w:type="dxa"/>
            <w:vAlign w:val="bottom"/>
          </w:tcPr>
          <w:p>
            <w:pPr>
              <w:spacing w:after="0"/>
              <w:rPr>
                <w:sz w:val="13"/>
                <w:szCs w:val="13"/>
                <w:color w:val="auto"/>
              </w:rPr>
            </w:pPr>
          </w:p>
        </w:tc>
        <w:tc>
          <w:tcPr>
            <w:tcW w:w="2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 UNVESTED</w:t>
            </w:r>
          </w:p>
        </w:tc>
        <w:tc>
          <w:tcPr>
            <w:tcW w:w="16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60" w:type="dxa"/>
            <w:vAlign w:val="bottom"/>
          </w:tcPr>
          <w:p>
            <w:pPr>
              <w:spacing w:after="0"/>
              <w:rPr>
                <w:sz w:val="12"/>
                <w:szCs w:val="12"/>
                <w:color w:val="auto"/>
              </w:rPr>
            </w:pPr>
          </w:p>
        </w:tc>
        <w:tc>
          <w:tcPr>
            <w:tcW w:w="2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2"/>
                <w:szCs w:val="12"/>
                <w:color w:val="auto"/>
              </w:rPr>
            </w:pPr>
          </w:p>
        </w:tc>
        <w:tc>
          <w:tcPr>
            <w:tcW w:w="2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STOCK</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HELD AS OF</w:t>
            </w:r>
          </w:p>
        </w:tc>
        <w:tc>
          <w:tcPr>
            <w:tcW w:w="160" w:type="dxa"/>
            <w:vAlign w:val="bottom"/>
          </w:tcPr>
          <w:p>
            <w:pPr>
              <w:spacing w:after="0"/>
              <w:rPr>
                <w:sz w:val="12"/>
                <w:szCs w:val="12"/>
                <w:color w:val="auto"/>
              </w:rPr>
            </w:pPr>
          </w:p>
        </w:tc>
        <w:tc>
          <w:tcPr>
            <w:tcW w:w="22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 HELD AS OF</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w:t>
            </w:r>
          </w:p>
        </w:tc>
        <w:tc>
          <w:tcPr>
            <w:tcW w:w="16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Teresa Marie Bitetti</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David Johnson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408,667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Giovanni Mariggi, Ph.D.</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Antony Mattessich</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133,149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Sapna Srivastava, Ph.D.</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133,149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Karan Takhar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060" w:right="499" w:hanging="444"/>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Mariggi has waived all cash and equity compensation for which he would otherwise be eligible as a non-employee director.</w:t>
      </w:r>
    </w:p>
    <w:p>
      <w:pPr>
        <w:spacing w:after="0" w:line="53" w:lineRule="exact"/>
        <w:rPr>
          <w:rFonts w:ascii="Times New Roman" w:cs="Times New Roman" w:eastAsia="Times New Roman" w:hAnsi="Times New Roman"/>
          <w:sz w:val="18"/>
          <w:szCs w:val="18"/>
          <w:color w:val="auto"/>
        </w:rPr>
      </w:pPr>
    </w:p>
    <w:p>
      <w:pPr>
        <w:ind w:left="1060" w:right="339" w:hanging="444"/>
        <w:spacing w:after="0" w:line="266"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Takhar has waived all cash and equity compensation that he would otherwise be eligible to receive for his service as a non-employee director. Mr. Takhar ceased to serve as a director upon the expiration of his term on June 11, 2026, the date of the Company’s 2026 Annual Meeting of Stockholders.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9" w:name="page20"/>
    <w:bookmarkEnd w:id="19"/>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Amended and Restated Non-Employee Director Compensation Policy</w:t>
      </w:r>
    </w:p>
    <w:p>
      <w:pPr>
        <w:spacing w:after="0" w:line="121" w:lineRule="exact"/>
        <w:rPr>
          <w:sz w:val="20"/>
          <w:szCs w:val="20"/>
          <w:color w:val="auto"/>
        </w:rPr>
      </w:pPr>
    </w:p>
    <w:p>
      <w:pPr>
        <w:ind w:left="300" w:right="319" w:firstLine="441"/>
        <w:spacing w:after="0" w:line="256" w:lineRule="auto"/>
        <w:rPr>
          <w:sz w:val="20"/>
          <w:szCs w:val="20"/>
          <w:color w:val="auto"/>
        </w:rPr>
      </w:pPr>
      <w:r>
        <w:rPr>
          <w:rFonts w:ascii="Times New Roman" w:cs="Times New Roman" w:eastAsia="Times New Roman" w:hAnsi="Times New Roman"/>
          <w:sz w:val="18"/>
          <w:szCs w:val="18"/>
          <w:color w:val="auto"/>
        </w:rPr>
        <w:t>Our non-employee directors are compensated pursuant to a formal policy pursuant to which we pay our non-employee directors a cash retainer for service on our Board of Directors and for service on each committee on which the director is a member. The Chair of each committee receives a higher retainer for such service. In June 2025, the Board of Directors, based in part on the recommendation of the Compensation Committee, approved an amendment and restatement of the non-employee director compensation policy to make certain adjustments to committee chair and member fees and the initial and annual equity awards granted to non-employee directors.</w:t>
      </w:r>
    </w:p>
    <w:p>
      <w:pPr>
        <w:spacing w:after="0" w:line="79" w:lineRule="exact"/>
        <w:rPr>
          <w:sz w:val="20"/>
          <w:szCs w:val="20"/>
          <w:color w:val="auto"/>
        </w:rPr>
      </w:pPr>
    </w:p>
    <w:p>
      <w:pPr>
        <w:ind w:left="300" w:right="419" w:firstLine="441"/>
        <w:spacing w:after="0" w:line="282" w:lineRule="auto"/>
        <w:rPr>
          <w:sz w:val="20"/>
          <w:szCs w:val="20"/>
          <w:color w:val="auto"/>
        </w:rPr>
      </w:pPr>
      <w:r>
        <w:rPr>
          <w:rFonts w:ascii="Times New Roman" w:cs="Times New Roman" w:eastAsia="Times New Roman" w:hAnsi="Times New Roman"/>
          <w:sz w:val="18"/>
          <w:szCs w:val="18"/>
          <w:color w:val="auto"/>
        </w:rPr>
        <w:t>The fees paid to non-employee directors for service on our Board of Directors during 2025 and for service on each committee of our Board of Directors of which the director was a member were as follows:</w:t>
      </w: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Board of Directors:</w:t>
            </w:r>
          </w:p>
        </w:tc>
        <w:tc>
          <w:tcPr>
            <w:tcW w:w="20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Members</w:t>
            </w:r>
          </w:p>
        </w:tc>
        <w:tc>
          <w:tcPr>
            <w:tcW w:w="20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Annual retainer for non-executive chair</w:t>
            </w: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20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Members (other than chair)</w:t>
            </w: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Retainer for chair</w:t>
            </w:r>
          </w:p>
        </w:tc>
        <w:tc>
          <w:tcPr>
            <w:tcW w:w="20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20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Members (other than chair)</w:t>
            </w:r>
          </w:p>
        </w:tc>
        <w:tc>
          <w:tcPr>
            <w:tcW w:w="20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Retainer for chair</w:t>
            </w: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12,000*</w:t>
            </w: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20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Members (other than chair)</w:t>
            </w:r>
          </w:p>
        </w:tc>
        <w:tc>
          <w:tcPr>
            <w:tcW w:w="20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Retainer for chair</w:t>
            </w:r>
          </w:p>
        </w:tc>
        <w:tc>
          <w:tcPr>
            <w:tcW w:w="20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306" w:lineRule="exact"/>
        <w:rPr>
          <w:sz w:val="20"/>
          <w:szCs w:val="20"/>
          <w:color w:val="auto"/>
        </w:rPr>
      </w:pPr>
    </w:p>
    <w:p>
      <w:pPr>
        <w:ind w:left="300" w:right="659" w:hanging="8"/>
        <w:spacing w:after="0" w:line="266" w:lineRule="auto"/>
        <w:tabs>
          <w:tab w:leader="none" w:pos="4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June 17, 2025, the annual retainers for members of the Compensation Committee was $5,000 per year ($10,000 for the chair), and the annual retainers for members of the Nominating and Corporate Governance Committee was $4,000 per year ($8,000 for the chair).</w:t>
      </w:r>
    </w:p>
    <w:p>
      <w:pPr>
        <w:spacing w:after="0" w:line="68" w:lineRule="exact"/>
        <w:rPr>
          <w:sz w:val="20"/>
          <w:szCs w:val="20"/>
          <w:color w:val="auto"/>
        </w:rPr>
      </w:pPr>
    </w:p>
    <w:p>
      <w:pPr>
        <w:ind w:left="300" w:right="359" w:firstLine="441"/>
        <w:spacing w:after="0" w:line="252" w:lineRule="auto"/>
        <w:rPr>
          <w:sz w:val="20"/>
          <w:szCs w:val="20"/>
          <w:color w:val="auto"/>
        </w:rPr>
      </w:pPr>
      <w:r>
        <w:rPr>
          <w:rFonts w:ascii="Times New Roman" w:cs="Times New Roman" w:eastAsia="Times New Roman" w:hAnsi="Times New Roman"/>
          <w:sz w:val="18"/>
          <w:szCs w:val="18"/>
          <w:color w:val="auto"/>
        </w:rPr>
        <w:t>In addition, for 2025, the amended and restated non-employee director compensation policy provided that, upon initial election to our Board of Directors, each non-employee director will receive an initial, one-time stock option award to purchase 34,000 shares (increased from 29,000 shares on June 17, 2025) of our common stock, or the Initial Option Award, and an initial, one-time restricted stock unit award covering 26,000 shares (increased from 21,000 shares on June 17, 2025) of our common stock, or the Initial RSU Award, and together with the Initial Option Award, the Initial Award. The Initial Award will vest in three equal annual installments, and is generally subject to the non-employee director’s continued service through the applicable vesting date. Furthermore, on the date of each annual meeting of stockholders, each non-employee director who continues as a non-employee director following such meeting (other than a non-employee director who received the Initial Award) will be granted an annual stock option award to purchase 17,000 shares (increased from 14,500 shares on June 17, 2025) of our common stock, or the Annual Option Award, and an annual restricted stock unit award covering 13,000 shares (increased from 10,500 shares on June 17, 2025) of our common stock, or the Annual RSU Award, and together with the Annual Option Award, the Annual Award. The Annual Award will vest in full on the earlier of (i) the first anniversary of the grant date or (ii) our next annual meeting of stockholders, and is generally subject to the non-employee director’s continued service through the applicable vesting date. Such awards are subject to full accelerated vesting upon the sale of our Company.</w:t>
      </w:r>
    </w:p>
    <w:p>
      <w:pPr>
        <w:spacing w:after="0" w:line="87" w:lineRule="exact"/>
        <w:rPr>
          <w:sz w:val="20"/>
          <w:szCs w:val="20"/>
          <w:color w:val="auto"/>
        </w:rPr>
      </w:pPr>
    </w:p>
    <w:p>
      <w:pPr>
        <w:ind w:left="300" w:right="339" w:firstLine="441"/>
        <w:spacing w:after="0" w:line="282" w:lineRule="auto"/>
        <w:rPr>
          <w:sz w:val="20"/>
          <w:szCs w:val="20"/>
          <w:color w:val="auto"/>
        </w:rPr>
      </w:pPr>
      <w:r>
        <w:rPr>
          <w:rFonts w:ascii="Times New Roman" w:cs="Times New Roman" w:eastAsia="Times New Roman" w:hAnsi="Times New Roman"/>
          <w:sz w:val="18"/>
          <w:szCs w:val="18"/>
          <w:color w:val="auto"/>
        </w:rPr>
        <w:t>We will reimburse all reasonable out-of-pocket expenses incurred by directors for their attendance at meetings of our Board of Directors or any committee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named executive officers for the year ended December 31, 2025 are:</w:t>
      </w:r>
    </w:p>
    <w:p>
      <w:pPr>
        <w:spacing w:after="0" w:line="117" w:lineRule="exact"/>
        <w:rPr>
          <w:sz w:val="20"/>
          <w:szCs w:val="20"/>
          <w:color w:val="auto"/>
        </w:rPr>
      </w:pPr>
    </w:p>
    <w:p>
      <w:pPr>
        <w:ind w:left="1180" w:hanging="448"/>
        <w:spacing w:after="0"/>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Elisabet de los Pinos, Ph.D., our former Chief Executive Officer and President;</w:t>
      </w:r>
    </w:p>
    <w:p>
      <w:pPr>
        <w:spacing w:after="0" w:line="117"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Gibney, our Chief Financial and Business Officer; and</w:t>
      </w:r>
    </w:p>
    <w:p>
      <w:pPr>
        <w:spacing w:after="0" w:line="117"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Jill Hopkins, M.D., our Chief Medical Officer and President of Research and Development.</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left="300" w:right="43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compensation awarded to, earned by or paid to each of our named executive officers for the years indicated.</w:t>
      </w:r>
    </w:p>
    <w:p>
      <w:pPr>
        <w:spacing w:after="0" w:line="25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6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40" w:type="dxa"/>
            <w:vAlign w:val="bottom"/>
          </w:tcPr>
          <w:p>
            <w:pPr>
              <w:spacing w:after="0"/>
              <w:rPr>
                <w:sz w:val="12"/>
                <w:szCs w:val="12"/>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2"/>
                <w:szCs w:val="12"/>
                <w:color w:val="auto"/>
              </w:rPr>
            </w:pPr>
          </w:p>
        </w:tc>
        <w:tc>
          <w:tcPr>
            <w:tcW w:w="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1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Elisabet de los Pinos, Ph.D. </w:t>
            </w:r>
            <w:r>
              <w:rPr>
                <w:rFonts w:ascii="Times New Roman" w:cs="Times New Roman" w:eastAsia="Times New Roman" w:hAnsi="Times New Roman"/>
                <w:sz w:val="19"/>
                <w:szCs w:val="19"/>
                <w:color w:val="auto"/>
                <w:vertAlign w:val="superscript"/>
              </w:rPr>
              <w:t>(4)</w:t>
            </w: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6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center"/>
              <w:ind w:left="88"/>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(1)</w:t>
            </w:r>
          </w:p>
        </w:tc>
        <w:tc>
          <w:tcPr>
            <w:tcW w:w="920" w:type="dxa"/>
            <w:vAlign w:val="bottom"/>
            <w:gridSpan w:val="2"/>
          </w:tcPr>
          <w:p>
            <w:pPr>
              <w:jc w:val="center"/>
              <w:ind w:left="88"/>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(1)</w:t>
            </w:r>
          </w:p>
        </w:tc>
        <w:tc>
          <w:tcPr>
            <w:tcW w:w="1100" w:type="dxa"/>
            <w:vAlign w:val="bottom"/>
            <w:gridSpan w:val="2"/>
          </w:tcPr>
          <w:p>
            <w:pPr>
              <w:jc w:val="center"/>
              <w:ind w:left="68"/>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(2)</w:t>
            </w:r>
          </w:p>
        </w:tc>
        <w:tc>
          <w:tcPr>
            <w:tcW w:w="1080" w:type="dxa"/>
            <w:vAlign w:val="bottom"/>
            <w:gridSpan w:val="2"/>
          </w:tcPr>
          <w:p>
            <w:pPr>
              <w:jc w:val="center"/>
              <w:ind w:left="88"/>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(3)</w:t>
            </w: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Former President, Chief</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3,956,16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Executive Officer and</w:t>
            </w:r>
          </w:p>
        </w:tc>
        <w:tc>
          <w:tcPr>
            <w:tcW w:w="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2025</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645,483</w:t>
            </w:r>
          </w:p>
        </w:tc>
        <w:tc>
          <w:tcPr>
            <w:tcW w:w="240" w:type="dxa"/>
            <w:vAlign w:val="bottom"/>
          </w:tcPr>
          <w:p>
            <w:pPr>
              <w:spacing w:after="0"/>
              <w:rPr>
                <w:sz w:val="12"/>
                <w:szCs w:val="12"/>
                <w:color w:val="auto"/>
              </w:rPr>
            </w:pPr>
          </w:p>
        </w:tc>
        <w:tc>
          <w:tcPr>
            <w:tcW w:w="4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1,492,378</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1,513,293</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284,013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21,000</w:t>
            </w: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42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42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6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620,657</w:t>
            </w:r>
          </w:p>
        </w:tc>
        <w:tc>
          <w:tcPr>
            <w:tcW w:w="24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1,266,005</w:t>
            </w: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1,390,125</w:t>
            </w:r>
          </w:p>
        </w:tc>
        <w:tc>
          <w:tcPr>
            <w:tcW w:w="11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307,225</w:t>
            </w:r>
          </w:p>
        </w:tc>
        <w:tc>
          <w:tcPr>
            <w:tcW w:w="10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20,327</w:t>
            </w:r>
          </w:p>
        </w:tc>
        <w:tc>
          <w:tcPr>
            <w:tcW w:w="80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3,604,33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Anthony Gibney</w:t>
            </w:r>
          </w:p>
        </w:tc>
        <w:tc>
          <w:tcPr>
            <w:tcW w:w="420" w:type="dxa"/>
            <w:vAlign w:val="bottom"/>
            <w:gridSpan w:val="2"/>
            <w:vMerge w:val="continue"/>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2,751,22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Chief Financial and Business</w:t>
            </w:r>
          </w:p>
        </w:tc>
        <w:tc>
          <w:tcPr>
            <w:tcW w:w="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2025</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345,909</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4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1,006,915</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1,209,402</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189,000</w:t>
            </w:r>
          </w:p>
        </w:tc>
        <w:tc>
          <w:tcPr>
            <w:tcW w:w="1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42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78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color w:val="auto"/>
              </w:rPr>
              <w:t>J. Jill Hopkins, M.D.</w:t>
            </w: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Chief Medical Officer and</w:t>
            </w: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2,188,96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President of Research and</w:t>
            </w:r>
          </w:p>
        </w:tc>
        <w:tc>
          <w:tcPr>
            <w:tcW w:w="42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2025</w:t>
            </w:r>
          </w:p>
        </w:tc>
        <w:tc>
          <w:tcPr>
            <w:tcW w:w="6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551,250</w:t>
            </w:r>
          </w:p>
        </w:tc>
        <w:tc>
          <w:tcPr>
            <w:tcW w:w="240" w:type="dxa"/>
            <w:vAlign w:val="bottom"/>
            <w:shd w:val="clear" w:color="auto" w:fill="CFF0FC"/>
          </w:tcPr>
          <w:p>
            <w:pPr>
              <w:spacing w:after="0"/>
              <w:rPr>
                <w:sz w:val="12"/>
                <w:szCs w:val="12"/>
                <w:color w:val="auto"/>
              </w:rPr>
            </w:pPr>
          </w:p>
        </w:tc>
        <w:tc>
          <w:tcPr>
            <w:tcW w:w="40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926,477</w:t>
            </w: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469,738</w:t>
            </w:r>
          </w:p>
        </w:tc>
        <w:tc>
          <w:tcPr>
            <w:tcW w:w="11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220,500</w:t>
            </w:r>
          </w:p>
        </w:tc>
        <w:tc>
          <w:tcPr>
            <w:tcW w:w="10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21,000</w:t>
            </w:r>
          </w:p>
        </w:tc>
        <w:tc>
          <w:tcPr>
            <w:tcW w:w="8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780" w:type="dxa"/>
            <w:vAlign w:val="bottom"/>
            <w:shd w:val="clear" w:color="auto" w:fill="CFF0FC"/>
          </w:tcPr>
          <w:p>
            <w:pPr>
              <w:spacing w:after="0" w:line="151" w:lineRule="exact"/>
              <w:rPr>
                <w:sz w:val="20"/>
                <w:szCs w:val="20"/>
                <w:color w:val="auto"/>
              </w:rPr>
            </w:pPr>
            <w:r>
              <w:rPr>
                <w:rFonts w:ascii="Times New Roman" w:cs="Times New Roman" w:eastAsia="Times New Roman" w:hAnsi="Times New Roman"/>
                <w:sz w:val="14"/>
                <w:szCs w:val="14"/>
                <w:i w:val="1"/>
                <w:iCs w:val="1"/>
                <w:color w:val="auto"/>
              </w:rPr>
              <w:t>Development</w:t>
            </w:r>
          </w:p>
        </w:tc>
        <w:tc>
          <w:tcPr>
            <w:tcW w:w="420" w:type="dxa"/>
            <w:vAlign w:val="bottom"/>
            <w:gridSpan w:val="2"/>
            <w:vMerge w:val="continue"/>
            <w:shd w:val="clear" w:color="auto" w:fill="CFF0FC"/>
          </w:tcPr>
          <w:p>
            <w:pPr>
              <w:spacing w:after="0"/>
              <w:rPr>
                <w:sz w:val="13"/>
                <w:szCs w:val="13"/>
                <w:color w:val="auto"/>
              </w:rPr>
            </w:pPr>
          </w:p>
        </w:tc>
        <w:tc>
          <w:tcPr>
            <w:tcW w:w="660" w:type="dxa"/>
            <w:vAlign w:val="bottom"/>
            <w:gridSpan w:val="2"/>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00" w:type="dxa"/>
            <w:vAlign w:val="bottom"/>
            <w:vMerge w:val="continue"/>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1100" w:type="dxa"/>
            <w:vAlign w:val="bottom"/>
            <w:gridSpan w:val="2"/>
            <w:vMerge w:val="continue"/>
            <w:shd w:val="clear" w:color="auto" w:fill="CFF0FC"/>
          </w:tcPr>
          <w:p>
            <w:pPr>
              <w:spacing w:after="0"/>
              <w:rPr>
                <w:sz w:val="13"/>
                <w:szCs w:val="13"/>
                <w:color w:val="auto"/>
              </w:rPr>
            </w:pPr>
          </w:p>
        </w:tc>
        <w:tc>
          <w:tcPr>
            <w:tcW w:w="1080" w:type="dxa"/>
            <w:vAlign w:val="bottom"/>
            <w:gridSpan w:val="2"/>
            <w:vMerge w:val="continue"/>
            <w:shd w:val="clear" w:color="auto" w:fill="CFF0FC"/>
          </w:tcPr>
          <w:p>
            <w:pPr>
              <w:spacing w:after="0"/>
              <w:rPr>
                <w:sz w:val="13"/>
                <w:szCs w:val="13"/>
                <w:color w:val="auto"/>
              </w:rPr>
            </w:pPr>
          </w:p>
        </w:tc>
        <w:tc>
          <w:tcPr>
            <w:tcW w:w="800" w:type="dxa"/>
            <w:vAlign w:val="bottom"/>
            <w:gridSpan w:val="2"/>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8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6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525,000</w:t>
            </w:r>
          </w:p>
        </w:tc>
        <w:tc>
          <w:tcPr>
            <w:tcW w:w="240" w:type="dxa"/>
            <w:vAlign w:val="bottom"/>
            <w:shd w:val="clear" w:color="auto" w:fill="CFF0FC"/>
          </w:tcPr>
          <w:p>
            <w:pPr>
              <w:spacing w:after="0"/>
              <w:rPr>
                <w:sz w:val="12"/>
                <w:szCs w:val="12"/>
                <w:color w:val="auto"/>
              </w:rPr>
            </w:pPr>
          </w:p>
        </w:tc>
        <w:tc>
          <w:tcPr>
            <w:tcW w:w="40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w w:val="99"/>
              </w:rPr>
              <w:t>—</w:t>
            </w: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221,562</w:t>
            </w: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243,264</w:t>
            </w:r>
          </w:p>
        </w:tc>
        <w:tc>
          <w:tcPr>
            <w:tcW w:w="11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236,250</w:t>
            </w:r>
          </w:p>
        </w:tc>
        <w:tc>
          <w:tcPr>
            <w:tcW w:w="16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1,226,07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80" w:type="dxa"/>
            <w:vAlign w:val="bottom"/>
            <w:shd w:val="clear" w:color="auto" w:fill="CFF0FC"/>
          </w:tcPr>
          <w:p>
            <w:pPr>
              <w:spacing w:after="0"/>
              <w:rPr>
                <w:sz w:val="14"/>
                <w:szCs w:val="14"/>
                <w:color w:val="auto"/>
              </w:rPr>
            </w:pPr>
          </w:p>
        </w:tc>
        <w:tc>
          <w:tcPr>
            <w:tcW w:w="420" w:type="dxa"/>
            <w:vAlign w:val="bottom"/>
            <w:gridSpan w:val="2"/>
            <w:vMerge w:val="continue"/>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-1414145</wp:posOffset>
            </wp:positionV>
            <wp:extent cx="5349240" cy="5657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565785"/>
                    </a:xfrm>
                    <a:prstGeom prst="rect">
                      <a:avLst/>
                    </a:prstGeom>
                    <a:noFill/>
                  </pic:spPr>
                </pic:pic>
              </a:graphicData>
            </a:graphic>
          </wp:anchor>
        </w:drawing>
      </w:r>
    </w:p>
    <w:p>
      <w:pPr>
        <w:spacing w:after="0" w:line="286" w:lineRule="exact"/>
        <w:rPr>
          <w:sz w:val="20"/>
          <w:szCs w:val="20"/>
          <w:color w:val="auto"/>
        </w:rPr>
      </w:pPr>
    </w:p>
    <w:p>
      <w:pPr>
        <w:ind w:left="1180" w:right="359" w:hanging="448"/>
        <w:spacing w:after="0" w:line="255"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of the restricted stock unit and option awards granted to our named executive officers during the fiscal year ended December 31, 2025, computed in accordance with FASB ASC Topic 718. A discussion of the assumptions used in determining grant date fair value may be found in Note 9 to our consolidated financial statements included in our Annual Report for the fiscal year ended December 31, 2025, filed with the SEC on March 30, 2026. This amount does not correspond to the actual value that may be recognized by the named executive officer upon settlement or exercise of the applicable award or sale of the underlying shares of stock.</w:t>
      </w:r>
    </w:p>
    <w:p>
      <w:pPr>
        <w:spacing w:after="0" w:line="94" w:lineRule="exact"/>
        <w:rPr>
          <w:rFonts w:ascii="Times New Roman" w:cs="Times New Roman" w:eastAsia="Times New Roman" w:hAnsi="Times New Roman"/>
          <w:sz w:val="18"/>
          <w:szCs w:val="18"/>
          <w:color w:val="auto"/>
        </w:rPr>
      </w:pPr>
    </w:p>
    <w:p>
      <w:pPr>
        <w:ind w:left="1180" w:right="31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for Mr. Gibney represent initial equity grants he received in connection with his joining the Company as Chief Financial and Business Officer on May 13, 2025, as well as equity grants he received in connection with advising the Company as a senior finance and strategy advisor from March 2025 to May 2025.</w:t>
      </w:r>
    </w:p>
    <w:p>
      <w:pPr>
        <w:spacing w:after="0" w:line="71" w:lineRule="exact"/>
        <w:rPr>
          <w:rFonts w:ascii="Times New Roman" w:cs="Times New Roman" w:eastAsia="Times New Roman" w:hAnsi="Times New Roman"/>
          <w:sz w:val="18"/>
          <w:szCs w:val="18"/>
          <w:color w:val="auto"/>
        </w:rPr>
      </w:pPr>
    </w:p>
    <w:p>
      <w:pPr>
        <w:ind w:left="1180" w:right="479" w:hanging="448"/>
        <w:spacing w:after="0" w:line="282"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annual bonuses paid with respect to achievement of our Company performance objectives for 2025 and 2024.</w:t>
      </w:r>
    </w:p>
    <w:p>
      <w:pPr>
        <w:spacing w:after="0" w:line="53"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matching contributions made by us under our 401(k) plan.</w:t>
      </w:r>
    </w:p>
    <w:p>
      <w:pPr>
        <w:spacing w:after="0" w:line="117" w:lineRule="exact"/>
        <w:rPr>
          <w:rFonts w:ascii="Times New Roman" w:cs="Times New Roman" w:eastAsia="Times New Roman" w:hAnsi="Times New Roman"/>
          <w:sz w:val="18"/>
          <w:szCs w:val="18"/>
          <w:color w:val="auto"/>
        </w:rPr>
      </w:pPr>
    </w:p>
    <w:p>
      <w:pPr>
        <w:ind w:left="1180" w:right="379" w:hanging="448"/>
        <w:spacing w:after="0" w:line="282"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Elisabet de los Pinos resigned as our Chief Executive Officer and President effective as of April 30, 2026.</w:t>
      </w:r>
    </w:p>
    <w:p>
      <w:pPr>
        <w:spacing w:after="0" w:line="53" w:lineRule="exact"/>
        <w:rPr>
          <w:rFonts w:ascii="Times New Roman" w:cs="Times New Roman" w:eastAsia="Times New Roman" w:hAnsi="Times New Roman"/>
          <w:sz w:val="18"/>
          <w:szCs w:val="18"/>
          <w:color w:val="auto"/>
        </w:rPr>
      </w:pPr>
    </w:p>
    <w:p>
      <w:pPr>
        <w:jc w:val="both"/>
        <w:ind w:left="1180" w:right="419" w:hanging="448"/>
        <w:spacing w:after="0" w:line="312" w:lineRule="auto"/>
        <w:tabs>
          <w:tab w:leader="none" w:pos="11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2025 salary includes amounts Mr. Gibney received as our Chief Financial and Business Officer as well as amounts received in connection with advising the Company as a senior finance and strategy advisor.</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1" w:name="page22"/>
    <w:bookmarkEnd w:id="21"/>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to 2025 Summary Compensation Table</w:t>
      </w:r>
    </w:p>
    <w:p>
      <w:pPr>
        <w:spacing w:after="0" w:line="121" w:lineRule="exact"/>
        <w:rPr>
          <w:sz w:val="20"/>
          <w:szCs w:val="20"/>
          <w:color w:val="auto"/>
        </w:rPr>
      </w:pPr>
    </w:p>
    <w:p>
      <w:pPr>
        <w:ind w:left="300" w:right="379" w:firstLine="441"/>
        <w:spacing w:after="0" w:line="255" w:lineRule="auto"/>
        <w:rPr>
          <w:sz w:val="20"/>
          <w:szCs w:val="20"/>
          <w:color w:val="auto"/>
        </w:rPr>
      </w:pPr>
      <w:r>
        <w:rPr>
          <w:rFonts w:ascii="Times New Roman" w:cs="Times New Roman" w:eastAsia="Times New Roman" w:hAnsi="Times New Roman"/>
          <w:sz w:val="18"/>
          <w:szCs w:val="18"/>
          <w:color w:val="auto"/>
        </w:rPr>
        <w:t>Our Board of Directors and Compensation Committee review compensation annually for our executive officers.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target a general competitive position, based on independent third-party benchmark analytics to inform the mix of compensation of base salary, bonus or long-term incentives.</w:t>
      </w:r>
    </w:p>
    <w:p>
      <w:pPr>
        <w:spacing w:after="0" w:line="189" w:lineRule="exact"/>
        <w:rPr>
          <w:sz w:val="20"/>
          <w:szCs w:val="20"/>
          <w:color w:val="auto"/>
        </w:rPr>
      </w:pPr>
    </w:p>
    <w:p>
      <w:pPr>
        <w:ind w:left="300" w:right="439" w:firstLine="441"/>
        <w:spacing w:after="0" w:line="253" w:lineRule="auto"/>
        <w:rPr>
          <w:sz w:val="20"/>
          <w:szCs w:val="20"/>
          <w:color w:val="auto"/>
        </w:rPr>
      </w:pPr>
      <w:r>
        <w:rPr>
          <w:rFonts w:ascii="Times New Roman" w:cs="Times New Roman" w:eastAsia="Times New Roman" w:hAnsi="Times New Roman"/>
          <w:sz w:val="18"/>
          <w:szCs w:val="18"/>
          <w:color w:val="auto"/>
        </w:rPr>
        <w:t>Our Compensation Committee is authorized to retain the services of one or more executive compensation advisors, as it sees fit, in connection with the establishment of our executive compensation programs and related policies. In fiscal year 2025, the Compensation Committee continued to retain Pay Governance to provide it with market information, analysis and other advice relating to executive compensation on an ongoing basis. The Compensation Committee engaged Pay Governance to, among other things, assist in developing a group of peer companies to help us benchmark overall compensation for our executive officers, as well as to assess each separate element of compensation. The goal was to ensure that the compensation we offer to our executive officers, individually as well as in the aggregate, is competitive and aligned with our business and executive talent requirements. We do not believe the retention of, and the work performed by, Pay Governance creates any conflict of interest because Pay Governance performs no other work for our Company besides advising the Compensation Committee.</w:t>
      </w:r>
    </w:p>
    <w:p>
      <w:pPr>
        <w:spacing w:after="0" w:line="192" w:lineRule="exact"/>
        <w:rPr>
          <w:sz w:val="20"/>
          <w:szCs w:val="20"/>
          <w:color w:val="auto"/>
        </w:rPr>
      </w:pPr>
    </w:p>
    <w:p>
      <w:pPr>
        <w:ind w:left="300" w:right="659" w:firstLine="441"/>
        <w:spacing w:after="0" w:line="261" w:lineRule="auto"/>
        <w:rPr>
          <w:sz w:val="20"/>
          <w:szCs w:val="20"/>
          <w:color w:val="auto"/>
        </w:rPr>
      </w:pPr>
      <w:r>
        <w:rPr>
          <w:rFonts w:ascii="Times New Roman" w:cs="Times New Roman" w:eastAsia="Times New Roman" w:hAnsi="Times New Roman"/>
          <w:sz w:val="18"/>
          <w:szCs w:val="18"/>
          <w:color w:val="auto"/>
        </w:rPr>
        <w:t>Our Compensation Committee is responsible for determining the compensation for all executive officers. Based on its discretion, taking into account the factors noted above, the Compensation Committee sets the compensation for each executive officer, including for the Chief Executive Officer, without the Chief Executive Officer present.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21" w:lineRule="exact"/>
        <w:rPr>
          <w:sz w:val="20"/>
          <w:szCs w:val="20"/>
          <w:color w:val="auto"/>
        </w:rPr>
      </w:pPr>
    </w:p>
    <w:p>
      <w:pPr>
        <w:ind w:left="300" w:right="459" w:firstLine="441"/>
        <w:spacing w:after="0" w:line="256" w:lineRule="auto"/>
        <w:rPr>
          <w:sz w:val="20"/>
          <w:szCs w:val="20"/>
          <w:color w:val="auto"/>
        </w:rPr>
      </w:pPr>
      <w:r>
        <w:rPr>
          <w:rFonts w:ascii="Times New Roman" w:cs="Times New Roman" w:eastAsia="Times New Roman" w:hAnsi="Times New Roman"/>
          <w:sz w:val="18"/>
          <w:szCs w:val="18"/>
          <w:color w:val="auto"/>
        </w:rPr>
        <w:t>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 Base salaries are reviewed annually, typically in connection with our annual performance review process, approved by our Board of Directors or Compensation Committee, and may be adjusted from time to time to realign salaries with market levels after taking into account individual responsibilities, performance and experience.</w:t>
      </w:r>
    </w:p>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For fiscal year 2025, the annual base salary for each of Dr. de los Pinos, Dr. Hopkins, and Mr. Gibney were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$645,483, $551,250, and $525,000, respectively. For the portion of 2025 that Mr. Gibney served as a senior finance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strategy advisor prior to becoming our Chief Financial and Business Officer, Mr. Gibney received cash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compensation of $5,000 per month.</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Bonuses</w:t>
      </w:r>
    </w:p>
    <w:p>
      <w:pPr>
        <w:spacing w:after="0" w:line="121" w:lineRule="exact"/>
        <w:rPr>
          <w:sz w:val="20"/>
          <w:szCs w:val="20"/>
          <w:color w:val="auto"/>
        </w:rPr>
      </w:pPr>
    </w:p>
    <w:p>
      <w:pPr>
        <w:ind w:left="300" w:right="419" w:firstLine="441"/>
        <w:spacing w:after="0" w:line="254" w:lineRule="auto"/>
        <w:rPr>
          <w:sz w:val="20"/>
          <w:szCs w:val="20"/>
          <w:color w:val="auto"/>
        </w:rPr>
      </w:pPr>
      <w:r>
        <w:rPr>
          <w:rFonts w:ascii="Times New Roman" w:cs="Times New Roman" w:eastAsia="Times New Roman" w:hAnsi="Times New Roman"/>
          <w:sz w:val="18"/>
          <w:szCs w:val="18"/>
          <w:color w:val="auto"/>
        </w:rPr>
        <w:t>We pay cash bonuses to reward our executives for their performance over the fiscal year, based on the achievement of certain corporate performance goals and, if applicable, individual performance goals. We believe such bonuses properly incentivize our named executive officers and allow us to remain competitive within the marketplace. The target annual bonuses for Dr. de los Pinos, Dr. Hopkins, and Mr. Gibney for the fiscal year ended December 31, 2025 were 55%, 50%, and 45% of annual base salary, respectively. Based on our achievement of the applicable performance goals for 2025, the Compensation Committee determined that we had achieved 80% of our corporate goals. The annual bonus for each of our named executive officers was determined based solely on the achievement of our corporate goals. Each named executive earned the annual bonus amount set forth in the 2025 Summary Compensation Table above.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 w:name="page23"/>
    <w:bookmarkEnd w:id="22"/>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300" w:right="479" w:firstLine="441"/>
        <w:spacing w:after="0" w:line="254" w:lineRule="auto"/>
        <w:rPr>
          <w:sz w:val="20"/>
          <w:szCs w:val="20"/>
          <w:color w:val="auto"/>
        </w:rPr>
      </w:pPr>
      <w:r>
        <w:rPr>
          <w:rFonts w:ascii="Times New Roman" w:cs="Times New Roman" w:eastAsia="Times New Roman" w:hAnsi="Times New Roman"/>
          <w:sz w:val="18"/>
          <w:szCs w:val="18"/>
          <w:color w:val="auto"/>
        </w:rPr>
        <w:t>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our executive officers to remain in our employment during the vesting period. Accordingly, our Board of Directors or our Compensation Committee periodically reviews the equity incentive compensation of our named executive officers and may grant equity incentive awards to them from time to time. During fiscal year 2025, we granted both options and restricted stock units to our named executive officers. For the portion of 2025 that Mr. Gibney served as a senior finance and strategy advisor prior to becoming our Chief Financial and Business Officer, Mr. Gibney received a grant of 5,000 stock options and 11,500 restricted stock units.</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Perquisites</w:t>
      </w:r>
    </w:p>
    <w:p>
      <w:pPr>
        <w:spacing w:after="0" w:line="121" w:lineRule="exact"/>
        <w:rPr>
          <w:sz w:val="20"/>
          <w:szCs w:val="20"/>
          <w:color w:val="auto"/>
        </w:rPr>
      </w:pPr>
    </w:p>
    <w:p>
      <w:pPr>
        <w:ind w:left="300" w:right="619" w:firstLine="441"/>
        <w:spacing w:after="0" w:line="312" w:lineRule="auto"/>
        <w:rPr>
          <w:sz w:val="20"/>
          <w:szCs w:val="20"/>
          <w:color w:val="auto"/>
        </w:rPr>
      </w:pPr>
      <w:r>
        <w:rPr>
          <w:rFonts w:ascii="Times New Roman" w:cs="Times New Roman" w:eastAsia="Times New Roman" w:hAnsi="Times New Roman"/>
          <w:sz w:val="17"/>
          <w:szCs w:val="17"/>
          <w:color w:val="auto"/>
        </w:rPr>
        <w:t>We generally do not provide perquisites to our executives, other than matching contributions to our 401(k) plan and certain other de minimis perquisites to our executive officers, including our named executive officers.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Aura Biosciences, Inc. 401(k) Plan</w:t>
      </w:r>
    </w:p>
    <w:p>
      <w:pPr>
        <w:spacing w:after="0" w:line="121" w:lineRule="exact"/>
        <w:rPr>
          <w:sz w:val="20"/>
          <w:szCs w:val="20"/>
          <w:color w:val="auto"/>
        </w:rPr>
      </w:pPr>
    </w:p>
    <w:p>
      <w:pPr>
        <w:ind w:left="300" w:right="379" w:firstLine="441"/>
        <w:spacing w:after="0" w:line="254" w:lineRule="auto"/>
        <w:rPr>
          <w:sz w:val="20"/>
          <w:szCs w:val="20"/>
          <w:color w:val="auto"/>
        </w:rPr>
      </w:pPr>
      <w:r>
        <w:rPr>
          <w:rFonts w:ascii="Times New Roman" w:cs="Times New Roman" w:eastAsia="Times New Roman" w:hAnsi="Times New Roman"/>
          <w:sz w:val="18"/>
          <w:szCs w:val="18"/>
          <w:color w:val="auto"/>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Our 401(k) plan is intended to qualify for favorable tax treatment under Section 401(a) of the Internal Revenue Code of 1986, as amended, or the Code, and contains a cash or deferred feature that is intended to meet the requirements of Section 401(k) of the Code.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Employment Arrangements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Elisabet de los Pinos, Ph.D.</w:t>
      </w:r>
    </w:p>
    <w:p>
      <w:pPr>
        <w:spacing w:after="0" w:line="121" w:lineRule="exact"/>
        <w:rPr>
          <w:sz w:val="20"/>
          <w:szCs w:val="20"/>
          <w:color w:val="auto"/>
        </w:rPr>
      </w:pPr>
    </w:p>
    <w:p>
      <w:pPr>
        <w:ind w:left="300" w:right="319" w:firstLine="441"/>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Dr. de los Pinos, who served as our Chief Executive Officer until April 30, 2026, in January 2015, which we amended in October 2017, or as amended, the de los Pinos Employment Agreement. The de los Pinos Employment Agreement provided for Dr. de los Pinos’s at-will employment, base salary and annual target bonus. Dr. de los Pinos was also eligible to participate in the employee benefit plans available to our employees, subject to the terms of those plans. The de los Pinos Employment Agreement contains non-competition and non-solicitation provisions that apply for one year following the end of her employment with us. The severance benefits under the de los Pinos Employment Agreement were superseded and replaced by the severance payments and benefits under the Company’s Executive Severance Plan, which is described below under the section “— Executive Severance Plan”.</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J. Jill Hopkins, M.D.</w:t>
      </w:r>
    </w:p>
    <w:p>
      <w:pPr>
        <w:spacing w:after="0" w:line="229" w:lineRule="exact"/>
        <w:rPr>
          <w:sz w:val="20"/>
          <w:szCs w:val="20"/>
          <w:color w:val="auto"/>
        </w:rPr>
      </w:pPr>
    </w:p>
    <w:p>
      <w:pPr>
        <w:ind w:left="300" w:right="319" w:firstLine="441"/>
        <w:spacing w:after="0" w:line="258" w:lineRule="auto"/>
        <w:rPr>
          <w:sz w:val="20"/>
          <w:szCs w:val="20"/>
          <w:color w:val="auto"/>
        </w:rPr>
      </w:pPr>
      <w:r>
        <w:rPr>
          <w:rFonts w:ascii="Times New Roman" w:cs="Times New Roman" w:eastAsia="Times New Roman" w:hAnsi="Times New Roman"/>
          <w:sz w:val="18"/>
          <w:szCs w:val="18"/>
          <w:color w:val="auto"/>
        </w:rPr>
        <w:t>We entered into an employment offer letter with Dr. Hopkins, who serves as our Chief Medical Officer and President of Research &amp; Development, effective as of October 16, 2023, or the Hopkins Offer Letter. Pursuant to the Hopkins Offer Letter, Dr. Hopkins is paid an annual base salary and following the end of each calendar year, Dr. Hopkins is eligible to receive a discretionary annual performance bonus based upon our Board’s assessment of our achievement of company performance goals and Dr. Hopkins’ continued employment with the Company.</w:t>
      </w:r>
    </w:p>
    <w:p>
      <w:pPr>
        <w:spacing w:after="0" w:line="75" w:lineRule="exact"/>
        <w:rPr>
          <w:sz w:val="20"/>
          <w:szCs w:val="20"/>
          <w:color w:val="auto"/>
        </w:rPr>
      </w:pPr>
    </w:p>
    <w:p>
      <w:pPr>
        <w:ind w:left="300" w:right="299" w:firstLine="441"/>
        <w:spacing w:after="0" w:line="266" w:lineRule="auto"/>
        <w:rPr>
          <w:sz w:val="20"/>
          <w:szCs w:val="20"/>
          <w:color w:val="auto"/>
        </w:rPr>
      </w:pPr>
      <w:r>
        <w:rPr>
          <w:rFonts w:ascii="Times New Roman" w:cs="Times New Roman" w:eastAsia="Times New Roman" w:hAnsi="Times New Roman"/>
          <w:sz w:val="18"/>
          <w:szCs w:val="18"/>
          <w:color w:val="auto"/>
        </w:rPr>
        <w:t>The severance benefits under the Hopkins Offer Letter are superseded and replaced by the severance payments and benefits under the Company’s Executive Severance Plan, which is described below under the section “— Executive Severance Plan”.</w:t>
      </w:r>
    </w:p>
    <w:p>
      <w:pPr>
        <w:spacing w:after="0" w:line="68" w:lineRule="exact"/>
        <w:rPr>
          <w:sz w:val="20"/>
          <w:szCs w:val="20"/>
          <w:color w:val="auto"/>
        </w:rPr>
      </w:pPr>
    </w:p>
    <w:p>
      <w:pPr>
        <w:ind w:left="300" w:right="619" w:firstLine="441"/>
        <w:spacing w:after="0" w:line="289" w:lineRule="auto"/>
        <w:rPr>
          <w:sz w:val="20"/>
          <w:szCs w:val="20"/>
          <w:color w:val="auto"/>
        </w:rPr>
      </w:pPr>
      <w:r>
        <w:rPr>
          <w:rFonts w:ascii="Times New Roman" w:cs="Times New Roman" w:eastAsia="Times New Roman" w:hAnsi="Times New Roman"/>
          <w:sz w:val="17"/>
          <w:szCs w:val="17"/>
          <w:color w:val="auto"/>
        </w:rPr>
        <w:t>Dr. Hopkins has also entered into a Confidential Information, Non-Solicitation, and Invention Assignment Agreement with us that contains a non-solicitation provision that applies during and for one year following her employment with us and a non-disclosure provision that applies during and following her employment with us.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 w:name="page24"/>
    <w:bookmarkEnd w:id="23"/>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Anthony Gibney</w:t>
      </w:r>
    </w:p>
    <w:p>
      <w:pPr>
        <w:spacing w:after="0" w:line="121" w:lineRule="exact"/>
        <w:rPr>
          <w:sz w:val="20"/>
          <w:szCs w:val="20"/>
          <w:color w:val="auto"/>
        </w:rPr>
      </w:pPr>
    </w:p>
    <w:p>
      <w:pPr>
        <w:ind w:left="300" w:right="339" w:firstLine="441"/>
        <w:spacing w:after="0" w:line="258" w:lineRule="auto"/>
        <w:rPr>
          <w:sz w:val="20"/>
          <w:szCs w:val="20"/>
          <w:color w:val="auto"/>
        </w:rPr>
      </w:pPr>
      <w:r>
        <w:rPr>
          <w:rFonts w:ascii="Times New Roman" w:cs="Times New Roman" w:eastAsia="Times New Roman" w:hAnsi="Times New Roman"/>
          <w:sz w:val="18"/>
          <w:szCs w:val="18"/>
          <w:color w:val="auto"/>
        </w:rPr>
        <w:t>We entered into an amended and restated employment offer letter with Mr. Gibney, who serves as our Chief Financial and Business Officer, effective as of May 13, 2025, or the Gibney Offer Letter. Pursuant to the Gibney Offer Letter, Mr. Gibney is paid an annual base salary and following the end of each calendar year, Mr. Gibney is eligible to receive a discretionary annual performance bonus based upon our Board’s assessment of our achievement of company performance goals and Mr. Gibney’s continued employment with the Company.</w:t>
      </w:r>
    </w:p>
    <w:p>
      <w:pPr>
        <w:spacing w:after="0" w:line="75" w:lineRule="exact"/>
        <w:rPr>
          <w:sz w:val="20"/>
          <w:szCs w:val="20"/>
          <w:color w:val="auto"/>
        </w:rPr>
      </w:pPr>
    </w:p>
    <w:p>
      <w:pPr>
        <w:ind w:left="300" w:right="399" w:firstLine="441"/>
        <w:spacing w:after="0" w:line="282" w:lineRule="auto"/>
        <w:rPr>
          <w:sz w:val="20"/>
          <w:szCs w:val="20"/>
          <w:color w:val="auto"/>
        </w:rPr>
      </w:pPr>
      <w:r>
        <w:rPr>
          <w:rFonts w:ascii="Times New Roman" w:cs="Times New Roman" w:eastAsia="Times New Roman" w:hAnsi="Times New Roman"/>
          <w:sz w:val="18"/>
          <w:szCs w:val="18"/>
          <w:color w:val="auto"/>
        </w:rPr>
        <w:t>Mr. Gibney is also a participant in the Company’s Executive Severance Plan, which is described below under the section “— Executive Severance Plan”.</w:t>
      </w:r>
    </w:p>
    <w:p>
      <w:pPr>
        <w:spacing w:after="0" w:line="54" w:lineRule="exact"/>
        <w:rPr>
          <w:sz w:val="20"/>
          <w:szCs w:val="20"/>
          <w:color w:val="auto"/>
        </w:rPr>
      </w:pPr>
    </w:p>
    <w:p>
      <w:pPr>
        <w:ind w:left="300" w:right="679" w:firstLine="441"/>
        <w:spacing w:after="0" w:line="289" w:lineRule="auto"/>
        <w:rPr>
          <w:sz w:val="20"/>
          <w:szCs w:val="20"/>
          <w:color w:val="auto"/>
        </w:rPr>
      </w:pPr>
      <w:r>
        <w:rPr>
          <w:rFonts w:ascii="Times New Roman" w:cs="Times New Roman" w:eastAsia="Times New Roman" w:hAnsi="Times New Roman"/>
          <w:sz w:val="17"/>
          <w:szCs w:val="17"/>
          <w:color w:val="auto"/>
        </w:rPr>
        <w:t>Mr. Gibney has also entered into a Confidential Information, Non-Solicitation, and Invention Assignment Agreement with us that contains a non-solicitation provision that applies during and for one year following his employment with us and a non-disclosure provision that applies during and following his employment with us.</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Severance Plan</w:t>
      </w:r>
    </w:p>
    <w:p>
      <w:pPr>
        <w:spacing w:after="0" w:line="121" w:lineRule="exact"/>
        <w:rPr>
          <w:sz w:val="20"/>
          <w:szCs w:val="20"/>
          <w:color w:val="auto"/>
        </w:rPr>
      </w:pPr>
    </w:p>
    <w:p>
      <w:pPr>
        <w:ind w:left="300" w:right="399" w:firstLine="441"/>
        <w:spacing w:after="0" w:line="254" w:lineRule="auto"/>
        <w:rPr>
          <w:sz w:val="20"/>
          <w:szCs w:val="20"/>
          <w:color w:val="auto"/>
        </w:rPr>
      </w:pPr>
      <w:r>
        <w:rPr>
          <w:rFonts w:ascii="Times New Roman" w:cs="Times New Roman" w:eastAsia="Times New Roman" w:hAnsi="Times New Roman"/>
          <w:sz w:val="18"/>
          <w:szCs w:val="18"/>
          <w:color w:val="auto"/>
        </w:rPr>
        <w:t>The Compensation Committee has adopted an Executive Severance Plan, or the Severance Plan, for participating executives, including our named executive officers. The Severance Plan provides for severance payments and benefits to covered executives in the event that we terminate the employment of a covered executive without Cause (as defined in the Severance Plan) or if a covered executive resigns with Good Reason (as defined in the Severance Plan). Each such termination or resignation is a “Qualifying Termination”. Upon acceptance of participation in the Severance Plan, the severance payments and benefits under the Severance Plan supersede and replace any severance benefits under any individual employment agreement or offer letter previously entered into between us and a covered executive, including each of our named executive officers.</w:t>
      </w:r>
    </w:p>
    <w:p>
      <w:pPr>
        <w:spacing w:after="0" w:line="84" w:lineRule="exact"/>
        <w:rPr>
          <w:sz w:val="20"/>
          <w:szCs w:val="20"/>
          <w:color w:val="auto"/>
        </w:rPr>
      </w:pPr>
    </w:p>
    <w:p>
      <w:pPr>
        <w:ind w:left="300" w:right="359" w:firstLine="441"/>
        <w:spacing w:after="0" w:line="254" w:lineRule="auto"/>
        <w:rPr>
          <w:sz w:val="20"/>
          <w:szCs w:val="20"/>
          <w:color w:val="auto"/>
        </w:rPr>
      </w:pPr>
      <w:r>
        <w:rPr>
          <w:rFonts w:ascii="Times New Roman" w:cs="Times New Roman" w:eastAsia="Times New Roman" w:hAnsi="Times New Roman"/>
          <w:sz w:val="18"/>
          <w:szCs w:val="18"/>
          <w:color w:val="auto"/>
        </w:rPr>
        <w:t>Under the terms of the Severance Plan, upon a Qualifying Termination outside of the Change of Control Period (defined as the period beginning three months prior and ending 12 months following a Change of Control (as defined in the Severance Plan)), a covered executive will be entitled to receive severance pay in the form of: (i) continuation of the covered executive’s Base Salary (as defined in the Severance Plan) for nine months (12 months in the case of Dr. de los Pinos), and (ii) payment to the group health plan provider or the Consolidated Omnibus Budget Reconciliation Act, or COBRA, provider of the employer cost of the COBRA premiums at the time of the Qualifying Termination applicable to the covered executive and his or her eligible dependents for a period of up to nine months (up to 12 months in the case of Dr. de los Pinos).</w:t>
      </w:r>
    </w:p>
    <w:p>
      <w:pPr>
        <w:spacing w:after="0" w:line="84" w:lineRule="exact"/>
        <w:rPr>
          <w:sz w:val="20"/>
          <w:szCs w:val="20"/>
          <w:color w:val="auto"/>
        </w:rPr>
      </w:pPr>
    </w:p>
    <w:p>
      <w:pPr>
        <w:ind w:left="300" w:right="319" w:firstLine="441"/>
        <w:spacing w:after="0" w:line="253" w:lineRule="auto"/>
        <w:rPr>
          <w:sz w:val="20"/>
          <w:szCs w:val="20"/>
          <w:color w:val="auto"/>
        </w:rPr>
      </w:pPr>
      <w:r>
        <w:rPr>
          <w:rFonts w:ascii="Times New Roman" w:cs="Times New Roman" w:eastAsia="Times New Roman" w:hAnsi="Times New Roman"/>
          <w:sz w:val="18"/>
          <w:szCs w:val="18"/>
          <w:color w:val="auto"/>
        </w:rPr>
        <w:t>Upon a Qualifying Termination within the Change in Control Period, a covered executive will be entitled to receive severance pay in the form of: (i) a lump sum cash payment equivalent to 12 months (18 months in the case of Dr. de los Pinos) of the covered executive’s Base Salary, (ii) a lump sum cash payment equivalent to one times (one and one-half times in the case of Dr. de los Pinos) the covered executive’s Target Bonus (as defined in the Severance Plan) plus the covered executive’s Target Bonus pro-rated for the number of days of service during the year in which the Qualifying Termination occurs, (iii) payment to the group health plan provider or the COBRA provider of the employer cost of the COBRA premiums at the time of the Qualifying Termination applicable to the covered executive and his or her eligible dependents for a period of up to 12 months (18 months in the case of Dr. de los Pinos), and (iv) to cause equity awards with time-based vesting held by the covered executive to immediately become fully vested, exercisable or nonforfeitable. For equity awards held by a covered executive as of November 10, 2024, the effective date of the Severance Plan, such awards shall immediately become fully vested, exercisable or nonforfeitable upon a Change of Control.</w:t>
      </w:r>
    </w:p>
    <w:p>
      <w:pPr>
        <w:spacing w:after="0" w:line="82" w:lineRule="exact"/>
        <w:rPr>
          <w:sz w:val="20"/>
          <w:szCs w:val="20"/>
          <w:color w:val="auto"/>
        </w:rPr>
      </w:pPr>
    </w:p>
    <w:p>
      <w:pPr>
        <w:ind w:left="300" w:right="399" w:firstLine="441"/>
        <w:spacing w:after="0" w:line="266" w:lineRule="auto"/>
        <w:rPr>
          <w:sz w:val="20"/>
          <w:szCs w:val="20"/>
          <w:color w:val="auto"/>
        </w:rPr>
      </w:pPr>
      <w:r>
        <w:rPr>
          <w:rFonts w:ascii="Times New Roman" w:cs="Times New Roman" w:eastAsia="Times New Roman" w:hAnsi="Times New Roman"/>
          <w:sz w:val="18"/>
          <w:szCs w:val="18"/>
          <w:color w:val="auto"/>
        </w:rPr>
        <w:t>As described more fully in the Severance Plan, in order to receive the foregoing benefits, a covered executive must execute a separation agreement and general release of claims in our favor and affirm his or her continuing obligations towards the Company, including his or her ongoing restrictive covenants.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ind w:left="300" w:right="319" w:firstLine="441"/>
        <w:spacing w:after="0" w:line="256" w:lineRule="auto"/>
        <w:rPr>
          <w:sz w:val="20"/>
          <w:szCs w:val="20"/>
          <w:color w:val="auto"/>
        </w:rPr>
      </w:pPr>
      <w:r>
        <w:rPr>
          <w:rFonts w:ascii="Times New Roman" w:cs="Times New Roman" w:eastAsia="Times New Roman" w:hAnsi="Times New Roman"/>
          <w:sz w:val="18"/>
          <w:szCs w:val="18"/>
          <w:color w:val="auto"/>
        </w:rPr>
        <w:t>We believe that although a portion of the compensation provided to our executive officers and other employees is performance-based,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 w:name="page25"/>
    <w:bookmarkEnd w:id="24"/>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121" w:lineRule="exact"/>
        <w:rPr>
          <w:sz w:val="20"/>
          <w:szCs w:val="20"/>
          <w:color w:val="auto"/>
        </w:rPr>
      </w:pPr>
    </w:p>
    <w:p>
      <w:pPr>
        <w:ind w:left="300" w:right="499" w:firstLine="441"/>
        <w:spacing w:after="0" w:line="272" w:lineRule="auto"/>
        <w:rPr>
          <w:sz w:val="20"/>
          <w:szCs w:val="20"/>
          <w:color w:val="auto"/>
        </w:rPr>
      </w:pPr>
      <w:r>
        <w:rPr>
          <w:rFonts w:ascii="Times New Roman" w:cs="Times New Roman" w:eastAsia="Times New Roman" w:hAnsi="Times New Roman"/>
          <w:sz w:val="17"/>
          <w:szCs w:val="17"/>
          <w:color w:val="auto"/>
        </w:rPr>
        <w:t>In accordance with the requirements of the SEC and Nasdaq listing rules, the Compensation Committee has adopted a compensation recovery policy, or clawback policy, that provides that in the event we are required to prepare a restatement of financial statements due to material noncompliance with any financial reporting requirement under securities laws, we must (subject to certain limited exceptions described in the clawback policy and permitted under the SEC and Nasdaq listing rules) recover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 would have received based on the restated financial statements.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300" w:right="399" w:firstLine="441"/>
        <w:spacing w:after="0" w:line="256" w:lineRule="auto"/>
        <w:rPr>
          <w:sz w:val="20"/>
          <w:szCs w:val="20"/>
          <w:color w:val="auto"/>
        </w:rPr>
      </w:pPr>
      <w:r>
        <w:rPr>
          <w:rFonts w:ascii="Times New Roman" w:cs="Times New Roman" w:eastAsia="Times New Roman" w:hAnsi="Times New Roman"/>
          <w:sz w:val="18"/>
          <w:szCs w:val="18"/>
          <w:color w:val="auto"/>
        </w:rPr>
        <w:t>During fiscal year 2025, Teresa Marie Bitetti, David Johnson, Giovanni Mariggi, and Karan Takhar served as members of our Compensation Committee for some or all of such period. None of the members of our Compensation Committee is, or has at any time during the prior three years been, one of our officers or employees. None of our executive officers currently serve, or have in the past fiscal year served, as a member of the Board of Directors or Compensation Committee of any entity that has one or more of its executive officers serving as a member of our Board of Directors or our Compensation Committee.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2025 Year-End</w:t>
      </w:r>
    </w:p>
    <w:p>
      <w:pPr>
        <w:spacing w:after="0" w:line="121" w:lineRule="exact"/>
        <w:rPr>
          <w:sz w:val="20"/>
          <w:szCs w:val="20"/>
          <w:color w:val="auto"/>
        </w:rPr>
      </w:pPr>
    </w:p>
    <w:p>
      <w:pPr>
        <w:ind w:left="300" w:right="47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as of December 31, 2025:</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218"/>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 xml:space="preserve">OPTION AWARDS </w:t>
            </w:r>
            <w:r>
              <w:rPr>
                <w:rFonts w:ascii="Times New Roman" w:cs="Times New Roman" w:eastAsia="Times New Roman" w:hAnsi="Times New Roman"/>
                <w:sz w:val="19"/>
                <w:szCs w:val="19"/>
                <w:b w:val="1"/>
                <w:bCs w:val="1"/>
                <w:color w:val="auto"/>
                <w:vertAlign w:val="superscript"/>
              </w:rPr>
              <w:t>(1)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17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2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60" w:type="dxa"/>
            <w:vAlign w:val="bottom"/>
          </w:tcPr>
          <w:p>
            <w:pPr>
              <w:spacing w:after="0"/>
              <w:rPr>
                <w:sz w:val="12"/>
                <w:szCs w:val="12"/>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2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28"/>
        </w:trPr>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0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260" w:type="dxa"/>
            <w:vAlign w:val="bottom"/>
          </w:tcPr>
          <w:p>
            <w:pPr>
              <w:spacing w:after="0"/>
              <w:rPr>
                <w:sz w:val="11"/>
                <w:szCs w:val="11"/>
                <w:color w:val="auto"/>
              </w:rPr>
            </w:pPr>
          </w:p>
        </w:tc>
        <w:tc>
          <w:tcPr>
            <w:tcW w:w="82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28"/>
        </w:trPr>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20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2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260" w:type="dxa"/>
            <w:vAlign w:val="bottom"/>
          </w:tcPr>
          <w:p>
            <w:pPr>
              <w:spacing w:after="0"/>
              <w:rPr>
                <w:sz w:val="11"/>
                <w:szCs w:val="11"/>
                <w:color w:val="auto"/>
              </w:rPr>
            </w:pPr>
          </w:p>
        </w:tc>
        <w:tc>
          <w:tcPr>
            <w:tcW w:w="82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Vested ($)</w:t>
            </w:r>
          </w:p>
        </w:tc>
        <w:tc>
          <w:tcPr>
            <w:tcW w:w="0" w:type="dxa"/>
            <w:vAlign w:val="bottom"/>
          </w:tcPr>
          <w:p>
            <w:pPr>
              <w:spacing w:after="0"/>
              <w:rPr>
                <w:sz w:val="1"/>
                <w:szCs w:val="1"/>
                <w:color w:val="auto"/>
              </w:rPr>
            </w:pPr>
          </w:p>
        </w:tc>
      </w:tr>
      <w:tr>
        <w:trPr>
          <w:trHeight w:val="126"/>
        </w:trPr>
        <w:tc>
          <w:tcPr>
            <w:tcW w:w="1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0"/>
                <w:szCs w:val="10"/>
                <w:color w:val="auto"/>
              </w:rPr>
            </w:pPr>
          </w:p>
        </w:tc>
        <w:tc>
          <w:tcPr>
            <w:tcW w:w="7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vMerge w:val="restart"/>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vMerge w:val="restart"/>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vMerge w:val="restart"/>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1740" w:type="dxa"/>
            <w:vAlign w:val="bottom"/>
            <w:tcBorders>
              <w:bottom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800" w:type="dxa"/>
            <w:vAlign w:val="bottom"/>
            <w:tcBorders>
              <w:bottom w:val="single" w:sz="8" w:color="auto"/>
            </w:tcBorders>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Borders>
              <w:bottom w:val="single" w:sz="8" w:color="auto"/>
            </w:tcBorders>
            <w:vMerge w:val="continue"/>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auto"/>
              </w:rPr>
              <w:t>(3)</w:t>
            </w: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17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Elisabet de los Pinos, Ph.D.</w:t>
            </w:r>
          </w:p>
        </w:tc>
        <w:tc>
          <w:tcPr>
            <w:tcW w:w="82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2/3/2025</w:t>
            </w:r>
          </w:p>
        </w:tc>
        <w:tc>
          <w:tcPr>
            <w:tcW w:w="10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9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auto"/>
              </w:rPr>
              <w:t>(4)</w:t>
            </w: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194,320</w:t>
            </w:r>
          </w:p>
        </w:tc>
        <w:tc>
          <w:tcPr>
            <w:tcW w:w="260" w:type="dxa"/>
            <w:vAlign w:val="bottom"/>
            <w:vMerge w:val="continue"/>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1,059,044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2/3/2025</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255,680</w:t>
            </w:r>
          </w:p>
        </w:tc>
        <w:tc>
          <w:tcPr>
            <w:tcW w:w="260" w:type="dxa"/>
            <w:vAlign w:val="bottom"/>
            <w:vMerge w:val="continue"/>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2/3/2035</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auto"/>
              </w:rPr>
              <w:t>(5)</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2/1/2024</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auto"/>
              </w:rPr>
              <w:t>(6)</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122,201</w:t>
            </w:r>
          </w:p>
        </w:tc>
        <w:tc>
          <w:tcPr>
            <w:tcW w:w="260" w:type="dxa"/>
            <w:vAlign w:val="bottom"/>
            <w:vMerge w:val="continue"/>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665,995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2/1/2024</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108,655</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128,410</w:t>
            </w:r>
          </w:p>
        </w:tc>
        <w:tc>
          <w:tcPr>
            <w:tcW w:w="260" w:type="dxa"/>
            <w:vAlign w:val="bottom"/>
            <w:vMerge w:val="continue"/>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7.77</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2/1/2034</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auto"/>
              </w:rPr>
              <w:t>(7)</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1/19/2023</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auto"/>
              </w:rPr>
              <w:t>(8)</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60,937</w:t>
            </w:r>
          </w:p>
        </w:tc>
        <w:tc>
          <w:tcPr>
            <w:tcW w:w="260" w:type="dxa"/>
            <w:vAlign w:val="bottom"/>
            <w:vMerge w:val="continue"/>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332,107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1/19/2023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136,718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50,782</w:t>
            </w:r>
          </w:p>
        </w:tc>
        <w:tc>
          <w:tcPr>
            <w:tcW w:w="260" w:type="dxa"/>
            <w:vAlign w:val="bottom"/>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1/19/2033</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10/28/2021</w:t>
            </w:r>
          </w:p>
        </w:tc>
        <w:tc>
          <w:tcPr>
            <w:tcW w:w="9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318,750</w:t>
            </w: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14.00</w:t>
            </w:r>
          </w:p>
        </w:tc>
        <w:tc>
          <w:tcPr>
            <w:tcW w:w="9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10/28/2031</w:t>
            </w: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6/28/2021</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620,437</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6/28/2031</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7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3/16/2020</w:t>
            </w:r>
          </w:p>
        </w:tc>
        <w:tc>
          <w:tcPr>
            <w:tcW w:w="9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194,889</w:t>
            </w: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9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3/16/2030</w:t>
            </w: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2/6/2019</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63,548</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2/6/2029</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7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2/21/2018</w:t>
            </w:r>
          </w:p>
        </w:tc>
        <w:tc>
          <w:tcPr>
            <w:tcW w:w="9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336,171</w:t>
            </w: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9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2/21/2028</w:t>
            </w: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740" w:type="dxa"/>
            <w:vAlign w:val="bottom"/>
          </w:tcPr>
          <w:p>
            <w:pPr>
              <w:spacing w:after="0"/>
              <w:rPr>
                <w:sz w:val="10"/>
                <w:szCs w:val="10"/>
                <w:color w:val="auto"/>
              </w:rPr>
            </w:pPr>
          </w:p>
        </w:tc>
        <w:tc>
          <w:tcPr>
            <w:tcW w:w="8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7/7/2017</w:t>
            </w:r>
          </w:p>
        </w:tc>
        <w:tc>
          <w:tcPr>
            <w:tcW w:w="9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14,598</w:t>
            </w:r>
          </w:p>
        </w:tc>
        <w:tc>
          <w:tcPr>
            <w:tcW w:w="20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5.21</w:t>
            </w:r>
          </w:p>
        </w:tc>
        <w:tc>
          <w:tcPr>
            <w:tcW w:w="9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7/7/2027</w:t>
            </w:r>
          </w:p>
        </w:tc>
        <w:tc>
          <w:tcPr>
            <w:tcW w:w="16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4/11/2016</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14,598</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4/11/2026</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auto"/>
              </w:rPr>
              <w:t>(9)</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Anthony Gibney</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6/2/2025</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260" w:type="dxa"/>
            <w:vAlign w:val="bottom"/>
            <w:vMerge w:val="continue"/>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817,500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7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6/2/2025</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2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6/2/2035</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3/3/2025</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7.21</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3/3/2035</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auto"/>
              </w:rPr>
              <w:t>(3)</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J. Jill Hopkins, M.D.</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2/3/2025</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auto"/>
              </w:rPr>
              <w:t>(4)</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120,635</w:t>
            </w:r>
          </w:p>
        </w:tc>
        <w:tc>
          <w:tcPr>
            <w:tcW w:w="260" w:type="dxa"/>
            <w:vAlign w:val="bottom"/>
            <w:vMerge w:val="continue"/>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657,461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2/3/2025</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79,365</w:t>
            </w:r>
          </w:p>
        </w:tc>
        <w:tc>
          <w:tcPr>
            <w:tcW w:w="260" w:type="dxa"/>
            <w:vAlign w:val="bottom"/>
            <w:vMerge w:val="continue"/>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2/3/2035</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auto"/>
              </w:rPr>
              <w:t>(5)</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2/1/2024</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auto"/>
              </w:rPr>
              <w:t>(6)</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21,386</w:t>
            </w:r>
          </w:p>
        </w:tc>
        <w:tc>
          <w:tcPr>
            <w:tcW w:w="260" w:type="dxa"/>
            <w:vAlign w:val="bottom"/>
            <w:vMerge w:val="continue"/>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116,554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2/1/2024</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19,014</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22,471</w:t>
            </w:r>
          </w:p>
        </w:tc>
        <w:tc>
          <w:tcPr>
            <w:tcW w:w="260" w:type="dxa"/>
            <w:vAlign w:val="bottom"/>
            <w:vMerge w:val="continue"/>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7.77</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2/1/2034</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auto"/>
                <w:w w:val="83"/>
              </w:rPr>
              <w:t>(11)</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17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11/1/2023</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67,500</w:t>
            </w:r>
          </w:p>
        </w:tc>
        <w:tc>
          <w:tcPr>
            <w:tcW w:w="260" w:type="dxa"/>
            <w:vAlign w:val="bottom"/>
            <w:vMerge w:val="continue"/>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367,875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11/1/2023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108,333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91,667</w:t>
            </w:r>
          </w:p>
        </w:tc>
        <w:tc>
          <w:tcPr>
            <w:tcW w:w="2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11/1/2033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-2170430</wp:posOffset>
            </wp:positionV>
            <wp:extent cx="5349240" cy="94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9461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-1981835</wp:posOffset>
            </wp:positionV>
            <wp:extent cx="5349240" cy="939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9398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-1793240</wp:posOffset>
            </wp:positionV>
            <wp:extent cx="5349240" cy="93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9398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-1038860</wp:posOffset>
            </wp:positionV>
            <wp:extent cx="5349240" cy="93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9398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-850265</wp:posOffset>
            </wp:positionV>
            <wp:extent cx="534924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13716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-618490</wp:posOffset>
            </wp:positionV>
            <wp:extent cx="5349240" cy="94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9461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-429895</wp:posOffset>
            </wp:positionV>
            <wp:extent cx="5349240" cy="93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9240" cy="9398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-241300</wp:posOffset>
            </wp:positionV>
            <wp:extent cx="5349240" cy="93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9398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 w:name="page26"/>
    <w:bookmarkEnd w:id="25"/>
    <w:p>
      <w:pPr>
        <w:spacing w:after="0" w:line="200" w:lineRule="exact"/>
        <w:rPr>
          <w:sz w:val="20"/>
          <w:szCs w:val="20"/>
          <w:color w:val="auto"/>
        </w:rPr>
      </w:pPr>
    </w:p>
    <w:p>
      <w:pPr>
        <w:spacing w:after="0" w:line="210" w:lineRule="exact"/>
        <w:rPr>
          <w:sz w:val="20"/>
          <w:szCs w:val="20"/>
          <w:color w:val="auto"/>
        </w:rPr>
      </w:pPr>
    </w:p>
    <w:p>
      <w:pPr>
        <w:ind w:left="1060" w:right="319" w:hanging="444"/>
        <w:spacing w:after="0" w:line="261"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outstanding equity awards in the table above granted prior to our initial public offering, or IPO, was granted pursuant to our Amended and Restated 2009 Stock Option and Restricted Stock Plan, or the 2009 Plan, or the 2018 Plan. Each of the outstanding equity awards in the table above granted following our IPO was granted pursuant to the 2021 Plan.</w:t>
      </w:r>
    </w:p>
    <w:p>
      <w:pPr>
        <w:spacing w:after="0" w:line="71" w:lineRule="exact"/>
        <w:rPr>
          <w:rFonts w:ascii="Times New Roman" w:cs="Times New Roman" w:eastAsia="Times New Roman" w:hAnsi="Times New Roman"/>
          <w:sz w:val="18"/>
          <w:szCs w:val="18"/>
          <w:color w:val="auto"/>
        </w:rPr>
      </w:pPr>
    </w:p>
    <w:p>
      <w:pPr>
        <w:ind w:left="1060" w:right="819" w:hanging="444"/>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equal to $5.45, the closing price of our common stock on December 31, 2025, the last trading day of 2025, times the number of unvested restricted stock units.</w:t>
      </w:r>
    </w:p>
    <w:p>
      <w:pPr>
        <w:spacing w:after="0" w:line="53" w:lineRule="exact"/>
        <w:rPr>
          <w:rFonts w:ascii="Times New Roman" w:cs="Times New Roman" w:eastAsia="Times New Roman" w:hAnsi="Times New Roman"/>
          <w:sz w:val="18"/>
          <w:szCs w:val="18"/>
          <w:color w:val="auto"/>
        </w:rPr>
      </w:pPr>
    </w:p>
    <w:p>
      <w:pPr>
        <w:ind w:left="1060" w:hanging="444"/>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vest in four equal annual installments following February 15, 2025.</w:t>
      </w:r>
    </w:p>
    <w:p>
      <w:pPr>
        <w:spacing w:after="0" w:line="117" w:lineRule="exact"/>
        <w:rPr>
          <w:rFonts w:ascii="Times New Roman" w:cs="Times New Roman" w:eastAsia="Times New Roman" w:hAnsi="Times New Roman"/>
          <w:sz w:val="18"/>
          <w:szCs w:val="18"/>
          <w:color w:val="auto"/>
        </w:rPr>
      </w:pPr>
    </w:p>
    <w:p>
      <w:pPr>
        <w:ind w:left="1060" w:right="519" w:hanging="444"/>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subject to this stock option vest on the first anniversary of February 3, 2025, with the remainder vesting thereafter in 36 equal monthly installments.</w:t>
      </w:r>
    </w:p>
    <w:p>
      <w:pPr>
        <w:spacing w:after="0" w:line="53" w:lineRule="exact"/>
        <w:rPr>
          <w:rFonts w:ascii="Times New Roman" w:cs="Times New Roman" w:eastAsia="Times New Roman" w:hAnsi="Times New Roman"/>
          <w:sz w:val="18"/>
          <w:szCs w:val="18"/>
          <w:color w:val="auto"/>
        </w:rPr>
      </w:pPr>
    </w:p>
    <w:p>
      <w:pPr>
        <w:ind w:left="1060" w:hanging="444"/>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vest in four equal annual installments following February 15, 2024.</w:t>
      </w:r>
    </w:p>
    <w:p>
      <w:pPr>
        <w:spacing w:after="0" w:line="117" w:lineRule="exact"/>
        <w:rPr>
          <w:rFonts w:ascii="Times New Roman" w:cs="Times New Roman" w:eastAsia="Times New Roman" w:hAnsi="Times New Roman"/>
          <w:sz w:val="18"/>
          <w:szCs w:val="18"/>
          <w:color w:val="auto"/>
        </w:rPr>
      </w:pPr>
    </w:p>
    <w:p>
      <w:pPr>
        <w:ind w:left="1060" w:right="519" w:hanging="444"/>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subject to this stock option vest on the first anniversary of February 1, 2024, with the remainder vesting thereafter in 36 equal monthly installments.</w:t>
      </w:r>
    </w:p>
    <w:p>
      <w:pPr>
        <w:spacing w:after="0" w:line="53" w:lineRule="exact"/>
        <w:rPr>
          <w:rFonts w:ascii="Times New Roman" w:cs="Times New Roman" w:eastAsia="Times New Roman" w:hAnsi="Times New Roman"/>
          <w:sz w:val="18"/>
          <w:szCs w:val="18"/>
          <w:color w:val="auto"/>
        </w:rPr>
      </w:pPr>
    </w:p>
    <w:p>
      <w:pPr>
        <w:ind w:left="1060" w:hanging="444"/>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vest in four equal annual installments following January 19, 2023.</w:t>
      </w:r>
    </w:p>
    <w:p>
      <w:pPr>
        <w:spacing w:after="0" w:line="117" w:lineRule="exact"/>
        <w:rPr>
          <w:rFonts w:ascii="Times New Roman" w:cs="Times New Roman" w:eastAsia="Times New Roman" w:hAnsi="Times New Roman"/>
          <w:sz w:val="18"/>
          <w:szCs w:val="18"/>
          <w:color w:val="auto"/>
        </w:rPr>
      </w:pPr>
    </w:p>
    <w:p>
      <w:pPr>
        <w:ind w:left="1060" w:right="519" w:hanging="444"/>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subject to this stock option vest on the first anniversary of January 19, 2023, with the remainder vesting thereafter in 36 equal monthly installments.</w:t>
      </w:r>
    </w:p>
    <w:p>
      <w:pPr>
        <w:spacing w:after="0" w:line="53" w:lineRule="exact"/>
        <w:rPr>
          <w:rFonts w:ascii="Times New Roman" w:cs="Times New Roman" w:eastAsia="Times New Roman" w:hAnsi="Times New Roman"/>
          <w:sz w:val="18"/>
          <w:szCs w:val="18"/>
          <w:color w:val="auto"/>
        </w:rPr>
      </w:pPr>
    </w:p>
    <w:p>
      <w:pPr>
        <w:ind w:left="1060" w:hanging="444"/>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vest in four equal annual installments following June 15, 2025.</w:t>
      </w:r>
    </w:p>
    <w:p>
      <w:pPr>
        <w:spacing w:after="0" w:line="117" w:lineRule="exact"/>
        <w:rPr>
          <w:rFonts w:ascii="Times New Roman" w:cs="Times New Roman" w:eastAsia="Times New Roman" w:hAnsi="Times New Roman"/>
          <w:sz w:val="18"/>
          <w:szCs w:val="18"/>
          <w:color w:val="auto"/>
        </w:rPr>
      </w:pPr>
    </w:p>
    <w:p>
      <w:pPr>
        <w:ind w:left="1060" w:right="739" w:hanging="444"/>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subject to this stock option vest on the first anniversary of May 13, 2025, with the remainder vesting thereafter in 36 equal monthly installments.</w:t>
      </w:r>
    </w:p>
    <w:p>
      <w:pPr>
        <w:spacing w:after="0" w:line="53" w:lineRule="exact"/>
        <w:rPr>
          <w:rFonts w:ascii="Times New Roman" w:cs="Times New Roman" w:eastAsia="Times New Roman" w:hAnsi="Times New Roman"/>
          <w:sz w:val="18"/>
          <w:szCs w:val="18"/>
          <w:color w:val="auto"/>
        </w:rPr>
      </w:pPr>
    </w:p>
    <w:p>
      <w:pPr>
        <w:ind w:left="1060" w:hanging="444"/>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vest in four equal annual installments following November 15, 2023.</w:t>
      </w:r>
    </w:p>
    <w:p>
      <w:pPr>
        <w:spacing w:after="0" w:line="117" w:lineRule="exact"/>
        <w:rPr>
          <w:rFonts w:ascii="Times New Roman" w:cs="Times New Roman" w:eastAsia="Times New Roman" w:hAnsi="Times New Roman"/>
          <w:sz w:val="18"/>
          <w:szCs w:val="18"/>
          <w:color w:val="auto"/>
        </w:rPr>
      </w:pPr>
    </w:p>
    <w:p>
      <w:pPr>
        <w:ind w:left="1060" w:right="499" w:hanging="444"/>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shares subject to this stock option vest on the first anniversary of October 16, 2023, with the remainder vesting thereafter in 36 equal monthly installments.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and Practices Related to Timing of Equity Awards</w:t>
      </w:r>
    </w:p>
    <w:p>
      <w:pPr>
        <w:spacing w:after="0" w:line="121" w:lineRule="exact"/>
        <w:rPr>
          <w:sz w:val="20"/>
          <w:szCs w:val="20"/>
          <w:color w:val="auto"/>
        </w:rPr>
      </w:pPr>
    </w:p>
    <w:p>
      <w:pPr>
        <w:ind w:left="300" w:right="459" w:firstLine="441"/>
        <w:spacing w:after="0" w:line="261" w:lineRule="auto"/>
        <w:rPr>
          <w:sz w:val="20"/>
          <w:szCs w:val="20"/>
          <w:color w:val="auto"/>
        </w:rPr>
      </w:pPr>
      <w:r>
        <w:rPr>
          <w:rFonts w:ascii="Times New Roman" w:cs="Times New Roman" w:eastAsia="Times New Roman" w:hAnsi="Times New Roman"/>
          <w:sz w:val="18"/>
          <w:szCs w:val="18"/>
          <w:color w:val="auto"/>
        </w:rPr>
        <w:t>We have adopted an Equity Award Grant Policy that sets forth the process for us to follow when we grant equity awards to our executive officers and other employees. Our general practice is to not take material nonpublic information into account when determining the timing and terms of an award and to not time the disclosure of material nonpublic information for the purpose of affecting the value of executive compensation.</w:t>
      </w:r>
    </w:p>
    <w:p>
      <w:pPr>
        <w:spacing w:after="0" w:line="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Generally, equity awards are granted on the following regularly scheduled basis as set forth in the policy:</w:t>
      </w:r>
    </w:p>
    <w:p>
      <w:pPr>
        <w:spacing w:after="0" w:line="27" w:lineRule="exact"/>
        <w:rPr>
          <w:sz w:val="20"/>
          <w:szCs w:val="20"/>
          <w:color w:val="auto"/>
        </w:rPr>
      </w:pPr>
    </w:p>
    <w:p>
      <w:pPr>
        <w:jc w:val="both"/>
        <w:ind w:left="1260" w:right="419" w:hanging="320"/>
        <w:spacing w:after="0" w:line="250" w:lineRule="auto"/>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to newly hired or promoted employees are granted on the first trading day of the month following the later of the date employment begins or promotion occurs or the date on which the grant is approved; and</w:t>
      </w:r>
    </w:p>
    <w:p>
      <w:pPr>
        <w:spacing w:after="0" w:line="1" w:lineRule="exact"/>
        <w:rPr>
          <w:rFonts w:ascii="Times New Roman" w:cs="Times New Roman" w:eastAsia="Times New Roman" w:hAnsi="Times New Roman"/>
          <w:sz w:val="18"/>
          <w:szCs w:val="18"/>
          <w:color w:val="auto"/>
        </w:rPr>
      </w:pPr>
    </w:p>
    <w:p>
      <w:pPr>
        <w:ind w:left="1260" w:right="319" w:hanging="320"/>
        <w:spacing w:after="0" w:line="255" w:lineRule="auto"/>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equity awards to our employees, including our executive officers, are granted in the first quarter each year and effective on the first trading day of the month following the date on which the grant is approved.</w:t>
      </w:r>
    </w:p>
    <w:p>
      <w:pPr>
        <w:spacing w:after="0" w:line="78" w:lineRule="exact"/>
        <w:rPr>
          <w:sz w:val="20"/>
          <w:szCs w:val="20"/>
          <w:color w:val="auto"/>
        </w:rPr>
      </w:pPr>
    </w:p>
    <w:p>
      <w:pPr>
        <w:ind w:left="300" w:right="459" w:firstLine="441"/>
        <w:spacing w:after="0" w:line="266" w:lineRule="auto"/>
        <w:rPr>
          <w:sz w:val="20"/>
          <w:szCs w:val="20"/>
          <w:color w:val="auto"/>
        </w:rPr>
      </w:pPr>
      <w:r>
        <w:rPr>
          <w:rFonts w:ascii="Times New Roman" w:cs="Times New Roman" w:eastAsia="Times New Roman" w:hAnsi="Times New Roman"/>
          <w:sz w:val="18"/>
          <w:szCs w:val="18"/>
          <w:color w:val="auto"/>
        </w:rPr>
        <w:t>During fiscal year 2025, we did not grant shares or options to our named executive officers during the four business days prior to or the one business day following the filing of our periodic reports or the filing or furnishing of a Form 8-K that discloses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300" w:right="33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to the extent known by us or ascertainable from public filings, with respect to the beneficial ownership of our common stock as of June 1, 2026 by:</w:t>
      </w:r>
    </w:p>
    <w:p>
      <w:pPr>
        <w:spacing w:after="0" w:line="54" w:lineRule="exact"/>
        <w:rPr>
          <w:sz w:val="20"/>
          <w:szCs w:val="20"/>
          <w:color w:val="auto"/>
        </w:rPr>
      </w:pPr>
    </w:p>
    <w:p>
      <w:pPr>
        <w:ind w:left="1180" w:hanging="448"/>
        <w:spacing w:after="0"/>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180" w:hanging="448"/>
        <w:spacing w:after="0"/>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17" w:lineRule="exact"/>
        <w:rPr>
          <w:rFonts w:ascii="Times New Roman" w:cs="Times New Roman" w:eastAsia="Times New Roman" w:hAnsi="Times New Roman"/>
          <w:sz w:val="18"/>
          <w:szCs w:val="18"/>
          <w:color w:val="auto"/>
        </w:rPr>
      </w:pPr>
    </w:p>
    <w:p>
      <w:pPr>
        <w:ind w:left="1180" w:right="319" w:hanging="448"/>
        <w:spacing w:after="0" w:line="282"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greater than 5.0% of our common stock.</w:t>
      </w:r>
    </w:p>
    <w:p>
      <w:pPr>
        <w:spacing w:after="0" w:line="162" w:lineRule="exact"/>
        <w:rPr>
          <w:sz w:val="20"/>
          <w:szCs w:val="20"/>
          <w:color w:val="auto"/>
        </w:rPr>
      </w:pPr>
    </w:p>
    <w:p>
      <w:pPr>
        <w:ind w:left="300" w:right="539" w:firstLine="441"/>
        <w:spacing w:after="0" w:line="282" w:lineRule="auto"/>
        <w:rPr>
          <w:sz w:val="20"/>
          <w:szCs w:val="20"/>
          <w:color w:val="auto"/>
        </w:rPr>
      </w:pPr>
      <w:r>
        <w:rPr>
          <w:rFonts w:ascii="Times New Roman" w:cs="Times New Roman" w:eastAsia="Times New Roman" w:hAnsi="Times New Roman"/>
          <w:sz w:val="18"/>
          <w:szCs w:val="18"/>
          <w:color w:val="auto"/>
        </w:rPr>
        <w:t>The column entitled “Shares Beneficially Owned” is based on a total of 103,397,416 shares of our common stock outstanding as of June 1, 2026.</w:t>
      </w:r>
    </w:p>
    <w:p>
      <w:pPr>
        <w:spacing w:after="0" w:line="162" w:lineRule="exact"/>
        <w:rPr>
          <w:sz w:val="20"/>
          <w:szCs w:val="20"/>
          <w:color w:val="auto"/>
        </w:rPr>
      </w:pPr>
    </w:p>
    <w:p>
      <w:pPr>
        <w:ind w:left="300" w:right="399" w:firstLine="441"/>
        <w:spacing w:after="0" w:line="270"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of June 1, 2026, as well as restricted stock units vesting within 60 days after June 1, 2026,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The information provided in the table below may not reflect any changes to ownership interests resulting from our May 2026 underwritten public offering, or the 2026 Follow-On Offering, to the extent such beneficial ownership changes are not included in public filings.</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 (1)</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8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5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&gt; 5% Stockholders:</w:t>
            </w:r>
          </w:p>
        </w:tc>
        <w:tc>
          <w:tcPr>
            <w:tcW w:w="10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Entities affiliated with TCG Crossover </w:t>
            </w:r>
            <w:r>
              <w:rPr>
                <w:rFonts w:ascii="Times New Roman" w:cs="Times New Roman" w:eastAsia="Times New Roman" w:hAnsi="Times New Roman"/>
                <w:sz w:val="24"/>
                <w:szCs w:val="24"/>
                <w:color w:val="auto"/>
                <w:vertAlign w:val="superscript"/>
              </w:rPr>
              <w:t>(2)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10,423,133</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Adage Capital Partners, L.P. </w:t>
            </w:r>
            <w:r>
              <w:rPr>
                <w:rFonts w:ascii="Times New Roman" w:cs="Times New Roman" w:eastAsia="Times New Roman" w:hAnsi="Times New Roman"/>
                <w:sz w:val="24"/>
                <w:szCs w:val="24"/>
                <w:color w:val="auto"/>
                <w:vertAlign w:val="superscript"/>
              </w:rPr>
              <w:t>(3)</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9,345,419</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5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Entities affiliated with Frazier </w:t>
            </w:r>
            <w:r>
              <w:rPr>
                <w:rFonts w:ascii="Times New Roman" w:cs="Times New Roman" w:eastAsia="Times New Roman" w:hAnsi="Times New Roman"/>
                <w:sz w:val="24"/>
                <w:szCs w:val="24"/>
                <w:color w:val="auto"/>
                <w:vertAlign w:val="superscript"/>
              </w:rPr>
              <w:t>(4)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6,375,000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David Johnson </w:t>
            </w:r>
            <w:r>
              <w:rPr>
                <w:rFonts w:ascii="Times New Roman" w:cs="Times New Roman" w:eastAsia="Times New Roman" w:hAnsi="Times New Roman"/>
                <w:sz w:val="24"/>
                <w:szCs w:val="24"/>
                <w:color w:val="auto"/>
                <w:vertAlign w:val="superscript"/>
              </w:rPr>
              <w:t>(5)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882,506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J. Jill Hopkins, M.D. </w:t>
            </w:r>
            <w:r>
              <w:rPr>
                <w:rFonts w:ascii="Times New Roman" w:cs="Times New Roman" w:eastAsia="Times New Roman" w:hAnsi="Times New Roman"/>
                <w:sz w:val="24"/>
                <w:szCs w:val="24"/>
                <w:color w:val="auto"/>
                <w:vertAlign w:val="superscript"/>
              </w:rPr>
              <w:t>(6)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250,724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Anthony Gibney </w:t>
            </w:r>
            <w:r>
              <w:rPr>
                <w:rFonts w:ascii="Times New Roman" w:cs="Times New Roman" w:eastAsia="Times New Roman" w:hAnsi="Times New Roman"/>
                <w:sz w:val="24"/>
                <w:szCs w:val="24"/>
                <w:color w:val="auto"/>
                <w:vertAlign w:val="superscript"/>
              </w:rPr>
              <w:t>(7)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184,849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Sapna Srivastava, Ph.D. </w:t>
            </w:r>
            <w:r>
              <w:rPr>
                <w:rFonts w:ascii="Times New Roman" w:cs="Times New Roman" w:eastAsia="Times New Roman" w:hAnsi="Times New Roman"/>
                <w:sz w:val="24"/>
                <w:szCs w:val="24"/>
                <w:color w:val="auto"/>
                <w:vertAlign w:val="superscript"/>
              </w:rPr>
              <w:t>(8)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156,649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Antony Mattessich </w:t>
            </w:r>
            <w:r>
              <w:rPr>
                <w:rFonts w:ascii="Times New Roman" w:cs="Times New Roman" w:eastAsia="Times New Roman" w:hAnsi="Times New Roman"/>
                <w:sz w:val="24"/>
                <w:szCs w:val="24"/>
                <w:color w:val="auto"/>
                <w:vertAlign w:val="superscript"/>
              </w:rPr>
              <w:t>(9)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156,649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Teresa Bitetti </w:t>
            </w:r>
            <w:r>
              <w:rPr>
                <w:rFonts w:ascii="Times New Roman" w:cs="Times New Roman" w:eastAsia="Times New Roman" w:hAnsi="Times New Roman"/>
                <w:sz w:val="24"/>
                <w:szCs w:val="24"/>
                <w:color w:val="auto"/>
                <w:vertAlign w:val="superscript"/>
              </w:rPr>
              <w:t>(10)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Natalie Holles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Giovanni Mariggi, Ph.D.</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Karan Takhar</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556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All current executive officers and directors as a group</w:t>
            </w: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560" w:type="dxa"/>
            <w:vAlign w:val="bottom"/>
            <w:shd w:val="clear" w:color="auto" w:fill="CFF0FC"/>
          </w:tcPr>
          <w:p>
            <w:pPr>
              <w:ind w:left="120"/>
              <w:spacing w:after="0" w:line="255" w:lineRule="exact"/>
              <w:rPr>
                <w:sz w:val="20"/>
                <w:szCs w:val="20"/>
                <w:color w:val="auto"/>
              </w:rPr>
            </w:pPr>
            <w:r>
              <w:rPr>
                <w:rFonts w:ascii="Times New Roman" w:cs="Times New Roman" w:eastAsia="Times New Roman" w:hAnsi="Times New Roman"/>
                <w:sz w:val="18"/>
                <w:szCs w:val="18"/>
                <w:color w:val="auto"/>
              </w:rPr>
              <w:t>(11 persons)</w:t>
            </w:r>
            <w:r>
              <w:rPr>
                <w:rFonts w:ascii="Times New Roman" w:cs="Times New Roman" w:eastAsia="Times New Roman" w:hAnsi="Times New Roman"/>
                <w:sz w:val="24"/>
                <w:szCs w:val="24"/>
                <w:color w:val="auto"/>
                <w:vertAlign w:val="superscript"/>
              </w:rPr>
              <w:t>(11)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1,982,945</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*Represents beneficial ownership of less than one percent.</w:t>
      </w:r>
    </w:p>
    <w:p>
      <w:pPr>
        <w:spacing w:after="0" w:line="117" w:lineRule="exact"/>
        <w:rPr>
          <w:sz w:val="20"/>
          <w:szCs w:val="20"/>
          <w:color w:val="auto"/>
        </w:rPr>
      </w:pPr>
    </w:p>
    <w:p>
      <w:pPr>
        <w:ind w:left="1180" w:right="759" w:hanging="448"/>
        <w:spacing w:after="0" w:line="282" w:lineRule="auto"/>
        <w:tabs>
          <w:tab w:leader="none" w:pos="1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address for each beneficial owner is c/o Aura Biosciences, Inc., 80 Guest Street, Boston, MA 02135.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7" w:name="page28"/>
    <w:bookmarkEnd w:id="27"/>
    <w:p>
      <w:pPr>
        <w:spacing w:after="0" w:line="86" w:lineRule="exact"/>
        <w:rPr>
          <w:sz w:val="20"/>
          <w:szCs w:val="20"/>
          <w:color w:val="auto"/>
        </w:rPr>
      </w:pPr>
    </w:p>
    <w:p>
      <w:pPr>
        <w:ind w:left="1180" w:right="319" w:hanging="448"/>
        <w:spacing w:after="0" w:line="253" w:lineRule="auto"/>
        <w:tabs>
          <w:tab w:leader="none" w:pos="1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is based on our warrant records and the Schedule 13G filed with the SEC on May 12, 2026, jointly, by TCG Crossover Fund II, L.P., or TCG Crossover II, TCG Crossover GP II, LLC, or TCG Crossover GP II, TCG Crossover Fund III, L.P., or TCG Crossover III, and TCG Crossover GP III, LLC, or TCG Crossover GP III, and Chen Yu. Consists of (i) 4,766,667 shares of common stock held of record by TCG Crossover II and (ii) 4,766,666 shares of common stock held of record by TCG Crossover III. In addition, an aggregate of 3,800,000 shares of common stock subject to pre-funded warrants are held of record by TCG Crossover II and held of record by TCG Crossover III. The pre-funded warrants are subject to a beneficial ownership limitation, such that the pre-funded warrants may not be exercised if immediately prior to or as a result of such exercise would result in beneficial ownership by a holder, together with that of its affiliates and any member of a Section 13(d) group, of more than 9.99% of our common stock. Accordingly, the beneficial ownership reflected in the table above includes an aggregate of 889,800 shares underlying pre-funded warrants that are deemed exercisable for shares of common stock within the beneficial ownership limitation, and it excludes an aggregate of 2,910,200 shares underlying such pre-funded warrants. TCG Crossover GP II is the general partner of TCG Crossover II and may be deemed to have voting, investment, and dispositive power with respect to the securities held of record by TCG Crossover II. TCG Crossover GP III is the general partner of TCG Crossover III and may be deemed to have voting, investment, and dispositive power with respect to the securities held of record by TCG Crossover III. Chen Yu is the sole managing member of each of TCG Crossover GP II and TCG Crossover GP III and may be deemed to share voting, investment and dispositive power with respect to the securities held of record by TCG Crossover II and TCG Crossover III. The address of the entities referenced in this footnote is 245 Lytton Ave., Suite 350, Palo Alto, CA 94301.</w:t>
      </w:r>
    </w:p>
    <w:p>
      <w:pPr>
        <w:spacing w:after="0" w:line="86" w:lineRule="exact"/>
        <w:rPr>
          <w:rFonts w:ascii="Times New Roman" w:cs="Times New Roman" w:eastAsia="Times New Roman" w:hAnsi="Times New Roman"/>
          <w:sz w:val="18"/>
          <w:szCs w:val="18"/>
          <w:color w:val="auto"/>
        </w:rPr>
      </w:pPr>
    </w:p>
    <w:p>
      <w:pPr>
        <w:ind w:left="1180" w:right="299" w:hanging="448"/>
        <w:spacing w:after="0" w:line="252" w:lineRule="auto"/>
        <w:tabs>
          <w:tab w:leader="none" w:pos="1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does not account for the purchase of shares of common stock issued in connection with the 2026 Follow-On Offering and is based on the Schedule 13G/A filed with the SEC on November 12, 2024, jointly, by Adage Capital Partners, L.P., or ACP, Adage Capital Partners GP, L.L.C., or ACPGP, Adage Capital Management, L.P., or ACM, Robert Atchinson and Phillip Gross, and our warrant records. ACP is the record owner of 4,881,125 shares of common stock and 892,859 warrants to purchase shares of common stock that are exercisable within 60 days of June 1, 2026. In addition, an aggregate of 3,571,435 shares of common stock subject to pre-funded warrants are held of record by ACP, which pre-funded warrants may not be exercised if immediately prior to or as a result of such exercise would result in beneficial ownership by a holder, together with that of its affiliates and any member of a Section 13(d) group, of more than 9.99% of our common stock. Accordingly, the beneficial ownership reflected in the table above includes an aggregate of 3,571,435 shares underlying pre-funded warrants that are deemed exercisable for shares of common stock within the beneficial ownership limitation. ACPGP is the general partner of ACP. ACM is the investment manager of ACP. Mr. Atchinson is (a) a managing member of Adage Capital Advisors, L.L.C., or ACA, managing member of ACPGP, and (b) a managing member of Adage Capital Partners LLC, or ACPLLC, general partner of ACM. Mr. Gross is (a) a managing member of ACA, managing member of ACPGP, and (b) a managing member of ACPLLC, general partner of ACM. Mr. Atchinson and Mr. Gross have shared power to vote the shares beneficially owned by ACP. The address for ACP, Mr. Atchinson and Mr. Gross is 200 Clarendon Street, 52nd floor, Boston, Massachusetts 02116.</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 w:name="page29"/>
    <w:bookmarkEnd w:id="28"/>
    <w:p>
      <w:pPr>
        <w:spacing w:after="0" w:line="86" w:lineRule="exact"/>
        <w:rPr>
          <w:sz w:val="20"/>
          <w:szCs w:val="20"/>
          <w:color w:val="auto"/>
        </w:rPr>
      </w:pPr>
    </w:p>
    <w:p>
      <w:pPr>
        <w:ind w:left="1180" w:right="299" w:hanging="448"/>
        <w:spacing w:after="0" w:line="251" w:lineRule="auto"/>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herein does not account for the purchase of shares of common stock issued in connection with the 2026 Follow-On Offering and is based on the Schedule 13G/A filed with the SEC on February 13, 2026, jointly, by Frazier Life Sciences Public Fund, L.P., FHMLSP, L.P., FHMLSP, L.L.C., Frazier Life Sciences X, L.P., or FLS X, FHMLS X, L.P., FHMLS X, L.L.C., Frazier Life Sciences XI, L.P., or FLS XI, FHMLS XI, L.P., FHMLS XI, L.L.C., Frazier Life Sciences XII, L.P., or FLS XII, FHMLS XII, L.P., FHMLS XII, L.L.C., James N. Topper and Patrick J. Heron. Frazier Life Sciences Public Fund, L.P. is the record owner of 4,032,060 shares of common stock and 1,008,016 warrants to purchase shares of common stock that are exercisable within 60 days of June 1, 2026. FHMLSP, L.P. is the general partner of Frazier Life Sciences Public Fund, L.P. and the general partner of FHMLSP, L.P. is FHMLSP, L.L.C., which is managed by an investment committee of four that acts by majority vote. Accordingly, no members of such committee are attributed beneficial ownership of the securities directly held by Frazier Life Sciences Public Fund, L.P. FLS X is the record owner of 128,520 shares of common stock and 32,130 warrants to purchase shares of common stock that are exercisable within 60 days of June 1, 2026. FHMLS X, L.P. is the general partner of FLS X and FHMLS X, L.L.C. is the general partner of FHMLS X, L.P. Heron and Topper are the members of FHMLS X, L.L.C. and therefore share voting and investment power over the shares of common stock held by FLS X. FLS XI is the record owner of 342,210 shares of common stock and 85,552 warrants to purchase shares of common stock that are exercisable within 60 days of June 1, 2026. FHMLS XI, L.P. is the general partner of FLS XI and the general partner of FHMLS XI, L.P. is FHMLS XI, L.L.C., which is managed by an investment committee of three that acts by majority vote. Accordingly, no members of such committee are attributed beneficial ownership of the securities directly held by FLS XI. FLS XII is the record owner of 597,210 shares of common stock and 149,302 warrants to purchase shares of common stock that are exercisable within 60 days of June 1, 2026. FHMLS XII, L.P. is the general partner of FLS XII and the general partner of FHMLS XII, L.P. is FHMLS XII, L.L.C., which is managed by an investment committee of three that acts by majority vote. Accordingly, no members of such committee are attributed beneficial ownership of the securities directly held by FLS XII. The address for each of the entities and individuals identified in this footnote is 1001 Page Mill Rd, Building 4, Suite B, Palo Alto, CA 94304.</w:t>
      </w:r>
    </w:p>
    <w:p>
      <w:pPr>
        <w:spacing w:after="0" w:line="94" w:lineRule="exact"/>
        <w:rPr>
          <w:rFonts w:ascii="Times New Roman" w:cs="Times New Roman" w:eastAsia="Times New Roman" w:hAnsi="Times New Roman"/>
          <w:sz w:val="18"/>
          <w:szCs w:val="18"/>
          <w:color w:val="auto"/>
        </w:rPr>
      </w:pPr>
    </w:p>
    <w:p>
      <w:pPr>
        <w:ind w:left="1180" w:right="319" w:hanging="448"/>
        <w:spacing w:after="0" w:line="255" w:lineRule="auto"/>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139,672 shares of common stock held by Velocity Capital Management LLC, an entity that Mr. Johnson is the sole member of, (ii) 166,167 shares of common stock held individually, (iii) 150,000 shares of common stock held in irrevocable trusts, (iv) options to purchase 408,667 shares of our common stock that are exercisable within 60 days of June 1, 2026, which are individually held by Mr. Johnson, (v) 13,000 shares of common stock issuable upon the vesting of restricted stock units within 60 days of June 1, 2026, held by Mr. Johnson and (vi) warrants to purchase 5,000 shares of our common stock that are exercisable within 60 days of June 1, 2026.</w:t>
      </w:r>
    </w:p>
    <w:p>
      <w:pPr>
        <w:spacing w:after="0" w:line="80" w:lineRule="exact"/>
        <w:rPr>
          <w:rFonts w:ascii="Times New Roman" w:cs="Times New Roman" w:eastAsia="Times New Roman" w:hAnsi="Times New Roman"/>
          <w:sz w:val="18"/>
          <w:szCs w:val="18"/>
          <w:color w:val="auto"/>
        </w:rPr>
      </w:pPr>
    </w:p>
    <w:p>
      <w:pPr>
        <w:ind w:left="1180" w:right="539" w:hanging="448"/>
        <w:spacing w:after="0" w:line="282" w:lineRule="auto"/>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60,051 shares of common stock held individually, and (ii) options to purchase 190,673 shares of our common stock that are exercisable within 60 days of June 1,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 w:name="page30"/>
    <w:bookmarkEnd w:id="29"/>
    <w:p>
      <w:pPr>
        <w:spacing w:after="0" w:line="86" w:lineRule="exact"/>
        <w:rPr>
          <w:sz w:val="20"/>
          <w:szCs w:val="20"/>
          <w:color w:val="auto"/>
        </w:rPr>
      </w:pPr>
    </w:p>
    <w:p>
      <w:pPr>
        <w:ind w:left="1180" w:right="339" w:hanging="448"/>
        <w:spacing w:after="0" w:line="281" w:lineRule="auto"/>
        <w:tabs>
          <w:tab w:leader="none" w:pos="11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56,933 shares of common stock held individually, (ii) options to purchase 77,916 shares of our common stock that are exercisable within 60 days of June 1, 2026, (iii) 37,500 shares of common stock issuable upon the vesting of restricted stock units within 60 days of June 1, 2026 and (iv) warrants to purchase 12,500 shares of our common stock that are exercisable within 60 days of June 1, 2026.</w:t>
      </w:r>
    </w:p>
    <w:p>
      <w:pPr>
        <w:spacing w:after="0" w:line="56" w:lineRule="exact"/>
        <w:rPr>
          <w:rFonts w:ascii="Times New Roman" w:cs="Times New Roman" w:eastAsia="Times New Roman" w:hAnsi="Times New Roman"/>
          <w:sz w:val="17"/>
          <w:szCs w:val="17"/>
          <w:color w:val="auto"/>
        </w:rPr>
      </w:pPr>
    </w:p>
    <w:p>
      <w:pPr>
        <w:ind w:left="1180" w:right="359" w:hanging="448"/>
        <w:spacing w:after="0" w:line="266" w:lineRule="auto"/>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10,500 shares of common stock held individually, (ii) options to purchase 133,149 shares of our common stock that are exercisable within 60 days of June 1, 2026 and (iii) 13,000 shares of common stock issuable upon the vesting of restricted stock units within 60 days of June 1, 2026.</w:t>
      </w:r>
    </w:p>
    <w:p>
      <w:pPr>
        <w:spacing w:after="0" w:line="67" w:lineRule="exact"/>
        <w:rPr>
          <w:rFonts w:ascii="Times New Roman" w:cs="Times New Roman" w:eastAsia="Times New Roman" w:hAnsi="Times New Roman"/>
          <w:sz w:val="18"/>
          <w:szCs w:val="18"/>
          <w:color w:val="auto"/>
        </w:rPr>
      </w:pPr>
    </w:p>
    <w:p>
      <w:pPr>
        <w:ind w:left="1180" w:right="359" w:hanging="448"/>
        <w:spacing w:after="0" w:line="266" w:lineRule="auto"/>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10,500 shares of common stock held individually, (ii) options to purchase 133,149 shares of our common stock that are exercisable within 60 days of June 1, 2026 and (iii) 13,000 shares of common stock issuable upon the vesting of restricted stock units within 60 days of June 1, 2026.</w:t>
      </w:r>
    </w:p>
    <w:p>
      <w:pPr>
        <w:spacing w:after="0" w:line="67" w:lineRule="exact"/>
        <w:rPr>
          <w:rFonts w:ascii="Times New Roman" w:cs="Times New Roman" w:eastAsia="Times New Roman" w:hAnsi="Times New Roman"/>
          <w:sz w:val="18"/>
          <w:szCs w:val="18"/>
          <w:color w:val="auto"/>
        </w:rPr>
      </w:pPr>
    </w:p>
    <w:p>
      <w:pPr>
        <w:ind w:left="1180" w:right="319" w:hanging="448"/>
        <w:spacing w:after="0" w:line="282" w:lineRule="auto"/>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7,000 shares of common stock held individually, and (ii) options to purchase 9,666 shares of our common stock that are exercisable within 60 days of June 1, 2026.</w:t>
      </w:r>
    </w:p>
    <w:p>
      <w:pPr>
        <w:spacing w:after="0" w:line="53" w:lineRule="exact"/>
        <w:rPr>
          <w:rFonts w:ascii="Times New Roman" w:cs="Times New Roman" w:eastAsia="Times New Roman" w:hAnsi="Times New Roman"/>
          <w:sz w:val="18"/>
          <w:szCs w:val="18"/>
          <w:color w:val="auto"/>
        </w:rPr>
      </w:pPr>
    </w:p>
    <w:p>
      <w:pPr>
        <w:ind w:left="1180" w:right="479" w:hanging="448"/>
        <w:spacing w:after="0" w:line="261" w:lineRule="auto"/>
        <w:tabs>
          <w:tab w:leader="none" w:pos="1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689,747 shares of common stock, (ii) 76,500 shares of common stock issuable upon the vesting of restricted stock units within 60 days of June 1, 2026, (iii) options to purchase 1,199,198 shares of our common stock that are exercisable within 60 days of June 1, 2026, and (iv) warrants to purchase 17,500 shares of our common stock that are exercisable within 60 days of June 1, 2026.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ind w:left="300" w:right="359" w:firstLine="441"/>
        <w:spacing w:after="0" w:line="270" w:lineRule="auto"/>
        <w:rPr>
          <w:sz w:val="20"/>
          <w:szCs w:val="20"/>
          <w:color w:val="auto"/>
        </w:rPr>
      </w:pPr>
      <w:r>
        <w:rPr>
          <w:rFonts w:ascii="Times New Roman" w:cs="Times New Roman" w:eastAsia="Times New Roman" w:hAnsi="Times New Roman"/>
          <w:sz w:val="17"/>
          <w:szCs w:val="17"/>
          <w:color w:val="auto"/>
        </w:rPr>
        <w:t>Some banks, brokers and other nominee record holders may be participating in the practice of “householding” proxy materials. This means that only one set of proxy materials may have been sent to multiple stockholders in your household. We will promptly deliver a separate copy of the proxy materials to you upon written or oral request to Aura Biosciences, Inc., 80 Guest Street, Boston, MA 02135, Attention: Corporate Secretary, telephone: (617)</w:t>
      </w:r>
    </w:p>
    <w:p>
      <w:pPr>
        <w:spacing w:after="0" w:line="3"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500-8864. If you want to receive separate copies of the proxy materials in the future, or if you are receiving multiple copies and would like to receive only one copy per household, you should contact your bank, broker or other nominee record holder, or you may contact us at the above address and phone number.</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ind w:left="300" w:right="339" w:firstLine="441"/>
        <w:spacing w:after="0" w:line="254"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2027 proxy statement must submit the proposal in accordance with the procedures outlined in Rule 14a-8 of the Exchange Act so that it is received by us no later than December 21, 2026. However, if the date of the 2027 Annual Meeting of Stockholders is changed by more than 30 days from the date of the previous year’s meeting, then the deadline is a reasonable time before we begin to print and send our proxy statement for the 2027 Annual Meeting of Stockholders. The SEC rules set standards for eligibility and specify the types of stockholder proposals that may be excluded from a proxy statement. Stockholder proposals must be delivered by mail to Aura Biosciences, Inc., 80 Guest Street, Boston, MA 02135, Attention: Corporate Secretary. We also encourage you to submit any such proposals via email to proxy@aurabiosciences.com.</w:t>
      </w:r>
    </w:p>
    <w:p>
      <w:pPr>
        <w:spacing w:after="0" w:line="188" w:lineRule="exact"/>
        <w:rPr>
          <w:sz w:val="20"/>
          <w:szCs w:val="20"/>
          <w:color w:val="auto"/>
        </w:rPr>
      </w:pPr>
    </w:p>
    <w:p>
      <w:pPr>
        <w:ind w:left="300" w:right="479" w:firstLine="441"/>
        <w:spacing w:after="0" w:line="266" w:lineRule="auto"/>
        <w:rPr>
          <w:sz w:val="20"/>
          <w:szCs w:val="20"/>
          <w:color w:val="auto"/>
        </w:rPr>
      </w:pPr>
      <w:r>
        <w:rPr>
          <w:rFonts w:ascii="Times New Roman" w:cs="Times New Roman" w:eastAsia="Times New Roman" w:hAnsi="Times New Roman"/>
          <w:sz w:val="18"/>
          <w:szCs w:val="18"/>
          <w:color w:val="auto"/>
        </w:rPr>
        <w:t>To comply with the universal proxy rules, stockholders who intend to solicit proxies in support of director nominees other than the Company’s nominees must provide notice that sets forth the information required by Rule 14a-19 under the Exchange Act no later than April 12, 2027.</w:t>
      </w:r>
    </w:p>
    <w:p>
      <w:pPr>
        <w:spacing w:after="0" w:line="176" w:lineRule="exact"/>
        <w:rPr>
          <w:sz w:val="20"/>
          <w:szCs w:val="20"/>
          <w:color w:val="auto"/>
        </w:rPr>
      </w:pPr>
    </w:p>
    <w:p>
      <w:pPr>
        <w:ind w:left="300" w:right="299" w:firstLine="441"/>
        <w:spacing w:after="0" w:line="255"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89" w:lineRule="exact"/>
        <w:rPr>
          <w:sz w:val="20"/>
          <w:szCs w:val="20"/>
          <w:color w:val="auto"/>
        </w:rPr>
      </w:pPr>
    </w:p>
    <w:p>
      <w:pPr>
        <w:ind w:left="300" w:right="339" w:firstLine="441"/>
        <w:spacing w:after="0" w:line="253"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2027 Annual Meeting of Stockholders, the required notice must be received by our Corporate Secretary at our principal executive offices no earlier than February 17, 2027 and no later than March 19, 2027. Stockholder proposals and the required notice should be addressed to Aura Biosciences, Inc., 80 Guest Street, Boston, MA 02135, Attention: Corporate Secretary.</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300" w:right="419" w:firstLine="441"/>
        <w:spacing w:after="0" w:line="261"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brought before the Special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1" w:name="page32"/>
    <w:bookmarkEnd w:id="31"/>
    <w:p>
      <w:pPr>
        <w:spacing w:after="0" w:line="19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TENTH 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AURA BIOSCIENCES, INC.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180" w:lineRule="exact"/>
        <w:rPr>
          <w:sz w:val="20"/>
          <w:szCs w:val="20"/>
          <w:color w:val="auto"/>
        </w:rPr>
      </w:pPr>
    </w:p>
    <w:p>
      <w:pPr>
        <w:ind w:left="300" w:right="299" w:firstLine="648"/>
        <w:spacing w:after="0" w:line="282" w:lineRule="auto"/>
        <w:rPr>
          <w:sz w:val="20"/>
          <w:szCs w:val="20"/>
          <w:color w:val="auto"/>
        </w:rPr>
      </w:pPr>
      <w:r>
        <w:rPr>
          <w:rFonts w:ascii="Times New Roman" w:cs="Times New Roman" w:eastAsia="Times New Roman" w:hAnsi="Times New Roman"/>
          <w:sz w:val="18"/>
          <w:szCs w:val="18"/>
          <w:color w:val="auto"/>
        </w:rPr>
        <w:t>Aura Biosciences, Inc., a corporation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21" w:lineRule="exact"/>
        <w:rPr>
          <w:sz w:val="20"/>
          <w:szCs w:val="20"/>
          <w:color w:val="auto"/>
        </w:rPr>
      </w:pPr>
    </w:p>
    <w:p>
      <w:pPr>
        <w:jc w:val="both"/>
        <w:ind w:left="300" w:right="299" w:firstLine="640"/>
        <w:spacing w:after="0" w:line="258" w:lineRule="auto"/>
        <w:tabs>
          <w:tab w:leader="none" w:pos="11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was originally incorporated pursuant to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on January 13, 2009. A Tenth Amended and Restated Certificate of Incorporation was filed with the Secretary of State of the State of Delaware on November 2, 2021 and amended on June 20, 2024 (as amended,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Pursuant to Section 242 of the DGCL, this Certificate of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certain provisions of the Charter.</w:t>
      </w:r>
    </w:p>
    <w:p>
      <w:pPr>
        <w:spacing w:after="0" w:line="183" w:lineRule="exact"/>
        <w:rPr>
          <w:rFonts w:ascii="Times New Roman" w:cs="Times New Roman" w:eastAsia="Times New Roman" w:hAnsi="Times New Roman"/>
          <w:sz w:val="18"/>
          <w:szCs w:val="18"/>
          <w:color w:val="auto"/>
        </w:rPr>
      </w:pPr>
    </w:p>
    <w:p>
      <w:pPr>
        <w:ind w:left="300" w:right="319" w:firstLine="640"/>
        <w:spacing w:after="0" w:line="282" w:lineRule="auto"/>
        <w:tabs>
          <w:tab w:leader="none" w:pos="11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has been approved and duly adopted by the Corporation’s Board of Directors and stockholders in accordance with the provisions of Section 242 of the DGCL.</w:t>
      </w:r>
    </w:p>
    <w:p>
      <w:pPr>
        <w:spacing w:after="0" w:line="161" w:lineRule="exact"/>
        <w:rPr>
          <w:rFonts w:ascii="Times New Roman" w:cs="Times New Roman" w:eastAsia="Times New Roman" w:hAnsi="Times New Roman"/>
          <w:sz w:val="18"/>
          <w:szCs w:val="18"/>
          <w:color w:val="auto"/>
        </w:rPr>
      </w:pPr>
    </w:p>
    <w:p>
      <w:pPr>
        <w:ind w:left="1180" w:hanging="240"/>
        <w:spacing w:after="0"/>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is hereby amended by replacing the first paragraph of Article IV in its entirety as follows:</w:t>
      </w:r>
    </w:p>
    <w:p>
      <w:pPr>
        <w:spacing w:after="0" w:line="225" w:lineRule="exact"/>
        <w:rPr>
          <w:sz w:val="20"/>
          <w:szCs w:val="20"/>
          <w:color w:val="auto"/>
        </w:rPr>
      </w:pPr>
    </w:p>
    <w:p>
      <w:pPr>
        <w:ind w:left="940" w:right="459"/>
        <w:spacing w:after="0" w:line="258"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five hundred ten million (510,000,000), of which (i) five hundred million (500,000,000) shares shall be a class designated as common stock, par value $0.00001 per share (the “Common Stock”), and (ii) ten million (10,000,000) shares shall be a class designated as undesignated preferred stock, par value $0.00001 per share (the “Undesignated Preferred Stock”).”</w:t>
      </w:r>
    </w:p>
    <w:p>
      <w:pPr>
        <w:spacing w:after="0" w:line="399" w:lineRule="exact"/>
        <w:rPr>
          <w:sz w:val="20"/>
          <w:szCs w:val="20"/>
          <w:color w:val="auto"/>
        </w:rPr>
      </w:pPr>
    </w:p>
    <w:p>
      <w:pPr>
        <w:ind w:left="300" w:right="419" w:firstLine="648"/>
        <w:spacing w:after="0" w:line="289" w:lineRule="auto"/>
        <w:rPr>
          <w:sz w:val="20"/>
          <w:szCs w:val="20"/>
          <w:color w:val="auto"/>
        </w:rPr>
      </w:pPr>
      <w:r>
        <w:rPr>
          <w:rFonts w:ascii="Times New Roman" w:cs="Times New Roman" w:eastAsia="Times New Roman" w:hAnsi="Times New Roman"/>
          <w:sz w:val="18"/>
          <w:szCs w:val="18"/>
          <w:color w:val="auto"/>
        </w:rPr>
        <w:t>IN WITNESS WHEREOF, this Amendment, having been duly adopted in accordance with Section 242 of the DGCL, has been duly executed by a duly authorized officer of the Corporation on this [•]</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 2026.</w:t>
      </w:r>
    </w:p>
    <w:p>
      <w:pPr>
        <w:spacing w:after="0" w:line="200" w:lineRule="exact"/>
        <w:rPr>
          <w:sz w:val="20"/>
          <w:szCs w:val="20"/>
          <w:color w:val="auto"/>
        </w:rPr>
      </w:pPr>
    </w:p>
    <w:p>
      <w:pPr>
        <w:spacing w:after="0" w:line="2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AURA BIOSCIENCES, INC.</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Natalie Holles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 w:name="page33"/>
    <w:bookmarkEnd w:id="32"/>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AURA BIOSCIENCES, INC.</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2021 STOCK OPTION AND INCENTIVE PLAN</w:t>
      </w:r>
    </w:p>
    <w:p>
      <w:pPr>
        <w:spacing w:after="0" w:line="200" w:lineRule="exact"/>
        <w:rPr>
          <w:sz w:val="20"/>
          <w:szCs w:val="20"/>
          <w:color w:val="auto"/>
        </w:rPr>
      </w:pP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GENERAL PURPOSE OF THE PLAN; DEFINITIONS</w:t>
      </w:r>
    </w:p>
    <w:p>
      <w:pPr>
        <w:spacing w:after="0" w:line="206" w:lineRule="exact"/>
        <w:rPr>
          <w:sz w:val="20"/>
          <w:szCs w:val="20"/>
          <w:color w:val="auto"/>
        </w:rPr>
      </w:pPr>
    </w:p>
    <w:p>
      <w:pPr>
        <w:ind w:left="300" w:right="359" w:firstLine="648"/>
        <w:spacing w:after="0" w:line="234" w:lineRule="auto"/>
        <w:rPr>
          <w:sz w:val="20"/>
          <w:szCs w:val="20"/>
          <w:color w:val="auto"/>
        </w:rPr>
      </w:pPr>
      <w:r>
        <w:rPr>
          <w:rFonts w:ascii="Times New Roman" w:cs="Times New Roman" w:eastAsia="Times New Roman" w:hAnsi="Times New Roman"/>
          <w:sz w:val="22"/>
          <w:szCs w:val="22"/>
          <w:color w:val="auto"/>
        </w:rPr>
        <w:t>The name of the plan is the Aura Biosciences, Inc. 2021 Stock Option and Incentive Plan (as amended from time to time, the “Plan”). The purpose of the Plan is to encourage and enable the officers, employees, Non-Employee Directors and Consultants of Aura Biosciences,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following terms shall be defined as set forth below:</w:t>
      </w:r>
    </w:p>
    <w:p>
      <w:pPr>
        <w:spacing w:after="0" w:line="202" w:lineRule="exact"/>
        <w:rPr>
          <w:sz w:val="20"/>
          <w:szCs w:val="20"/>
          <w:color w:val="auto"/>
        </w:rPr>
      </w:pPr>
    </w:p>
    <w:p>
      <w:pPr>
        <w:ind w:left="300" w:right="9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“Act” </w:t>
      </w:r>
      <w:r>
        <w:rPr>
          <w:rFonts w:ascii="Times New Roman" w:cs="Times New Roman" w:eastAsia="Times New Roman" w:hAnsi="Times New Roman"/>
          <w:sz w:val="22"/>
          <w:szCs w:val="22"/>
          <w:color w:val="auto"/>
        </w:rPr>
        <w:t>means the Securities Act of 1933, as amended, and the rules and regulations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thereunder.</w:t>
      </w:r>
    </w:p>
    <w:p>
      <w:pPr>
        <w:spacing w:after="0" w:line="150" w:lineRule="exact"/>
        <w:rPr>
          <w:sz w:val="20"/>
          <w:szCs w:val="20"/>
          <w:color w:val="auto"/>
        </w:rPr>
      </w:pPr>
    </w:p>
    <w:p>
      <w:pPr>
        <w:ind w:left="300" w:right="439" w:firstLine="648"/>
        <w:spacing w:after="0" w:line="272" w:lineRule="exact"/>
        <w:rPr>
          <w:sz w:val="20"/>
          <w:szCs w:val="20"/>
          <w:color w:val="auto"/>
        </w:rPr>
      </w:pPr>
      <w:r>
        <w:rPr>
          <w:rFonts w:ascii="Times New Roman" w:cs="Times New Roman" w:eastAsia="Times New Roman" w:hAnsi="Times New Roman"/>
          <w:sz w:val="22"/>
          <w:szCs w:val="22"/>
          <w:i w:val="1"/>
          <w:iCs w:val="1"/>
          <w:color w:val="auto"/>
        </w:rPr>
        <w:t xml:space="preserve">“Administrator” </w:t>
      </w:r>
      <w:r>
        <w:rPr>
          <w:rFonts w:ascii="Times New Roman" w:cs="Times New Roman" w:eastAsia="Times New Roman" w:hAnsi="Times New Roman"/>
          <w:sz w:val="22"/>
          <w:szCs w:val="22"/>
          <w:color w:val="auto"/>
        </w:rPr>
        <w:t>means either the Board or the compensation committee of the Board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similar committee performing the functions of the compensation committee and which is comprised of not less than two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Directors who are independent.</w:t>
      </w:r>
    </w:p>
    <w:p>
      <w:pPr>
        <w:spacing w:after="0" w:line="143" w:lineRule="exact"/>
        <w:rPr>
          <w:sz w:val="20"/>
          <w:szCs w:val="20"/>
          <w:color w:val="auto"/>
        </w:rPr>
      </w:pPr>
    </w:p>
    <w:p>
      <w:pPr>
        <w:ind w:left="300" w:right="41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72" w:lineRule="exact"/>
        <w:rPr>
          <w:sz w:val="20"/>
          <w:szCs w:val="20"/>
          <w:color w:val="auto"/>
        </w:rPr>
      </w:pPr>
    </w:p>
    <w:p>
      <w:pPr>
        <w:ind w:left="300" w:right="35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“Award”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“Awards,” </w:t>
      </w:r>
      <w:r>
        <w:rPr>
          <w:rFonts w:ascii="Times New Roman" w:cs="Times New Roman" w:eastAsia="Times New Roman" w:hAnsi="Times New Roman"/>
          <w:sz w:val="22"/>
          <w:szCs w:val="22"/>
          <w:color w:val="auto"/>
        </w:rPr>
        <w:t>except where referring to a particular category of grant under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shall include Incentive Stock Options, Non-Qualified Stock Options, Stock Appreciation Rights, Restricted Stock Awards, Restricted Stock Units, Unrestricted Stock Awards, Cash-Based Awards, and Dividend Equivalent Rights.</w:t>
      </w:r>
    </w:p>
    <w:p>
      <w:pPr>
        <w:spacing w:after="0" w:line="172" w:lineRule="exact"/>
        <w:rPr>
          <w:sz w:val="20"/>
          <w:szCs w:val="20"/>
          <w:color w:val="auto"/>
        </w:rPr>
      </w:pPr>
    </w:p>
    <w:p>
      <w:pPr>
        <w:jc w:val="both"/>
        <w:ind w:left="300" w:right="47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“Award Certificate” </w:t>
      </w:r>
      <w:r>
        <w:rPr>
          <w:rFonts w:ascii="Times New Roman" w:cs="Times New Roman" w:eastAsia="Times New Roman" w:hAnsi="Times New Roman"/>
          <w:sz w:val="22"/>
          <w:szCs w:val="22"/>
          <w:color w:val="auto"/>
        </w:rPr>
        <w:t>means a written or electronic document setting forth the terms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provisions applicable to an Award granted under the Plan. Each Award Certificate is subject to the terms and conditions of the Plan.</w:t>
      </w:r>
    </w:p>
    <w:p>
      <w:pPr>
        <w:spacing w:after="0" w:line="16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i w:val="1"/>
          <w:iCs w:val="1"/>
          <w:color w:val="auto"/>
        </w:rPr>
        <w:t xml:space="preserve">“Board” </w:t>
      </w:r>
      <w:r>
        <w:rPr>
          <w:rFonts w:ascii="Times New Roman" w:cs="Times New Roman" w:eastAsia="Times New Roman" w:hAnsi="Times New Roman"/>
          <w:sz w:val="22"/>
          <w:szCs w:val="22"/>
          <w:color w:val="auto"/>
        </w:rPr>
        <w:t>means the Board of Directors of the Company.</w:t>
      </w:r>
    </w:p>
    <w:p>
      <w:pPr>
        <w:spacing w:after="0" w:line="206" w:lineRule="exact"/>
        <w:rPr>
          <w:sz w:val="20"/>
          <w:szCs w:val="20"/>
          <w:color w:val="auto"/>
        </w:rPr>
      </w:pPr>
    </w:p>
    <w:p>
      <w:pPr>
        <w:ind w:left="300" w:right="11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“Cash-Based Award” </w:t>
      </w:r>
      <w:r>
        <w:rPr>
          <w:rFonts w:ascii="Times New Roman" w:cs="Times New Roman" w:eastAsia="Times New Roman" w:hAnsi="Times New Roman"/>
          <w:sz w:val="22"/>
          <w:szCs w:val="22"/>
          <w:color w:val="auto"/>
        </w:rPr>
        <w:t>means an Award entitling the recipient to receive a cash-denominated payment.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3" w:name="page34"/>
    <w:bookmarkEnd w:id="33"/>
    <w:p>
      <w:pPr>
        <w:ind w:left="300" w:right="3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“Code” </w:t>
      </w:r>
      <w:r>
        <w:rPr>
          <w:rFonts w:ascii="Times New Roman" w:cs="Times New Roman" w:eastAsia="Times New Roman" w:hAnsi="Times New Roman"/>
          <w:sz w:val="22"/>
          <w:szCs w:val="22"/>
          <w:color w:val="auto"/>
        </w:rPr>
        <w:t>means the Internal Revenue Code of 1986, as amended, and any successor Code,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related rules, regulations and interpretations.</w:t>
      </w:r>
    </w:p>
    <w:p>
      <w:pPr>
        <w:spacing w:after="0" w:line="150" w:lineRule="exact"/>
        <w:rPr>
          <w:sz w:val="20"/>
          <w:szCs w:val="20"/>
          <w:color w:val="auto"/>
        </w:rPr>
      </w:pPr>
    </w:p>
    <w:p>
      <w:pPr>
        <w:jc w:val="both"/>
        <w:ind w:left="300" w:right="89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“Consultant” </w:t>
      </w:r>
      <w:r>
        <w:rPr>
          <w:rFonts w:ascii="Times New Roman" w:cs="Times New Roman" w:eastAsia="Times New Roman" w:hAnsi="Times New Roman"/>
          <w:sz w:val="22"/>
          <w:szCs w:val="22"/>
          <w:color w:val="auto"/>
        </w:rPr>
        <w:t>means a consultant or adviser who provides</w:t>
      </w:r>
      <w:r>
        <w:rPr>
          <w:rFonts w:ascii="Times New Roman" w:cs="Times New Roman" w:eastAsia="Times New Roman" w:hAnsi="Times New Roman"/>
          <w:sz w:val="22"/>
          <w:szCs w:val="22"/>
          <w:i w:val="1"/>
          <w:iCs w:val="1"/>
          <w:color w:val="auto"/>
        </w:rPr>
        <w:t xml:space="preserve"> bona fide </w:t>
      </w:r>
      <w:r>
        <w:rPr>
          <w:rFonts w:ascii="Times New Roman" w:cs="Times New Roman" w:eastAsia="Times New Roman" w:hAnsi="Times New Roman"/>
          <w:sz w:val="22"/>
          <w:szCs w:val="22"/>
          <w:color w:val="auto"/>
        </w:rPr>
        <w:t>services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or an Affiliate as an independent contractor and who qualifies as a consultant or advisor under Instruction A.1.(a)(1) of Form S-8 under the Act.</w:t>
      </w:r>
    </w:p>
    <w:p>
      <w:pPr>
        <w:spacing w:after="0" w:line="167" w:lineRule="exact"/>
        <w:rPr>
          <w:sz w:val="20"/>
          <w:szCs w:val="20"/>
          <w:color w:val="auto"/>
        </w:rPr>
      </w:pPr>
    </w:p>
    <w:p>
      <w:pPr>
        <w:ind w:left="300" w:right="479" w:firstLine="702"/>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“Dividend Equivalent Right” </w:t>
      </w:r>
      <w:r>
        <w:rPr>
          <w:rFonts w:ascii="Times New Roman" w:cs="Times New Roman" w:eastAsia="Times New Roman" w:hAnsi="Times New Roman"/>
          <w:sz w:val="22"/>
          <w:szCs w:val="22"/>
          <w:color w:val="auto"/>
        </w:rPr>
        <w:t>means an Award entitling the grantee to receive credits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based on cash dividends that would have been paid on the shares of Stock specified in the Dividend Equivalent Right (or other award to which it relates) if such shares had been issued to and held by the grantee.</w:t>
      </w:r>
    </w:p>
    <w:p>
      <w:pPr>
        <w:spacing w:after="0" w:line="172" w:lineRule="exact"/>
        <w:rPr>
          <w:sz w:val="20"/>
          <w:szCs w:val="20"/>
          <w:color w:val="auto"/>
        </w:rPr>
      </w:pPr>
    </w:p>
    <w:p>
      <w:pPr>
        <w:ind w:left="300" w:right="81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“Effective Date” </w:t>
      </w:r>
      <w:r>
        <w:rPr>
          <w:rFonts w:ascii="Times New Roman" w:cs="Times New Roman" w:eastAsia="Times New Roman" w:hAnsi="Times New Roman"/>
          <w:sz w:val="22"/>
          <w:szCs w:val="22"/>
          <w:color w:val="auto"/>
        </w:rPr>
        <w:t>means the date on which the Plan becomes effective as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19.</w:t>
      </w:r>
    </w:p>
    <w:p>
      <w:pPr>
        <w:spacing w:after="0" w:line="150" w:lineRule="exact"/>
        <w:rPr>
          <w:sz w:val="20"/>
          <w:szCs w:val="20"/>
          <w:color w:val="auto"/>
        </w:rPr>
      </w:pPr>
    </w:p>
    <w:p>
      <w:pPr>
        <w:ind w:left="300" w:right="4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“Exchange Act” </w:t>
      </w:r>
      <w:r>
        <w:rPr>
          <w:rFonts w:ascii="Times New Roman" w:cs="Times New Roman" w:eastAsia="Times New Roman" w:hAnsi="Times New Roman"/>
          <w:sz w:val="22"/>
          <w:szCs w:val="22"/>
          <w:color w:val="auto"/>
        </w:rPr>
        <w:t>means the Securities Exchange Act of 1934, as amended, and the rules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regulations thereunder.</w:t>
      </w:r>
    </w:p>
    <w:p>
      <w:pPr>
        <w:spacing w:after="0" w:line="150" w:lineRule="exact"/>
        <w:rPr>
          <w:sz w:val="20"/>
          <w:szCs w:val="20"/>
          <w:color w:val="auto"/>
        </w:rPr>
      </w:pPr>
    </w:p>
    <w:p>
      <w:pPr>
        <w:ind w:left="300" w:right="319" w:firstLine="648"/>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“Fair Market Value” </w:t>
      </w:r>
      <w:r>
        <w:rPr>
          <w:rFonts w:ascii="Times New Roman" w:cs="Times New Roman" w:eastAsia="Times New Roman" w:hAnsi="Times New Roman"/>
          <w:sz w:val="22"/>
          <w:szCs w:val="22"/>
          <w:color w:val="auto"/>
        </w:rPr>
        <w:t>of the Stock on any given date means the fair market value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determined 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 provided further, however, that if the date for which Fair Market Value is determined is the Registration Date, the Fair Market Value shall be the “Price to the Public” (or equivalent) set forth on the cover page for the final prospectus relating to the Company’s initial public offering.</w:t>
      </w:r>
    </w:p>
    <w:p>
      <w:pPr>
        <w:spacing w:after="0" w:line="176" w:lineRule="exact"/>
        <w:rPr>
          <w:sz w:val="20"/>
          <w:szCs w:val="20"/>
          <w:color w:val="auto"/>
        </w:rPr>
      </w:pPr>
    </w:p>
    <w:p>
      <w:pPr>
        <w:ind w:left="300" w:right="10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“Incentive Stock Option” </w:t>
      </w:r>
      <w:r>
        <w:rPr>
          <w:rFonts w:ascii="Times New Roman" w:cs="Times New Roman" w:eastAsia="Times New Roman" w:hAnsi="Times New Roman"/>
          <w:sz w:val="22"/>
          <w:szCs w:val="22"/>
          <w:color w:val="auto"/>
        </w:rPr>
        <w:t>means any Stock Option designated and qualified as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“incentive stock option” as defined in Section 422 of the Code.</w:t>
      </w:r>
    </w:p>
    <w:p>
      <w:pPr>
        <w:spacing w:after="0" w:line="150" w:lineRule="exact"/>
        <w:rPr>
          <w:sz w:val="20"/>
          <w:szCs w:val="20"/>
          <w:color w:val="auto"/>
        </w:rPr>
      </w:pPr>
    </w:p>
    <w:p>
      <w:pPr>
        <w:ind w:left="300" w:right="35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“Non-Employee Director” </w:t>
      </w:r>
      <w:r>
        <w:rPr>
          <w:rFonts w:ascii="Times New Roman" w:cs="Times New Roman" w:eastAsia="Times New Roman" w:hAnsi="Times New Roman"/>
          <w:sz w:val="22"/>
          <w:szCs w:val="22"/>
          <w:color w:val="auto"/>
        </w:rPr>
        <w:t>means a member of the Board who is not also an employee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or any Subsidiary.</w:t>
      </w:r>
    </w:p>
    <w:p>
      <w:pPr>
        <w:spacing w:after="0" w:line="150" w:lineRule="exact"/>
        <w:rPr>
          <w:sz w:val="20"/>
          <w:szCs w:val="20"/>
          <w:color w:val="auto"/>
        </w:rPr>
      </w:pPr>
    </w:p>
    <w:p>
      <w:pPr>
        <w:ind w:left="300" w:right="67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“Non-Qualified Stock Option” </w:t>
      </w:r>
      <w:r>
        <w:rPr>
          <w:rFonts w:ascii="Times New Roman" w:cs="Times New Roman" w:eastAsia="Times New Roman" w:hAnsi="Times New Roman"/>
          <w:sz w:val="22"/>
          <w:szCs w:val="22"/>
          <w:color w:val="auto"/>
        </w:rPr>
        <w:t>means any Stock Option that is not an Incentive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Option.</w:t>
      </w:r>
    </w:p>
    <w:p>
      <w:pPr>
        <w:spacing w:after="0" w:line="150" w:lineRule="exact"/>
        <w:rPr>
          <w:sz w:val="20"/>
          <w:szCs w:val="20"/>
          <w:color w:val="auto"/>
        </w:rPr>
      </w:pPr>
    </w:p>
    <w:p>
      <w:pPr>
        <w:ind w:left="300" w:right="8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“Option”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“Stock Option” </w:t>
      </w:r>
      <w:r>
        <w:rPr>
          <w:rFonts w:ascii="Times New Roman" w:cs="Times New Roman" w:eastAsia="Times New Roman" w:hAnsi="Times New Roman"/>
          <w:sz w:val="22"/>
          <w:szCs w:val="22"/>
          <w:color w:val="auto"/>
        </w:rPr>
        <w:t>means any option to purchase shares of Stock granted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pursuant to Section 5.</w:t>
      </w:r>
    </w:p>
    <w:p>
      <w:pPr>
        <w:spacing w:after="0" w:line="150" w:lineRule="exact"/>
        <w:rPr>
          <w:sz w:val="20"/>
          <w:szCs w:val="20"/>
          <w:color w:val="auto"/>
        </w:rPr>
      </w:pPr>
    </w:p>
    <w:p>
      <w:pPr>
        <w:jc w:val="both"/>
        <w:ind w:left="300" w:right="39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“Registration Date” </w:t>
      </w:r>
      <w:r>
        <w:rPr>
          <w:rFonts w:ascii="Times New Roman" w:cs="Times New Roman" w:eastAsia="Times New Roman" w:hAnsi="Times New Roman"/>
          <w:sz w:val="22"/>
          <w:szCs w:val="22"/>
          <w:color w:val="auto"/>
        </w:rPr>
        <w:t>means the date upon which the registration statement on Form S-1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is filed by the Company with respect to its initial public offering is declared effective by the Securities and Exchange Commission.</w:t>
      </w:r>
    </w:p>
    <w:p>
      <w:pPr>
        <w:spacing w:after="0" w:line="167" w:lineRule="exact"/>
        <w:rPr>
          <w:sz w:val="20"/>
          <w:szCs w:val="20"/>
          <w:color w:val="auto"/>
        </w:rPr>
      </w:pPr>
    </w:p>
    <w:p>
      <w:pPr>
        <w:jc w:val="both"/>
        <w:ind w:left="300" w:right="37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“Restricted Shares” </w:t>
      </w:r>
      <w:r>
        <w:rPr>
          <w:rFonts w:ascii="Times New Roman" w:cs="Times New Roman" w:eastAsia="Times New Roman" w:hAnsi="Times New Roman"/>
          <w:sz w:val="22"/>
          <w:szCs w:val="22"/>
          <w:color w:val="auto"/>
        </w:rPr>
        <w:t>means the shares of Stock underlying a Restricted Stock Award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remain subject to a risk of forfeiture or the Company’s right of repurchase.</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34" w:name="page35"/>
    <w:bookmarkEnd w:id="34"/>
    <w:p>
      <w:pPr>
        <w:ind w:left="300" w:right="1179" w:firstLine="648"/>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“Restricted Stock Award” </w:t>
      </w:r>
      <w:r>
        <w:rPr>
          <w:rFonts w:ascii="Times New Roman" w:cs="Times New Roman" w:eastAsia="Times New Roman" w:hAnsi="Times New Roman"/>
          <w:sz w:val="21"/>
          <w:szCs w:val="21"/>
          <w:color w:val="auto"/>
        </w:rPr>
        <w:t>means an Award of Restricted Shares subject to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restrictions and conditions as the Administrator may determine at the time of grant.</w:t>
      </w:r>
    </w:p>
    <w:p>
      <w:pPr>
        <w:spacing w:after="0" w:line="126" w:lineRule="exact"/>
        <w:rPr>
          <w:sz w:val="20"/>
          <w:szCs w:val="20"/>
          <w:color w:val="auto"/>
        </w:rPr>
      </w:pPr>
    </w:p>
    <w:p>
      <w:pPr>
        <w:ind w:left="300" w:right="47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“Restricted Stock Units” </w:t>
      </w:r>
      <w:r>
        <w:rPr>
          <w:rFonts w:ascii="Times New Roman" w:cs="Times New Roman" w:eastAsia="Times New Roman" w:hAnsi="Times New Roman"/>
          <w:sz w:val="22"/>
          <w:szCs w:val="22"/>
          <w:color w:val="auto"/>
        </w:rPr>
        <w:t>means an Award of stock units subject to such restrictions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conditions as the Administrator may determine at the time of grant.</w:t>
      </w:r>
    </w:p>
    <w:p>
      <w:pPr>
        <w:spacing w:after="0" w:line="150" w:lineRule="exact"/>
        <w:rPr>
          <w:sz w:val="20"/>
          <w:szCs w:val="20"/>
          <w:color w:val="auto"/>
        </w:rPr>
      </w:pPr>
    </w:p>
    <w:p>
      <w:pPr>
        <w:ind w:left="300" w:right="359" w:firstLine="648"/>
        <w:spacing w:after="0" w:line="245" w:lineRule="auto"/>
        <w:rPr>
          <w:sz w:val="20"/>
          <w:szCs w:val="20"/>
          <w:color w:val="auto"/>
        </w:rPr>
      </w:pPr>
      <w:r>
        <w:rPr>
          <w:rFonts w:ascii="Times New Roman" w:cs="Times New Roman" w:eastAsia="Times New Roman" w:hAnsi="Times New Roman"/>
          <w:sz w:val="21"/>
          <w:szCs w:val="21"/>
          <w:i w:val="1"/>
          <w:iCs w:val="1"/>
          <w:color w:val="auto"/>
        </w:rPr>
        <w:t xml:space="preserve">“Sale Event” </w:t>
      </w:r>
      <w:r>
        <w:rPr>
          <w:rFonts w:ascii="Times New Roman" w:cs="Times New Roman" w:eastAsia="Times New Roman" w:hAnsi="Times New Roman"/>
          <w:sz w:val="21"/>
          <w:szCs w:val="21"/>
          <w:color w:val="auto"/>
        </w:rPr>
        <w:t>means (i) the sale of all or substantially all of the assets of the Company 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77" w:lineRule="exact"/>
        <w:rPr>
          <w:sz w:val="20"/>
          <w:szCs w:val="20"/>
          <w:color w:val="auto"/>
        </w:rPr>
      </w:pPr>
    </w:p>
    <w:p>
      <w:pPr>
        <w:ind w:left="300" w:right="319" w:firstLine="648"/>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Sale Price</w:t>
      </w:r>
      <w:r>
        <w:rPr>
          <w:rFonts w:ascii="Times New Roman" w:cs="Times New Roman" w:eastAsia="Times New Roman" w:hAnsi="Times New Roman"/>
          <w:sz w:val="21"/>
          <w:szCs w:val="21"/>
          <w:color w:val="auto"/>
        </w:rPr>
        <w:t>” means the value as determined by the Administrator of the consideration payable, or otherwise to be received by stockholders, per share of Stock pursuant to a Sale Event.</w:t>
      </w:r>
    </w:p>
    <w:p>
      <w:pPr>
        <w:spacing w:after="0" w:line="126" w:lineRule="exact"/>
        <w:rPr>
          <w:sz w:val="20"/>
          <w:szCs w:val="20"/>
          <w:color w:val="auto"/>
        </w:rPr>
      </w:pPr>
    </w:p>
    <w:p>
      <w:pPr>
        <w:ind w:left="300" w:right="39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“Section 409A” </w:t>
      </w:r>
      <w:r>
        <w:rPr>
          <w:rFonts w:ascii="Times New Roman" w:cs="Times New Roman" w:eastAsia="Times New Roman" w:hAnsi="Times New Roman"/>
          <w:sz w:val="22"/>
          <w:szCs w:val="22"/>
          <w:color w:val="auto"/>
        </w:rPr>
        <w:t>means Section 409A of the Code and the regulations and other guidance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promulgated thereunder.</w:t>
      </w:r>
    </w:p>
    <w:p>
      <w:pPr>
        <w:spacing w:after="0" w:line="150" w:lineRule="exact"/>
        <w:rPr>
          <w:sz w:val="20"/>
          <w:szCs w:val="20"/>
          <w:color w:val="auto"/>
        </w:rPr>
      </w:pPr>
    </w:p>
    <w:p>
      <w:pPr>
        <w:ind w:left="300" w:right="379"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“Service Relationship” </w:t>
      </w:r>
      <w:r>
        <w:rPr>
          <w:rFonts w:ascii="Times New Roman" w:cs="Times New Roman" w:eastAsia="Times New Roman" w:hAnsi="Times New Roman"/>
          <w:sz w:val="22"/>
          <w:szCs w:val="22"/>
          <w:color w:val="auto"/>
        </w:rPr>
        <w:t>means any relationship as an employee, director or Consultant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or any Affiliate (e.g., a Service Relationship shall be deemed to continue without interruption in the event an individual’s status changes from full-time employee to part-time employee or Consultant).</w:t>
      </w:r>
    </w:p>
    <w:p>
      <w:pPr>
        <w:spacing w:after="0" w:line="172" w:lineRule="exact"/>
        <w:rPr>
          <w:sz w:val="20"/>
          <w:szCs w:val="20"/>
          <w:color w:val="auto"/>
        </w:rPr>
      </w:pPr>
    </w:p>
    <w:p>
      <w:pPr>
        <w:ind w:left="300" w:right="87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“Stock” </w:t>
      </w:r>
      <w:r>
        <w:rPr>
          <w:rFonts w:ascii="Times New Roman" w:cs="Times New Roman" w:eastAsia="Times New Roman" w:hAnsi="Times New Roman"/>
          <w:sz w:val="22"/>
          <w:szCs w:val="22"/>
          <w:color w:val="auto"/>
        </w:rPr>
        <w:t>means the Common Stock, par value $0.00001 per share, of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adjustments pursuant to Section 3.</w:t>
      </w:r>
    </w:p>
    <w:p>
      <w:pPr>
        <w:spacing w:after="0" w:line="150" w:lineRule="exact"/>
        <w:rPr>
          <w:sz w:val="20"/>
          <w:szCs w:val="20"/>
          <w:color w:val="auto"/>
        </w:rPr>
      </w:pPr>
    </w:p>
    <w:p>
      <w:pPr>
        <w:ind w:left="300" w:right="359"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“Stock Appreciation Right” </w:t>
      </w:r>
      <w:r>
        <w:rPr>
          <w:rFonts w:ascii="Times New Roman" w:cs="Times New Roman" w:eastAsia="Times New Roman" w:hAnsi="Times New Roman"/>
          <w:sz w:val="22"/>
          <w:szCs w:val="22"/>
          <w:color w:val="auto"/>
        </w:rPr>
        <w:t>means an Award entitling the recipient to receive shares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(or cash, to 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77" w:lineRule="exact"/>
        <w:rPr>
          <w:sz w:val="20"/>
          <w:szCs w:val="20"/>
          <w:color w:val="auto"/>
        </w:rPr>
      </w:pPr>
    </w:p>
    <w:p>
      <w:pPr>
        <w:ind w:left="300" w:right="539"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“Subsidiary” </w:t>
      </w:r>
      <w:r>
        <w:rPr>
          <w:rFonts w:ascii="Times New Roman" w:cs="Times New Roman" w:eastAsia="Times New Roman" w:hAnsi="Times New Roman"/>
          <w:sz w:val="22"/>
          <w:szCs w:val="22"/>
          <w:color w:val="auto"/>
        </w:rPr>
        <w:t>means any corporation or other entity (other than the Company) in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has at least a 50 percent interest, either directly or indirectly.</w:t>
      </w:r>
    </w:p>
    <w:p>
      <w:pPr>
        <w:spacing w:after="0" w:line="150" w:lineRule="exact"/>
        <w:rPr>
          <w:sz w:val="20"/>
          <w:szCs w:val="20"/>
          <w:color w:val="auto"/>
        </w:rPr>
      </w:pPr>
    </w:p>
    <w:p>
      <w:pPr>
        <w:jc w:val="both"/>
        <w:ind w:left="300" w:right="379"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“Ten Percent Owner” </w:t>
      </w:r>
      <w:r>
        <w:rPr>
          <w:rFonts w:ascii="Times New Roman" w:cs="Times New Roman" w:eastAsia="Times New Roman" w:hAnsi="Times New Roman"/>
          <w:sz w:val="22"/>
          <w:szCs w:val="22"/>
          <w:color w:val="auto"/>
        </w:rPr>
        <w:t>means an employee who owns or is deemed to own (by reason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attribution rules of Section 424(d) of the Code) more than 10 percent of the combined voting power of all classes of stock of the Company or any parent or subsidiary corporation.</w:t>
      </w:r>
    </w:p>
    <w:p>
      <w:pPr>
        <w:spacing w:after="0" w:line="16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i w:val="1"/>
          <w:iCs w:val="1"/>
          <w:color w:val="auto"/>
        </w:rPr>
        <w:t xml:space="preserve">“Unrestricted Stock Award” </w:t>
      </w:r>
      <w:r>
        <w:rPr>
          <w:rFonts w:ascii="Times New Roman" w:cs="Times New Roman" w:eastAsia="Times New Roman" w:hAnsi="Times New Roman"/>
          <w:sz w:val="21"/>
          <w:szCs w:val="21"/>
          <w:color w:val="auto"/>
        </w:rPr>
        <w:t>means an Award of shares of Stock free of any restrictions.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35" w:name="page36"/>
    <w:bookmarkEnd w:id="35"/>
    <w:p>
      <w:pPr>
        <w:ind w:left="1580" w:right="1059" w:hanging="1295"/>
        <w:spacing w:after="0" w:line="258"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ADMINISTRATION OF PLAN; ADMINISTRATOR AUTHORITY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SELECT GRANTEES AND DETERMINE AWARDS</w:t>
      </w:r>
    </w:p>
    <w:p>
      <w:pPr>
        <w:spacing w:after="0" w:line="158" w:lineRule="exact"/>
        <w:rPr>
          <w:sz w:val="20"/>
          <w:szCs w:val="20"/>
          <w:color w:val="auto"/>
        </w:rPr>
      </w:pPr>
    </w:p>
    <w:p>
      <w:pPr>
        <w:ind w:left="1380" w:hanging="440"/>
        <w:spacing w:after="0"/>
        <w:tabs>
          <w:tab w:leader="none" w:pos="13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Plan</w:t>
      </w:r>
      <w:r>
        <w:rPr>
          <w:rFonts w:ascii="Times New Roman" w:cs="Times New Roman" w:eastAsia="Times New Roman" w:hAnsi="Times New Roman"/>
          <w:sz w:val="22"/>
          <w:szCs w:val="22"/>
          <w:color w:val="auto"/>
        </w:rPr>
        <w:t>. The Plan shall be administered by the Administrator.</w:t>
      </w:r>
    </w:p>
    <w:p>
      <w:pPr>
        <w:spacing w:after="0" w:line="206" w:lineRule="exact"/>
        <w:rPr>
          <w:rFonts w:ascii="Times New Roman" w:cs="Times New Roman" w:eastAsia="Times New Roman" w:hAnsi="Times New Roman"/>
          <w:sz w:val="22"/>
          <w:szCs w:val="22"/>
          <w:color w:val="auto"/>
        </w:rPr>
      </w:pPr>
    </w:p>
    <w:p>
      <w:pPr>
        <w:ind w:left="300" w:right="499" w:firstLine="640"/>
        <w:spacing w:after="0" w:line="258" w:lineRule="auto"/>
        <w:tabs>
          <w:tab w:leader="none" w:pos="13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Powers of Administrator</w:t>
      </w:r>
      <w:r>
        <w:rPr>
          <w:rFonts w:ascii="Times New Roman" w:cs="Times New Roman" w:eastAsia="Times New Roman" w:hAnsi="Times New Roman"/>
          <w:sz w:val="22"/>
          <w:szCs w:val="22"/>
          <w:color w:val="auto"/>
        </w:rPr>
        <w:t>. The Administrator shall have the power and authority to grant Awards consistent with the terms of the Plan, including the power and authority:</w:t>
      </w:r>
    </w:p>
    <w:p>
      <w:pPr>
        <w:spacing w:after="0" w:line="158" w:lineRule="exact"/>
        <w:rPr>
          <w:rFonts w:ascii="Times New Roman" w:cs="Times New Roman" w:eastAsia="Times New Roman" w:hAnsi="Times New Roman"/>
          <w:sz w:val="22"/>
          <w:szCs w:val="22"/>
          <w:color w:val="auto"/>
        </w:rPr>
      </w:pPr>
    </w:p>
    <w:p>
      <w:pPr>
        <w:ind w:left="2060" w:hanging="472"/>
        <w:spacing w:after="0"/>
        <w:tabs>
          <w:tab w:leader="none" w:pos="2060"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select the individuals to whom Awards may from time to time be granted;</w:t>
      </w:r>
    </w:p>
    <w:p>
      <w:pPr>
        <w:spacing w:after="0" w:line="217" w:lineRule="exact"/>
        <w:rPr>
          <w:rFonts w:ascii="Times New Roman" w:cs="Times New Roman" w:eastAsia="Times New Roman" w:hAnsi="Times New Roman"/>
          <w:sz w:val="21"/>
          <w:szCs w:val="21"/>
          <w:color w:val="auto"/>
        </w:rPr>
      </w:pPr>
    </w:p>
    <w:p>
      <w:pPr>
        <w:ind w:left="300" w:right="419" w:firstLine="1288"/>
        <w:spacing w:after="0" w:line="255" w:lineRule="auto"/>
        <w:tabs>
          <w:tab w:leader="none" w:pos="2062"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61" w:lineRule="exact"/>
        <w:rPr>
          <w:rFonts w:ascii="Times New Roman" w:cs="Times New Roman" w:eastAsia="Times New Roman" w:hAnsi="Times New Roman"/>
          <w:sz w:val="21"/>
          <w:szCs w:val="21"/>
          <w:color w:val="auto"/>
        </w:rPr>
      </w:pPr>
    </w:p>
    <w:p>
      <w:pPr>
        <w:ind w:left="2060" w:hanging="472"/>
        <w:spacing w:after="0"/>
        <w:tabs>
          <w:tab w:leader="none" w:pos="206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number of shares of Stock to be covered by any Award;</w:t>
      </w:r>
    </w:p>
    <w:p>
      <w:pPr>
        <w:spacing w:after="0" w:line="206" w:lineRule="exact"/>
        <w:rPr>
          <w:rFonts w:ascii="Times New Roman" w:cs="Times New Roman" w:eastAsia="Times New Roman" w:hAnsi="Times New Roman"/>
          <w:sz w:val="22"/>
          <w:szCs w:val="22"/>
          <w:color w:val="auto"/>
        </w:rPr>
      </w:pPr>
    </w:p>
    <w:p>
      <w:pPr>
        <w:ind w:left="300" w:right="319" w:firstLine="1288"/>
        <w:spacing w:after="0" w:line="239" w:lineRule="auto"/>
        <w:tabs>
          <w:tab w:leader="none" w:pos="206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80" w:lineRule="exact"/>
        <w:rPr>
          <w:rFonts w:ascii="Times New Roman" w:cs="Times New Roman" w:eastAsia="Times New Roman" w:hAnsi="Times New Roman"/>
          <w:sz w:val="22"/>
          <w:szCs w:val="22"/>
          <w:color w:val="auto"/>
        </w:rPr>
      </w:pPr>
    </w:p>
    <w:p>
      <w:pPr>
        <w:ind w:left="2060" w:hanging="472"/>
        <w:spacing w:after="0"/>
        <w:tabs>
          <w:tab w:leader="none" w:pos="2060"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accelerate at any time the exercisability or vesting of all or any portion of</w:t>
      </w:r>
    </w:p>
    <w:p>
      <w:pPr>
        <w:spacing w:after="0" w:line="25" w:lineRule="exact"/>
        <w:rPr>
          <w:rFonts w:ascii="Times New Roman" w:cs="Times New Roman" w:eastAsia="Times New Roman" w:hAnsi="Times New Roman"/>
          <w:sz w:val="21"/>
          <w:szCs w:val="21"/>
          <w:color w:val="auto"/>
        </w:rPr>
      </w:pPr>
    </w:p>
    <w:p>
      <w:pPr>
        <w:ind w:left="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 Award;</w:t>
      </w:r>
    </w:p>
    <w:p>
      <w:pPr>
        <w:spacing w:after="0" w:line="182" w:lineRule="exact"/>
        <w:rPr>
          <w:rFonts w:ascii="Times New Roman" w:cs="Times New Roman" w:eastAsia="Times New Roman" w:hAnsi="Times New Roman"/>
          <w:sz w:val="21"/>
          <w:szCs w:val="21"/>
          <w:color w:val="auto"/>
        </w:rPr>
      </w:pPr>
    </w:p>
    <w:p>
      <w:pPr>
        <w:jc w:val="both"/>
        <w:ind w:left="300" w:right="659" w:firstLine="1288"/>
        <w:spacing w:after="0" w:line="244" w:lineRule="auto"/>
        <w:tabs>
          <w:tab w:leader="none" w:pos="206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5(c) or Section 6(d), as applicable, to extend at any time the period in which Stock Options and Stock Appreciation Rights may be exercised; and</w:t>
      </w:r>
    </w:p>
    <w:p>
      <w:pPr>
        <w:spacing w:after="0" w:line="173" w:lineRule="exact"/>
        <w:rPr>
          <w:rFonts w:ascii="Times New Roman" w:cs="Times New Roman" w:eastAsia="Times New Roman" w:hAnsi="Times New Roman"/>
          <w:sz w:val="22"/>
          <w:szCs w:val="22"/>
          <w:color w:val="auto"/>
        </w:rPr>
      </w:pPr>
    </w:p>
    <w:p>
      <w:pPr>
        <w:ind w:left="300" w:right="379" w:firstLine="1288"/>
        <w:spacing w:after="0" w:line="236" w:lineRule="auto"/>
        <w:tabs>
          <w:tab w:leader="none" w:pos="206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1" w:lineRule="exact"/>
        <w:rPr>
          <w:sz w:val="20"/>
          <w:szCs w:val="20"/>
          <w:color w:val="auto"/>
        </w:rPr>
      </w:pPr>
    </w:p>
    <w:p>
      <w:pPr>
        <w:ind w:left="300" w:right="719" w:firstLine="648"/>
        <w:spacing w:after="0" w:line="258" w:lineRule="auto"/>
        <w:rPr>
          <w:sz w:val="20"/>
          <w:szCs w:val="20"/>
          <w:color w:val="auto"/>
        </w:rPr>
      </w:pPr>
      <w:r>
        <w:rPr>
          <w:rFonts w:ascii="Times New Roman" w:cs="Times New Roman" w:eastAsia="Times New Roman" w:hAnsi="Times New Roman"/>
          <w:sz w:val="22"/>
          <w:szCs w:val="22"/>
          <w:color w:val="auto"/>
        </w:rPr>
        <w:t>All decisions and interpretations of the Administrator shall be binding on all persons, including the Company and Plan grantees.</w:t>
      </w:r>
    </w:p>
    <w:p>
      <w:pPr>
        <w:spacing w:after="0" w:line="158" w:lineRule="exact"/>
        <w:rPr>
          <w:sz w:val="20"/>
          <w:szCs w:val="20"/>
          <w:color w:val="auto"/>
        </w:rPr>
      </w:pPr>
    </w:p>
    <w:p>
      <w:pPr>
        <w:ind w:left="300" w:right="499" w:firstLine="640"/>
        <w:spacing w:after="0" w:line="246" w:lineRule="auto"/>
        <w:tabs>
          <w:tab w:leader="none" w:pos="1380"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Delegation of Authority to Grant Awards</w:t>
      </w:r>
      <w:r>
        <w:rPr>
          <w:rFonts w:ascii="Times New Roman" w:cs="Times New Roman" w:eastAsia="Times New Roman" w:hAnsi="Times New Roman"/>
          <w:sz w:val="21"/>
          <w:szCs w:val="21"/>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w:t>
      </w:r>
    </w:p>
    <w:p>
      <w:pPr>
        <w:spacing w:after="0" w:line="1" w:lineRule="exact"/>
        <w:rPr>
          <w:rFonts w:ascii="Times New Roman" w:cs="Times New Roman" w:eastAsia="Times New Roman" w:hAnsi="Times New Roman"/>
          <w:sz w:val="21"/>
          <w:szCs w:val="21"/>
          <w:color w:val="auto"/>
        </w:rPr>
      </w:pPr>
    </w:p>
    <w:p>
      <w:pPr>
        <w:ind w:left="300" w:right="379" w:hanging="8"/>
        <w:spacing w:after="0" w:line="249" w:lineRule="auto"/>
        <w:tabs>
          <w:tab w:leader="none" w:pos="618"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36" w:name="page37"/>
    <w:bookmarkEnd w:id="36"/>
    <w:p>
      <w:pPr>
        <w:ind w:left="300" w:right="439"/>
        <w:spacing w:after="0" w:line="244" w:lineRule="auto"/>
        <w:rPr>
          <w:sz w:val="20"/>
          <w:szCs w:val="20"/>
          <w:color w:val="auto"/>
        </w:rPr>
      </w:pPr>
      <w:r>
        <w:rPr>
          <w:rFonts w:ascii="Times New Roman" w:cs="Times New Roman" w:eastAsia="Times New Roman" w:hAnsi="Times New Roman"/>
          <w:sz w:val="22"/>
          <w:szCs w:val="22"/>
          <w:color w:val="auto"/>
        </w:rPr>
        <w:t>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73" w:lineRule="exact"/>
        <w:rPr>
          <w:sz w:val="20"/>
          <w:szCs w:val="20"/>
          <w:color w:val="auto"/>
        </w:rPr>
      </w:pPr>
    </w:p>
    <w:p>
      <w:pPr>
        <w:ind w:left="300" w:right="339" w:firstLine="640"/>
        <w:spacing w:after="0" w:line="239" w:lineRule="auto"/>
        <w:tabs>
          <w:tab w:leader="none" w:pos="13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Certificate</w:t>
      </w:r>
      <w:r>
        <w:rPr>
          <w:rFonts w:ascii="Times New Roman" w:cs="Times New Roman" w:eastAsia="Times New Roman" w:hAnsi="Times New Roman"/>
          <w:sz w:val="22"/>
          <w:szCs w:val="22"/>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80" w:lineRule="exact"/>
        <w:rPr>
          <w:rFonts w:ascii="Times New Roman" w:cs="Times New Roman" w:eastAsia="Times New Roman" w:hAnsi="Times New Roman"/>
          <w:sz w:val="22"/>
          <w:szCs w:val="22"/>
          <w:color w:val="auto"/>
        </w:rPr>
      </w:pPr>
    </w:p>
    <w:p>
      <w:pPr>
        <w:ind w:left="300" w:right="319" w:firstLine="640"/>
        <w:spacing w:after="0" w:line="234" w:lineRule="auto"/>
        <w:tabs>
          <w:tab w:leader="none" w:pos="13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83" w:lineRule="exact"/>
        <w:rPr>
          <w:rFonts w:ascii="Times New Roman" w:cs="Times New Roman" w:eastAsia="Times New Roman" w:hAnsi="Times New Roman"/>
          <w:sz w:val="22"/>
          <w:szCs w:val="22"/>
          <w:color w:val="auto"/>
        </w:rPr>
      </w:pPr>
    </w:p>
    <w:p>
      <w:pPr>
        <w:ind w:left="300" w:right="419" w:firstLine="640"/>
        <w:spacing w:after="0" w:line="232" w:lineRule="auto"/>
        <w:tabs>
          <w:tab w:leader="none" w:pos="13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Award Recipients</w:t>
      </w:r>
      <w:r>
        <w:rPr>
          <w:rFonts w:ascii="Times New Roman" w:cs="Times New Roman" w:eastAsia="Times New Roman" w:hAnsi="Times New Roman"/>
          <w:sz w:val="22"/>
          <w:szCs w:val="22"/>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STOCK ISSUABLE UNDER THE PLAN; MERGERS; SUBSTITUTION</w:t>
      </w:r>
    </w:p>
    <w:p>
      <w:pPr>
        <w:spacing w:after="0" w:line="206" w:lineRule="exact"/>
        <w:rPr>
          <w:sz w:val="20"/>
          <w:szCs w:val="20"/>
          <w:color w:val="auto"/>
        </w:rPr>
      </w:pPr>
    </w:p>
    <w:p>
      <w:pPr>
        <w:ind w:left="300" w:right="359" w:firstLine="640"/>
        <w:spacing w:after="0" w:line="247" w:lineRule="auto"/>
        <w:tabs>
          <w:tab w:leader="none" w:pos="13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Issuable</w:t>
      </w:r>
      <w:r>
        <w:rPr>
          <w:rFonts w:ascii="Times New Roman" w:cs="Times New Roman" w:eastAsia="Times New Roman" w:hAnsi="Times New Roman"/>
          <w:sz w:val="21"/>
          <w:szCs w:val="21"/>
          <w:color w:val="auto"/>
        </w:rPr>
        <w:t>. The maximum number of shares of Stock reserved and available for issuance under the Plan shall be 3,352,166 shares (the “Initial Limit”), subject to adjustment as provided in this Section 3, plus on January 1, 2022 and each January 1 thereafter, the number of shares of Stock reserved and available for issuance under the Plan shall be cumulatively increased by (i) 5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37" w:name="page38"/>
    <w:bookmarkEnd w:id="37"/>
    <w:p>
      <w:pPr>
        <w:ind w:left="300" w:right="339"/>
        <w:spacing w:after="0" w:line="244" w:lineRule="auto"/>
        <w:rPr>
          <w:sz w:val="20"/>
          <w:szCs w:val="20"/>
          <w:color w:val="auto"/>
        </w:rPr>
      </w:pPr>
      <w:r>
        <w:rPr>
          <w:rFonts w:ascii="Times New Roman" w:cs="Times New Roman" w:eastAsia="Times New Roman" w:hAnsi="Times New Roman"/>
          <w:sz w:val="21"/>
          <w:szCs w:val="21"/>
          <w:color w:val="auto"/>
        </w:rPr>
        <w:t>shall not exceed the Initial Limit, as cumulatively increased on January 1, 2022 and each January 1 thereafter by the lesser of the Annual Increase for such year or 3,352,166 shares of Stock, subject in all cases to adjustment as provided in Section 3(b). For purposes of this limitation, the shares of Stock underlying any awards under the Plan and under the Company’s Amended and Restated 2009 Stock Option and Restricted Stock Plan, as amended, and the Company’s 2018 Equity Incentive Plan, as amended,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76" w:lineRule="exact"/>
        <w:rPr>
          <w:sz w:val="20"/>
          <w:szCs w:val="20"/>
          <w:color w:val="auto"/>
        </w:rPr>
      </w:pPr>
    </w:p>
    <w:p>
      <w:pPr>
        <w:ind w:left="300" w:right="339" w:firstLine="640"/>
        <w:spacing w:after="0" w:line="243" w:lineRule="auto"/>
        <w:tabs>
          <w:tab w:leader="none" w:pos="1380"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Changes in Stock</w:t>
      </w:r>
      <w:r>
        <w:rPr>
          <w:rFonts w:ascii="Times New Roman" w:cs="Times New Roman" w:eastAsia="Times New Roman" w:hAnsi="Times New Roman"/>
          <w:sz w:val="21"/>
          <w:szCs w:val="21"/>
          <w:color w:val="auto"/>
        </w:rPr>
        <w:t>. Subject to Section 3(c)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w:t>
      </w:r>
    </w:p>
    <w:p>
      <w:pPr>
        <w:spacing w:after="0" w:line="8" w:lineRule="exact"/>
        <w:rPr>
          <w:rFonts w:ascii="Times New Roman" w:cs="Times New Roman" w:eastAsia="Times New Roman" w:hAnsi="Times New Roman"/>
          <w:sz w:val="21"/>
          <w:szCs w:val="21"/>
          <w:color w:val="auto"/>
        </w:rPr>
      </w:pPr>
    </w:p>
    <w:p>
      <w:pPr>
        <w:ind w:left="300" w:right="379" w:hanging="8"/>
        <w:spacing w:after="0" w:line="231" w:lineRule="auto"/>
        <w:tabs>
          <w:tab w:leader="none" w:pos="55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84" w:lineRule="exact"/>
        <w:rPr>
          <w:rFonts w:ascii="Times New Roman" w:cs="Times New Roman" w:eastAsia="Times New Roman" w:hAnsi="Times New Roman"/>
          <w:sz w:val="22"/>
          <w:szCs w:val="22"/>
          <w:color w:val="auto"/>
        </w:rPr>
      </w:pPr>
    </w:p>
    <w:p>
      <w:pPr>
        <w:jc w:val="both"/>
        <w:ind w:left="300" w:right="339" w:firstLine="640"/>
        <w:spacing w:after="0" w:line="255" w:lineRule="auto"/>
        <w:tabs>
          <w:tab w:leader="none" w:pos="138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Mergers and Other Transactions</w:t>
      </w:r>
      <w:r>
        <w:rPr>
          <w:rFonts w:ascii="Times New Roman" w:cs="Times New Roman" w:eastAsia="Times New Roman" w:hAnsi="Times New Roman"/>
          <w:sz w:val="21"/>
          <w:szCs w:val="21"/>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38" w:name="page39"/>
    <w:bookmarkEnd w:id="38"/>
    <w:p>
      <w:pPr>
        <w:ind w:left="300" w:right="319"/>
        <w:spacing w:after="0" w:line="232" w:lineRule="auto"/>
        <w:rPr>
          <w:sz w:val="20"/>
          <w:szCs w:val="20"/>
          <w:color w:val="auto"/>
        </w:rPr>
      </w:pPr>
      <w:r>
        <w:rPr>
          <w:rFonts w:ascii="Times New Roman" w:cs="Times New Roman" w:eastAsia="Times New Roman" w:hAnsi="Times New Roman"/>
          <w:sz w:val="22"/>
          <w:szCs w:val="22"/>
          <w:color w:val="auto"/>
        </w:rPr>
        <w:t>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79" w:lineRule="exact"/>
        <w:rPr>
          <w:sz w:val="20"/>
          <w:szCs w:val="20"/>
          <w:color w:val="auto"/>
        </w:rPr>
      </w:pPr>
    </w:p>
    <w:p>
      <w:pPr>
        <w:ind w:left="300" w:right="399" w:firstLine="640"/>
        <w:spacing w:after="0" w:line="234" w:lineRule="auto"/>
        <w:tabs>
          <w:tab w:leader="none" w:pos="13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Awards to Non-Employee Directors</w:t>
      </w:r>
      <w:r>
        <w:rPr>
          <w:rFonts w:ascii="Times New Roman" w:cs="Times New Roman" w:eastAsia="Times New Roman" w:hAnsi="Times New Roman"/>
          <w:sz w:val="22"/>
          <w:szCs w:val="22"/>
          <w:color w:val="auto"/>
        </w:rPr>
        <w:t>. Notwithstanding anything to the contrary in this Plan, the value of all Awards awarded under this Plan and all other cash compensation paid by the Company to any Non-Employee Director in any calendar year for services as a Non-Employee Director shall not exceed $750,000; provided, however, that such amount shall be $1,000,000 for the calendar year in which the applicable Non-Employee Director is initially elected or appointed to the Board. For the purpose of these limitations, the value of any Award shall be its grant date fair value, as determined in accordance with ASC 718 or successor provision but excluding the impact of estimated forfeitures related to service-based vesting provisions.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ELIGIBILITY</w:t>
      </w:r>
    </w:p>
    <w:p>
      <w:pPr>
        <w:spacing w:after="0" w:line="206" w:lineRule="exact"/>
        <w:rPr>
          <w:sz w:val="20"/>
          <w:szCs w:val="20"/>
          <w:color w:val="auto"/>
        </w:rPr>
      </w:pPr>
    </w:p>
    <w:p>
      <w:pPr>
        <w:ind w:left="300" w:right="339" w:firstLine="648"/>
        <w:spacing w:after="0" w:line="248" w:lineRule="auto"/>
        <w:rPr>
          <w:sz w:val="20"/>
          <w:szCs w:val="20"/>
          <w:color w:val="auto"/>
        </w:rPr>
      </w:pPr>
      <w:r>
        <w:rPr>
          <w:rFonts w:ascii="Times New Roman" w:cs="Times New Roman" w:eastAsia="Times New Roman" w:hAnsi="Times New Roman"/>
          <w:sz w:val="21"/>
          <w:szCs w:val="21"/>
          <w:color w:val="auto"/>
        </w:rPr>
        <w:t>Grantees under the Plan will be such employees, Non-Employee Directors or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STOCK OPTIONS</w:t>
      </w:r>
    </w:p>
    <w:p>
      <w:pPr>
        <w:spacing w:after="0" w:line="206" w:lineRule="exact"/>
        <w:rPr>
          <w:sz w:val="20"/>
          <w:szCs w:val="20"/>
          <w:color w:val="auto"/>
        </w:rPr>
      </w:pPr>
    </w:p>
    <w:p>
      <w:pPr>
        <w:ind w:left="300" w:right="499" w:firstLine="640"/>
        <w:spacing w:after="0" w:line="244" w:lineRule="auto"/>
        <w:tabs>
          <w:tab w:leader="none" w:pos="13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of Stock Options</w:t>
      </w:r>
      <w:r>
        <w:rPr>
          <w:rFonts w:ascii="Times New Roman" w:cs="Times New Roman" w:eastAsia="Times New Roman" w:hAnsi="Times New Roman"/>
          <w:sz w:val="22"/>
          <w:szCs w:val="22"/>
          <w:color w:val="auto"/>
        </w:rPr>
        <w:t>. The Administrator may grant Stock Options under the Plan. Any Stock Option granted under the Plan shall be in such form as the Administrator may from time to time approve.</w:t>
      </w:r>
    </w:p>
    <w:p>
      <w:pPr>
        <w:spacing w:after="0" w:line="173" w:lineRule="exact"/>
        <w:rPr>
          <w:sz w:val="20"/>
          <w:szCs w:val="20"/>
          <w:color w:val="auto"/>
        </w:rPr>
      </w:pPr>
    </w:p>
    <w:p>
      <w:pPr>
        <w:ind w:left="300" w:right="379" w:firstLine="648"/>
        <w:spacing w:after="0" w:line="238" w:lineRule="auto"/>
        <w:rPr>
          <w:sz w:val="20"/>
          <w:szCs w:val="20"/>
          <w:color w:val="auto"/>
        </w:rPr>
      </w:pPr>
      <w:r>
        <w:rPr>
          <w:rFonts w:ascii="Times New Roman" w:cs="Times New Roman" w:eastAsia="Times New Roman" w:hAnsi="Times New Roman"/>
          <w:sz w:val="22"/>
          <w:szCs w:val="22"/>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77" w:lineRule="exact"/>
        <w:rPr>
          <w:sz w:val="20"/>
          <w:szCs w:val="20"/>
          <w:color w:val="auto"/>
        </w:rPr>
      </w:pPr>
    </w:p>
    <w:p>
      <w:pPr>
        <w:ind w:left="300" w:right="379" w:firstLine="648"/>
        <w:spacing w:after="0" w:line="238" w:lineRule="auto"/>
        <w:rPr>
          <w:sz w:val="20"/>
          <w:szCs w:val="20"/>
          <w:color w:val="auto"/>
        </w:rPr>
      </w:pPr>
      <w:r>
        <w:rPr>
          <w:rFonts w:ascii="Times New Roman" w:cs="Times New Roman" w:eastAsia="Times New Roman" w:hAnsi="Times New Roman"/>
          <w:sz w:val="22"/>
          <w:szCs w:val="22"/>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77" w:lineRule="exact"/>
        <w:rPr>
          <w:sz w:val="20"/>
          <w:szCs w:val="20"/>
          <w:color w:val="auto"/>
        </w:rPr>
      </w:pPr>
    </w:p>
    <w:p>
      <w:pPr>
        <w:ind w:left="300" w:right="319" w:firstLine="640"/>
        <w:spacing w:after="0" w:line="234" w:lineRule="auto"/>
        <w:tabs>
          <w:tab w:leader="none" w:pos="13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79" w:lineRule="exact"/>
        <w:rPr>
          <w:rFonts w:ascii="Times New Roman" w:cs="Times New Roman" w:eastAsia="Times New Roman" w:hAnsi="Times New Roman"/>
          <w:sz w:val="22"/>
          <w:szCs w:val="22"/>
          <w:color w:val="auto"/>
        </w:rPr>
      </w:pPr>
    </w:p>
    <w:p>
      <w:pPr>
        <w:jc w:val="both"/>
        <w:ind w:left="300" w:right="559" w:firstLine="640"/>
        <w:spacing w:after="0" w:line="255" w:lineRule="auto"/>
        <w:tabs>
          <w:tab w:leader="none" w:pos="13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 Term</w:t>
      </w:r>
      <w:r>
        <w:rPr>
          <w:rFonts w:ascii="Times New Roman" w:cs="Times New Roman" w:eastAsia="Times New Roman" w:hAnsi="Times New Roman"/>
          <w:sz w:val="21"/>
          <w:szCs w:val="21"/>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61" w:lineRule="exact"/>
        <w:rPr>
          <w:rFonts w:ascii="Times New Roman" w:cs="Times New Roman" w:eastAsia="Times New Roman" w:hAnsi="Times New Roman"/>
          <w:sz w:val="21"/>
          <w:szCs w:val="21"/>
          <w:color w:val="auto"/>
        </w:rPr>
      </w:pPr>
    </w:p>
    <w:p>
      <w:pPr>
        <w:ind w:left="300" w:right="359" w:firstLine="640"/>
        <w:spacing w:after="0" w:line="251" w:lineRule="auto"/>
        <w:tabs>
          <w:tab w:leader="none" w:pos="13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Exercisability; Rights of a Stockholder</w:t>
      </w:r>
      <w:r>
        <w:rPr>
          <w:rFonts w:ascii="Times New Roman" w:cs="Times New Roman" w:eastAsia="Times New Roman" w:hAnsi="Times New Roman"/>
          <w:sz w:val="21"/>
          <w:szCs w:val="21"/>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68" w:lineRule="exact"/>
        <w:rPr>
          <w:rFonts w:ascii="Times New Roman" w:cs="Times New Roman" w:eastAsia="Times New Roman" w:hAnsi="Times New Roman"/>
          <w:sz w:val="21"/>
          <w:szCs w:val="21"/>
          <w:color w:val="auto"/>
        </w:rPr>
      </w:pPr>
    </w:p>
    <w:p>
      <w:pPr>
        <w:ind w:left="300" w:right="419" w:firstLine="640"/>
        <w:spacing w:after="0" w:line="239" w:lineRule="auto"/>
        <w:tabs>
          <w:tab w:leader="none" w:pos="13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spacing w:after="0" w:line="180" w:lineRule="exact"/>
        <w:rPr>
          <w:rFonts w:ascii="Times New Roman" w:cs="Times New Roman" w:eastAsia="Times New Roman" w:hAnsi="Times New Roman"/>
          <w:sz w:val="22"/>
          <w:szCs w:val="22"/>
          <w:color w:val="auto"/>
        </w:rPr>
      </w:pPr>
    </w:p>
    <w:p>
      <w:pPr>
        <w:ind w:left="2060" w:hanging="472"/>
        <w:spacing w:after="0"/>
        <w:tabs>
          <w:tab w:leader="none" w:pos="206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cash, by certified or bank check or other instrument acceptable to the</w:t>
      </w:r>
    </w:p>
    <w:p>
      <w:pPr>
        <w:spacing w:after="0" w:line="14" w:lineRule="exact"/>
        <w:rPr>
          <w:rFonts w:ascii="Times New Roman" w:cs="Times New Roman" w:eastAsia="Times New Roman" w:hAnsi="Times New Roman"/>
          <w:sz w:val="22"/>
          <w:szCs w:val="22"/>
          <w:color w:val="auto"/>
        </w:rPr>
      </w:pPr>
    </w:p>
    <w:p>
      <w:pPr>
        <w:ind w:left="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0" w:name="page41"/>
    <w:bookmarkEnd w:id="40"/>
    <w:p>
      <w:pPr>
        <w:jc w:val="both"/>
        <w:ind w:left="300" w:right="639" w:firstLine="1288"/>
        <w:spacing w:after="0" w:line="239" w:lineRule="auto"/>
        <w:tabs>
          <w:tab w:leader="none" w:pos="206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80" w:lineRule="exact"/>
        <w:rPr>
          <w:rFonts w:ascii="Times New Roman" w:cs="Times New Roman" w:eastAsia="Times New Roman" w:hAnsi="Times New Roman"/>
          <w:sz w:val="22"/>
          <w:szCs w:val="22"/>
          <w:color w:val="auto"/>
        </w:rPr>
      </w:pPr>
    </w:p>
    <w:p>
      <w:pPr>
        <w:ind w:left="300" w:right="319" w:firstLine="1288"/>
        <w:spacing w:after="0" w:line="236" w:lineRule="auto"/>
        <w:tabs>
          <w:tab w:leader="none" w:pos="206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81" w:lineRule="exact"/>
        <w:rPr>
          <w:rFonts w:ascii="Times New Roman" w:cs="Times New Roman" w:eastAsia="Times New Roman" w:hAnsi="Times New Roman"/>
          <w:sz w:val="22"/>
          <w:szCs w:val="22"/>
          <w:color w:val="auto"/>
        </w:rPr>
      </w:pPr>
    </w:p>
    <w:p>
      <w:pPr>
        <w:jc w:val="both"/>
        <w:ind w:left="300" w:right="299" w:firstLine="1288"/>
        <w:spacing w:after="0" w:line="239" w:lineRule="auto"/>
        <w:tabs>
          <w:tab w:leader="none" w:pos="206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80" w:lineRule="exact"/>
        <w:rPr>
          <w:sz w:val="20"/>
          <w:szCs w:val="20"/>
          <w:color w:val="auto"/>
        </w:rPr>
      </w:pPr>
    </w:p>
    <w:p>
      <w:pPr>
        <w:ind w:left="300" w:right="339"/>
        <w:spacing w:after="0" w:line="233" w:lineRule="auto"/>
        <w:rPr>
          <w:sz w:val="20"/>
          <w:szCs w:val="20"/>
          <w:color w:val="auto"/>
        </w:rPr>
      </w:pPr>
      <w:r>
        <w:rPr>
          <w:rFonts w:ascii="Times New Roman" w:cs="Times New Roman" w:eastAsia="Times New Roman" w:hAnsi="Times New Roman"/>
          <w:sz w:val="22"/>
          <w:szCs w:val="22"/>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80" w:lineRule="exact"/>
        <w:rPr>
          <w:sz w:val="20"/>
          <w:szCs w:val="20"/>
          <w:color w:val="auto"/>
        </w:rPr>
      </w:pPr>
    </w:p>
    <w:p>
      <w:pPr>
        <w:ind w:left="300" w:right="379" w:firstLine="640"/>
        <w:spacing w:after="0" w:line="235" w:lineRule="auto"/>
        <w:tabs>
          <w:tab w:leader="none" w:pos="13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Limit on Incentive Stock Options</w:t>
      </w:r>
      <w:r>
        <w:rPr>
          <w:rFonts w:ascii="Times New Roman" w:cs="Times New Roman" w:eastAsia="Times New Roman" w:hAnsi="Times New Roman"/>
          <w:sz w:val="22"/>
          <w:szCs w:val="22"/>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STOCK APPRECIATION RIGHTS</w:t>
      </w:r>
    </w:p>
    <w:p>
      <w:pPr>
        <w:spacing w:after="0" w:line="206" w:lineRule="exact"/>
        <w:rPr>
          <w:sz w:val="20"/>
          <w:szCs w:val="20"/>
          <w:color w:val="auto"/>
        </w:rPr>
      </w:pPr>
    </w:p>
    <w:p>
      <w:pPr>
        <w:ind w:left="300" w:right="579" w:firstLine="640"/>
        <w:spacing w:after="0" w:line="251" w:lineRule="auto"/>
        <w:tabs>
          <w:tab w:leader="none" w:pos="13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Award of Stock Appreciation Rights</w:t>
      </w:r>
      <w:r>
        <w:rPr>
          <w:rFonts w:ascii="Times New Roman" w:cs="Times New Roman" w:eastAsia="Times New Roman" w:hAnsi="Times New Roman"/>
          <w:sz w:val="21"/>
          <w:szCs w:val="21"/>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1" w:name="page42"/>
    <w:bookmarkEnd w:id="41"/>
    <w:p>
      <w:pPr>
        <w:ind w:left="300" w:right="439"/>
        <w:spacing w:after="0" w:line="258" w:lineRule="auto"/>
        <w:rPr>
          <w:sz w:val="20"/>
          <w:szCs w:val="20"/>
          <w:color w:val="auto"/>
        </w:rPr>
      </w:pPr>
      <w:r>
        <w:rPr>
          <w:rFonts w:ascii="Times New Roman" w:cs="Times New Roman" w:eastAsia="Times New Roman" w:hAnsi="Times New Roman"/>
          <w:sz w:val="22"/>
          <w:szCs w:val="22"/>
          <w:color w:val="auto"/>
        </w:rPr>
        <w:t>multiplied by the number of shares of Stock with respect to which the Stock Appreciation Right shall have been exercised.</w:t>
      </w:r>
    </w:p>
    <w:p>
      <w:pPr>
        <w:spacing w:after="0" w:line="158" w:lineRule="exact"/>
        <w:rPr>
          <w:sz w:val="20"/>
          <w:szCs w:val="20"/>
          <w:color w:val="auto"/>
        </w:rPr>
      </w:pPr>
    </w:p>
    <w:p>
      <w:pPr>
        <w:ind w:left="300" w:right="299" w:firstLine="640"/>
        <w:spacing w:after="0" w:line="235" w:lineRule="auto"/>
        <w:tabs>
          <w:tab w:leader="none" w:pos="13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 of Stock Appreciation Rights</w:t>
      </w:r>
      <w:r>
        <w:rPr>
          <w:rFonts w:ascii="Times New Roman" w:cs="Times New Roman" w:eastAsia="Times New Roman" w:hAnsi="Times New Roman"/>
          <w:sz w:val="22"/>
          <w:szCs w:val="22"/>
          <w:color w:val="auto"/>
        </w:rPr>
        <w:t>.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Appreciation Right is otherwise compliant with Section 409A.</w:t>
      </w:r>
    </w:p>
    <w:p>
      <w:pPr>
        <w:spacing w:after="0" w:line="183" w:lineRule="exact"/>
        <w:rPr>
          <w:rFonts w:ascii="Times New Roman" w:cs="Times New Roman" w:eastAsia="Times New Roman" w:hAnsi="Times New Roman"/>
          <w:sz w:val="22"/>
          <w:szCs w:val="22"/>
          <w:color w:val="auto"/>
        </w:rPr>
      </w:pPr>
    </w:p>
    <w:p>
      <w:pPr>
        <w:ind w:left="300" w:right="299" w:firstLine="640"/>
        <w:spacing w:after="0" w:line="244" w:lineRule="auto"/>
        <w:tabs>
          <w:tab w:leader="none" w:pos="13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and Exercise of Stock Appreciation Rights</w:t>
      </w:r>
      <w:r>
        <w:rPr>
          <w:rFonts w:ascii="Times New Roman" w:cs="Times New Roman" w:eastAsia="Times New Roman" w:hAnsi="Times New Roman"/>
          <w:sz w:val="22"/>
          <w:szCs w:val="22"/>
          <w:color w:val="auto"/>
        </w:rPr>
        <w:t>. Stock Appreciation Rights may be granted by the Administrator independently of any Stock Option granted pursuant to Section 5 of the Plan.</w:t>
      </w:r>
    </w:p>
    <w:p>
      <w:pPr>
        <w:spacing w:after="0" w:line="173" w:lineRule="exact"/>
        <w:rPr>
          <w:rFonts w:ascii="Times New Roman" w:cs="Times New Roman" w:eastAsia="Times New Roman" w:hAnsi="Times New Roman"/>
          <w:sz w:val="22"/>
          <w:szCs w:val="22"/>
          <w:color w:val="auto"/>
        </w:rPr>
      </w:pPr>
    </w:p>
    <w:p>
      <w:pPr>
        <w:ind w:left="300" w:right="319" w:firstLine="640"/>
        <w:spacing w:after="0" w:line="238" w:lineRule="auto"/>
        <w:tabs>
          <w:tab w:leader="none" w:pos="13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and Conditions of Stock Appreciation Rights</w:t>
      </w:r>
      <w:r>
        <w:rPr>
          <w:rFonts w:ascii="Times New Roman" w:cs="Times New Roman" w:eastAsia="Times New Roman" w:hAnsi="Times New Roman"/>
          <w:sz w:val="22"/>
          <w:szCs w:val="22"/>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RESTRICTED STOCK AWARDS</w:t>
      </w:r>
    </w:p>
    <w:p>
      <w:pPr>
        <w:spacing w:after="0" w:line="206" w:lineRule="exact"/>
        <w:rPr>
          <w:sz w:val="20"/>
          <w:szCs w:val="20"/>
          <w:color w:val="auto"/>
        </w:rPr>
      </w:pPr>
    </w:p>
    <w:p>
      <w:pPr>
        <w:jc w:val="both"/>
        <w:ind w:left="300" w:right="439" w:firstLine="640"/>
        <w:spacing w:after="0" w:line="249" w:lineRule="auto"/>
        <w:tabs>
          <w:tab w:leader="none" w:pos="13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Nature of Restricted Stock Awards</w:t>
      </w:r>
      <w:r>
        <w:rPr>
          <w:rFonts w:ascii="Times New Roman" w:cs="Times New Roman" w:eastAsia="Times New Roman" w:hAnsi="Times New Roman"/>
          <w:sz w:val="21"/>
          <w:szCs w:val="21"/>
          <w:color w:val="auto"/>
        </w:rPr>
        <w:t>. The Administrator may grant Restricted Stock Awards under the Plan. A Restricted Stock Award is any Award of Restricted Shares subject to such restrictions and conditions as the Administrator may determine at the time of grant.</w:t>
      </w:r>
    </w:p>
    <w:p>
      <w:pPr>
        <w:spacing w:after="0" w:line="1" w:lineRule="exact"/>
        <w:rPr>
          <w:rFonts w:ascii="Times New Roman" w:cs="Times New Roman" w:eastAsia="Times New Roman" w:hAnsi="Times New Roman"/>
          <w:sz w:val="21"/>
          <w:szCs w:val="21"/>
          <w:color w:val="auto"/>
        </w:rPr>
      </w:pPr>
    </w:p>
    <w:p>
      <w:pPr>
        <w:ind w:left="300" w:right="839"/>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Conditions may be based on continuing employment (or other Service Relationship) and/or achievement of pre-established performance goals and objectives.</w:t>
      </w:r>
    </w:p>
    <w:p>
      <w:pPr>
        <w:spacing w:after="0" w:line="178" w:lineRule="exact"/>
        <w:rPr>
          <w:rFonts w:ascii="Times New Roman" w:cs="Times New Roman" w:eastAsia="Times New Roman" w:hAnsi="Times New Roman"/>
          <w:sz w:val="21"/>
          <w:szCs w:val="21"/>
          <w:color w:val="auto"/>
        </w:rPr>
      </w:pPr>
    </w:p>
    <w:p>
      <w:pPr>
        <w:ind w:left="300" w:right="299" w:firstLine="640"/>
        <w:spacing w:after="0" w:line="244" w:lineRule="auto"/>
        <w:tabs>
          <w:tab w:leader="none" w:pos="13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a Stockholder</w:t>
      </w:r>
      <w:r>
        <w:rPr>
          <w:rFonts w:ascii="Times New Roman" w:cs="Times New Roman" w:eastAsia="Times New Roman" w:hAnsi="Times New Roman"/>
          <w:sz w:val="21"/>
          <w:szCs w:val="21"/>
          <w:color w:val="auto"/>
        </w:rPr>
        <w:t>. Upon the grant of the Restricted Stock Award and payment of any applicable purchase price, if any,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83" w:lineRule="exact"/>
        <w:rPr>
          <w:rFonts w:ascii="Times New Roman" w:cs="Times New Roman" w:eastAsia="Times New Roman" w:hAnsi="Times New Roman"/>
          <w:sz w:val="21"/>
          <w:szCs w:val="21"/>
          <w:color w:val="auto"/>
        </w:rPr>
      </w:pPr>
    </w:p>
    <w:p>
      <w:pPr>
        <w:ind w:left="300" w:right="479" w:firstLine="640"/>
        <w:spacing w:after="0" w:line="255" w:lineRule="auto"/>
        <w:tabs>
          <w:tab w:leader="none" w:pos="13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2" w:name="page43"/>
    <w:bookmarkEnd w:id="42"/>
    <w:p>
      <w:pPr>
        <w:ind w:left="300" w:right="319"/>
        <w:spacing w:after="0" w:line="234" w:lineRule="auto"/>
        <w:rPr>
          <w:sz w:val="20"/>
          <w:szCs w:val="20"/>
          <w:color w:val="auto"/>
        </w:rPr>
      </w:pPr>
      <w:r>
        <w:rPr>
          <w:rFonts w:ascii="Times New Roman" w:cs="Times New Roman" w:eastAsia="Times New Roman" w:hAnsi="Times New Roman"/>
          <w:sz w:val="22"/>
          <w:szCs w:val="22"/>
          <w:color w:val="auto"/>
        </w:rPr>
        <w:t>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79" w:lineRule="exact"/>
        <w:rPr>
          <w:sz w:val="20"/>
          <w:szCs w:val="20"/>
          <w:color w:val="auto"/>
        </w:rPr>
      </w:pPr>
    </w:p>
    <w:p>
      <w:pPr>
        <w:ind w:left="300" w:right="319" w:firstLine="640"/>
        <w:spacing w:after="0" w:line="249" w:lineRule="auto"/>
        <w:tabs>
          <w:tab w:leader="none" w:pos="13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Restricted Shares</w:t>
      </w:r>
      <w:r>
        <w:rPr>
          <w:rFonts w:ascii="Times New Roman" w:cs="Times New Roman" w:eastAsia="Times New Roman" w:hAnsi="Times New Roman"/>
          <w:sz w:val="21"/>
          <w:szCs w:val="21"/>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RESTRICTED STOCK UNITS</w:t>
      </w:r>
    </w:p>
    <w:p>
      <w:pPr>
        <w:spacing w:after="0" w:line="206" w:lineRule="exact"/>
        <w:rPr>
          <w:sz w:val="20"/>
          <w:szCs w:val="20"/>
          <w:color w:val="auto"/>
        </w:rPr>
      </w:pPr>
    </w:p>
    <w:p>
      <w:pPr>
        <w:ind w:left="300" w:right="419" w:firstLine="640"/>
        <w:spacing w:after="0" w:line="235" w:lineRule="auto"/>
        <w:tabs>
          <w:tab w:leader="none" w:pos="13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Restricted Stock Units</w:t>
      </w:r>
      <w:r>
        <w:rPr>
          <w:rFonts w:ascii="Times New Roman" w:cs="Times New Roman" w:eastAsia="Times New Roman" w:hAnsi="Times New Roman"/>
          <w:sz w:val="22"/>
          <w:szCs w:val="22"/>
          <w:color w:val="auto"/>
        </w:rPr>
        <w:t xml:space="preserve">.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w:t>
      </w:r>
      <w:r>
        <w:rPr>
          <w:rFonts w:ascii="Times New Roman" w:cs="Times New Roman" w:eastAsia="Times New Roman" w:hAnsi="Times New Roman"/>
          <w:sz w:val="19"/>
          <w:szCs w:val="19"/>
          <w:color w:val="auto"/>
        </w:rPr>
        <w:t>(or cash, to the extent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explicitly provided for in the Award Certificate)</w:t>
      </w:r>
      <w:r>
        <w:rPr>
          <w:rFonts w:ascii="Times New Roman" w:cs="Times New Roman" w:eastAsia="Times New Roman" w:hAnsi="Times New Roman"/>
          <w:sz w:val="21"/>
          <w:szCs w:val="21"/>
          <w:color w:val="auto"/>
        </w:rPr>
        <w:t>. Restricted Stock Units with deferred settlement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dates are subject to Section 409A and shall contain such additional terms and conditions as the Administrator shall determine in its sole discretion in order to comply with the requirements of Section 409A.</w:t>
      </w:r>
    </w:p>
    <w:p>
      <w:pPr>
        <w:spacing w:after="0" w:line="183" w:lineRule="exact"/>
        <w:rPr>
          <w:rFonts w:ascii="Times New Roman" w:cs="Times New Roman" w:eastAsia="Times New Roman" w:hAnsi="Times New Roman"/>
          <w:sz w:val="22"/>
          <w:szCs w:val="22"/>
          <w:color w:val="auto"/>
        </w:rPr>
      </w:pPr>
    </w:p>
    <w:p>
      <w:pPr>
        <w:ind w:left="300" w:right="319" w:firstLine="640"/>
        <w:spacing w:after="0" w:line="245" w:lineRule="auto"/>
        <w:tabs>
          <w:tab w:leader="none" w:pos="138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Election to Receive Restricted Stock Units in Lieu of Compensation</w:t>
      </w:r>
      <w:r>
        <w:rPr>
          <w:rFonts w:ascii="Times New Roman" w:cs="Times New Roman" w:eastAsia="Times New Roman" w:hAnsi="Times New Roman"/>
          <w:sz w:val="21"/>
          <w:szCs w:val="21"/>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3" w:name="page44"/>
    <w:bookmarkEnd w:id="43"/>
    <w:p>
      <w:pPr>
        <w:ind w:left="300" w:right="699"/>
        <w:spacing w:after="0" w:line="282" w:lineRule="auto"/>
        <w:rPr>
          <w:sz w:val="20"/>
          <w:szCs w:val="20"/>
          <w:color w:val="auto"/>
        </w:rPr>
      </w:pPr>
      <w:r>
        <w:rPr>
          <w:rFonts w:ascii="Times New Roman" w:cs="Times New Roman" w:eastAsia="Times New Roman" w:hAnsi="Times New Roman"/>
          <w:sz w:val="21"/>
          <w:szCs w:val="21"/>
          <w:color w:val="auto"/>
        </w:rPr>
        <w:t>deems appropriate. Any Restricted Stock Units that are elected to be received in lieu of cash compensation shall be fully vested, unless otherwise provided in the Award Certificate.</w:t>
      </w:r>
    </w:p>
    <w:p>
      <w:pPr>
        <w:spacing w:after="0" w:line="135" w:lineRule="exact"/>
        <w:rPr>
          <w:sz w:val="20"/>
          <w:szCs w:val="20"/>
          <w:color w:val="auto"/>
        </w:rPr>
      </w:pPr>
    </w:p>
    <w:p>
      <w:pPr>
        <w:ind w:left="300" w:right="459" w:firstLine="640"/>
        <w:spacing w:after="0" w:line="238" w:lineRule="auto"/>
        <w:tabs>
          <w:tab w:leader="none" w:pos="1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76" w:lineRule="exact"/>
        <w:rPr>
          <w:rFonts w:ascii="Times New Roman" w:cs="Times New Roman" w:eastAsia="Times New Roman" w:hAnsi="Times New Roman"/>
          <w:sz w:val="22"/>
          <w:szCs w:val="22"/>
          <w:color w:val="auto"/>
        </w:rPr>
      </w:pPr>
    </w:p>
    <w:p>
      <w:pPr>
        <w:ind w:left="300" w:right="559" w:firstLine="640"/>
        <w:spacing w:after="0" w:line="238" w:lineRule="auto"/>
        <w:tabs>
          <w:tab w:leader="none" w:pos="13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UNRESTRICTED STOCK AWARDS</w:t>
      </w:r>
    </w:p>
    <w:p>
      <w:pPr>
        <w:spacing w:after="0" w:line="206" w:lineRule="exact"/>
        <w:rPr>
          <w:sz w:val="20"/>
          <w:szCs w:val="20"/>
          <w:color w:val="auto"/>
        </w:rPr>
      </w:pPr>
    </w:p>
    <w:p>
      <w:pPr>
        <w:ind w:left="300" w:right="359" w:firstLine="648"/>
        <w:spacing w:after="0" w:line="236" w:lineRule="auto"/>
        <w:rPr>
          <w:sz w:val="20"/>
          <w:szCs w:val="20"/>
          <w:color w:val="auto"/>
        </w:rPr>
      </w:pPr>
      <w:r>
        <w:rPr>
          <w:rFonts w:ascii="Times New Roman" w:cs="Times New Roman" w:eastAsia="Times New Roman" w:hAnsi="Times New Roman"/>
          <w:sz w:val="22"/>
          <w:szCs w:val="22"/>
          <w:u w:val="single" w:color="auto"/>
          <w:color w:val="auto"/>
        </w:rPr>
        <w:t>Grant or Sale of Unrestricted Stock</w:t>
      </w:r>
      <w:r>
        <w:rPr>
          <w:rFonts w:ascii="Times New Roman" w:cs="Times New Roman" w:eastAsia="Times New Roman" w:hAnsi="Times New Roman"/>
          <w:sz w:val="22"/>
          <w:szCs w:val="22"/>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CASH-BASED AWARDS</w:t>
      </w:r>
    </w:p>
    <w:p>
      <w:pPr>
        <w:spacing w:after="0" w:line="206" w:lineRule="exact"/>
        <w:rPr>
          <w:sz w:val="20"/>
          <w:szCs w:val="20"/>
          <w:color w:val="auto"/>
        </w:rPr>
      </w:pPr>
    </w:p>
    <w:p>
      <w:pPr>
        <w:ind w:left="300" w:right="339" w:firstLine="648"/>
        <w:spacing w:after="0" w:line="234" w:lineRule="auto"/>
        <w:rPr>
          <w:sz w:val="20"/>
          <w:szCs w:val="20"/>
          <w:color w:val="auto"/>
        </w:rPr>
      </w:pPr>
      <w:r>
        <w:rPr>
          <w:rFonts w:ascii="Times New Roman" w:cs="Times New Roman" w:eastAsia="Times New Roman" w:hAnsi="Times New Roman"/>
          <w:sz w:val="22"/>
          <w:szCs w:val="22"/>
          <w:u w:val="single" w:color="auto"/>
          <w:color w:val="auto"/>
        </w:rPr>
        <w:t>Grant of Cash-Based Awards</w:t>
      </w:r>
      <w:r>
        <w:rPr>
          <w:rFonts w:ascii="Times New Roman" w:cs="Times New Roman" w:eastAsia="Times New Roman" w:hAnsi="Times New Roman"/>
          <w:sz w:val="22"/>
          <w:szCs w:val="22"/>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DIVIDEND EQUIVALENT RIGHTS</w:t>
      </w:r>
    </w:p>
    <w:p>
      <w:pPr>
        <w:spacing w:after="0" w:line="206" w:lineRule="exact"/>
        <w:rPr>
          <w:sz w:val="20"/>
          <w:szCs w:val="20"/>
          <w:color w:val="auto"/>
        </w:rPr>
      </w:pPr>
    </w:p>
    <w:p>
      <w:pPr>
        <w:ind w:left="300" w:right="339" w:firstLine="640"/>
        <w:spacing w:after="0" w:line="246" w:lineRule="auto"/>
        <w:tabs>
          <w:tab w:leader="none" w:pos="138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 Rights</w:t>
      </w:r>
      <w:r>
        <w:rPr>
          <w:rFonts w:ascii="Times New Roman" w:cs="Times New Roman" w:eastAsia="Times New Roman" w:hAnsi="Times New Roman"/>
          <w:sz w:val="21"/>
          <w:szCs w:val="21"/>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4" w:name="page45"/>
    <w:bookmarkEnd w:id="44"/>
    <w:p>
      <w:pPr>
        <w:ind w:left="300" w:right="439"/>
        <w:spacing w:after="0" w:line="235" w:lineRule="auto"/>
        <w:rPr>
          <w:sz w:val="20"/>
          <w:szCs w:val="20"/>
          <w:color w:val="auto"/>
        </w:rPr>
      </w:pPr>
      <w:r>
        <w:rPr>
          <w:rFonts w:ascii="Times New Roman" w:cs="Times New Roman" w:eastAsia="Times New Roman" w:hAnsi="Times New Roman"/>
          <w:sz w:val="22"/>
          <w:szCs w:val="22"/>
          <w:color w:val="auto"/>
        </w:rPr>
        <w:t>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83" w:lineRule="exact"/>
        <w:rPr>
          <w:sz w:val="20"/>
          <w:szCs w:val="20"/>
          <w:color w:val="auto"/>
        </w:rPr>
      </w:pPr>
    </w:p>
    <w:p>
      <w:pPr>
        <w:ind w:left="300" w:right="559" w:firstLine="640"/>
        <w:spacing w:after="0" w:line="238" w:lineRule="auto"/>
        <w:tabs>
          <w:tab w:leader="none" w:pos="13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TRANSFERABILITY OF AWARDS</w:t>
      </w:r>
    </w:p>
    <w:p>
      <w:pPr>
        <w:spacing w:after="0" w:line="206" w:lineRule="exact"/>
        <w:rPr>
          <w:sz w:val="20"/>
          <w:szCs w:val="20"/>
          <w:color w:val="auto"/>
        </w:rPr>
      </w:pPr>
    </w:p>
    <w:p>
      <w:pPr>
        <w:ind w:left="300" w:right="499" w:firstLine="640"/>
        <w:spacing w:after="0" w:line="235" w:lineRule="auto"/>
        <w:tabs>
          <w:tab w:leader="none" w:pos="13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83" w:lineRule="exact"/>
        <w:rPr>
          <w:rFonts w:ascii="Times New Roman" w:cs="Times New Roman" w:eastAsia="Times New Roman" w:hAnsi="Times New Roman"/>
          <w:sz w:val="22"/>
          <w:szCs w:val="22"/>
          <w:color w:val="auto"/>
        </w:rPr>
      </w:pPr>
    </w:p>
    <w:p>
      <w:pPr>
        <w:ind w:left="300" w:right="339" w:firstLine="640"/>
        <w:spacing w:after="0" w:line="235" w:lineRule="auto"/>
        <w:tabs>
          <w:tab w:leader="none" w:pos="13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Action</w:t>
      </w:r>
      <w:r>
        <w:rPr>
          <w:rFonts w:ascii="Times New Roman" w:cs="Times New Roman" w:eastAsia="Times New Roman" w:hAnsi="Times New Roman"/>
          <w:sz w:val="22"/>
          <w:szCs w:val="22"/>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78" w:lineRule="exact"/>
        <w:rPr>
          <w:rFonts w:ascii="Times New Roman" w:cs="Times New Roman" w:eastAsia="Times New Roman" w:hAnsi="Times New Roman"/>
          <w:sz w:val="22"/>
          <w:szCs w:val="22"/>
          <w:color w:val="auto"/>
        </w:rPr>
      </w:pPr>
    </w:p>
    <w:p>
      <w:pPr>
        <w:ind w:left="300" w:right="459" w:firstLine="640"/>
        <w:spacing w:after="0" w:line="235" w:lineRule="auto"/>
        <w:tabs>
          <w:tab w:leader="none" w:pos="13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Family Member</w:t>
      </w:r>
      <w:r>
        <w:rPr>
          <w:rFonts w:ascii="Times New Roman" w:cs="Times New Roman" w:eastAsia="Times New Roman" w:hAnsi="Times New Roman"/>
          <w:sz w:val="22"/>
          <w:szCs w:val="22"/>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78" w:lineRule="exact"/>
        <w:rPr>
          <w:rFonts w:ascii="Times New Roman" w:cs="Times New Roman" w:eastAsia="Times New Roman" w:hAnsi="Times New Roman"/>
          <w:sz w:val="22"/>
          <w:szCs w:val="22"/>
          <w:color w:val="auto"/>
        </w:rPr>
      </w:pPr>
    </w:p>
    <w:p>
      <w:pPr>
        <w:ind w:left="300" w:right="359" w:firstLine="640"/>
        <w:spacing w:after="0" w:line="238" w:lineRule="auto"/>
        <w:tabs>
          <w:tab w:leader="none" w:pos="13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Beneficiary</w:t>
      </w:r>
      <w:r>
        <w:rPr>
          <w:rFonts w:ascii="Times New Roman" w:cs="Times New Roman" w:eastAsia="Times New Roman" w:hAnsi="Times New Roman"/>
          <w:sz w:val="22"/>
          <w:szCs w:val="22"/>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5" w:name="page46"/>
    <w:bookmarkEnd w:id="45"/>
    <w:p>
      <w:pPr>
        <w:ind w:left="300" w:right="559"/>
        <w:spacing w:after="0" w:line="258" w:lineRule="auto"/>
        <w:rPr>
          <w:sz w:val="20"/>
          <w:szCs w:val="20"/>
          <w:color w:val="auto"/>
        </w:rPr>
      </w:pPr>
      <w:r>
        <w:rPr>
          <w:rFonts w:ascii="Times New Roman" w:cs="Times New Roman" w:eastAsia="Times New Roman" w:hAnsi="Times New Roman"/>
          <w:sz w:val="22"/>
          <w:szCs w:val="22"/>
          <w:color w:val="auto"/>
        </w:rPr>
        <w:t>has been designated by a deceased grantee, or if the designated beneficiaries have predeceased the grantee, the beneficiary shall be the grantee’s estate.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TAX WITHHOLDING</w:t>
      </w:r>
    </w:p>
    <w:p>
      <w:pPr>
        <w:spacing w:after="0" w:line="206" w:lineRule="exact"/>
        <w:rPr>
          <w:sz w:val="20"/>
          <w:szCs w:val="20"/>
          <w:color w:val="auto"/>
        </w:rPr>
      </w:pPr>
    </w:p>
    <w:p>
      <w:pPr>
        <w:ind w:left="300" w:right="299" w:firstLine="640"/>
        <w:spacing w:after="0" w:line="234" w:lineRule="auto"/>
        <w:tabs>
          <w:tab w:leader="none" w:pos="13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by Grantee</w:t>
      </w:r>
      <w:r>
        <w:rPr>
          <w:rFonts w:ascii="Times New Roman" w:cs="Times New Roman" w:eastAsia="Times New Roman" w:hAnsi="Times New Roman"/>
          <w:sz w:val="22"/>
          <w:szCs w:val="22"/>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83" w:lineRule="exact"/>
        <w:rPr>
          <w:rFonts w:ascii="Times New Roman" w:cs="Times New Roman" w:eastAsia="Times New Roman" w:hAnsi="Times New Roman"/>
          <w:sz w:val="22"/>
          <w:szCs w:val="22"/>
          <w:color w:val="auto"/>
        </w:rPr>
      </w:pPr>
    </w:p>
    <w:p>
      <w:pPr>
        <w:ind w:left="300" w:right="299" w:firstLine="640"/>
        <w:spacing w:after="0" w:line="233" w:lineRule="auto"/>
        <w:tabs>
          <w:tab w:leader="none" w:pos="13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in Stock</w:t>
      </w:r>
      <w:r>
        <w:rPr>
          <w:rFonts w:ascii="Times New Roman" w:cs="Times New Roman" w:eastAsia="Times New Roman" w:hAnsi="Times New Roman"/>
          <w:sz w:val="22"/>
          <w:szCs w:val="22"/>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SECTION 409A AWARDS</w:t>
      </w:r>
    </w:p>
    <w:p>
      <w:pPr>
        <w:spacing w:after="0" w:line="206" w:lineRule="exact"/>
        <w:rPr>
          <w:sz w:val="20"/>
          <w:szCs w:val="20"/>
          <w:color w:val="auto"/>
        </w:rPr>
      </w:pPr>
    </w:p>
    <w:p>
      <w:pPr>
        <w:ind w:left="300" w:right="319" w:firstLine="648"/>
        <w:spacing w:after="0" w:line="244" w:lineRule="auto"/>
        <w:rPr>
          <w:sz w:val="20"/>
          <w:szCs w:val="20"/>
          <w:color w:val="auto"/>
        </w:rPr>
      </w:pPr>
      <w:r>
        <w:rPr>
          <w:rFonts w:ascii="Times New Roman" w:cs="Times New Roman" w:eastAsia="Times New Roman" w:hAnsi="Times New Roman"/>
          <w:sz w:val="21"/>
          <w:szCs w:val="21"/>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of the Code and makes no undertaking to preclude Section 409A of the Code from applying to any such payment. The grantee shall be solely responsible for the payment of any taxes and penalties incurred under Section 409A.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6" w:name="page47"/>
    <w:bookmarkEnd w:id="46"/>
    <w:p>
      <w:pPr>
        <w:ind w:left="1720" w:right="579" w:hanging="1425"/>
        <w:spacing w:after="0" w:line="258"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TERMINATION OF SERVICE RELATIONSHIP, TRANSFER, LEAVE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ABSENCE, ETC.</w:t>
      </w:r>
    </w:p>
    <w:p>
      <w:pPr>
        <w:spacing w:after="0" w:line="158" w:lineRule="exact"/>
        <w:rPr>
          <w:sz w:val="20"/>
          <w:szCs w:val="20"/>
          <w:color w:val="auto"/>
        </w:rPr>
      </w:pPr>
    </w:p>
    <w:p>
      <w:pPr>
        <w:ind w:left="300" w:right="539" w:firstLine="640"/>
        <w:spacing w:after="0" w:line="244" w:lineRule="auto"/>
        <w:tabs>
          <w:tab w:leader="none" w:pos="13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Relationship</w:t>
      </w:r>
      <w:r>
        <w:rPr>
          <w:rFonts w:ascii="Times New Roman" w:cs="Times New Roman" w:eastAsia="Times New Roman" w:hAnsi="Times New Roman"/>
          <w:sz w:val="22"/>
          <w:szCs w:val="22"/>
          <w:color w:val="auto"/>
        </w:rPr>
        <w:t>. If the grantee’s Service Relationship is with an Affiliate and such Affiliate ceases to be an Affiliate, the grantee shall be deemed to have terminated his or her Service Relationship for purposes of the Plan.</w:t>
      </w:r>
    </w:p>
    <w:p>
      <w:pPr>
        <w:spacing w:after="0" w:line="173" w:lineRule="exact"/>
        <w:rPr>
          <w:rFonts w:ascii="Times New Roman" w:cs="Times New Roman" w:eastAsia="Times New Roman" w:hAnsi="Times New Roman"/>
          <w:sz w:val="22"/>
          <w:szCs w:val="22"/>
          <w:color w:val="auto"/>
        </w:rPr>
      </w:pPr>
    </w:p>
    <w:p>
      <w:pPr>
        <w:ind w:left="300" w:right="299" w:firstLine="640"/>
        <w:spacing w:after="0" w:line="258" w:lineRule="auto"/>
        <w:tabs>
          <w:tab w:leader="none" w:pos="13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Plan, the following events shall not be deemed a termination of a Service Relationship:</w:t>
      </w:r>
    </w:p>
    <w:p>
      <w:pPr>
        <w:spacing w:after="0" w:line="158" w:lineRule="exact"/>
        <w:rPr>
          <w:rFonts w:ascii="Times New Roman" w:cs="Times New Roman" w:eastAsia="Times New Roman" w:hAnsi="Times New Roman"/>
          <w:sz w:val="22"/>
          <w:szCs w:val="22"/>
          <w:color w:val="auto"/>
        </w:rPr>
      </w:pPr>
    </w:p>
    <w:p>
      <w:pPr>
        <w:ind w:left="300" w:right="499" w:firstLine="1288"/>
        <w:spacing w:after="0" w:line="258" w:lineRule="auto"/>
        <w:tabs>
          <w:tab w:leader="none" w:pos="2062"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to the employment of the Company from an Affiliate or from the Company to an Affiliate, or from one Affiliate to another; or</w:t>
      </w:r>
    </w:p>
    <w:p>
      <w:pPr>
        <w:spacing w:after="0" w:line="158" w:lineRule="exact"/>
        <w:rPr>
          <w:rFonts w:ascii="Times New Roman" w:cs="Times New Roman" w:eastAsia="Times New Roman" w:hAnsi="Times New Roman"/>
          <w:sz w:val="22"/>
          <w:szCs w:val="22"/>
          <w:color w:val="auto"/>
        </w:rPr>
      </w:pPr>
    </w:p>
    <w:p>
      <w:pPr>
        <w:ind w:left="300" w:right="339" w:firstLine="1288"/>
        <w:spacing w:after="0" w:line="239" w:lineRule="auto"/>
        <w:tabs>
          <w:tab w:leader="none" w:pos="2062"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AMENDMENTS AND TERMINATION</w:t>
      </w:r>
    </w:p>
    <w:p>
      <w:pPr>
        <w:spacing w:after="0" w:line="206" w:lineRule="exact"/>
        <w:rPr>
          <w:sz w:val="20"/>
          <w:szCs w:val="20"/>
          <w:color w:val="auto"/>
        </w:rPr>
      </w:pPr>
    </w:p>
    <w:p>
      <w:pPr>
        <w:ind w:left="300" w:right="299" w:firstLine="648"/>
        <w:spacing w:after="0" w:line="244" w:lineRule="auto"/>
        <w:rPr>
          <w:sz w:val="20"/>
          <w:szCs w:val="20"/>
          <w:color w:val="auto"/>
        </w:rPr>
      </w:pPr>
      <w:r>
        <w:rPr>
          <w:rFonts w:ascii="Times New Roman" w:cs="Times New Roman" w:eastAsia="Times New Roman" w:hAnsi="Times New Roman"/>
          <w:sz w:val="21"/>
          <w:szCs w:val="21"/>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u w:val="single" w:color="auto"/>
          <w:color w:val="auto"/>
        </w:rPr>
        <w:t>STATUS OF PLAN</w:t>
      </w:r>
    </w:p>
    <w:p>
      <w:pPr>
        <w:spacing w:after="0" w:line="206" w:lineRule="exact"/>
        <w:rPr>
          <w:sz w:val="20"/>
          <w:szCs w:val="20"/>
          <w:color w:val="auto"/>
        </w:rPr>
      </w:pPr>
    </w:p>
    <w:p>
      <w:pPr>
        <w:ind w:left="300" w:right="299" w:firstLine="648"/>
        <w:spacing w:after="0" w:line="248" w:lineRule="auto"/>
        <w:rPr>
          <w:sz w:val="20"/>
          <w:szCs w:val="20"/>
          <w:color w:val="auto"/>
        </w:rPr>
      </w:pPr>
      <w:r>
        <w:rPr>
          <w:rFonts w:ascii="Times New Roman" w:cs="Times New Roman" w:eastAsia="Times New Roman" w:hAnsi="Times New Roman"/>
          <w:sz w:val="21"/>
          <w:szCs w:val="21"/>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22"/>
          <w:szCs w:val="22"/>
          <w:color w:val="auto"/>
        </w:rPr>
        <w:t xml:space="preserve">SECTION 18.  </w:t>
      </w:r>
      <w:r>
        <w:rPr>
          <w:rFonts w:ascii="Times New Roman" w:cs="Times New Roman" w:eastAsia="Times New Roman" w:hAnsi="Times New Roman"/>
          <w:sz w:val="22"/>
          <w:szCs w:val="22"/>
          <w:u w:val="single" w:color="auto"/>
          <w:color w:val="auto"/>
        </w:rPr>
        <w:t>GENERAL PROVISIONS</w:t>
      </w:r>
    </w:p>
    <w:p>
      <w:pPr>
        <w:spacing w:after="0" w:line="206" w:lineRule="exact"/>
        <w:rPr>
          <w:sz w:val="20"/>
          <w:szCs w:val="20"/>
          <w:color w:val="auto"/>
        </w:rPr>
      </w:pPr>
    </w:p>
    <w:p>
      <w:pPr>
        <w:ind w:left="300" w:right="479" w:firstLine="640"/>
        <w:spacing w:after="0" w:line="244" w:lineRule="auto"/>
        <w:tabs>
          <w:tab w:leader="none" w:pos="13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Distribution</w:t>
      </w:r>
      <w:r>
        <w:rPr>
          <w:rFonts w:ascii="Times New Roman" w:cs="Times New Roman" w:eastAsia="Times New Roman" w:hAnsi="Times New Roman"/>
          <w:sz w:val="22"/>
          <w:szCs w:val="22"/>
          <w:color w:val="auto"/>
        </w:rPr>
        <w:t>. The Administrator may require each person acquiring Stock pursuant to an Award to represent to and agree with the Company in writing that such person is acquiring the shares without a view to distribution thereof.</w:t>
      </w:r>
    </w:p>
    <w:p>
      <w:pPr>
        <w:spacing w:after="0" w:line="173" w:lineRule="exact"/>
        <w:rPr>
          <w:rFonts w:ascii="Times New Roman" w:cs="Times New Roman" w:eastAsia="Times New Roman" w:hAnsi="Times New Roman"/>
          <w:sz w:val="22"/>
          <w:szCs w:val="22"/>
          <w:color w:val="auto"/>
        </w:rPr>
      </w:pPr>
    </w:p>
    <w:p>
      <w:pPr>
        <w:ind w:left="300" w:right="319" w:firstLine="640"/>
        <w:spacing w:after="0" w:line="243" w:lineRule="auto"/>
        <w:tabs>
          <w:tab w:leader="none" w:pos="138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 of Stock</w:t>
      </w:r>
      <w:r>
        <w:rPr>
          <w:rFonts w:ascii="Times New Roman" w:cs="Times New Roman" w:eastAsia="Times New Roman" w:hAnsi="Times New Roman"/>
          <w:sz w:val="21"/>
          <w:szCs w:val="21"/>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200" w:lineRule="exact"/>
        <w:rPr>
          <w:rFonts w:ascii="Times New Roman" w:cs="Times New Roman" w:eastAsia="Times New Roman" w:hAnsi="Times New Roman"/>
          <w:sz w:val="21"/>
          <w:szCs w:val="21"/>
          <w:color w:val="auto"/>
        </w:rPr>
      </w:pPr>
    </w:p>
    <w:p>
      <w:pPr>
        <w:spacing w:after="0" w:line="221" w:lineRule="exact"/>
        <w:rPr>
          <w:rFonts w:ascii="Times New Roman" w:cs="Times New Roman" w:eastAsia="Times New Roman" w:hAnsi="Times New Roman"/>
          <w:sz w:val="21"/>
          <w:szCs w:val="21"/>
          <w:color w:val="auto"/>
        </w:rPr>
      </w:pPr>
    </w:p>
    <w:p>
      <w:pPr>
        <w:ind w:left="300" w:right="319" w:firstLine="640"/>
        <w:spacing w:after="0" w:line="255" w:lineRule="auto"/>
        <w:tabs>
          <w:tab w:leader="none" w:pos="138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Fractional Shares</w:t>
      </w:r>
      <w:r>
        <w:rPr>
          <w:rFonts w:ascii="Times New Roman" w:cs="Times New Roman" w:eastAsia="Times New Roman" w:hAnsi="Times New Roman"/>
          <w:sz w:val="21"/>
          <w:szCs w:val="21"/>
          <w:color w:val="auto"/>
        </w:rPr>
        <w:t>. No fractional shares of Stock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spacing w:after="0" w:line="161" w:lineRule="exact"/>
        <w:rPr>
          <w:rFonts w:ascii="Times New Roman" w:cs="Times New Roman" w:eastAsia="Times New Roman" w:hAnsi="Times New Roman"/>
          <w:sz w:val="21"/>
          <w:szCs w:val="21"/>
          <w:color w:val="auto"/>
        </w:rPr>
      </w:pPr>
    </w:p>
    <w:p>
      <w:pPr>
        <w:jc w:val="both"/>
        <w:ind w:left="300" w:right="299" w:firstLine="640"/>
        <w:spacing w:after="0" w:line="239" w:lineRule="auto"/>
        <w:tabs>
          <w:tab w:leader="none" w:pos="13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Rights</w:t>
      </w:r>
      <w:r>
        <w:rPr>
          <w:rFonts w:ascii="Times New Roman" w:cs="Times New Roman" w:eastAsia="Times New Roman" w:hAnsi="Times New Roman"/>
          <w:sz w:val="22"/>
          <w:szCs w:val="22"/>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80" w:lineRule="exact"/>
        <w:rPr>
          <w:rFonts w:ascii="Times New Roman" w:cs="Times New Roman" w:eastAsia="Times New Roman" w:hAnsi="Times New Roman"/>
          <w:sz w:val="22"/>
          <w:szCs w:val="22"/>
          <w:color w:val="auto"/>
        </w:rPr>
      </w:pPr>
    </w:p>
    <w:p>
      <w:pPr>
        <w:jc w:val="both"/>
        <w:ind w:left="300" w:right="419" w:firstLine="640"/>
        <w:spacing w:after="0" w:line="239" w:lineRule="auto"/>
        <w:tabs>
          <w:tab w:leader="none" w:pos="13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Compensation Arrangements; No Employment Rights</w:t>
      </w:r>
      <w:r>
        <w:rPr>
          <w:rFonts w:ascii="Times New Roman" w:cs="Times New Roman" w:eastAsia="Times New Roman" w:hAnsi="Times New Roman"/>
          <w:sz w:val="22"/>
          <w:szCs w:val="22"/>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8" w:name="page49"/>
    <w:bookmarkEnd w:id="48"/>
    <w:p>
      <w:pPr>
        <w:ind w:left="300" w:right="1099"/>
        <w:spacing w:after="0" w:line="258" w:lineRule="auto"/>
        <w:rPr>
          <w:sz w:val="20"/>
          <w:szCs w:val="20"/>
          <w:color w:val="auto"/>
        </w:rPr>
      </w:pPr>
      <w:r>
        <w:rPr>
          <w:rFonts w:ascii="Times New Roman" w:cs="Times New Roman" w:eastAsia="Times New Roman" w:hAnsi="Times New Roman"/>
          <w:sz w:val="22"/>
          <w:szCs w:val="22"/>
          <w:color w:val="auto"/>
        </w:rPr>
        <w:t>confer upon any employee any right to continued employment with the Company or any Subsidiary.</w:t>
      </w:r>
    </w:p>
    <w:p>
      <w:pPr>
        <w:spacing w:after="0" w:line="158" w:lineRule="exact"/>
        <w:rPr>
          <w:sz w:val="20"/>
          <w:szCs w:val="20"/>
          <w:color w:val="auto"/>
        </w:rPr>
      </w:pPr>
    </w:p>
    <w:p>
      <w:pPr>
        <w:ind w:left="300" w:right="319" w:firstLine="640"/>
        <w:spacing w:after="0" w:line="244" w:lineRule="auto"/>
        <w:tabs>
          <w:tab w:leader="none" w:pos="1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Policy Restrictions</w:t>
      </w:r>
      <w:r>
        <w:rPr>
          <w:rFonts w:ascii="Times New Roman" w:cs="Times New Roman" w:eastAsia="Times New Roman" w:hAnsi="Times New Roman"/>
          <w:sz w:val="22"/>
          <w:szCs w:val="22"/>
          <w:color w:val="auto"/>
        </w:rPr>
        <w:t>. Option exercises and other Awards under the Plan shall be subject to the Company’s insider trading policies and procedures, as in effect from time to time.</w:t>
      </w:r>
    </w:p>
    <w:p>
      <w:pPr>
        <w:spacing w:after="0" w:line="173" w:lineRule="exact"/>
        <w:rPr>
          <w:rFonts w:ascii="Times New Roman" w:cs="Times New Roman" w:eastAsia="Times New Roman" w:hAnsi="Times New Roman"/>
          <w:sz w:val="22"/>
          <w:szCs w:val="22"/>
          <w:color w:val="auto"/>
        </w:rPr>
      </w:pPr>
    </w:p>
    <w:p>
      <w:pPr>
        <w:ind w:left="300" w:right="459" w:firstLine="640"/>
        <w:spacing w:after="0" w:line="238" w:lineRule="auto"/>
        <w:tabs>
          <w:tab w:leader="none" w:pos="13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A participant’s rights with respect to any Award hereunder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grantee, or (ii) applicable law.</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19.  </w:t>
      </w:r>
      <w:r>
        <w:rPr>
          <w:rFonts w:ascii="Times New Roman" w:cs="Times New Roman" w:eastAsia="Times New Roman" w:hAnsi="Times New Roman"/>
          <w:sz w:val="22"/>
          <w:szCs w:val="22"/>
          <w:u w:val="single" w:color="auto"/>
          <w:color w:val="auto"/>
        </w:rPr>
        <w:t>EFFECTIVE DATE OF PLAN</w:t>
      </w:r>
    </w:p>
    <w:p>
      <w:pPr>
        <w:spacing w:after="0" w:line="206" w:lineRule="exact"/>
        <w:rPr>
          <w:sz w:val="20"/>
          <w:szCs w:val="20"/>
          <w:color w:val="auto"/>
        </w:rPr>
      </w:pPr>
    </w:p>
    <w:p>
      <w:pPr>
        <w:ind w:left="300" w:right="579" w:firstLine="648"/>
        <w:spacing w:after="0" w:line="236" w:lineRule="auto"/>
        <w:rPr>
          <w:sz w:val="20"/>
          <w:szCs w:val="20"/>
          <w:color w:val="auto"/>
        </w:rPr>
      </w:pPr>
      <w:r>
        <w:rPr>
          <w:rFonts w:ascii="Times New Roman" w:cs="Times New Roman" w:eastAsia="Times New Roman" w:hAnsi="Times New Roman"/>
          <w:sz w:val="22"/>
          <w:szCs w:val="22"/>
          <w:color w:val="auto"/>
        </w:rPr>
        <w:t>This Plan shall become effective upon the date immediately preceding the Registration Date following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xml:space="preserve">SECTION 20.  </w:t>
      </w:r>
      <w:r>
        <w:rPr>
          <w:rFonts w:ascii="Times New Roman" w:cs="Times New Roman" w:eastAsia="Times New Roman" w:hAnsi="Times New Roman"/>
          <w:sz w:val="22"/>
          <w:szCs w:val="22"/>
          <w:u w:val="single" w:color="auto"/>
          <w:color w:val="auto"/>
        </w:rPr>
        <w:t>GOVERNING LAW</w:t>
      </w:r>
    </w:p>
    <w:p>
      <w:pPr>
        <w:spacing w:after="0" w:line="206" w:lineRule="exact"/>
        <w:rPr>
          <w:sz w:val="20"/>
          <w:szCs w:val="20"/>
          <w:color w:val="auto"/>
        </w:rPr>
      </w:pPr>
    </w:p>
    <w:p>
      <w:pPr>
        <w:ind w:left="300" w:right="519" w:firstLine="648"/>
        <w:spacing w:after="0" w:line="238" w:lineRule="auto"/>
        <w:rPr>
          <w:sz w:val="20"/>
          <w:szCs w:val="20"/>
          <w:color w:val="auto"/>
        </w:rPr>
      </w:pPr>
      <w:r>
        <w:rPr>
          <w:rFonts w:ascii="Times New Roman" w:cs="Times New Roman" w:eastAsia="Times New Roman" w:hAnsi="Times New Roman"/>
          <w:sz w:val="22"/>
          <w:szCs w:val="22"/>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DATE APPROVED BY BOARD OF DIRECTORS: October 7, 2021</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DATE APPROVED BY STOCKHOLDERS: October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9" w:name="page50"/>
    <w:bookmarkEnd w:id="49"/>
    <w:p>
      <w:pPr>
        <w:spacing w:after="0" w:line="19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1 to the 2021 Stock Option and Incentive Plan</w:t>
      </w:r>
    </w:p>
    <w:p>
      <w:pPr>
        <w:spacing w:after="0" w:line="225" w:lineRule="exact"/>
        <w:rPr>
          <w:sz w:val="20"/>
          <w:szCs w:val="20"/>
          <w:color w:val="auto"/>
        </w:rPr>
      </w:pPr>
    </w:p>
    <w:p>
      <w:pPr>
        <w:ind w:left="300" w:right="659"/>
        <w:spacing w:after="0" w:line="317" w:lineRule="auto"/>
        <w:rPr>
          <w:sz w:val="20"/>
          <w:szCs w:val="20"/>
          <w:color w:val="auto"/>
        </w:rPr>
      </w:pPr>
      <w:r>
        <w:rPr>
          <w:rFonts w:ascii="Times New Roman" w:cs="Times New Roman" w:eastAsia="Times New Roman" w:hAnsi="Times New Roman"/>
          <w:sz w:val="17"/>
          <w:szCs w:val="17"/>
          <w:color w:val="auto"/>
        </w:rPr>
        <w:t>In accordance with Section 16 of the Aura Biosciences, Inc. (the “</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2021 Stock Option and Incentive Plan (the “</w:t>
      </w:r>
      <w:r>
        <w:rPr>
          <w:rFonts w:ascii="Times New Roman" w:cs="Times New Roman" w:eastAsia="Times New Roman" w:hAnsi="Times New Roman"/>
          <w:sz w:val="17"/>
          <w:szCs w:val="17"/>
          <w:b w:val="1"/>
          <w:bCs w:val="1"/>
          <w:u w:val="single" w:color="auto"/>
          <w:color w:val="auto"/>
        </w:rPr>
        <w:t>Plan</w:t>
      </w:r>
      <w:r>
        <w:rPr>
          <w:rFonts w:ascii="Times New Roman" w:cs="Times New Roman" w:eastAsia="Times New Roman" w:hAnsi="Times New Roman"/>
          <w:sz w:val="17"/>
          <w:szCs w:val="17"/>
          <w:color w:val="auto"/>
        </w:rPr>
        <w:t>”), the Plan is hereby amended as follows, subject to approval of the Company’s stockholders:</w:t>
      </w:r>
    </w:p>
    <w:p>
      <w:pPr>
        <w:spacing w:after="0" w:line="136" w:lineRule="exact"/>
        <w:rPr>
          <w:sz w:val="20"/>
          <w:szCs w:val="20"/>
          <w:color w:val="auto"/>
        </w:rPr>
      </w:pPr>
    </w:p>
    <w:p>
      <w:pPr>
        <w:ind w:left="940" w:hanging="324"/>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of the Plan is hereby amended to include the following as a new definition:</w:t>
      </w:r>
    </w:p>
    <w:p>
      <w:pPr>
        <w:spacing w:after="0" w:line="221" w:lineRule="exact"/>
        <w:rPr>
          <w:rFonts w:ascii="Times New Roman" w:cs="Times New Roman" w:eastAsia="Times New Roman" w:hAnsi="Times New Roman"/>
          <w:sz w:val="18"/>
          <w:szCs w:val="18"/>
          <w:color w:val="auto"/>
        </w:rPr>
      </w:pPr>
    </w:p>
    <w:p>
      <w:pPr>
        <w:ind w:left="940" w:right="33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Shares</w:t>
      </w:r>
      <w:r>
        <w:rPr>
          <w:rFonts w:ascii="Times New Roman" w:cs="Times New Roman" w:eastAsia="Times New Roman" w:hAnsi="Times New Roman"/>
          <w:sz w:val="18"/>
          <w:szCs w:val="18"/>
          <w:color w:val="auto"/>
        </w:rPr>
        <w:t>” means, as of a specified date, the sum of (a) number of shares of Stock issued and outstanding and (b) the number of shares of Stock issuable pursuant to the exercise of any outstanding, pre-funded warrants to acquire shares of Stock for a nominal exercise price.</w:t>
      </w:r>
    </w:p>
    <w:p>
      <w:pPr>
        <w:spacing w:after="0" w:line="20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sentence of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of the Plan is hereby deleted and replaced as follows:</w:t>
      </w:r>
    </w:p>
    <w:p>
      <w:pPr>
        <w:spacing w:after="0" w:line="225" w:lineRule="exact"/>
        <w:rPr>
          <w:rFonts w:ascii="Times New Roman" w:cs="Times New Roman" w:eastAsia="Times New Roman" w:hAnsi="Times New Roman"/>
          <w:sz w:val="18"/>
          <w:szCs w:val="18"/>
          <w:color w:val="auto"/>
        </w:rPr>
      </w:pPr>
    </w:p>
    <w:p>
      <w:pPr>
        <w:ind w:left="940" w:right="31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3,352,166 shares (the “</w:t>
      </w:r>
      <w:r>
        <w:rPr>
          <w:rFonts w:ascii="Times New Roman" w:cs="Times New Roman" w:eastAsia="Times New Roman" w:hAnsi="Times New Roman"/>
          <w:sz w:val="18"/>
          <w:szCs w:val="18"/>
          <w:b w:val="1"/>
          <w:bCs w:val="1"/>
          <w:color w:val="auto"/>
        </w:rPr>
        <w:t>Initial Limit</w:t>
      </w:r>
      <w:r>
        <w:rPr>
          <w:rFonts w:ascii="Times New Roman" w:cs="Times New Roman" w:eastAsia="Times New Roman" w:hAnsi="Times New Roman"/>
          <w:sz w:val="18"/>
          <w:szCs w:val="18"/>
          <w:color w:val="auto"/>
        </w:rPr>
        <w:t>”), subject to adjustment as provided in this Section 3, plus on January 1, 2022 and each January 1 thereafter, the number of shares of Stock reserved and available for issuance under the Plan shall be cumulatively increased by (i) five percent (5%) of the Outstanding Shares on the immediately preceding December 31 or (ii) such lesser number of shares as determined by the Administrator (the “</w:t>
      </w:r>
      <w:r>
        <w:rPr>
          <w:rFonts w:ascii="Times New Roman" w:cs="Times New Roman" w:eastAsia="Times New Roman" w:hAnsi="Times New Roman"/>
          <w:sz w:val="18"/>
          <w:szCs w:val="18"/>
          <w:b w:val="1"/>
          <w:bCs w:val="1"/>
          <w:color w:val="auto"/>
        </w:rPr>
        <w:t>Annual Increase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This Amendment No. 1 to the Plan (this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constitutes an integral part of the Plan. For all purposes of this Amendment, capitalized terms used herein without definition shall have the meanings specified in the Plan, as the Plan shall be in effect on the date hereof after giving effect to the Amendment.</w:t>
      </w:r>
    </w:p>
    <w:p>
      <w:pPr>
        <w:spacing w:after="0" w:line="1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Except as set forth herein, all of the terms and conditions of the Plan, as in effect prior to the effectiveness of this Amendment, shall continue to remain in full force and effect as originally stated therein.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 APPROVED BY BOARD OF DIRECTORS: June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0" w:name="page51"/>
    <w:bookmarkEnd w:id="50"/>
    <w:p>
      <w:pPr>
        <w:spacing w:after="0" w:line="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911860</wp:posOffset>
            </wp:positionV>
            <wp:extent cx="1962785" cy="4883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962785" cy="488315"/>
                    </a:xfrm>
                    <a:prstGeom prst="rect">
                      <a:avLst/>
                    </a:prstGeom>
                    <a:noFill/>
                  </pic:spPr>
                </pic:pic>
              </a:graphicData>
            </a:graphic>
          </wp:anchor>
        </w:drawing>
        <w:drawing>
          <wp:anchor simplePos="0" relativeHeight="251657728" behindDoc="1" locked="0" layoutInCell="0" allowOverlap="1">
            <wp:simplePos x="0" y="0"/>
            <wp:positionH relativeFrom="page">
              <wp:posOffset>4203065</wp:posOffset>
            </wp:positionH>
            <wp:positionV relativeFrom="page">
              <wp:posOffset>911860</wp:posOffset>
            </wp:positionV>
            <wp:extent cx="283210" cy="4800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283210" cy="480060"/>
                    </a:xfrm>
                    <a:prstGeom prst="rect">
                      <a:avLst/>
                    </a:prstGeom>
                    <a:noFill/>
                  </pic:spPr>
                </pic:pic>
              </a:graphicData>
            </a:graphic>
          </wp:anchor>
        </w:drawing>
      </w:r>
    </w:p>
    <w:tbl>
      <w:tblPr>
        <w:tblLayout w:type="fixed"/>
        <w:tblInd w:w="1000" w:type="dxa"/>
        <w:tblCellMar>
          <w:top w:w="0" w:type="dxa"/>
          <w:left w:w="0" w:type="dxa"/>
          <w:bottom w:w="0" w:type="dxa"/>
          <w:right w:w="0" w:type="dxa"/>
        </w:tblCellMar>
      </w:tblPr>
      <w:tr>
        <w:trPr>
          <w:trHeight w:val="331"/>
        </w:trPr>
        <w:tc>
          <w:tcPr>
            <w:tcW w:w="2880" w:type="dxa"/>
            <w:vAlign w:val="bottom"/>
          </w:tcPr>
          <w:p>
            <w:pPr>
              <w:spacing w:after="0"/>
              <w:rPr>
                <w:sz w:val="24"/>
                <w:szCs w:val="24"/>
                <w:color w:val="auto"/>
              </w:rPr>
            </w:pPr>
          </w:p>
        </w:tc>
        <w:tc>
          <w:tcPr>
            <w:tcW w:w="5360" w:type="dxa"/>
            <w:vAlign w:val="bottom"/>
          </w:tcPr>
          <w:p>
            <w:pPr>
              <w:jc w:val="center"/>
              <w:ind w:left="781"/>
              <w:spacing w:after="0"/>
              <w:rPr>
                <w:sz w:val="20"/>
                <w:szCs w:val="20"/>
                <w:color w:val="auto"/>
              </w:rPr>
            </w:pPr>
            <w:r>
              <w:rPr>
                <w:rFonts w:ascii="Arial" w:cs="Arial" w:eastAsia="Arial" w:hAnsi="Arial"/>
                <w:sz w:val="27"/>
                <w:szCs w:val="27"/>
                <w:b w:val="1"/>
                <w:bCs w:val="1"/>
                <w:color w:val="363435"/>
                <w:w w:val="98"/>
              </w:rPr>
              <w:t>SCAN TO</w:t>
            </w: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5360" w:type="dxa"/>
            <w:vAlign w:val="bottom"/>
          </w:tcPr>
          <w:p>
            <w:pPr>
              <w:jc w:val="center"/>
              <w:ind w:left="761"/>
              <w:spacing w:after="0"/>
              <w:rPr>
                <w:sz w:val="20"/>
                <w:szCs w:val="20"/>
                <w:color w:val="auto"/>
              </w:rPr>
            </w:pPr>
            <w:r>
              <w:rPr>
                <w:rFonts w:ascii="Arial" w:cs="Arial" w:eastAsia="Arial" w:hAnsi="Arial"/>
                <w:sz w:val="14"/>
                <w:szCs w:val="14"/>
                <w:b w:val="1"/>
                <w:bCs w:val="1"/>
                <w:color w:val="363435"/>
              </w:rPr>
              <w:t>VIEW MATERIALS &amp;</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5360" w:type="dxa"/>
            <w:vAlign w:val="bottom"/>
          </w:tcPr>
          <w:p>
            <w:pPr>
              <w:jc w:val="center"/>
              <w:ind w:left="781"/>
              <w:spacing w:after="0"/>
              <w:rPr>
                <w:sz w:val="20"/>
                <w:szCs w:val="20"/>
                <w:color w:val="auto"/>
              </w:rPr>
            </w:pPr>
            <w:r>
              <w:rPr>
                <w:rFonts w:ascii="Arial" w:cs="Arial" w:eastAsia="Arial" w:hAnsi="Arial"/>
                <w:sz w:val="14"/>
                <w:szCs w:val="14"/>
                <w:b w:val="1"/>
                <w:bCs w:val="1"/>
                <w:color w:val="363435"/>
              </w:rPr>
              <w:t>VOTE</w:t>
            </w:r>
          </w:p>
        </w:tc>
        <w:tc>
          <w:tcPr>
            <w:tcW w:w="0" w:type="dxa"/>
            <w:vAlign w:val="bottom"/>
          </w:tcPr>
          <w:p>
            <w:pPr>
              <w:spacing w:after="0"/>
              <w:rPr>
                <w:sz w:val="1"/>
                <w:szCs w:val="1"/>
                <w:color w:val="auto"/>
              </w:rPr>
            </w:pPr>
          </w:p>
        </w:tc>
      </w:tr>
      <w:tr>
        <w:trPr>
          <w:trHeight w:val="245"/>
        </w:trPr>
        <w:tc>
          <w:tcPr>
            <w:tcW w:w="2880" w:type="dxa"/>
            <w:vAlign w:val="bottom"/>
          </w:tcPr>
          <w:p>
            <w:pPr>
              <w:spacing w:after="0"/>
              <w:rPr>
                <w:sz w:val="20"/>
                <w:szCs w:val="20"/>
                <w:color w:val="auto"/>
              </w:rPr>
            </w:pPr>
            <w:r>
              <w:rPr>
                <w:rFonts w:ascii="Arial" w:cs="Arial" w:eastAsia="Arial" w:hAnsi="Arial"/>
                <w:sz w:val="9"/>
                <w:szCs w:val="9"/>
                <w:i w:val="1"/>
                <w:iCs w:val="1"/>
                <w:color w:val="363435"/>
              </w:rPr>
              <w:t>AURA BIOSCIENCES, INC.</w:t>
            </w:r>
          </w:p>
        </w:tc>
        <w:tc>
          <w:tcPr>
            <w:tcW w:w="5360" w:type="dxa"/>
            <w:vAlign w:val="bottom"/>
          </w:tcPr>
          <w:p>
            <w:pPr>
              <w:ind w:left="1780"/>
              <w:spacing w:after="0"/>
              <w:rPr>
                <w:sz w:val="20"/>
                <w:szCs w:val="20"/>
                <w:color w:val="auto"/>
              </w:rPr>
            </w:pPr>
            <w:r>
              <w:rPr>
                <w:rFonts w:ascii="Arial" w:cs="Arial" w:eastAsia="Arial" w:hAnsi="Arial"/>
                <w:sz w:val="11"/>
                <w:szCs w:val="11"/>
                <w:b w:val="1"/>
                <w:bCs w:val="1"/>
                <w:color w:val="363435"/>
              </w:rPr>
              <w:t>VOTE BY INTERNET</w:t>
            </w:r>
          </w:p>
        </w:tc>
        <w:tc>
          <w:tcPr>
            <w:tcW w:w="0" w:type="dxa"/>
            <w:vAlign w:val="bottom"/>
          </w:tcPr>
          <w:p>
            <w:pPr>
              <w:spacing w:after="0"/>
              <w:rPr>
                <w:sz w:val="1"/>
                <w:szCs w:val="1"/>
                <w:color w:val="auto"/>
              </w:rPr>
            </w:pPr>
          </w:p>
        </w:tc>
      </w:tr>
      <w:tr>
        <w:trPr>
          <w:trHeight w:val="122"/>
        </w:trPr>
        <w:tc>
          <w:tcPr>
            <w:tcW w:w="2880" w:type="dxa"/>
            <w:vAlign w:val="bottom"/>
          </w:tcPr>
          <w:p>
            <w:pPr>
              <w:spacing w:after="0"/>
              <w:rPr>
                <w:sz w:val="20"/>
                <w:szCs w:val="20"/>
                <w:color w:val="auto"/>
              </w:rPr>
            </w:pPr>
            <w:r>
              <w:rPr>
                <w:rFonts w:ascii="Arial" w:cs="Arial" w:eastAsia="Arial" w:hAnsi="Arial"/>
                <w:sz w:val="9"/>
                <w:szCs w:val="9"/>
                <w:i w:val="1"/>
                <w:iCs w:val="1"/>
                <w:color w:val="363435"/>
              </w:rPr>
              <w:t>80 GUEST STREET</w:t>
            </w:r>
          </w:p>
        </w:tc>
        <w:tc>
          <w:tcPr>
            <w:tcW w:w="5360" w:type="dxa"/>
            <w:vAlign w:val="bottom"/>
          </w:tcPr>
          <w:p>
            <w:pPr>
              <w:ind w:left="1780"/>
              <w:spacing w:after="0" w:line="122" w:lineRule="exact"/>
              <w:rPr>
                <w:sz w:val="20"/>
                <w:szCs w:val="20"/>
                <w:color w:val="auto"/>
              </w:rPr>
            </w:pPr>
            <w:r>
              <w:rPr>
                <w:rFonts w:ascii="Arial" w:cs="Arial" w:eastAsia="Arial" w:hAnsi="Arial"/>
                <w:sz w:val="11"/>
                <w:szCs w:val="11"/>
                <w:i w:val="1"/>
                <w:iCs w:val="1"/>
                <w:color w:val="363435"/>
              </w:rPr>
              <w:t xml:space="preserve">Before The Meeting </w:t>
            </w:r>
            <w:r>
              <w:rPr>
                <w:rFonts w:ascii="Arial" w:cs="Arial" w:eastAsia="Arial" w:hAnsi="Arial"/>
                <w:sz w:val="11"/>
                <w:szCs w:val="11"/>
                <w:color w:val="363435"/>
              </w:rPr>
              <w:t>- Go to</w:t>
            </w:r>
            <w:r>
              <w:rPr>
                <w:rFonts w:ascii="Arial" w:cs="Arial" w:eastAsia="Arial" w:hAnsi="Arial"/>
                <w:sz w:val="11"/>
                <w:szCs w:val="11"/>
                <w:i w:val="1"/>
                <w:iCs w:val="1"/>
                <w:color w:val="363435"/>
              </w:rPr>
              <w:t xml:space="preserve"> </w:t>
            </w:r>
            <w:r>
              <w:rPr>
                <w:rFonts w:ascii="Arial" w:cs="Arial" w:eastAsia="Arial" w:hAnsi="Arial"/>
                <w:sz w:val="11"/>
                <w:szCs w:val="11"/>
                <w:b w:val="1"/>
                <w:bCs w:val="1"/>
                <w:color w:val="363435"/>
              </w:rPr>
              <w:t>www.proxyvote.com or scan the QR</w:t>
            </w:r>
          </w:p>
        </w:tc>
        <w:tc>
          <w:tcPr>
            <w:tcW w:w="0" w:type="dxa"/>
            <w:vAlign w:val="bottom"/>
          </w:tcPr>
          <w:p>
            <w:pPr>
              <w:spacing w:after="0"/>
              <w:rPr>
                <w:sz w:val="1"/>
                <w:szCs w:val="1"/>
                <w:color w:val="auto"/>
              </w:rPr>
            </w:pPr>
          </w:p>
        </w:tc>
      </w:tr>
      <w:tr>
        <w:trPr>
          <w:trHeight w:val="148"/>
        </w:trPr>
        <w:tc>
          <w:tcPr>
            <w:tcW w:w="2880" w:type="dxa"/>
            <w:vAlign w:val="bottom"/>
            <w:vMerge w:val="restart"/>
          </w:tcPr>
          <w:p>
            <w:pPr>
              <w:spacing w:after="0"/>
              <w:rPr>
                <w:sz w:val="20"/>
                <w:szCs w:val="20"/>
                <w:color w:val="auto"/>
              </w:rPr>
            </w:pPr>
            <w:r>
              <w:rPr>
                <w:rFonts w:ascii="Arial" w:cs="Arial" w:eastAsia="Arial" w:hAnsi="Arial"/>
                <w:sz w:val="9"/>
                <w:szCs w:val="9"/>
                <w:i w:val="1"/>
                <w:iCs w:val="1"/>
                <w:color w:val="363435"/>
              </w:rPr>
              <w:t>BOSTON, MA 02135</w:t>
            </w:r>
          </w:p>
        </w:tc>
        <w:tc>
          <w:tcPr>
            <w:tcW w:w="5360" w:type="dxa"/>
            <w:vAlign w:val="bottom"/>
          </w:tcPr>
          <w:p>
            <w:pPr>
              <w:ind w:left="1780"/>
              <w:spacing w:after="0"/>
              <w:rPr>
                <w:sz w:val="20"/>
                <w:szCs w:val="20"/>
                <w:color w:val="auto"/>
              </w:rPr>
            </w:pPr>
            <w:r>
              <w:rPr>
                <w:rFonts w:ascii="Arial" w:cs="Arial" w:eastAsia="Arial" w:hAnsi="Arial"/>
                <w:sz w:val="11"/>
                <w:szCs w:val="11"/>
                <w:b w:val="1"/>
                <w:bCs w:val="1"/>
                <w:color w:val="363435"/>
              </w:rPr>
              <w:t>Barcode above</w:t>
            </w:r>
          </w:p>
        </w:tc>
        <w:tc>
          <w:tcPr>
            <w:tcW w:w="0" w:type="dxa"/>
            <w:vAlign w:val="bottom"/>
          </w:tcPr>
          <w:p>
            <w:pPr>
              <w:spacing w:after="0"/>
              <w:rPr>
                <w:sz w:val="1"/>
                <w:szCs w:val="1"/>
                <w:color w:val="auto"/>
              </w:rPr>
            </w:pPr>
          </w:p>
        </w:tc>
      </w:tr>
      <w:tr>
        <w:trPr>
          <w:trHeight w:val="73"/>
        </w:trPr>
        <w:tc>
          <w:tcPr>
            <w:tcW w:w="2880" w:type="dxa"/>
            <w:vAlign w:val="bottom"/>
            <w:vMerge w:val="continue"/>
          </w:tcPr>
          <w:p>
            <w:pPr>
              <w:spacing w:after="0"/>
              <w:rPr>
                <w:sz w:val="6"/>
                <w:szCs w:val="6"/>
                <w:color w:val="auto"/>
              </w:rPr>
            </w:pPr>
          </w:p>
        </w:tc>
        <w:tc>
          <w:tcPr>
            <w:tcW w:w="5360" w:type="dxa"/>
            <w:vAlign w:val="bottom"/>
            <w:vMerge w:val="restart"/>
          </w:tcPr>
          <w:p>
            <w:pPr>
              <w:ind w:left="1780"/>
              <w:spacing w:after="0"/>
              <w:rPr>
                <w:sz w:val="20"/>
                <w:szCs w:val="20"/>
                <w:color w:val="auto"/>
              </w:rPr>
            </w:pPr>
            <w:r>
              <w:rPr>
                <w:rFonts w:ascii="Arial" w:cs="Arial" w:eastAsia="Arial" w:hAnsi="Arial"/>
                <w:sz w:val="11"/>
                <w:szCs w:val="11"/>
                <w:color w:val="363435"/>
              </w:rPr>
              <w:t>Use the Internet to transmit your voting instructions and for electronic</w:t>
            </w:r>
          </w:p>
        </w:tc>
        <w:tc>
          <w:tcPr>
            <w:tcW w:w="0" w:type="dxa"/>
            <w:vAlign w:val="bottom"/>
          </w:tcPr>
          <w:p>
            <w:pPr>
              <w:spacing w:after="0"/>
              <w:rPr>
                <w:sz w:val="1"/>
                <w:szCs w:val="1"/>
                <w:color w:val="auto"/>
              </w:rPr>
            </w:pPr>
          </w:p>
        </w:tc>
      </w:tr>
      <w:tr>
        <w:trPr>
          <w:trHeight w:val="117"/>
        </w:trPr>
        <w:tc>
          <w:tcPr>
            <w:tcW w:w="2880" w:type="dxa"/>
            <w:vAlign w:val="bottom"/>
          </w:tcPr>
          <w:p>
            <w:pPr>
              <w:spacing w:after="0"/>
              <w:rPr>
                <w:sz w:val="20"/>
                <w:szCs w:val="20"/>
                <w:color w:val="auto"/>
              </w:rPr>
            </w:pPr>
            <w:r>
              <w:rPr>
                <w:rFonts w:ascii="Arial" w:cs="Arial" w:eastAsia="Arial" w:hAnsi="Arial"/>
                <w:sz w:val="9"/>
                <w:szCs w:val="9"/>
                <w:i w:val="1"/>
                <w:iCs w:val="1"/>
                <w:color w:val="363435"/>
              </w:rPr>
              <w:t>UNITED STATES</w:t>
            </w:r>
          </w:p>
        </w:tc>
        <w:tc>
          <w:tcPr>
            <w:tcW w:w="5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80" w:type="dxa"/>
            <w:vAlign w:val="bottom"/>
          </w:tcPr>
          <w:p>
            <w:pPr>
              <w:spacing w:after="0"/>
              <w:rPr>
                <w:sz w:val="10"/>
                <w:szCs w:val="10"/>
                <w:color w:val="auto"/>
              </w:rPr>
            </w:pPr>
          </w:p>
        </w:tc>
        <w:tc>
          <w:tcPr>
            <w:tcW w:w="5360" w:type="dxa"/>
            <w:vAlign w:val="bottom"/>
          </w:tcPr>
          <w:p>
            <w:pPr>
              <w:ind w:left="1780"/>
              <w:spacing w:after="0" w:line="122" w:lineRule="exact"/>
              <w:rPr>
                <w:sz w:val="20"/>
                <w:szCs w:val="20"/>
                <w:color w:val="auto"/>
              </w:rPr>
            </w:pPr>
            <w:r>
              <w:rPr>
                <w:rFonts w:ascii="Arial" w:cs="Arial" w:eastAsia="Arial" w:hAnsi="Arial"/>
                <w:sz w:val="11"/>
                <w:szCs w:val="11"/>
                <w:color w:val="363435"/>
                <w:w w:val="97"/>
              </w:rPr>
              <w:t>delivery of information up until 11:59 p.m. Eastern Time on August 4, 2026.</w:t>
            </w: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5360" w:type="dxa"/>
            <w:vAlign w:val="bottom"/>
          </w:tcPr>
          <w:p>
            <w:pPr>
              <w:ind w:left="1780"/>
              <w:spacing w:after="0" w:line="122" w:lineRule="exact"/>
              <w:rPr>
                <w:sz w:val="20"/>
                <w:szCs w:val="20"/>
                <w:color w:val="auto"/>
              </w:rPr>
            </w:pPr>
            <w:r>
              <w:rPr>
                <w:rFonts w:ascii="Arial" w:cs="Arial" w:eastAsia="Arial" w:hAnsi="Arial"/>
                <w:sz w:val="11"/>
                <w:szCs w:val="11"/>
                <w:color w:val="363435"/>
                <w:w w:val="97"/>
              </w:rPr>
              <w:t>Have your proxy card in hand when you access the web site and follow the</w:t>
            </w: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5360" w:type="dxa"/>
            <w:vAlign w:val="bottom"/>
          </w:tcPr>
          <w:p>
            <w:pPr>
              <w:ind w:left="1780"/>
              <w:spacing w:after="0" w:line="122" w:lineRule="exact"/>
              <w:rPr>
                <w:sz w:val="20"/>
                <w:szCs w:val="20"/>
                <w:color w:val="auto"/>
              </w:rPr>
            </w:pPr>
            <w:r>
              <w:rPr>
                <w:rFonts w:ascii="Arial" w:cs="Arial" w:eastAsia="Arial" w:hAnsi="Arial"/>
                <w:sz w:val="11"/>
                <w:szCs w:val="11"/>
                <w:color w:val="363435"/>
              </w:rPr>
              <w:t>instructions to obtain your records and to create an electronic voting</w:t>
            </w: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5360" w:type="dxa"/>
            <w:vAlign w:val="bottom"/>
          </w:tcPr>
          <w:p>
            <w:pPr>
              <w:ind w:left="1780"/>
              <w:spacing w:after="0"/>
              <w:rPr>
                <w:sz w:val="20"/>
                <w:szCs w:val="20"/>
                <w:color w:val="auto"/>
              </w:rPr>
            </w:pPr>
            <w:r>
              <w:rPr>
                <w:rFonts w:ascii="Arial" w:cs="Arial" w:eastAsia="Arial" w:hAnsi="Arial"/>
                <w:sz w:val="11"/>
                <w:szCs w:val="11"/>
                <w:color w:val="363435"/>
              </w:rPr>
              <w:t>instruction form.</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5360" w:type="dxa"/>
            <w:vAlign w:val="bottom"/>
          </w:tcPr>
          <w:p>
            <w:pPr>
              <w:ind w:left="1780"/>
              <w:spacing w:after="0"/>
              <w:rPr>
                <w:sz w:val="20"/>
                <w:szCs w:val="20"/>
                <w:color w:val="auto"/>
              </w:rPr>
            </w:pPr>
            <w:r>
              <w:rPr>
                <w:rFonts w:ascii="Arial" w:cs="Arial" w:eastAsia="Arial" w:hAnsi="Arial"/>
                <w:sz w:val="11"/>
                <w:szCs w:val="11"/>
                <w:i w:val="1"/>
                <w:iCs w:val="1"/>
                <w:color w:val="363435"/>
              </w:rPr>
              <w:t xml:space="preserve">During The Meeting </w:t>
            </w:r>
            <w:r>
              <w:rPr>
                <w:rFonts w:ascii="Arial" w:cs="Arial" w:eastAsia="Arial" w:hAnsi="Arial"/>
                <w:sz w:val="11"/>
                <w:szCs w:val="11"/>
                <w:color w:val="363435"/>
              </w:rPr>
              <w:t>- Go to</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5360" w:type="dxa"/>
            <w:vAlign w:val="bottom"/>
          </w:tcPr>
          <w:p>
            <w:pPr>
              <w:ind w:left="1780"/>
              <w:spacing w:after="0"/>
              <w:rPr>
                <w:sz w:val="20"/>
                <w:szCs w:val="20"/>
                <w:color w:val="auto"/>
              </w:rPr>
            </w:pPr>
            <w:r>
              <w:rPr>
                <w:rFonts w:ascii="Arial" w:cs="Arial" w:eastAsia="Arial" w:hAnsi="Arial"/>
                <w:sz w:val="11"/>
                <w:szCs w:val="11"/>
                <w:b w:val="1"/>
                <w:bCs w:val="1"/>
                <w:color w:val="363435"/>
              </w:rPr>
              <w:t>www.virtualshareholdermeeting.com/AURA2026SM</w:t>
            </w: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5360" w:type="dxa"/>
            <w:vAlign w:val="bottom"/>
          </w:tcPr>
          <w:p>
            <w:pPr>
              <w:ind w:left="1780"/>
              <w:spacing w:after="0"/>
              <w:rPr>
                <w:sz w:val="20"/>
                <w:szCs w:val="20"/>
                <w:color w:val="auto"/>
              </w:rPr>
            </w:pPr>
            <w:r>
              <w:rPr>
                <w:rFonts w:ascii="Arial" w:cs="Arial" w:eastAsia="Arial" w:hAnsi="Arial"/>
                <w:sz w:val="11"/>
                <w:szCs w:val="11"/>
                <w:color w:val="363435"/>
              </w:rPr>
              <w:t>You may attend the meeting via the Internet and vote during the meeting.</w:t>
            </w: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5360" w:type="dxa"/>
            <w:vAlign w:val="bottom"/>
          </w:tcPr>
          <w:p>
            <w:pPr>
              <w:ind w:left="1780"/>
              <w:spacing w:after="0" w:line="122" w:lineRule="exact"/>
              <w:rPr>
                <w:sz w:val="20"/>
                <w:szCs w:val="20"/>
                <w:color w:val="auto"/>
              </w:rPr>
            </w:pPr>
            <w:r>
              <w:rPr>
                <w:rFonts w:ascii="Arial" w:cs="Arial" w:eastAsia="Arial" w:hAnsi="Arial"/>
                <w:sz w:val="11"/>
                <w:szCs w:val="11"/>
                <w:color w:val="363435"/>
              </w:rPr>
              <w:t>Have the information that is printed in the box marked by the arrow</w:t>
            </w: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5360" w:type="dxa"/>
            <w:vAlign w:val="bottom"/>
          </w:tcPr>
          <w:p>
            <w:pPr>
              <w:ind w:left="1780"/>
              <w:spacing w:after="0"/>
              <w:rPr>
                <w:sz w:val="20"/>
                <w:szCs w:val="20"/>
                <w:color w:val="auto"/>
              </w:rPr>
            </w:pPr>
            <w:r>
              <w:rPr>
                <w:rFonts w:ascii="Arial" w:cs="Arial" w:eastAsia="Arial" w:hAnsi="Arial"/>
                <w:sz w:val="11"/>
                <w:szCs w:val="11"/>
                <w:color w:val="363435"/>
              </w:rPr>
              <w:t>available and follow the instructions.</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5360" w:type="dxa"/>
            <w:vAlign w:val="bottom"/>
          </w:tcPr>
          <w:p>
            <w:pPr>
              <w:ind w:left="1780"/>
              <w:spacing w:after="0"/>
              <w:rPr>
                <w:sz w:val="20"/>
                <w:szCs w:val="20"/>
                <w:color w:val="auto"/>
              </w:rPr>
            </w:pPr>
            <w:r>
              <w:rPr>
                <w:rFonts w:ascii="Arial" w:cs="Arial" w:eastAsia="Arial" w:hAnsi="Arial"/>
                <w:sz w:val="11"/>
                <w:szCs w:val="11"/>
                <w:b w:val="1"/>
                <w:bCs w:val="1"/>
                <w:color w:val="363435"/>
              </w:rPr>
              <w:t>VOTE BY PHONE - 1-800-690-6903</w:t>
            </w: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5360" w:type="dxa"/>
            <w:vAlign w:val="bottom"/>
          </w:tcPr>
          <w:p>
            <w:pPr>
              <w:ind w:left="1780"/>
              <w:spacing w:after="0" w:line="122" w:lineRule="exact"/>
              <w:rPr>
                <w:sz w:val="20"/>
                <w:szCs w:val="20"/>
                <w:color w:val="auto"/>
              </w:rPr>
            </w:pPr>
            <w:r>
              <w:rPr>
                <w:rFonts w:ascii="Arial" w:cs="Arial" w:eastAsia="Arial" w:hAnsi="Arial"/>
                <w:sz w:val="11"/>
                <w:szCs w:val="11"/>
                <w:color w:val="363435"/>
              </w:rPr>
              <w:t>Use any touch-tone telephone to transmit your voting instructions up until</w:t>
            </w:r>
          </w:p>
        </w:tc>
        <w:tc>
          <w:tcPr>
            <w:tcW w:w="0" w:type="dxa"/>
            <w:vAlign w:val="bottom"/>
          </w:tcPr>
          <w:p>
            <w:pPr>
              <w:spacing w:after="0"/>
              <w:rPr>
                <w:sz w:val="1"/>
                <w:szCs w:val="1"/>
                <w:color w:val="auto"/>
              </w:rPr>
            </w:pPr>
          </w:p>
        </w:tc>
      </w:tr>
      <w:tr>
        <w:trPr>
          <w:trHeight w:val="121"/>
        </w:trPr>
        <w:tc>
          <w:tcPr>
            <w:tcW w:w="2880" w:type="dxa"/>
            <w:vAlign w:val="bottom"/>
          </w:tcPr>
          <w:p>
            <w:pPr>
              <w:spacing w:after="0"/>
              <w:rPr>
                <w:sz w:val="10"/>
                <w:szCs w:val="10"/>
                <w:color w:val="auto"/>
              </w:rPr>
            </w:pPr>
          </w:p>
        </w:tc>
        <w:tc>
          <w:tcPr>
            <w:tcW w:w="5360" w:type="dxa"/>
            <w:vAlign w:val="bottom"/>
          </w:tcPr>
          <w:p>
            <w:pPr>
              <w:ind w:left="1780"/>
              <w:spacing w:after="0" w:line="122" w:lineRule="exact"/>
              <w:rPr>
                <w:sz w:val="20"/>
                <w:szCs w:val="20"/>
                <w:color w:val="auto"/>
              </w:rPr>
            </w:pPr>
            <w:r>
              <w:rPr>
                <w:rFonts w:ascii="Arial" w:cs="Arial" w:eastAsia="Arial" w:hAnsi="Arial"/>
                <w:sz w:val="11"/>
                <w:szCs w:val="11"/>
                <w:color w:val="363435"/>
                <w:w w:val="98"/>
              </w:rPr>
              <w:t>11:59 p.m. Eastern Time on August 4, 2026. Have your proxy card in hand</w:t>
            </w: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5360" w:type="dxa"/>
            <w:vAlign w:val="bottom"/>
          </w:tcPr>
          <w:p>
            <w:pPr>
              <w:ind w:left="1780"/>
              <w:spacing w:after="0"/>
              <w:rPr>
                <w:sz w:val="20"/>
                <w:szCs w:val="20"/>
                <w:color w:val="auto"/>
              </w:rPr>
            </w:pPr>
            <w:r>
              <w:rPr>
                <w:rFonts w:ascii="Arial" w:cs="Arial" w:eastAsia="Arial" w:hAnsi="Arial"/>
                <w:sz w:val="11"/>
                <w:szCs w:val="11"/>
                <w:color w:val="363435"/>
              </w:rPr>
              <w:t>when you call and then follow the instructions.</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5360" w:type="dxa"/>
            <w:vAlign w:val="bottom"/>
          </w:tcPr>
          <w:p>
            <w:pPr>
              <w:ind w:left="1780"/>
              <w:spacing w:after="0"/>
              <w:rPr>
                <w:sz w:val="20"/>
                <w:szCs w:val="20"/>
                <w:color w:val="auto"/>
              </w:rPr>
            </w:pPr>
            <w:r>
              <w:rPr>
                <w:rFonts w:ascii="Arial" w:cs="Arial" w:eastAsia="Arial" w:hAnsi="Arial"/>
                <w:sz w:val="11"/>
                <w:szCs w:val="11"/>
                <w:b w:val="1"/>
                <w:bCs w:val="1"/>
                <w:color w:val="363435"/>
              </w:rPr>
              <w:t>VOTE BY MAIL</w:t>
            </w: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5360" w:type="dxa"/>
            <w:vAlign w:val="bottom"/>
          </w:tcPr>
          <w:p>
            <w:pPr>
              <w:ind w:left="1780"/>
              <w:spacing w:after="0" w:line="122" w:lineRule="exact"/>
              <w:rPr>
                <w:sz w:val="20"/>
                <w:szCs w:val="20"/>
                <w:color w:val="auto"/>
              </w:rPr>
            </w:pPr>
            <w:r>
              <w:rPr>
                <w:rFonts w:ascii="Arial" w:cs="Arial" w:eastAsia="Arial" w:hAnsi="Arial"/>
                <w:sz w:val="11"/>
                <w:szCs w:val="11"/>
                <w:color w:val="363435"/>
              </w:rPr>
              <w:t>Mark, sign and date your proxy card and return it in the postage-paid</w:t>
            </w:r>
          </w:p>
        </w:tc>
        <w:tc>
          <w:tcPr>
            <w:tcW w:w="0" w:type="dxa"/>
            <w:vAlign w:val="bottom"/>
          </w:tcPr>
          <w:p>
            <w:pPr>
              <w:spacing w:after="0"/>
              <w:rPr>
                <w:sz w:val="1"/>
                <w:szCs w:val="1"/>
                <w:color w:val="auto"/>
              </w:rPr>
            </w:pPr>
          </w:p>
        </w:tc>
      </w:tr>
      <w:tr>
        <w:trPr>
          <w:trHeight w:val="121"/>
        </w:trPr>
        <w:tc>
          <w:tcPr>
            <w:tcW w:w="2880" w:type="dxa"/>
            <w:vAlign w:val="bottom"/>
          </w:tcPr>
          <w:p>
            <w:pPr>
              <w:spacing w:after="0"/>
              <w:rPr>
                <w:sz w:val="10"/>
                <w:szCs w:val="10"/>
                <w:color w:val="auto"/>
              </w:rPr>
            </w:pPr>
          </w:p>
        </w:tc>
        <w:tc>
          <w:tcPr>
            <w:tcW w:w="5360" w:type="dxa"/>
            <w:vAlign w:val="bottom"/>
          </w:tcPr>
          <w:p>
            <w:pPr>
              <w:ind w:left="1780"/>
              <w:spacing w:after="0" w:line="122" w:lineRule="exact"/>
              <w:rPr>
                <w:sz w:val="20"/>
                <w:szCs w:val="20"/>
                <w:color w:val="auto"/>
              </w:rPr>
            </w:pPr>
            <w:r>
              <w:rPr>
                <w:rFonts w:ascii="Arial" w:cs="Arial" w:eastAsia="Arial" w:hAnsi="Arial"/>
                <w:sz w:val="11"/>
                <w:szCs w:val="11"/>
                <w:color w:val="363435"/>
                <w:w w:val="98"/>
              </w:rPr>
              <w:t>envelope we have provided or return it to Vote Processing, c/o Broadridge,</w:t>
            </w: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5360" w:type="dxa"/>
            <w:vAlign w:val="bottom"/>
          </w:tcPr>
          <w:p>
            <w:pPr>
              <w:ind w:left="1780"/>
              <w:spacing w:after="0"/>
              <w:rPr>
                <w:sz w:val="20"/>
                <w:szCs w:val="20"/>
                <w:color w:val="auto"/>
              </w:rPr>
            </w:pPr>
            <w:r>
              <w:rPr>
                <w:rFonts w:ascii="Arial" w:cs="Arial" w:eastAsia="Arial" w:hAnsi="Arial"/>
                <w:sz w:val="11"/>
                <w:szCs w:val="11"/>
                <w:color w:val="363435"/>
              </w:rPr>
              <w:t>51 Mercedes Way, Edgewood, NY 11717.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-2506980</wp:posOffset>
            </wp:positionV>
            <wp:extent cx="342900" cy="420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00" w:type="dxa"/>
            <w:vAlign w:val="bottom"/>
          </w:tcPr>
          <w:p>
            <w:pPr>
              <w:spacing w:after="0"/>
              <w:rPr>
                <w:sz w:val="20"/>
                <w:szCs w:val="20"/>
                <w:color w:val="auto"/>
              </w:rPr>
            </w:pPr>
            <w:r>
              <w:rPr>
                <w:rFonts w:ascii="Arial" w:cs="Arial" w:eastAsia="Arial" w:hAnsi="Arial"/>
                <w:sz w:val="13"/>
                <w:szCs w:val="13"/>
                <w:color w:val="363435"/>
              </w:rPr>
              <w:t>TO VOTE, MARK BLOCKS BELOW IN BLUE OR BLACK INK AS</w:t>
            </w:r>
          </w:p>
        </w:tc>
        <w:tc>
          <w:tcPr>
            <w:tcW w:w="2940" w:type="dxa"/>
            <w:vAlign w:val="bottom"/>
          </w:tcPr>
          <w:p>
            <w:pPr>
              <w:spacing w:after="0"/>
              <w:rPr>
                <w:sz w:val="12"/>
                <w:szCs w:val="12"/>
                <w:color w:val="auto"/>
              </w:rPr>
            </w:pPr>
          </w:p>
        </w:tc>
      </w:tr>
      <w:tr>
        <w:trPr>
          <w:trHeight w:val="135"/>
        </w:trPr>
        <w:tc>
          <w:tcPr>
            <w:tcW w:w="7200" w:type="dxa"/>
            <w:vAlign w:val="bottom"/>
          </w:tcPr>
          <w:p>
            <w:pPr>
              <w:spacing w:after="0" w:line="135" w:lineRule="exact"/>
              <w:rPr>
                <w:sz w:val="20"/>
                <w:szCs w:val="20"/>
                <w:color w:val="auto"/>
              </w:rPr>
            </w:pPr>
            <w:r>
              <w:rPr>
                <w:rFonts w:ascii="Arial" w:cs="Arial" w:eastAsia="Arial" w:hAnsi="Arial"/>
                <w:sz w:val="13"/>
                <w:szCs w:val="13"/>
                <w:color w:val="363435"/>
              </w:rPr>
              <w:t>FOLLOWS:</w:t>
            </w:r>
          </w:p>
        </w:tc>
        <w:tc>
          <w:tcPr>
            <w:tcW w:w="2940" w:type="dxa"/>
            <w:vAlign w:val="bottom"/>
          </w:tcPr>
          <w:p>
            <w:pPr>
              <w:spacing w:after="0"/>
              <w:rPr>
                <w:sz w:val="11"/>
                <w:szCs w:val="11"/>
                <w:color w:val="auto"/>
              </w:rPr>
            </w:pPr>
          </w:p>
        </w:tc>
      </w:tr>
      <w:tr>
        <w:trPr>
          <w:trHeight w:val="166"/>
        </w:trPr>
        <w:tc>
          <w:tcPr>
            <w:tcW w:w="7200" w:type="dxa"/>
            <w:vAlign w:val="bottom"/>
          </w:tcPr>
          <w:p>
            <w:pPr>
              <w:ind w:left="5040"/>
              <w:spacing w:after="0"/>
              <w:rPr>
                <w:sz w:val="20"/>
                <w:szCs w:val="20"/>
                <w:color w:val="auto"/>
              </w:rPr>
            </w:pPr>
            <w:r>
              <w:rPr>
                <w:rFonts w:ascii="Arial" w:cs="Arial" w:eastAsia="Arial" w:hAnsi="Arial"/>
                <w:sz w:val="13"/>
                <w:szCs w:val="13"/>
                <w:color w:val="363435"/>
              </w:rPr>
              <w:t>T01401-Z93403</w:t>
            </w:r>
          </w:p>
        </w:tc>
        <w:tc>
          <w:tcPr>
            <w:tcW w:w="2940" w:type="dxa"/>
            <w:vAlign w:val="bottom"/>
          </w:tcPr>
          <w:p>
            <w:pPr>
              <w:jc w:val="right"/>
              <w:spacing w:after="0"/>
              <w:rPr>
                <w:sz w:val="20"/>
                <w:szCs w:val="20"/>
                <w:color w:val="auto"/>
              </w:rPr>
            </w:pPr>
            <w:r>
              <w:rPr>
                <w:rFonts w:ascii="Arial" w:cs="Arial" w:eastAsia="Arial" w:hAnsi="Arial"/>
                <w:sz w:val="13"/>
                <w:szCs w:val="13"/>
                <w:color w:val="363435"/>
              </w:rPr>
              <w:t>KEEP THIS PORTION FOR YOUR RECORDS</w:t>
            </w:r>
          </w:p>
        </w:tc>
      </w:tr>
      <w:tr>
        <w:trPr>
          <w:trHeight w:val="458"/>
        </w:trPr>
        <w:tc>
          <w:tcPr>
            <w:tcW w:w="7200" w:type="dxa"/>
            <w:vAlign w:val="bottom"/>
          </w:tcPr>
          <w:p>
            <w:pPr>
              <w:ind w:left="2560"/>
              <w:spacing w:after="0"/>
              <w:rPr>
                <w:sz w:val="20"/>
                <w:szCs w:val="20"/>
                <w:color w:val="auto"/>
              </w:rPr>
            </w:pPr>
            <w:r>
              <w:rPr>
                <w:rFonts w:ascii="Arial" w:cs="Arial" w:eastAsia="Arial" w:hAnsi="Arial"/>
                <w:sz w:val="14"/>
                <w:szCs w:val="14"/>
                <w:b w:val="1"/>
                <w:bCs w:val="1"/>
                <w:color w:val="363435"/>
              </w:rPr>
              <w:t>THIS PROXY CARD IS VALID ONLY WHEN SIGNED AND DATED.</w:t>
            </w:r>
          </w:p>
        </w:tc>
        <w:tc>
          <w:tcPr>
            <w:tcW w:w="2940" w:type="dxa"/>
            <w:vAlign w:val="bottom"/>
          </w:tcPr>
          <w:p>
            <w:pPr>
              <w:jc w:val="right"/>
              <w:spacing w:after="0"/>
              <w:rPr>
                <w:sz w:val="20"/>
                <w:szCs w:val="20"/>
                <w:color w:val="auto"/>
              </w:rPr>
            </w:pPr>
            <w:r>
              <w:rPr>
                <w:rFonts w:ascii="Arial" w:cs="Arial" w:eastAsia="Arial" w:hAnsi="Arial"/>
                <w:sz w:val="13"/>
                <w:szCs w:val="13"/>
                <w:color w:val="363435"/>
              </w:rPr>
              <w:t>DETACH AND RETURN THIS PORTION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-563880</wp:posOffset>
            </wp:positionV>
            <wp:extent cx="6995160" cy="4860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4860290"/>
                    </a:xfrm>
                    <a:prstGeom prst="rect">
                      <a:avLst/>
                    </a:prstGeom>
                    <a:noFill/>
                  </pic:spPr>
                </pic:pic>
              </a:graphicData>
            </a:graphic>
          </wp:anchor>
        </w:drawing>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AURA BIOSCIENCES, INC.</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The Board of Directors recommends you vote FOR proposals 1 and 2.</w:t>
      </w:r>
    </w:p>
    <w:p>
      <w:pPr>
        <w:spacing w:after="0" w:line="214"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500" w:type="dxa"/>
            <w:vAlign w:val="bottom"/>
          </w:tcPr>
          <w:p>
            <w:pPr>
              <w:jc w:val="center"/>
              <w:ind w:left="13"/>
              <w:spacing w:after="0"/>
              <w:rPr>
                <w:sz w:val="20"/>
                <w:szCs w:val="20"/>
                <w:color w:val="auto"/>
              </w:rPr>
            </w:pPr>
            <w:r>
              <w:rPr>
                <w:rFonts w:ascii="Arial" w:cs="Arial" w:eastAsia="Arial" w:hAnsi="Arial"/>
                <w:sz w:val="13"/>
                <w:szCs w:val="13"/>
                <w:b w:val="1"/>
                <w:bCs w:val="1"/>
                <w:color w:val="auto"/>
              </w:rPr>
              <w:t>For</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Agains</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Abstain</w:t>
            </w:r>
          </w:p>
        </w:tc>
        <w:tc>
          <w:tcPr>
            <w:tcW w:w="0" w:type="dxa"/>
            <w:vAlign w:val="bottom"/>
          </w:tcPr>
          <w:p>
            <w:pPr>
              <w:spacing w:after="0"/>
              <w:rPr>
                <w:sz w:val="1"/>
                <w:szCs w:val="1"/>
                <w:color w:val="auto"/>
              </w:rPr>
            </w:pPr>
          </w:p>
        </w:tc>
      </w:tr>
      <w:tr>
        <w:trPr>
          <w:trHeight w:val="136"/>
        </w:trPr>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500" w:type="dxa"/>
            <w:vAlign w:val="bottom"/>
            <w:vMerge w:val="restart"/>
          </w:tcPr>
          <w:p>
            <w:pPr>
              <w:jc w:val="center"/>
              <w:ind w:left="33"/>
              <w:spacing w:after="0" w:line="131" w:lineRule="exact"/>
              <w:rPr>
                <w:sz w:val="20"/>
                <w:szCs w:val="20"/>
                <w:color w:val="auto"/>
              </w:rPr>
            </w:pPr>
            <w:r>
              <w:rPr>
                <w:rFonts w:ascii="MS PGothic" w:cs="MS PGothic" w:eastAsia="MS PGothic" w:hAnsi="MS PGothic"/>
                <w:sz w:val="13"/>
                <w:szCs w:val="13"/>
                <w:color w:val="auto"/>
                <w:w w:val="91"/>
              </w:rPr>
              <w:t>☐</w:t>
            </w:r>
          </w:p>
        </w:tc>
        <w:tc>
          <w:tcPr>
            <w:tcW w:w="6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rPr>
              <w:t>t</w:t>
            </w:r>
          </w:p>
        </w:tc>
        <w:tc>
          <w:tcPr>
            <w:tcW w:w="560" w:type="dxa"/>
            <w:vAlign w:val="bottom"/>
            <w:vMerge w:val="restart"/>
          </w:tcPr>
          <w:p>
            <w:pPr>
              <w:jc w:val="center"/>
              <w:ind w:left="13"/>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163"/>
        </w:trPr>
        <w:tc>
          <w:tcPr>
            <w:tcW w:w="160" w:type="dxa"/>
            <w:vAlign w:val="bottom"/>
          </w:tcPr>
          <w:p>
            <w:pPr>
              <w:jc w:val="right"/>
              <w:spacing w:after="0"/>
              <w:rPr>
                <w:sz w:val="20"/>
                <w:szCs w:val="20"/>
                <w:color w:val="auto"/>
              </w:rPr>
            </w:pPr>
            <w:r>
              <w:rPr>
                <w:rFonts w:ascii="Arial" w:cs="Arial" w:eastAsia="Arial" w:hAnsi="Arial"/>
                <w:sz w:val="13"/>
                <w:szCs w:val="13"/>
                <w:color w:val="auto"/>
                <w:w w:val="91"/>
              </w:rPr>
              <w:t>1.</w:t>
            </w:r>
          </w:p>
        </w:tc>
        <w:tc>
          <w:tcPr>
            <w:tcW w:w="7680" w:type="dxa"/>
            <w:vAlign w:val="bottom"/>
            <w:gridSpan w:val="2"/>
          </w:tcPr>
          <w:p>
            <w:pPr>
              <w:ind w:left="60"/>
              <w:spacing w:after="0"/>
              <w:rPr>
                <w:sz w:val="20"/>
                <w:szCs w:val="20"/>
                <w:color w:val="auto"/>
              </w:rPr>
            </w:pPr>
            <w:r>
              <w:rPr>
                <w:rFonts w:ascii="Arial" w:cs="Arial" w:eastAsia="Arial" w:hAnsi="Arial"/>
                <w:sz w:val="13"/>
                <w:szCs w:val="13"/>
                <w:color w:val="auto"/>
              </w:rPr>
              <w:t>To approve an amendment to our Tenth Amended and Restated Certificate of Incorporation to increase authorized shares of</w:t>
            </w:r>
          </w:p>
        </w:tc>
        <w:tc>
          <w:tcPr>
            <w:tcW w:w="500" w:type="dxa"/>
            <w:vAlign w:val="bottom"/>
            <w:vMerge w:val="continue"/>
          </w:tcPr>
          <w:p>
            <w:pPr>
              <w:spacing w:after="0"/>
              <w:rPr>
                <w:sz w:val="14"/>
                <w:szCs w:val="14"/>
                <w:color w:val="auto"/>
              </w:rPr>
            </w:pPr>
          </w:p>
        </w:tc>
        <w:tc>
          <w:tcPr>
            <w:tcW w:w="6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rPr>
              <w:t>☐</w:t>
            </w: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auto"/>
              </w:rPr>
              <w:t>common</w:t>
            </w:r>
          </w:p>
        </w:tc>
        <w:tc>
          <w:tcPr>
            <w:tcW w:w="6900" w:type="dxa"/>
            <w:vAlign w:val="bottom"/>
          </w:tcPr>
          <w:p>
            <w:pPr>
              <w:ind w:left="200"/>
              <w:spacing w:after="0"/>
              <w:rPr>
                <w:sz w:val="20"/>
                <w:szCs w:val="20"/>
                <w:color w:val="auto"/>
              </w:rPr>
            </w:pPr>
            <w:r>
              <w:rPr>
                <w:rFonts w:ascii="Arial" w:cs="Arial" w:eastAsia="Arial" w:hAnsi="Arial"/>
                <w:sz w:val="13"/>
                <w:szCs w:val="13"/>
                <w:color w:val="auto"/>
              </w:rPr>
              <w:t>stock from 150,000,000 to 500,000,000; and</w:t>
            </w: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160" w:type="dxa"/>
            <w:vAlign w:val="bottom"/>
          </w:tcPr>
          <w:p>
            <w:pPr>
              <w:jc w:val="right"/>
              <w:spacing w:after="0"/>
              <w:rPr>
                <w:sz w:val="20"/>
                <w:szCs w:val="20"/>
                <w:color w:val="auto"/>
              </w:rPr>
            </w:pPr>
            <w:r>
              <w:rPr>
                <w:rFonts w:ascii="Arial" w:cs="Arial" w:eastAsia="Arial" w:hAnsi="Arial"/>
                <w:sz w:val="13"/>
                <w:szCs w:val="13"/>
                <w:color w:val="auto"/>
                <w:w w:val="91"/>
              </w:rPr>
              <w:t>2.</w:t>
            </w:r>
          </w:p>
        </w:tc>
        <w:tc>
          <w:tcPr>
            <w:tcW w:w="7680" w:type="dxa"/>
            <w:vAlign w:val="bottom"/>
            <w:gridSpan w:val="2"/>
          </w:tcPr>
          <w:p>
            <w:pPr>
              <w:ind w:left="60"/>
              <w:spacing w:after="0"/>
              <w:rPr>
                <w:sz w:val="20"/>
                <w:szCs w:val="20"/>
                <w:color w:val="auto"/>
              </w:rPr>
            </w:pPr>
            <w:r>
              <w:rPr>
                <w:rFonts w:ascii="Arial" w:cs="Arial" w:eastAsia="Arial" w:hAnsi="Arial"/>
                <w:sz w:val="13"/>
                <w:szCs w:val="13"/>
                <w:color w:val="auto"/>
              </w:rPr>
              <w:t>To approve an amendment to the Aura Biosciences, Inc. 2021 Stock Option and Incentive Plan.</w:t>
            </w:r>
          </w:p>
        </w:tc>
        <w:tc>
          <w:tcPr>
            <w:tcW w:w="500" w:type="dxa"/>
            <w:vAlign w:val="bottom"/>
          </w:tcPr>
          <w:p>
            <w:pPr>
              <w:jc w:val="center"/>
              <w:ind w:left="33"/>
              <w:spacing w:after="0" w:line="131" w:lineRule="exact"/>
              <w:rPr>
                <w:sz w:val="20"/>
                <w:szCs w:val="20"/>
                <w:color w:val="auto"/>
              </w:rPr>
            </w:pPr>
            <w:r>
              <w:rPr>
                <w:rFonts w:ascii="MS PGothic" w:cs="MS PGothic" w:eastAsia="MS PGothic" w:hAnsi="MS PGothic"/>
                <w:sz w:val="13"/>
                <w:szCs w:val="13"/>
                <w:color w:val="auto"/>
                <w:w w:val="91"/>
              </w:rPr>
              <w:t>☐</w:t>
            </w:r>
          </w:p>
        </w:tc>
        <w:tc>
          <w:tcPr>
            <w:tcW w:w="6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rPr>
              <w:t>☐</w:t>
            </w:r>
          </w:p>
        </w:tc>
        <w:tc>
          <w:tcPr>
            <w:tcW w:w="560" w:type="dxa"/>
            <w:vAlign w:val="bottom"/>
          </w:tcPr>
          <w:p>
            <w:pPr>
              <w:jc w:val="center"/>
              <w:ind w:left="13"/>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bl>
    <w:p>
      <w:pPr>
        <w:spacing w:after="0" w:line="396"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480" w:right="2220"/>
        <w:spacing w:after="0" w:line="259"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369" w:lineRule="exact"/>
        <w:rPr>
          <w:sz w:val="20"/>
          <w:szCs w:val="20"/>
          <w:color w:val="auto"/>
        </w:rPr>
      </w:pPr>
    </w:p>
    <w:p>
      <w:pPr>
        <w:ind w:left="420"/>
        <w:spacing w:after="0"/>
        <w:tabs>
          <w:tab w:leader="none" w:pos="2940" w:val="left"/>
          <w:tab w:leader="none" w:pos="5240" w:val="left"/>
          <w:tab w:leader="none" w:pos="7720" w:val="left"/>
        </w:tabs>
        <w:rPr>
          <w:sz w:val="20"/>
          <w:szCs w:val="20"/>
          <w:color w:val="auto"/>
        </w:rPr>
      </w:pPr>
      <w:r>
        <w:rPr>
          <w:rFonts w:ascii="Arial" w:cs="Arial" w:eastAsia="Arial" w:hAnsi="Arial"/>
          <w:sz w:val="13"/>
          <w:szCs w:val="13"/>
          <w:color w:val="auto"/>
        </w:rPr>
        <w:t>Signature [PLEASE SIGN WITHIN BOX]</w:t>
        <w:tab/>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1426210</wp:posOffset>
            </wp:positionV>
            <wp:extent cx="70377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10140"/>
          </w:cols>
          <w:pgMar w:left="820" w:top="1440" w:right="9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363435"/>
        </w:rPr>
        <w:t>Important Notice Regarding the Availability of Proxy Materials for the Special Meeting:</w:t>
      </w:r>
    </w:p>
    <w:p>
      <w:pPr>
        <w:spacing w:after="0" w:line="1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363435"/>
        </w:rPr>
        <w:t>The Notice and Proxy Statement is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2423795</wp:posOffset>
            </wp:positionV>
            <wp:extent cx="6995160" cy="4860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486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3"/>
          <w:szCs w:val="13"/>
          <w:color w:val="363435"/>
        </w:rPr>
        <w:t>T01402-Z93403</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363435"/>
        </w:rPr>
        <w:t>AURA BIOSCIENCES, INC.</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363435"/>
        </w:rPr>
        <w:t>Special Meeting of Stockholders</w:t>
      </w:r>
    </w:p>
    <w:p>
      <w:pPr>
        <w:jc w:val="center"/>
        <w:ind w:right="60"/>
        <w:spacing w:after="0" w:line="230" w:lineRule="auto"/>
        <w:rPr>
          <w:sz w:val="20"/>
          <w:szCs w:val="20"/>
          <w:color w:val="auto"/>
        </w:rPr>
      </w:pPr>
      <w:r>
        <w:rPr>
          <w:rFonts w:ascii="Arial" w:cs="Arial" w:eastAsia="Arial" w:hAnsi="Arial"/>
          <w:sz w:val="22"/>
          <w:szCs w:val="22"/>
          <w:b w:val="1"/>
          <w:bCs w:val="1"/>
          <w:color w:val="363435"/>
        </w:rPr>
        <w:t>August 5, 2026 9:30 AM, Eastern Time</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363435"/>
        </w:rPr>
        <w:t>This proxy is solicited by the Board of Directors</w:t>
      </w:r>
    </w:p>
    <w:p>
      <w:pPr>
        <w:spacing w:after="0" w:line="194" w:lineRule="exact"/>
        <w:rPr>
          <w:sz w:val="20"/>
          <w:szCs w:val="20"/>
          <w:color w:val="auto"/>
        </w:rPr>
      </w:pPr>
    </w:p>
    <w:p>
      <w:pPr>
        <w:jc w:val="both"/>
        <w:ind w:right="60"/>
        <w:spacing w:after="0" w:line="242" w:lineRule="auto"/>
        <w:rPr>
          <w:sz w:val="20"/>
          <w:szCs w:val="20"/>
          <w:color w:val="auto"/>
        </w:rPr>
      </w:pPr>
      <w:r>
        <w:rPr>
          <w:rFonts w:ascii="Arial" w:cs="Arial" w:eastAsia="Arial" w:hAnsi="Arial"/>
          <w:sz w:val="18"/>
          <w:szCs w:val="18"/>
          <w:color w:val="363435"/>
        </w:rPr>
        <w:t>The stockholder(s) hereby appoint(s) Natalie Holles and Conor Kilroy, or either of them, as proxies, each with the power to appoint their substitute, and hereby authorize(s) them to represent and to vote, as designated on the reverse side of this ballot, all of the shares of Common Stock of AURA BIOSCIENCES, INC. that the stockholder(s) is/are entitled to vote at the Special Meeting of Stockholders to be held at 9:30 AM, Eastern Time on August 5, 2026, at www.virtualshareholdermeeting.com/AURA2026SM, and any adjournment or postponement thereof. Receipt of the Notice of the Special Meeting of the Stockholders and Proxy Statement is hereby acknowledged.</w:t>
      </w:r>
    </w:p>
    <w:p>
      <w:pPr>
        <w:spacing w:after="0" w:line="179" w:lineRule="exact"/>
        <w:rPr>
          <w:sz w:val="20"/>
          <w:szCs w:val="20"/>
          <w:color w:val="auto"/>
        </w:rPr>
      </w:pPr>
    </w:p>
    <w:p>
      <w:pPr>
        <w:jc w:val="both"/>
        <w:ind w:right="60"/>
        <w:spacing w:after="0" w:line="281" w:lineRule="auto"/>
        <w:rPr>
          <w:sz w:val="20"/>
          <w:szCs w:val="20"/>
          <w:color w:val="auto"/>
        </w:rPr>
      </w:pPr>
      <w:r>
        <w:rPr>
          <w:rFonts w:ascii="Arial" w:cs="Arial" w:eastAsia="Arial" w:hAnsi="Arial"/>
          <w:sz w:val="18"/>
          <w:szCs w:val="18"/>
          <w:b w:val="1"/>
          <w:bCs w:val="1"/>
          <w:color w:val="363435"/>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363435"/>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913765</wp:posOffset>
            </wp:positionV>
            <wp:extent cx="703770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860"/>
          </w:cols>
          <w:pgMar w:left="1060" w:top="1440" w:right="979" w:bottom="1440"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lowerRoman"/>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3"/>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2"/>
    </w:lvl>
  </w:abstractNum>
  <w:abstractNum w:abstractNumId="20">
    <w:nsid w:val="5577F8E1"/>
    <w:multiLevelType w:val="hybridMultilevel"/>
    <w:lvl w:ilvl="0">
      <w:lvlJc w:val="left"/>
      <w:lvlText w:val="(%1)"/>
      <w:numFmt w:val="decimal"/>
      <w:start w:val="4"/>
    </w:lvl>
  </w:abstractNum>
  <w:abstractNum w:abstractNumId="21">
    <w:nsid w:val="440BADFC"/>
    <w:multiLevelType w:val="hybridMultilevel"/>
    <w:lvl w:ilvl="0">
      <w:lvlJc w:val="left"/>
      <w:lvlText w:val="(%1)"/>
      <w:numFmt w:val="decimal"/>
      <w:start w:val="7"/>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lowerLetter"/>
      <w:start w:val="1"/>
    </w:lvl>
    <w:lvl w:ilvl="1">
      <w:lvlJc w:val="left"/>
      <w:lvlText w:val="(%2)"/>
      <w:numFmt w:val="lowerRoman"/>
      <w:start w:val="1"/>
    </w:lvl>
  </w:abstractNum>
  <w:abstractNum w:abstractNumId="24">
    <w:nsid w:val="77465F01"/>
    <w:multiLevelType w:val="hybridMultilevel"/>
    <w:lvl w:ilvl="0">
      <w:lvlJc w:val="left"/>
      <w:lvlText w:val="%1"/>
      <w:numFmt w:val="lowerLetter"/>
      <w:start w:val="1"/>
    </w:lvl>
    <w:lvl w:ilvl="1">
      <w:lvlJc w:val="left"/>
      <w:lvlText w:val="(%2)"/>
      <w:numFmt w:val="lowerLetter"/>
      <w:start w:val="3"/>
    </w:lvl>
  </w:abstractNum>
  <w:abstractNum w:abstractNumId="25">
    <w:nsid w:val="7724C67E"/>
    <w:multiLevelType w:val="hybridMultilevel"/>
    <w:lvl w:ilvl="0">
      <w:lvlJc w:val="left"/>
      <w:lvlText w:val="(%1)"/>
      <w:numFmt w:val="lowerLetter"/>
      <w:start w:val="35"/>
    </w:lvl>
    <w:lvl w:ilvl="1">
      <w:lvlJc w:val="left"/>
      <w:lvlText w:val="%2"/>
      <w:numFmt w:val="lowerLetter"/>
      <w:start w:val="1"/>
    </w:lvl>
  </w:abstractNum>
  <w:abstractNum w:abstractNumId="26">
    <w:nsid w:val="5C482A97"/>
    <w:multiLevelType w:val="hybridMultilevel"/>
    <w:lvl w:ilvl="0">
      <w:lvlJc w:val="left"/>
      <w:lvlText w:val="(%1)"/>
      <w:numFmt w:val="lowerLetter"/>
      <w:start w:val="4"/>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1"/>
    </w:lvl>
    <w:lvl w:ilvl="1">
      <w:lvlJc w:val="left"/>
      <w:lvlText w:val="(%2)"/>
      <w:numFmt w:val="lowerLetter"/>
      <w:start w:val="2"/>
    </w:lvl>
  </w:abstractNum>
  <w:abstractNum w:abstractNumId="29">
    <w:nsid w:val="51EAD36B"/>
    <w:multiLevelType w:val="hybridMultilevel"/>
    <w:lvl w:ilvl="0">
      <w:lvlJc w:val="left"/>
      <w:lvlText w:val="(%1)"/>
      <w:numFmt w:val="lowerLetter"/>
      <w:start w:val="9"/>
    </w:lvl>
    <w:lvl w:ilvl="1">
      <w:lvlJc w:val="left"/>
      <w:lvlText w:val="(%2)"/>
      <w:numFmt w:val="lowerLetter"/>
      <w:start w:val="3"/>
    </w:lvl>
  </w:abstractNum>
  <w:abstractNum w:abstractNumId="30">
    <w:nsid w:val="2D517796"/>
    <w:multiLevelType w:val="hybridMultilevel"/>
    <w:lvl w:ilvl="0">
      <w:lvlJc w:val="left"/>
      <w:lvlText w:val="(%1)"/>
      <w:numFmt w:val="lowerLetter"/>
      <w:start w:val="4"/>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lowerLetter"/>
      <w:start w:val="2"/>
    </w:lvl>
    <w:lvl w:ilvl="1">
      <w:lvlJc w:val="left"/>
      <w:lvlText w:val="(%2)"/>
      <w:numFmt w:val="lowerLetter"/>
      <w:start w:val="9"/>
    </w:lvl>
  </w:abstractNum>
  <w:abstractNum w:abstractNumId="33">
    <w:nsid w:val="3855585C"/>
    <w:multiLevelType w:val="hybridMultilevel"/>
    <w:lvl w:ilvl="0">
      <w:lvlJc w:val="left"/>
      <w:lvlText w:val="(%1)"/>
      <w:numFmt w:val="lowerRoman"/>
      <w:start w:val="2"/>
    </w:lvl>
  </w:abstractNum>
  <w:abstractNum w:abstractNumId="34">
    <w:nsid w:val="70A64E2A"/>
    <w:multiLevelType w:val="hybridMultilevel"/>
    <w:lvl w:ilvl="0">
      <w:lvlJc w:val="left"/>
      <w:lvlText w:val="(%1)"/>
      <w:numFmt w:val="lowerLetter"/>
      <w:start w:val="6"/>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Letter"/>
      <w:start w:val="2"/>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Letter"/>
      <w:start w:val="4"/>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lowerLetter"/>
      <w:start w:val="3"/>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2"/>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lowerLetter"/>
      <w:start w:val="1"/>
    </w:lvl>
    <w:lvl w:ilvl="1">
      <w:lvlJc w:val="left"/>
      <w:lvlText w:val="(%2)"/>
      <w:numFmt w:val="lowerRoman"/>
      <w:start w:val="1"/>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lowerLetter"/>
      <w:start w:val="6"/>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2026-06-29T17:26:07Z</dcterms:created>
  <dcterms:modified xsi:type="dcterms:W3CDTF">2026-06-29T17:26:07Z</dcterms:modified>
</cp:coreProperties>
</file>