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540" w:hanging="3639"/>
        <w:spacing w:after="0" w:line="328"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29"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For the transition period from ___________________ to ___________________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001-40971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AURA BIOSCIENCES,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p>
      <w:pPr>
        <w:spacing w:after="0" w:line="248"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Delaware</w:t>
      </w:r>
    </w:p>
    <w:p>
      <w:pPr>
        <w:spacing w:after="0" w:line="32"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32-0271970</w:t>
      </w:r>
    </w:p>
    <w:p>
      <w:pPr>
        <w:spacing w:after="0" w:line="34"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65" w:lineRule="exact"/>
        <w:rPr>
          <w:sz w:val="24"/>
          <w:szCs w:val="24"/>
          <w:color w:val="auto"/>
        </w:rPr>
      </w:pPr>
    </w:p>
    <w:p>
      <w:pPr>
        <w:sectPr>
          <w:pgSz w:w="11900" w:h="16838" w:orient="portrait"/>
          <w:cols w:equalWidth="0" w:num="2">
            <w:col w:w="7180" w:space="720"/>
            <w:col w:w="3340"/>
          </w:cols>
          <w:pgMar w:left="320" w:top="1014" w:right="339" w:bottom="1440" w:gutter="0" w:footer="0" w:header="0"/>
          <w:type w:val="continuous"/>
        </w:sectPr>
      </w:pPr>
    </w:p>
    <w:tbl>
      <w:tblPr>
        <w:tblLayout w:type="fixed"/>
        <w:tblInd w:w="1640" w:type="dxa"/>
        <w:tblCellMar>
          <w:top w:w="0" w:type="dxa"/>
          <w:left w:w="0" w:type="dxa"/>
          <w:bottom w:w="0" w:type="dxa"/>
          <w:right w:w="0" w:type="dxa"/>
        </w:tblCellMar>
      </w:tblPr>
      <w:tr>
        <w:trPr>
          <w:trHeight w:val="216"/>
        </w:trPr>
        <w:tc>
          <w:tcPr>
            <w:tcW w:w="4420" w:type="dxa"/>
            <w:vAlign w:val="bottom"/>
          </w:tcPr>
          <w:p>
            <w:pPr>
              <w:jc w:val="center"/>
              <w:ind w:right="1979"/>
              <w:spacing w:after="0"/>
              <w:rPr>
                <w:sz w:val="20"/>
                <w:szCs w:val="20"/>
                <w:color w:val="auto"/>
              </w:rPr>
            </w:pPr>
            <w:r>
              <w:rPr>
                <w:rFonts w:ascii="Arial" w:cs="Arial" w:eastAsia="Arial" w:hAnsi="Arial"/>
                <w:sz w:val="18"/>
                <w:szCs w:val="18"/>
                <w:b w:val="1"/>
                <w:bCs w:val="1"/>
                <w:color w:val="auto"/>
                <w:w w:val="99"/>
              </w:rPr>
              <w:t>80 Guest Street</w:t>
            </w:r>
          </w:p>
        </w:tc>
        <w:tc>
          <w:tcPr>
            <w:tcW w:w="2680" w:type="dxa"/>
            <w:vAlign w:val="bottom"/>
          </w:tcPr>
          <w:p>
            <w:pPr>
              <w:spacing w:after="0"/>
              <w:rPr>
                <w:sz w:val="18"/>
                <w:szCs w:val="18"/>
                <w:color w:val="auto"/>
              </w:rPr>
            </w:pPr>
          </w:p>
        </w:tc>
      </w:tr>
      <w:tr>
        <w:trPr>
          <w:trHeight w:val="244"/>
        </w:trPr>
        <w:tc>
          <w:tcPr>
            <w:tcW w:w="4420" w:type="dxa"/>
            <w:vAlign w:val="bottom"/>
          </w:tcPr>
          <w:p>
            <w:pPr>
              <w:jc w:val="center"/>
              <w:ind w:right="1979"/>
              <w:spacing w:after="0"/>
              <w:rPr>
                <w:sz w:val="20"/>
                <w:szCs w:val="20"/>
                <w:color w:val="auto"/>
              </w:rPr>
            </w:pPr>
            <w:r>
              <w:rPr>
                <w:rFonts w:ascii="Arial" w:cs="Arial" w:eastAsia="Arial" w:hAnsi="Arial"/>
                <w:sz w:val="18"/>
                <w:szCs w:val="18"/>
                <w:b w:val="1"/>
                <w:bCs w:val="1"/>
                <w:color w:val="auto"/>
                <w:w w:val="99"/>
              </w:rPr>
              <w:t>Boston, MA</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02135</w:t>
            </w:r>
          </w:p>
        </w:tc>
      </w:tr>
      <w:tr>
        <w:trPr>
          <w:trHeight w:val="172"/>
        </w:trPr>
        <w:tc>
          <w:tcPr>
            <w:tcW w:w="4420" w:type="dxa"/>
            <w:vAlign w:val="bottom"/>
          </w:tcPr>
          <w:p>
            <w:pPr>
              <w:jc w:val="center"/>
              <w:ind w:right="1979"/>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680" w:type="dxa"/>
            <w:vAlign w:val="bottom"/>
          </w:tcPr>
          <w:p>
            <w:pPr>
              <w:jc w:val="center"/>
              <w:ind w:left="1984"/>
              <w:spacing w:after="0"/>
              <w:rPr>
                <w:sz w:val="20"/>
                <w:szCs w:val="20"/>
                <w:color w:val="auto"/>
              </w:rPr>
            </w:pPr>
            <w:r>
              <w:rPr>
                <w:rFonts w:ascii="Arial" w:cs="Arial" w:eastAsia="Arial" w:hAnsi="Arial"/>
                <w:sz w:val="13"/>
                <w:szCs w:val="13"/>
                <w:b w:val="1"/>
                <w:bCs w:val="1"/>
                <w:color w:val="auto"/>
                <w:w w:val="96"/>
              </w:rPr>
              <w:t>(Zip Code)</w:t>
            </w: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500-8864</w:t>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85"/>
        </w:trPr>
        <w:tc>
          <w:tcPr>
            <w:tcW w:w="42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par value $0.00001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AURA</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rPr>
              <w:t>Nasdaq Global Market LLC</w:t>
            </w:r>
          </w:p>
        </w:tc>
      </w:tr>
    </w:tbl>
    <w:p>
      <w:pPr>
        <w:spacing w:after="0" w:line="95" w:lineRule="exact"/>
        <w:rPr>
          <w:sz w:val="24"/>
          <w:szCs w:val="24"/>
          <w:color w:val="auto"/>
        </w:rPr>
      </w:pPr>
    </w:p>
    <w:p>
      <w:pPr>
        <w:ind w:right="12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right="4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2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4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720"/>
              <w:spacing w:after="0"/>
              <w:rPr>
                <w:sz w:val="20"/>
                <w:szCs w:val="20"/>
                <w:color w:val="auto"/>
              </w:rPr>
            </w:pPr>
            <w:r>
              <w:rPr>
                <w:rFonts w:ascii="Arial" w:cs="Arial" w:eastAsia="Arial" w:hAnsi="Arial"/>
                <w:sz w:val="16"/>
                <w:szCs w:val="16"/>
                <w:color w:val="auto"/>
              </w:rPr>
              <w:t>Accelerated filer</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660" w:type="dxa"/>
            <w:vAlign w:val="bottom"/>
          </w:tcPr>
          <w:p>
            <w:pPr>
              <w:spacing w:after="0"/>
              <w:rPr>
                <w:sz w:val="20"/>
                <w:szCs w:val="20"/>
                <w:color w:val="auto"/>
              </w:rPr>
            </w:pPr>
            <w:r>
              <w:rPr>
                <w:rFonts w:ascii="Arial" w:cs="Arial" w:eastAsia="Arial" w:hAnsi="Arial"/>
                <w:sz w:val="16"/>
                <w:szCs w:val="16"/>
                <w:color w:val="auto"/>
              </w:rPr>
              <w:t>Non-accelerated filer</w:t>
            </w:r>
          </w:p>
        </w:tc>
        <w:tc>
          <w:tcPr>
            <w:tcW w:w="294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720"/>
              <w:spacing w:after="0"/>
              <w:rPr>
                <w:sz w:val="20"/>
                <w:szCs w:val="20"/>
                <w:color w:val="auto"/>
              </w:rPr>
            </w:pPr>
            <w:r>
              <w:rPr>
                <w:rFonts w:ascii="Arial" w:cs="Arial" w:eastAsia="Arial" w:hAnsi="Arial"/>
                <w:sz w:val="16"/>
                <w:szCs w:val="16"/>
                <w:color w:val="auto"/>
              </w:rPr>
              <w:t>Smaller reporting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66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540" w:type="dxa"/>
            <w:vAlign w:val="bottom"/>
          </w:tcPr>
          <w:p>
            <w:pPr>
              <w:ind w:left="1720"/>
              <w:spacing w:after="0"/>
              <w:rPr>
                <w:sz w:val="20"/>
                <w:szCs w:val="20"/>
                <w:color w:val="auto"/>
              </w:rPr>
            </w:pPr>
            <w:r>
              <w:rPr>
                <w:rFonts w:ascii="Arial" w:cs="Arial" w:eastAsia="Arial" w:hAnsi="Arial"/>
                <w:sz w:val="16"/>
                <w:szCs w:val="16"/>
                <w:color w:val="auto"/>
              </w:rPr>
              <w:t>Emerging growth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0" w:lineRule="exact"/>
        <w:rPr>
          <w:sz w:val="24"/>
          <w:szCs w:val="24"/>
          <w:color w:val="auto"/>
        </w:rPr>
      </w:pPr>
    </w:p>
    <w:p>
      <w:pPr>
        <w:jc w:val="both"/>
        <w:ind w:right="6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180"/>
        <w:spacing w:after="0" w:line="26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3, 2024, the Registrant had 49,543,309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812165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numerous material and other risks and uncertainties that you should be aware of in evaluating our business.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risks are described more fully in Part II, “Item 1A—Risk Factors,” and include, but are not limited to, the following:</w:t>
      </w:r>
    </w:p>
    <w:p>
      <w:pPr>
        <w:spacing w:after="0" w:line="45" w:lineRule="exact"/>
        <w:rPr>
          <w:sz w:val="20"/>
          <w:szCs w:val="20"/>
          <w:color w:val="auto"/>
        </w:rPr>
      </w:pPr>
    </w:p>
    <w:p>
      <w:pPr>
        <w:ind w:left="1020" w:right="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net losses since our inception and anticipate that we will continue to incur losses for the foreseeable future.</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proprietary rights to our technologies or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profitability depends significantly on our ability to achieve our objectives relating to the discovery, development, regulatory approval and commercialization of our product candidates.</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are heavily dependent on the success of bel-sar, our only product candidate to date.</w:t>
      </w:r>
    </w:p>
    <w:p>
      <w:pPr>
        <w:spacing w:after="0" w:line="39"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ind w:left="1020" w:hanging="503"/>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initiated but not yet completed a pivotal clinical trial nor have we commercialized any pharmaceutical products, which may make it difficult to evaluate our future prospects.</w:t>
      </w:r>
    </w:p>
    <w:p>
      <w:pPr>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develop additional product candidates, or obtain additional indications of our first product candidate, our commercial opportunity could be limited.</w:t>
      </w: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U.S Food and Drug Administration’s agreement to a Special Protocol Assessment with respect to the study design of our global Phase 3 trial of bel-sar for the treatment of early-stage choroidal melanoma does not guarantee any particular outcome from regulatory review, including ultimate approval, and may not lead to a successful review or approval process.</w:t>
      </w:r>
    </w:p>
    <w:p>
      <w:pPr>
        <w:jc w:val="both"/>
        <w:ind w:left="1020" w:hanging="503"/>
        <w:spacing w:after="0" w:line="248"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1"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rely on third-party contract development and manufacturing organizations, or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3"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bel-sar or any future product candidates do not achieve broad market acceptance, the revenue that we generate from their sales may be limited, and we may never become profitable.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8"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1"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compete may decline if we do not adequately protect our proprietary rights, and our proprietary rights do not necessarily address all potential threats to our competitive advantage.</w:t>
      </w: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Business disruptions could seriously harm our future revenue and financial condition and increase our costs and expenses.</w:t>
      </w:r>
    </w:p>
    <w:p>
      <w:pPr>
        <w:spacing w:after="0" w:line="3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influence over matters subject to stockholder approval.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Quarterly Report on Form 10-Q, or the Quarterly Report, contains forward-looking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spacing w:after="0" w:line="9" w:lineRule="exact"/>
        <w:rPr>
          <w:sz w:val="20"/>
          <w:szCs w:val="20"/>
          <w:color w:val="auto"/>
        </w:rPr>
      </w:pPr>
    </w:p>
    <w:p>
      <w:pPr>
        <w:jc w:val="both"/>
        <w:ind w:left="1020" w:hanging="503"/>
        <w:spacing w:after="0" w:line="24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timing, progress, results and cost of our research and development programs and our current and future nonclinical,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efficiently develop our existing product candidates and discover new product candidates;</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manufacture our drug substances and product candidates for preclinical use, for clinical trials and on a larger scale for commercial use, if approved;</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ind w:left="10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commercialize our products, if approved;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product candidates, if approved;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48"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product candidates and any other approved product;</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3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foreign countries;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scientific or management personnel;</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laws and regulations;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macroeconomic conditions, including rising interest rates and inflation, on our business operations;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40" w:type="dxa"/>
            <w:vAlign w:val="bottom"/>
            <w:gridSpan w:val="9"/>
          </w:tcPr>
          <w:p>
            <w:pPr>
              <w:ind w:left="3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4"/>
                <w:szCs w:val="24"/>
                <w:color w:val="auto"/>
              </w:rPr>
            </w:pPr>
          </w:p>
        </w:tc>
        <w:tc>
          <w:tcPr>
            <w:tcW w:w="18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SUMMARY OF RISKS</w:t>
            </w:r>
          </w:p>
        </w:tc>
        <w:tc>
          <w:tcPr>
            <w:tcW w:w="20" w:type="dxa"/>
            <w:vAlign w:val="bottom"/>
            <w:tcBorders>
              <w:bottom w:val="single" w:sz="8" w:color="0000EE"/>
            </w:tcBorders>
          </w:tcPr>
          <w:p>
            <w:pPr>
              <w:spacing w:after="0"/>
              <w:rPr>
                <w:sz w:val="24"/>
                <w:szCs w:val="24"/>
                <w:color w:val="auto"/>
              </w:rPr>
            </w:pPr>
          </w:p>
        </w:tc>
        <w:tc>
          <w:tcPr>
            <w:tcW w:w="746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5"/>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24"/>
                <w:szCs w:val="24"/>
                <w:color w:val="auto"/>
              </w:rPr>
            </w:pPr>
          </w:p>
        </w:tc>
        <w:tc>
          <w:tcPr>
            <w:tcW w:w="660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34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17"/>
                <w:szCs w:val="17"/>
                <w:color w:val="auto"/>
              </w:rPr>
            </w:pPr>
          </w:p>
        </w:tc>
        <w:tc>
          <w:tcPr>
            <w:tcW w:w="594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20" w:type="dxa"/>
            <w:vAlign w:val="bottom"/>
            <w:tcBorders>
              <w:bottom w:val="single" w:sz="8" w:color="0000FF"/>
            </w:tcBorders>
            <w:gridSpan w:val="23"/>
          </w:tcPr>
          <w:p>
            <w:pPr>
              <w:spacing w:after="0" w:line="196" w:lineRule="exact"/>
              <w:rPr>
                <w:sz w:val="20"/>
                <w:szCs w:val="20"/>
                <w:color w:val="auto"/>
              </w:rPr>
            </w:pPr>
            <w:r>
              <w:rPr>
                <w:rFonts w:ascii="Arial" w:cs="Arial" w:eastAsia="Arial" w:hAnsi="Arial"/>
                <w:sz w:val="18"/>
                <w:szCs w:val="18"/>
                <w:color w:val="0000FF"/>
                <w:w w:val="99"/>
              </w:rPr>
              <w:t>Condensed Consolidated Statements of Operations and Comprehensive Loss</w:t>
            </w:r>
          </w:p>
        </w:tc>
        <w:tc>
          <w:tcPr>
            <w:tcW w:w="308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80" w:type="dxa"/>
            <w:vAlign w:val="bottom"/>
            <w:tcBorders>
              <w:bottom w:val="single" w:sz="8" w:color="0000FF"/>
            </w:tcBorders>
            <w:gridSpan w:val="21"/>
          </w:tcPr>
          <w:p>
            <w:pPr>
              <w:spacing w:after="0" w:line="196" w:lineRule="exact"/>
              <w:rPr>
                <w:sz w:val="20"/>
                <w:szCs w:val="20"/>
                <w:color w:val="auto"/>
              </w:rPr>
            </w:pPr>
            <w:r>
              <w:rPr>
                <w:rFonts w:ascii="Arial" w:cs="Arial" w:eastAsia="Arial" w:hAnsi="Arial"/>
                <w:sz w:val="18"/>
                <w:szCs w:val="18"/>
                <w:color w:val="0000FF"/>
                <w:w w:val="99"/>
              </w:rPr>
              <w:t>Condensed Consolidated Statements of Stockholders’ Equity</w:t>
            </w:r>
          </w:p>
        </w:tc>
        <w:tc>
          <w:tcPr>
            <w:tcW w:w="44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180" w:type="dxa"/>
            <w:vAlign w:val="bottom"/>
            <w:tcBorders>
              <w:bottom w:val="single" w:sz="8" w:color="0000FF"/>
            </w:tcBorders>
            <w:gridSpan w:val="17"/>
          </w:tcPr>
          <w:p>
            <w:pPr>
              <w:spacing w:after="0" w:line="196"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bottom w:val="single" w:sz="8" w:color="0000EE"/>
            </w:tcBorders>
          </w:tcPr>
          <w:p>
            <w:pPr>
              <w:spacing w:after="0"/>
              <w:rPr>
                <w:sz w:val="17"/>
                <w:szCs w:val="17"/>
                <w:color w:val="auto"/>
              </w:rPr>
            </w:pPr>
          </w:p>
        </w:tc>
        <w:tc>
          <w:tcPr>
            <w:tcW w:w="510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360" w:type="dxa"/>
            <w:vAlign w:val="bottom"/>
            <w:tcBorders>
              <w:bottom w:val="single" w:sz="8" w:color="0000FF"/>
            </w:tcBorders>
            <w:gridSpan w:val="22"/>
          </w:tcPr>
          <w:p>
            <w:pPr>
              <w:spacing w:after="0" w:line="196" w:lineRule="exact"/>
              <w:rPr>
                <w:sz w:val="20"/>
                <w:szCs w:val="20"/>
                <w:color w:val="auto"/>
              </w:rPr>
            </w:pPr>
            <w:r>
              <w:rPr>
                <w:rFonts w:ascii="Arial" w:cs="Arial" w:eastAsia="Arial" w:hAnsi="Arial"/>
                <w:sz w:val="18"/>
                <w:szCs w:val="18"/>
                <w:color w:val="0000FF"/>
                <w:w w:val="99"/>
              </w:rPr>
              <w:t>Notes to Unaudited Condensed Consolidated Financial Statements</w:t>
            </w:r>
          </w:p>
        </w:tc>
        <w:tc>
          <w:tcPr>
            <w:tcW w:w="394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19"/>
          </w:tcPr>
          <w:p>
            <w:pPr>
              <w:spacing w:after="0" w:line="196"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5"/>
          </w:tcPr>
          <w:p>
            <w:pPr>
              <w:spacing w:after="0"/>
              <w:rPr>
                <w:sz w:val="17"/>
                <w:szCs w:val="17"/>
                <w:color w:val="auto"/>
              </w:rPr>
            </w:pPr>
          </w:p>
        </w:tc>
        <w:tc>
          <w:tcPr>
            <w:tcW w:w="2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99"/>
              </w:rPr>
              <w:t>Controls and Procedures</w:t>
            </w:r>
          </w:p>
        </w:tc>
        <w:tc>
          <w:tcPr>
            <w:tcW w:w="730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8"/>
              </w:rPr>
              <w:t>OTHER INFORMATION</w:t>
            </w:r>
          </w:p>
        </w:tc>
        <w:tc>
          <w:tcPr>
            <w:tcW w:w="736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7800" w:type="dxa"/>
            <w:vAlign w:val="bottom"/>
            <w:gridSpan w:val="1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4860" w:type="dxa"/>
            <w:vAlign w:val="bottom"/>
            <w:tcBorders>
              <w:bottom w:val="single" w:sz="8" w:color="0000FF"/>
            </w:tcBorders>
            <w:gridSpan w:val="20"/>
          </w:tcPr>
          <w:p>
            <w:pPr>
              <w:spacing w:after="0" w:line="196"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440" w:type="dxa"/>
            <w:vAlign w:val="bottom"/>
            <w:gridSpan w:val="5"/>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2"/>
          </w:tcPr>
          <w:p>
            <w:pPr>
              <w:spacing w:after="0" w:line="196" w:lineRule="exact"/>
              <w:rPr>
                <w:sz w:val="20"/>
                <w:szCs w:val="20"/>
                <w:color w:val="auto"/>
              </w:rPr>
            </w:pPr>
            <w:r>
              <w:rPr>
                <w:rFonts w:ascii="Arial" w:cs="Arial" w:eastAsia="Arial" w:hAnsi="Arial"/>
                <w:sz w:val="18"/>
                <w:szCs w:val="18"/>
                <w:color w:val="0000FF"/>
                <w:w w:val="99"/>
              </w:rPr>
              <w:t>Defaults Upon Senior Securities</w:t>
            </w:r>
          </w:p>
        </w:tc>
        <w:tc>
          <w:tcPr>
            <w:tcW w:w="674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9"/>
              </w:rPr>
              <w:t>Mine Safety Disclosures</w:t>
            </w:r>
          </w:p>
        </w:tc>
        <w:tc>
          <w:tcPr>
            <w:tcW w:w="736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8"/>
              </w:rPr>
              <w:t>Exhibits</w:t>
            </w:r>
          </w:p>
        </w:tc>
        <w:tc>
          <w:tcPr>
            <w:tcW w:w="20" w:type="dxa"/>
            <w:vAlign w:val="bottom"/>
            <w:tcBorders>
              <w:top w:val="single" w:sz="8" w:color="0000FF"/>
              <w:bottom w:val="single" w:sz="8" w:color="0000EE"/>
            </w:tcBorders>
          </w:tcPr>
          <w:p>
            <w:pPr>
              <w:spacing w:after="0"/>
              <w:rPr>
                <w:sz w:val="17"/>
                <w:szCs w:val="17"/>
                <w:color w:val="auto"/>
              </w:rPr>
            </w:pPr>
          </w:p>
        </w:tc>
        <w:tc>
          <w:tcPr>
            <w:tcW w:w="740" w:type="dxa"/>
            <w:vAlign w:val="bottom"/>
            <w:tcBorders>
              <w:top w:val="single" w:sz="8" w:color="0000FF"/>
            </w:tcBorders>
            <w:gridSpan w:val="3"/>
          </w:tcPr>
          <w:p>
            <w:pPr>
              <w:spacing w:after="0"/>
              <w:rPr>
                <w:sz w:val="17"/>
                <w:szCs w:val="17"/>
                <w:color w:val="auto"/>
              </w:rPr>
            </w:pPr>
          </w:p>
        </w:tc>
        <w:tc>
          <w:tcPr>
            <w:tcW w:w="790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2024</w:t>
            </w:r>
          </w:p>
        </w:tc>
        <w:tc>
          <w:tcPr>
            <w:tcW w:w="18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December 31, 2023</w:t>
            </w:r>
          </w:p>
        </w:tc>
      </w:tr>
      <w:tr>
        <w:trPr>
          <w:trHeight w:val="22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41,063</w:t>
            </w:r>
          </w:p>
        </w:tc>
        <w:tc>
          <w:tcPr>
            <w:tcW w:w="100" w:type="dxa"/>
            <w:vAlign w:val="bottom"/>
            <w:shd w:val="clear" w:color="auto" w:fill="CFF0FC"/>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176,595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185,087</w:t>
            </w:r>
          </w:p>
        </w:tc>
        <w:tc>
          <w:tcPr>
            <w:tcW w:w="100" w:type="dxa"/>
            <w:vAlign w:val="bottom"/>
          </w:tcPr>
          <w:p>
            <w:pPr>
              <w:spacing w:after="0"/>
              <w:rPr>
                <w:sz w:val="19"/>
                <w:szCs w:val="19"/>
                <w:color w:val="auto"/>
              </w:rPr>
            </w:pPr>
          </w:p>
        </w:tc>
      </w:tr>
      <w:tr>
        <w:trPr>
          <w:trHeight w:val="22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 and deposits</w:t>
            </w:r>
          </w:p>
        </w:tc>
        <w:tc>
          <w:tcPr>
            <w:tcW w:w="12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19"/>
                <w:szCs w:val="19"/>
                <w:color w:val="auto"/>
              </w:rPr>
            </w:pPr>
          </w:p>
        </w:tc>
      </w:tr>
      <w:tr>
        <w:trPr>
          <w:trHeight w:val="22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212,249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231,794</w:t>
            </w:r>
          </w:p>
        </w:tc>
        <w:tc>
          <w:tcPr>
            <w:tcW w:w="100" w:type="dxa"/>
            <w:vAlign w:val="bottom"/>
            <w:shd w:val="clear" w:color="auto" w:fill="CFF0FC"/>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Restricted cash and deposits, net of current portion</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r>
      <w:tr>
        <w:trPr>
          <w:trHeight w:val="22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 of use assets - operating lease</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18,854</w:t>
            </w:r>
          </w:p>
        </w:tc>
        <w:tc>
          <w:tcPr>
            <w:tcW w:w="100" w:type="dxa"/>
            <w:vAlign w:val="bottom"/>
            <w:shd w:val="clear" w:color="auto" w:fill="CFF0FC"/>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r>
      <w:tr>
        <w:trPr>
          <w:trHeight w:val="22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tcPr>
          <w:p>
            <w:pPr>
              <w:ind w:left="2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255,075</w:t>
            </w:r>
          </w:p>
        </w:tc>
        <w:tc>
          <w:tcPr>
            <w:tcW w:w="10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FF0FC"/>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Short-term operating lease liability</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19"/>
                <w:szCs w:val="19"/>
                <w:color w:val="auto"/>
              </w:rPr>
            </w:pPr>
          </w:p>
        </w:tc>
      </w:tr>
      <w:tr>
        <w:trPr>
          <w:trHeight w:val="230"/>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4,989</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12,357</w:t>
            </w:r>
          </w:p>
        </w:tc>
        <w:tc>
          <w:tcPr>
            <w:tcW w:w="100" w:type="dxa"/>
            <w:vAlign w:val="bottom"/>
          </w:tcPr>
          <w:p>
            <w:pPr>
              <w:spacing w:after="0"/>
              <w:rPr>
                <w:sz w:val="19"/>
                <w:szCs w:val="19"/>
                <w:color w:val="auto"/>
              </w:rPr>
            </w:pPr>
          </w:p>
        </w:tc>
      </w:tr>
      <w:tr>
        <w:trPr>
          <w:trHeight w:val="230"/>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operating lease liability</w:t>
            </w: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16,579</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tcPr>
          <w:p>
            <w:pPr>
              <w:ind w:left="2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29,227</w:t>
            </w:r>
          </w:p>
        </w:tc>
        <w:tc>
          <w:tcPr>
            <w:tcW w:w="100" w:type="dxa"/>
            <w:vAlign w:val="bottom"/>
          </w:tcPr>
          <w:p>
            <w:pPr>
              <w:spacing w:after="0"/>
              <w:rPr>
                <w:sz w:val="19"/>
                <w:szCs w:val="19"/>
                <w:color w:val="auto"/>
              </w:rPr>
            </w:pPr>
          </w:p>
        </w:tc>
      </w:tr>
      <w:tr>
        <w:trPr>
          <w:trHeight w:val="22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Commitments and Contingencies (Note 12)</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756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Common stock, $0.00001 par value, 150,000,000 authorized at March 31, 2024 and</w:t>
            </w: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December 31, 2023, and 49,504,405 and 49,350,788 shares issued and outstanding at</w:t>
            </w: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March 31, 2024 and December 31, 2023, respectively</w:t>
            </w:r>
          </w:p>
        </w:tc>
        <w:tc>
          <w:tcPr>
            <w:tcW w:w="120" w:type="dxa"/>
            <w:vAlign w:val="bottom"/>
            <w:shd w:val="clear" w:color="auto" w:fill="CFF0FC"/>
          </w:tcPr>
          <w:p>
            <w:pPr>
              <w:spacing w:after="0"/>
              <w:rPr>
                <w:sz w:val="20"/>
                <w:szCs w:val="20"/>
                <w:color w:val="auto"/>
              </w:rPr>
            </w:pPr>
          </w:p>
        </w:tc>
        <w:tc>
          <w:tcPr>
            <w:tcW w:w="17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515,779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512,617</w:t>
            </w:r>
          </w:p>
        </w:tc>
        <w:tc>
          <w:tcPr>
            <w:tcW w:w="100" w:type="dxa"/>
            <w:vAlign w:val="bottom"/>
          </w:tcPr>
          <w:p>
            <w:pPr>
              <w:spacing w:after="0"/>
              <w:rPr>
                <w:sz w:val="19"/>
                <w:szCs w:val="19"/>
                <w:color w:val="auto"/>
              </w:rPr>
            </w:pPr>
          </w:p>
        </w:tc>
      </w:tr>
      <w:tr>
        <w:trPr>
          <w:trHeight w:val="23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(307,014 )</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(287,308 )</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r>
      <w:tr>
        <w:trPr>
          <w:trHeight w:val="223"/>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208,783</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225,848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tcPr>
          <w:p>
            <w:pPr>
              <w:ind w:left="38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255,075</w:t>
            </w:r>
          </w:p>
        </w:tc>
        <w:tc>
          <w:tcPr>
            <w:tcW w:w="10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-2836545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-1927860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-1628140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-179070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7740" w:type="dxa"/>
            <w:vAlign w:val="bottom"/>
            <w:gridSpan w:val="2"/>
          </w:tcPr>
          <w:p>
            <w:pPr>
              <w:jc w:val="center"/>
              <w:ind w:left="3403"/>
              <w:spacing w:after="0"/>
              <w:rPr>
                <w:sz w:val="20"/>
                <w:szCs w:val="20"/>
                <w:color w:val="auto"/>
              </w:rPr>
            </w:pPr>
            <w:r>
              <w:rPr>
                <w:rFonts w:ascii="Arial" w:cs="Arial" w:eastAsia="Arial" w:hAnsi="Arial"/>
                <w:sz w:val="18"/>
                <w:szCs w:val="18"/>
                <w:b w:val="1"/>
                <w:bCs w:val="1"/>
                <w:color w:val="auto"/>
                <w:w w:val="99"/>
              </w:rPr>
              <w:t>Aura Biosciences, Inc.</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9600" w:type="dxa"/>
            <w:vAlign w:val="bottom"/>
            <w:gridSpan w:val="6"/>
          </w:tcPr>
          <w:p>
            <w:pPr>
              <w:jc w:val="center"/>
              <w:ind w:left="1503"/>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Loss</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40" w:type="dxa"/>
            <w:vAlign w:val="bottom"/>
            <w:gridSpan w:val="2"/>
          </w:tcPr>
          <w:p>
            <w:pPr>
              <w:jc w:val="center"/>
              <w:ind w:left="3403"/>
              <w:spacing w:after="0" w:line="202" w:lineRule="exact"/>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740" w:type="dxa"/>
            <w:vAlign w:val="bottom"/>
            <w:gridSpan w:val="2"/>
          </w:tcPr>
          <w:p>
            <w:pPr>
              <w:jc w:val="center"/>
              <w:ind w:left="3403"/>
              <w:spacing w:after="0"/>
              <w:rPr>
                <w:sz w:val="20"/>
                <w:szCs w:val="20"/>
                <w:color w:val="auto"/>
              </w:rPr>
            </w:pPr>
            <w:r>
              <w:rPr>
                <w:rFonts w:ascii="Arial" w:cs="Arial" w:eastAsia="Arial" w:hAnsi="Arial"/>
                <w:sz w:val="18"/>
                <w:szCs w:val="18"/>
                <w:b w:val="1"/>
                <w:bCs w:val="1"/>
                <w:color w:val="auto"/>
                <w:w w:val="99"/>
              </w:rPr>
              <w:t>(in thousands, except share and per share data)</w:t>
            </w:r>
          </w:p>
        </w:tc>
        <w:tc>
          <w:tcPr>
            <w:tcW w:w="340" w:type="dxa"/>
            <w:vAlign w:val="bottom"/>
          </w:tcPr>
          <w:p>
            <w:pPr>
              <w:spacing w:after="0"/>
              <w:rPr>
                <w:sz w:val="21"/>
                <w:szCs w:val="21"/>
                <w:color w:val="auto"/>
              </w:rPr>
            </w:pPr>
          </w:p>
        </w:tc>
        <w:tc>
          <w:tcPr>
            <w:tcW w:w="3160" w:type="dxa"/>
            <w:vAlign w:val="bottom"/>
            <w:gridSpan w:val="6"/>
            <w:vMerge w:val="restart"/>
          </w:tcPr>
          <w:p>
            <w:pPr>
              <w:jc w:val="right"/>
              <w:ind w:right="820"/>
              <w:spacing w:after="0"/>
              <w:rPr>
                <w:sz w:val="20"/>
                <w:szCs w:val="20"/>
                <w:color w:val="auto"/>
              </w:rPr>
            </w:pPr>
            <w:r>
              <w:rPr>
                <w:rFonts w:ascii="Arial" w:cs="Arial" w:eastAsia="Arial" w:hAnsi="Arial"/>
                <w:sz w:val="20"/>
                <w:szCs w:val="20"/>
                <w:b w:val="1"/>
                <w:bCs w:val="1"/>
                <w:color w:val="auto"/>
              </w:rPr>
              <w:t>Three Months Ended</w:t>
            </w:r>
          </w:p>
        </w:tc>
        <w:tc>
          <w:tcPr>
            <w:tcW w:w="0" w:type="dxa"/>
            <w:vAlign w:val="bottom"/>
          </w:tcPr>
          <w:p>
            <w:pPr>
              <w:spacing w:after="0"/>
              <w:rPr>
                <w:sz w:val="1"/>
                <w:szCs w:val="1"/>
                <w:color w:val="auto"/>
              </w:rPr>
            </w:pPr>
          </w:p>
        </w:tc>
      </w:tr>
      <w:tr>
        <w:trPr>
          <w:trHeight w:val="180"/>
        </w:trPr>
        <w:tc>
          <w:tcPr>
            <w:tcW w:w="7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20"/>
                <w:szCs w:val="20"/>
                <w:b w:val="1"/>
                <w:bCs w:val="1"/>
                <w:color w:val="auto"/>
              </w:rPr>
              <w:t>March 31,</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2024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20"/>
                <w:szCs w:val="20"/>
                <w:b w:val="1"/>
                <w:bCs w:val="1"/>
                <w:color w:val="auto"/>
              </w:rPr>
              <w:t>Operating Expenses:</w:t>
            </w: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gridSpan w:val="2"/>
          </w:tcPr>
          <w:p>
            <w:pPr>
              <w:ind w:left="280"/>
              <w:spacing w:after="0"/>
              <w:rPr>
                <w:sz w:val="20"/>
                <w:szCs w:val="20"/>
                <w:color w:val="auto"/>
              </w:rPr>
            </w:pPr>
            <w:r>
              <w:rPr>
                <w:rFonts w:ascii="Arial" w:cs="Arial" w:eastAsia="Arial" w:hAnsi="Arial"/>
                <w:sz w:val="20"/>
                <w:szCs w:val="20"/>
                <w:color w:val="auto"/>
              </w:rPr>
              <w:t>Research and development</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17,052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14,405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20"/>
                <w:szCs w:val="20"/>
                <w:color w:val="auto"/>
              </w:rPr>
              <w:t>General and administrative</w:t>
            </w: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5,261</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0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5,039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gridSpan w:val="2"/>
          </w:tcPr>
          <w:p>
            <w:pPr>
              <w:ind w:left="280"/>
              <w:spacing w:after="0"/>
              <w:rPr>
                <w:sz w:val="20"/>
                <w:szCs w:val="20"/>
                <w:color w:val="auto"/>
              </w:rPr>
            </w:pPr>
            <w:r>
              <w:rPr>
                <w:rFonts w:ascii="Arial" w:cs="Arial" w:eastAsia="Arial" w:hAnsi="Arial"/>
                <w:sz w:val="20"/>
                <w:szCs w:val="20"/>
                <w:color w:val="auto"/>
              </w:rPr>
              <w:t>Total operating expenses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22,313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19,444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20"/>
                <w:szCs w:val="20"/>
                <w:color w:val="auto"/>
              </w:rPr>
              <w:t>Total operating loss</w:t>
            </w: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(22,313)</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(19,444)</w:t>
            </w:r>
          </w:p>
        </w:tc>
        <w:tc>
          <w:tcPr>
            <w:tcW w:w="0" w:type="dxa"/>
            <w:vAlign w:val="bottom"/>
          </w:tcPr>
          <w:p>
            <w:pPr>
              <w:spacing w:after="0"/>
              <w:rPr>
                <w:sz w:val="1"/>
                <w:szCs w:val="1"/>
                <w:color w:val="auto"/>
              </w:rPr>
            </w:pPr>
          </w:p>
        </w:tc>
      </w:tr>
      <w:tr>
        <w:trPr>
          <w:trHeight w:val="237"/>
        </w:trPr>
        <w:tc>
          <w:tcPr>
            <w:tcW w:w="7740" w:type="dxa"/>
            <w:vAlign w:val="bottom"/>
            <w:tcBorders>
              <w:top w:val="single" w:sz="8" w:color="CFF0FC"/>
            </w:tcBorders>
            <w:gridSpan w:val="2"/>
          </w:tcPr>
          <w:p>
            <w:pPr>
              <w:ind w:left="20"/>
              <w:spacing w:after="0"/>
              <w:rPr>
                <w:sz w:val="20"/>
                <w:szCs w:val="20"/>
                <w:color w:val="auto"/>
              </w:rPr>
            </w:pPr>
            <w:r>
              <w:rPr>
                <w:rFonts w:ascii="Arial" w:cs="Arial" w:eastAsia="Arial" w:hAnsi="Arial"/>
                <w:sz w:val="20"/>
                <w:szCs w:val="20"/>
                <w:color w:val="auto"/>
              </w:rPr>
              <w:t>Other income (expense):</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60" w:type="dxa"/>
            <w:vAlign w:val="bottom"/>
            <w:shd w:val="clear" w:color="auto" w:fill="CFF0FC"/>
          </w:tcPr>
          <w:p>
            <w:pPr>
              <w:ind w:left="280"/>
              <w:spacing w:after="0"/>
              <w:rPr>
                <w:sz w:val="20"/>
                <w:szCs w:val="20"/>
                <w:color w:val="auto"/>
              </w:rPr>
            </w:pPr>
            <w:r>
              <w:rPr>
                <w:rFonts w:ascii="Arial" w:cs="Arial" w:eastAsia="Arial" w:hAnsi="Arial"/>
                <w:sz w:val="20"/>
                <w:szCs w:val="20"/>
                <w:color w:val="auto"/>
              </w:rPr>
              <w:t>Interest income, including amortization and accretion income</w:t>
            </w:r>
          </w:p>
        </w:tc>
        <w:tc>
          <w:tcPr>
            <w:tcW w:w="18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20"/>
                <w:szCs w:val="20"/>
                <w:color w:val="auto"/>
              </w:rPr>
              <w:t>2,685</w:t>
            </w:r>
          </w:p>
        </w:tc>
        <w:tc>
          <w:tcPr>
            <w:tcW w:w="1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20"/>
                <w:szCs w:val="20"/>
                <w:color w:val="auto"/>
              </w:rPr>
              <w:t>1,991</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280"/>
              <w:spacing w:after="0"/>
              <w:rPr>
                <w:sz w:val="20"/>
                <w:szCs w:val="20"/>
                <w:color w:val="auto"/>
              </w:rPr>
            </w:pPr>
            <w:r>
              <w:rPr>
                <w:rFonts w:ascii="Arial" w:cs="Arial" w:eastAsia="Arial" w:hAnsi="Arial"/>
                <w:sz w:val="20"/>
                <w:szCs w:val="20"/>
                <w:color w:val="auto"/>
              </w:rPr>
              <w:t>Other income (expense)</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(32)</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20"/>
                <w:szCs w:val="20"/>
                <w:color w:val="auto"/>
              </w:rPr>
              <w:t>Total other income</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2,653</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1,978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40" w:type="dxa"/>
            <w:vAlign w:val="bottom"/>
            <w:gridSpan w:val="2"/>
          </w:tcPr>
          <w:p>
            <w:pPr>
              <w:ind w:left="20"/>
              <w:spacing w:after="0"/>
              <w:rPr>
                <w:sz w:val="20"/>
                <w:szCs w:val="20"/>
                <w:color w:val="auto"/>
              </w:rPr>
            </w:pPr>
            <w:r>
              <w:rPr>
                <w:rFonts w:ascii="Arial" w:cs="Arial" w:eastAsia="Arial" w:hAnsi="Arial"/>
                <w:sz w:val="20"/>
                <w:szCs w:val="20"/>
                <w:color w:val="auto"/>
              </w:rPr>
              <w:t>Loss before income taxes</w:t>
            </w:r>
          </w:p>
        </w:tc>
        <w:tc>
          <w:tcPr>
            <w:tcW w:w="34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(19,660)</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(17,466)</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gridSpan w:val="2"/>
            <w:shd w:val="clear" w:color="auto" w:fill="CFF0FC"/>
          </w:tcPr>
          <w:p>
            <w:pPr>
              <w:ind w:left="280"/>
              <w:spacing w:after="0"/>
              <w:rPr>
                <w:sz w:val="20"/>
                <w:szCs w:val="20"/>
                <w:color w:val="auto"/>
              </w:rPr>
            </w:pPr>
            <w:r>
              <w:rPr>
                <w:rFonts w:ascii="Arial" w:cs="Arial" w:eastAsia="Arial" w:hAnsi="Arial"/>
                <w:sz w:val="20"/>
                <w:szCs w:val="20"/>
                <w:color w:val="auto"/>
              </w:rPr>
              <w:t>Income tax benefit (provision), net</w:t>
            </w: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(46)</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40" w:type="dxa"/>
            <w:vAlign w:val="bottom"/>
            <w:gridSpan w:val="2"/>
          </w:tcPr>
          <w:p>
            <w:pPr>
              <w:ind w:left="20"/>
              <w:spacing w:after="0"/>
              <w:rPr>
                <w:sz w:val="20"/>
                <w:szCs w:val="20"/>
                <w:color w:val="auto"/>
              </w:rPr>
            </w:pPr>
            <w:r>
              <w:rPr>
                <w:rFonts w:ascii="Arial" w:cs="Arial" w:eastAsia="Arial" w:hAnsi="Arial"/>
                <w:sz w:val="20"/>
                <w:szCs w:val="20"/>
                <w:color w:val="auto"/>
              </w:rPr>
              <w:t>Net loss</w:t>
            </w:r>
          </w:p>
        </w:tc>
        <w:tc>
          <w:tcPr>
            <w:tcW w:w="34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(19,706)</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(17,466)</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40" w:type="dxa"/>
            <w:vAlign w:val="bottom"/>
            <w:gridSpan w:val="2"/>
            <w:shd w:val="clear" w:color="auto" w:fill="CFF0FC"/>
          </w:tcPr>
          <w:p>
            <w:pPr>
              <w:ind w:left="20"/>
              <w:spacing w:after="0" w:line="224" w:lineRule="exact"/>
              <w:rPr>
                <w:sz w:val="20"/>
                <w:szCs w:val="20"/>
                <w:color w:val="auto"/>
              </w:rPr>
            </w:pPr>
            <w:r>
              <w:rPr>
                <w:rFonts w:ascii="Arial" w:cs="Arial" w:eastAsia="Arial" w:hAnsi="Arial"/>
                <w:sz w:val="20"/>
                <w:szCs w:val="20"/>
                <w:color w:val="auto"/>
              </w:rPr>
              <w:t>Net loss per common share—basic and diluted</w:t>
            </w:r>
          </w:p>
        </w:tc>
        <w:tc>
          <w:tcPr>
            <w:tcW w:w="34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60"/>
              <w:spacing w:after="0" w:line="224" w:lineRule="exact"/>
              <w:rPr>
                <w:sz w:val="20"/>
                <w:szCs w:val="20"/>
                <w:color w:val="auto"/>
              </w:rPr>
            </w:pPr>
            <w:r>
              <w:rPr>
                <w:rFonts w:ascii="Arial" w:cs="Arial" w:eastAsia="Arial" w:hAnsi="Arial"/>
                <w:sz w:val="20"/>
                <w:szCs w:val="20"/>
                <w:color w:val="auto"/>
              </w:rPr>
              <w:t>(0.40)</w:t>
            </w:r>
          </w:p>
        </w:tc>
        <w:tc>
          <w:tcPr>
            <w:tcW w:w="1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0"/>
              <w:spacing w:after="0" w:line="224" w:lineRule="exact"/>
              <w:rPr>
                <w:sz w:val="20"/>
                <w:szCs w:val="20"/>
                <w:color w:val="auto"/>
              </w:rPr>
            </w:pPr>
            <w:r>
              <w:rPr>
                <w:rFonts w:ascii="Arial" w:cs="Arial" w:eastAsia="Arial" w:hAnsi="Arial"/>
                <w:sz w:val="20"/>
                <w:szCs w:val="20"/>
                <w:color w:val="auto"/>
              </w:rPr>
              <w:t>(0.46)</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gridSpan w:val="2"/>
          </w:tcPr>
          <w:p>
            <w:pPr>
              <w:ind w:left="20"/>
              <w:spacing w:after="0" w:line="224" w:lineRule="exact"/>
              <w:rPr>
                <w:sz w:val="20"/>
                <w:szCs w:val="20"/>
                <w:color w:val="auto"/>
              </w:rPr>
            </w:pPr>
            <w:r>
              <w:rPr>
                <w:rFonts w:ascii="Arial" w:cs="Arial" w:eastAsia="Arial" w:hAnsi="Arial"/>
                <w:sz w:val="20"/>
                <w:szCs w:val="20"/>
                <w:color w:val="auto"/>
              </w:rPr>
              <w:t>Weighted average common stock outstanding—basic and diluted</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49,451,943</w:t>
            </w: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37,784,282</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gridSpan w:val="2"/>
            <w:shd w:val="clear" w:color="auto" w:fill="CFF0FC"/>
          </w:tcPr>
          <w:p>
            <w:pPr>
              <w:ind w:left="20"/>
              <w:spacing w:after="0" w:line="224" w:lineRule="exact"/>
              <w:rPr>
                <w:sz w:val="20"/>
                <w:szCs w:val="20"/>
                <w:color w:val="auto"/>
              </w:rPr>
            </w:pPr>
            <w:r>
              <w:rPr>
                <w:rFonts w:ascii="Arial" w:cs="Arial" w:eastAsia="Arial" w:hAnsi="Arial"/>
                <w:sz w:val="20"/>
                <w:szCs w:val="20"/>
                <w:color w:val="auto"/>
              </w:rPr>
              <w:t>Comprehensive loss: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40" w:type="dxa"/>
            <w:vAlign w:val="bottom"/>
            <w:gridSpan w:val="2"/>
          </w:tcPr>
          <w:p>
            <w:pPr>
              <w:ind w:left="20"/>
              <w:spacing w:after="0"/>
              <w:rPr>
                <w:sz w:val="20"/>
                <w:szCs w:val="20"/>
                <w:color w:val="auto"/>
              </w:rPr>
            </w:pPr>
            <w:r>
              <w:rPr>
                <w:rFonts w:ascii="Arial" w:cs="Arial" w:eastAsia="Arial" w:hAnsi="Arial"/>
                <w:sz w:val="20"/>
                <w:szCs w:val="20"/>
                <w:color w:val="auto"/>
              </w:rPr>
              <w:t>Net loss</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(19,706)</w:t>
            </w:r>
          </w:p>
        </w:tc>
        <w:tc>
          <w:tcPr>
            <w:tcW w:w="160" w:type="dxa"/>
            <w:vAlign w:val="bottom"/>
          </w:tcPr>
          <w:p>
            <w:pPr>
              <w:spacing w:after="0"/>
              <w:rPr>
                <w:sz w:val="21"/>
                <w:szCs w:val="21"/>
                <w:color w:val="auto"/>
              </w:rPr>
            </w:pP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(17,466)</w:t>
            </w:r>
          </w:p>
        </w:tc>
        <w:tc>
          <w:tcPr>
            <w:tcW w:w="0" w:type="dxa"/>
            <w:vAlign w:val="bottom"/>
          </w:tcPr>
          <w:p>
            <w:pPr>
              <w:spacing w:after="0"/>
              <w:rPr>
                <w:sz w:val="1"/>
                <w:szCs w:val="1"/>
                <w:color w:val="auto"/>
              </w:rPr>
            </w:pPr>
          </w:p>
        </w:tc>
      </w:tr>
      <w:tr>
        <w:trPr>
          <w:trHeight w:val="243"/>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20"/>
                <w:szCs w:val="20"/>
                <w:color w:val="auto"/>
              </w:rPr>
              <w:t>Other comprehensive items:</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gridSpan w:val="2"/>
          </w:tcPr>
          <w:p>
            <w:pPr>
              <w:ind w:left="280"/>
              <w:spacing w:after="0"/>
              <w:rPr>
                <w:sz w:val="20"/>
                <w:szCs w:val="20"/>
                <w:color w:val="auto"/>
              </w:rPr>
            </w:pPr>
            <w:r>
              <w:rPr>
                <w:rFonts w:ascii="Arial" w:cs="Arial" w:eastAsia="Arial" w:hAnsi="Arial"/>
                <w:sz w:val="20"/>
                <w:szCs w:val="20"/>
                <w:color w:val="auto"/>
              </w:rPr>
              <w:t>Unrealized gain (loss) on marketable securities</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(521 )</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20"/>
                <w:szCs w:val="20"/>
                <w:color w:val="auto"/>
              </w:rPr>
              <w:t>Total other comprehensive income (loss)</w:t>
            </w:r>
          </w:p>
        </w:tc>
        <w:tc>
          <w:tcPr>
            <w:tcW w:w="3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(521 )</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40" w:type="dxa"/>
            <w:vAlign w:val="bottom"/>
            <w:gridSpan w:val="2"/>
          </w:tcPr>
          <w:p>
            <w:pPr>
              <w:ind w:left="20"/>
              <w:spacing w:after="0"/>
              <w:rPr>
                <w:sz w:val="20"/>
                <w:szCs w:val="20"/>
                <w:color w:val="auto"/>
              </w:rPr>
            </w:pPr>
            <w:r>
              <w:rPr>
                <w:rFonts w:ascii="Arial" w:cs="Arial" w:eastAsia="Arial" w:hAnsi="Arial"/>
                <w:sz w:val="20"/>
                <w:szCs w:val="20"/>
                <w:color w:val="auto"/>
              </w:rPr>
              <w:t>Total comprehensive loss</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(20,227)</w:t>
            </w:r>
          </w:p>
        </w:tc>
        <w:tc>
          <w:tcPr>
            <w:tcW w:w="160" w:type="dxa"/>
            <w:vAlign w:val="bottom"/>
          </w:tcPr>
          <w:p>
            <w:pPr>
              <w:spacing w:after="0"/>
              <w:rPr>
                <w:sz w:val="20"/>
                <w:szCs w:val="20"/>
                <w:color w:val="auto"/>
              </w:rPr>
            </w:pP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(17,439)</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-2802255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-2476500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-1842135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-1516380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-1173480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-1156335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ectPr>
          <w:pgSz w:w="11900" w:h="16838" w:orient="portrait"/>
          <w:cols w:equalWidth="0" w:num="1">
            <w:col w:w="11180"/>
          </w:cols>
          <w:pgMar w:left="340" w:top="985" w:right="379" w:bottom="1440" w:gutter="0" w:footer="0" w:header="0"/>
        </w:sect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40" w:type="dxa"/>
            <w:vAlign w:val="bottom"/>
          </w:tcPr>
          <w:p>
            <w:pPr>
              <w:spacing w:after="0"/>
              <w:rPr>
                <w:sz w:val="15"/>
                <w:szCs w:val="15"/>
                <w:color w:val="auto"/>
              </w:rPr>
            </w:pPr>
          </w:p>
        </w:tc>
        <w:tc>
          <w:tcPr>
            <w:tcW w:w="198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Common Stock</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1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20"/>
                <w:szCs w:val="20"/>
                <w:color w:val="auto"/>
              </w:rPr>
            </w:pPr>
            <w:r>
              <w:rPr>
                <w:rFonts w:ascii="Arial" w:cs="Arial" w:eastAsia="Arial" w:hAnsi="Arial"/>
                <w:sz w:val="13"/>
                <w:szCs w:val="13"/>
                <w:b w:val="1"/>
                <w:bCs w:val="1"/>
                <w:color w:val="auto"/>
              </w:rPr>
              <w:t>Balance, December 31,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49,350,788</w:t>
            </w:r>
          </w:p>
        </w:tc>
        <w:tc>
          <w:tcPr>
            <w:tcW w:w="120" w:type="dxa"/>
            <w:vAlign w:val="bottom"/>
          </w:tcPr>
          <w:p>
            <w:pPr>
              <w:spacing w:after="0"/>
              <w:rPr>
                <w:sz w:val="14"/>
                <w:szCs w:val="14"/>
                <w:color w:val="auto"/>
              </w:rPr>
            </w:pPr>
          </w:p>
        </w:tc>
        <w:tc>
          <w:tcPr>
            <w:tcW w:w="72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3"/>
                <w:szCs w:val="13"/>
                <w:color w:val="auto"/>
              </w:rPr>
              <w:t>Stock-based compensation expense</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40" w:type="dxa"/>
            <w:vAlign w:val="bottom"/>
            <w:vMerge w:val="continue"/>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Pr>
          <w:p>
            <w:pPr>
              <w:ind w:left="58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20"/>
                <w:szCs w:val="20"/>
                <w:color w:val="auto"/>
              </w:rPr>
            </w:pPr>
            <w:r>
              <w:rPr>
                <w:rFonts w:ascii="Arial" w:cs="Arial" w:eastAsia="Arial" w:hAnsi="Arial"/>
                <w:sz w:val="13"/>
                <w:szCs w:val="13"/>
                <w:color w:val="auto"/>
              </w:rPr>
              <w:t>Employee stock purchase plan</w:t>
            </w:r>
          </w:p>
        </w:tc>
        <w:tc>
          <w:tcPr>
            <w:tcW w:w="1140" w:type="dxa"/>
            <w:vAlign w:val="bottom"/>
          </w:tcPr>
          <w:p>
            <w:pPr>
              <w:jc w:val="right"/>
              <w:spacing w:after="0"/>
              <w:rPr>
                <w:sz w:val="20"/>
                <w:szCs w:val="20"/>
                <w:color w:val="auto"/>
              </w:rPr>
            </w:pPr>
            <w:r>
              <w:rPr>
                <w:rFonts w:ascii="Arial" w:cs="Arial" w:eastAsia="Arial" w:hAnsi="Arial"/>
                <w:sz w:val="13"/>
                <w:szCs w:val="13"/>
                <w:color w:val="auto"/>
              </w:rPr>
              <w:t>12,314</w:t>
            </w:r>
          </w:p>
        </w:tc>
        <w:tc>
          <w:tcPr>
            <w:tcW w:w="120" w:type="dxa"/>
            <w:vAlign w:val="bottom"/>
          </w:tcPr>
          <w:p>
            <w:pPr>
              <w:spacing w:after="0"/>
              <w:rPr>
                <w:sz w:val="15"/>
                <w:szCs w:val="15"/>
                <w:color w:val="auto"/>
              </w:rPr>
            </w:pPr>
          </w:p>
        </w:tc>
        <w:tc>
          <w:tcPr>
            <w:tcW w:w="720" w:type="dxa"/>
            <w:vAlign w:val="bottom"/>
          </w:tcPr>
          <w:p>
            <w:pPr>
              <w:ind w:left="58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20"/>
                <w:szCs w:val="20"/>
                <w:color w:val="auto"/>
              </w:rPr>
            </w:pPr>
            <w:r>
              <w:rPr>
                <w:rFonts w:ascii="Arial" w:cs="Arial" w:eastAsia="Arial" w:hAnsi="Arial"/>
                <w:sz w:val="13"/>
                <w:szCs w:val="13"/>
                <w:color w:val="auto"/>
              </w:rPr>
              <w:t>Stock option exercises</w:t>
            </w:r>
          </w:p>
        </w:tc>
        <w:tc>
          <w:tcPr>
            <w:tcW w:w="1140" w:type="dxa"/>
            <w:vAlign w:val="bottom"/>
          </w:tcPr>
          <w:p>
            <w:pPr>
              <w:jc w:val="right"/>
              <w:spacing w:after="0"/>
              <w:rPr>
                <w:sz w:val="20"/>
                <w:szCs w:val="20"/>
                <w:color w:val="auto"/>
              </w:rPr>
            </w:pPr>
            <w:r>
              <w:rPr>
                <w:rFonts w:ascii="Arial" w:cs="Arial" w:eastAsia="Arial" w:hAnsi="Arial"/>
                <w:sz w:val="13"/>
                <w:szCs w:val="13"/>
                <w:color w:val="auto"/>
              </w:rPr>
              <w:t>51,180</w:t>
            </w:r>
          </w:p>
        </w:tc>
        <w:tc>
          <w:tcPr>
            <w:tcW w:w="120" w:type="dxa"/>
            <w:vAlign w:val="bottom"/>
          </w:tcPr>
          <w:p>
            <w:pPr>
              <w:spacing w:after="0"/>
              <w:rPr>
                <w:sz w:val="15"/>
                <w:szCs w:val="15"/>
                <w:color w:val="auto"/>
              </w:rPr>
            </w:pPr>
          </w:p>
        </w:tc>
        <w:tc>
          <w:tcPr>
            <w:tcW w:w="720" w:type="dxa"/>
            <w:vAlign w:val="bottom"/>
          </w:tcPr>
          <w:p>
            <w:pPr>
              <w:ind w:left="58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20"/>
                <w:szCs w:val="20"/>
                <w:color w:val="auto"/>
              </w:rPr>
            </w:pPr>
            <w:r>
              <w:rPr>
                <w:rFonts w:ascii="Arial" w:cs="Arial" w:eastAsia="Arial" w:hAnsi="Arial"/>
                <w:sz w:val="13"/>
                <w:szCs w:val="13"/>
                <w:color w:val="auto"/>
              </w:rPr>
              <w:t>Vesting of restricted stock</w:t>
            </w:r>
          </w:p>
        </w:tc>
        <w:tc>
          <w:tcPr>
            <w:tcW w:w="1140" w:type="dxa"/>
            <w:vAlign w:val="bottom"/>
          </w:tcPr>
          <w:p>
            <w:pPr>
              <w:jc w:val="right"/>
              <w:spacing w:after="0"/>
              <w:rPr>
                <w:sz w:val="20"/>
                <w:szCs w:val="20"/>
                <w:color w:val="auto"/>
              </w:rPr>
            </w:pPr>
            <w:r>
              <w:rPr>
                <w:rFonts w:ascii="Arial" w:cs="Arial" w:eastAsia="Arial" w:hAnsi="Arial"/>
                <w:sz w:val="13"/>
                <w:szCs w:val="13"/>
                <w:color w:val="auto"/>
              </w:rPr>
              <w:t>90,123</w:t>
            </w:r>
          </w:p>
        </w:tc>
        <w:tc>
          <w:tcPr>
            <w:tcW w:w="120" w:type="dxa"/>
            <w:vAlign w:val="bottom"/>
          </w:tcPr>
          <w:p>
            <w:pPr>
              <w:spacing w:after="0"/>
              <w:rPr>
                <w:sz w:val="15"/>
                <w:szCs w:val="15"/>
                <w:color w:val="auto"/>
              </w:rPr>
            </w:pPr>
          </w:p>
        </w:tc>
        <w:tc>
          <w:tcPr>
            <w:tcW w:w="720" w:type="dxa"/>
            <w:vAlign w:val="bottom"/>
          </w:tcPr>
          <w:p>
            <w:pPr>
              <w:ind w:left="58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20"/>
                <w:szCs w:val="20"/>
                <w:color w:val="auto"/>
              </w:rPr>
            </w:pPr>
            <w:r>
              <w:rPr>
                <w:rFonts w:ascii="Arial" w:cs="Arial" w:eastAsia="Arial" w:hAnsi="Arial"/>
                <w:sz w:val="13"/>
                <w:szCs w:val="13"/>
                <w:color w:val="auto"/>
              </w:rPr>
              <w:t>Unrealized gain on marketable securities</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ind w:left="58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20"/>
                <w:szCs w:val="20"/>
                <w:color w:val="auto"/>
              </w:rPr>
            </w:pPr>
            <w:r>
              <w:rPr>
                <w:rFonts w:ascii="Arial" w:cs="Arial" w:eastAsia="Arial" w:hAnsi="Arial"/>
                <w:sz w:val="13"/>
                <w:szCs w:val="13"/>
                <w:color w:val="auto"/>
              </w:rPr>
              <w:t>Net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8"/>
        </w:trPr>
        <w:tc>
          <w:tcPr>
            <w:tcW w:w="3740" w:type="dxa"/>
            <w:vAlign w:val="bottom"/>
          </w:tcPr>
          <w:p>
            <w:pPr>
              <w:spacing w:after="0"/>
              <w:rPr>
                <w:sz w:val="20"/>
                <w:szCs w:val="20"/>
                <w:color w:val="auto"/>
              </w:rPr>
            </w:pPr>
            <w:r>
              <w:rPr>
                <w:rFonts w:ascii="Arial" w:cs="Arial" w:eastAsia="Arial" w:hAnsi="Arial"/>
                <w:sz w:val="13"/>
                <w:szCs w:val="13"/>
                <w:b w:val="1"/>
                <w:bCs w:val="1"/>
                <w:color w:val="auto"/>
              </w:rPr>
              <w:t>Balance, March 31, 2024</w:t>
            </w:r>
          </w:p>
        </w:tc>
        <w:tc>
          <w:tcPr>
            <w:tcW w:w="1140" w:type="dxa"/>
            <w:vAlign w:val="bottom"/>
          </w:tcPr>
          <w:p>
            <w:pPr>
              <w:jc w:val="right"/>
              <w:spacing w:after="0"/>
              <w:rPr>
                <w:sz w:val="20"/>
                <w:szCs w:val="20"/>
                <w:color w:val="auto"/>
              </w:rPr>
            </w:pPr>
            <w:r>
              <w:rPr>
                <w:rFonts w:ascii="Arial" w:cs="Arial" w:eastAsia="Arial" w:hAnsi="Arial"/>
                <w:sz w:val="13"/>
                <w:szCs w:val="13"/>
                <w:color w:val="auto"/>
              </w:rPr>
              <w:t>49,504,405</w:t>
            </w:r>
          </w:p>
        </w:tc>
        <w:tc>
          <w:tcPr>
            <w:tcW w:w="120" w:type="dxa"/>
            <w:vAlign w:val="bottom"/>
          </w:tcPr>
          <w:p>
            <w:pPr>
              <w:spacing w:after="0"/>
              <w:rPr>
                <w:sz w:val="15"/>
                <w:szCs w:val="15"/>
                <w:color w:val="auto"/>
              </w:rPr>
            </w:pPr>
          </w:p>
        </w:tc>
        <w:tc>
          <w:tcPr>
            <w:tcW w:w="720" w:type="dxa"/>
            <w:vAlign w:val="bottom"/>
          </w:tcPr>
          <w:p>
            <w:pPr>
              <w:ind w:left="58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-682625</wp:posOffset>
            </wp:positionV>
            <wp:extent cx="7132320" cy="111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-459740</wp:posOffset>
            </wp:positionV>
            <wp:extent cx="7132320" cy="111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-931545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-236855</wp:posOffset>
            </wp:positionV>
            <wp:extent cx="713232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40" w:type="dxa"/>
            <w:vAlign w:val="bottom"/>
          </w:tcPr>
          <w:p>
            <w:pPr>
              <w:spacing w:after="0"/>
              <w:rPr>
                <w:sz w:val="15"/>
                <w:szCs w:val="15"/>
                <w:color w:val="auto"/>
              </w:rPr>
            </w:pPr>
          </w:p>
        </w:tc>
        <w:tc>
          <w:tcPr>
            <w:tcW w:w="198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Common Stock</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1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20"/>
                <w:szCs w:val="20"/>
                <w:color w:val="auto"/>
              </w:rPr>
            </w:pPr>
            <w:r>
              <w:rPr>
                <w:rFonts w:ascii="Arial" w:cs="Arial" w:eastAsia="Arial" w:hAnsi="Arial"/>
                <w:sz w:val="13"/>
                <w:szCs w:val="13"/>
                <w:b w:val="1"/>
                <w:bCs w:val="1"/>
                <w:color w:val="auto"/>
              </w:rPr>
              <w:t>Balance, December 31, 2022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37,771,918</w:t>
            </w:r>
          </w:p>
        </w:tc>
        <w:tc>
          <w:tcPr>
            <w:tcW w:w="120" w:type="dxa"/>
            <w:vAlign w:val="bottom"/>
          </w:tcPr>
          <w:p>
            <w:pPr>
              <w:spacing w:after="0"/>
              <w:rPr>
                <w:sz w:val="14"/>
                <w:szCs w:val="14"/>
                <w:color w:val="auto"/>
              </w:rPr>
            </w:pPr>
          </w:p>
        </w:tc>
        <w:tc>
          <w:tcPr>
            <w:tcW w:w="72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3"/>
                <w:szCs w:val="13"/>
                <w:color w:val="auto"/>
              </w:rPr>
              <w:t>Stock-based compensation expense</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40" w:type="dxa"/>
            <w:vAlign w:val="bottom"/>
            <w:vMerge w:val="continue"/>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Pr>
          <w:p>
            <w:pPr>
              <w:ind w:left="58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20"/>
                <w:szCs w:val="20"/>
                <w:color w:val="auto"/>
              </w:rPr>
            </w:pPr>
            <w:r>
              <w:rPr>
                <w:rFonts w:ascii="Arial" w:cs="Arial" w:eastAsia="Arial" w:hAnsi="Arial"/>
                <w:sz w:val="13"/>
                <w:szCs w:val="13"/>
                <w:color w:val="auto"/>
              </w:rPr>
              <w:t>Stock option exercises</w:t>
            </w:r>
          </w:p>
        </w:tc>
        <w:tc>
          <w:tcPr>
            <w:tcW w:w="1140" w:type="dxa"/>
            <w:vAlign w:val="bottom"/>
          </w:tcPr>
          <w:p>
            <w:pPr>
              <w:jc w:val="right"/>
              <w:spacing w:after="0"/>
              <w:rPr>
                <w:sz w:val="20"/>
                <w:szCs w:val="20"/>
                <w:color w:val="auto"/>
              </w:rPr>
            </w:pPr>
            <w:r>
              <w:rPr>
                <w:rFonts w:ascii="Arial" w:cs="Arial" w:eastAsia="Arial" w:hAnsi="Arial"/>
                <w:sz w:val="13"/>
                <w:szCs w:val="13"/>
                <w:color w:val="auto"/>
              </w:rPr>
              <w:t>21,549</w:t>
            </w:r>
          </w:p>
        </w:tc>
        <w:tc>
          <w:tcPr>
            <w:tcW w:w="120" w:type="dxa"/>
            <w:vAlign w:val="bottom"/>
          </w:tcPr>
          <w:p>
            <w:pPr>
              <w:spacing w:after="0"/>
              <w:rPr>
                <w:sz w:val="15"/>
                <w:szCs w:val="15"/>
                <w:color w:val="auto"/>
              </w:rPr>
            </w:pPr>
          </w:p>
        </w:tc>
        <w:tc>
          <w:tcPr>
            <w:tcW w:w="720" w:type="dxa"/>
            <w:vAlign w:val="bottom"/>
          </w:tcPr>
          <w:p>
            <w:pPr>
              <w:ind w:left="58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20"/>
                <w:szCs w:val="20"/>
                <w:color w:val="auto"/>
              </w:rPr>
            </w:pPr>
            <w:r>
              <w:rPr>
                <w:rFonts w:ascii="Arial" w:cs="Arial" w:eastAsia="Arial" w:hAnsi="Arial"/>
                <w:sz w:val="13"/>
                <w:szCs w:val="13"/>
                <w:color w:val="auto"/>
              </w:rPr>
              <w:t>Employee stock purchase plan</w:t>
            </w:r>
          </w:p>
        </w:tc>
        <w:tc>
          <w:tcPr>
            <w:tcW w:w="1140" w:type="dxa"/>
            <w:vAlign w:val="bottom"/>
          </w:tcPr>
          <w:p>
            <w:pPr>
              <w:jc w:val="right"/>
              <w:spacing w:after="0"/>
              <w:rPr>
                <w:sz w:val="20"/>
                <w:szCs w:val="20"/>
                <w:color w:val="auto"/>
              </w:rPr>
            </w:pPr>
            <w:r>
              <w:rPr>
                <w:rFonts w:ascii="Arial" w:cs="Arial" w:eastAsia="Arial" w:hAnsi="Arial"/>
                <w:sz w:val="13"/>
                <w:szCs w:val="13"/>
                <w:color w:val="auto"/>
              </w:rPr>
              <w:t>6,635</w:t>
            </w:r>
          </w:p>
        </w:tc>
        <w:tc>
          <w:tcPr>
            <w:tcW w:w="120" w:type="dxa"/>
            <w:vAlign w:val="bottom"/>
          </w:tcPr>
          <w:p>
            <w:pPr>
              <w:spacing w:after="0"/>
              <w:rPr>
                <w:sz w:val="15"/>
                <w:szCs w:val="15"/>
                <w:color w:val="auto"/>
              </w:rPr>
            </w:pPr>
          </w:p>
        </w:tc>
        <w:tc>
          <w:tcPr>
            <w:tcW w:w="720" w:type="dxa"/>
            <w:vAlign w:val="bottom"/>
          </w:tcPr>
          <w:p>
            <w:pPr>
              <w:ind w:left="58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20"/>
                <w:szCs w:val="20"/>
                <w:color w:val="auto"/>
              </w:rPr>
            </w:pPr>
            <w:r>
              <w:rPr>
                <w:rFonts w:ascii="Arial" w:cs="Arial" w:eastAsia="Arial" w:hAnsi="Arial"/>
                <w:sz w:val="13"/>
                <w:szCs w:val="13"/>
                <w:color w:val="auto"/>
              </w:rPr>
              <w:t>Unrealized loss on marketable securities</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ind w:left="58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20"/>
                <w:szCs w:val="20"/>
                <w:color w:val="auto"/>
              </w:rPr>
            </w:pPr>
            <w:r>
              <w:rPr>
                <w:rFonts w:ascii="Arial" w:cs="Arial" w:eastAsia="Arial" w:hAnsi="Arial"/>
                <w:sz w:val="13"/>
                <w:szCs w:val="13"/>
                <w:color w:val="auto"/>
              </w:rPr>
              <w:t>Net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8"/>
        </w:trPr>
        <w:tc>
          <w:tcPr>
            <w:tcW w:w="3740" w:type="dxa"/>
            <w:vAlign w:val="bottom"/>
          </w:tcPr>
          <w:p>
            <w:pPr>
              <w:spacing w:after="0"/>
              <w:rPr>
                <w:sz w:val="20"/>
                <w:szCs w:val="20"/>
                <w:color w:val="auto"/>
              </w:rPr>
            </w:pPr>
            <w:r>
              <w:rPr>
                <w:rFonts w:ascii="Arial" w:cs="Arial" w:eastAsia="Arial" w:hAnsi="Arial"/>
                <w:sz w:val="13"/>
                <w:szCs w:val="13"/>
                <w:b w:val="1"/>
                <w:bCs w:val="1"/>
                <w:color w:val="auto"/>
              </w:rPr>
              <w:t>Balance, March 31, 2023</w:t>
            </w:r>
          </w:p>
        </w:tc>
        <w:tc>
          <w:tcPr>
            <w:tcW w:w="1140" w:type="dxa"/>
            <w:vAlign w:val="bottom"/>
          </w:tcPr>
          <w:p>
            <w:pPr>
              <w:jc w:val="right"/>
              <w:spacing w:after="0"/>
              <w:rPr>
                <w:sz w:val="20"/>
                <w:szCs w:val="20"/>
                <w:color w:val="auto"/>
              </w:rPr>
            </w:pPr>
            <w:r>
              <w:rPr>
                <w:rFonts w:ascii="Arial" w:cs="Arial" w:eastAsia="Arial" w:hAnsi="Arial"/>
                <w:sz w:val="13"/>
                <w:szCs w:val="13"/>
                <w:color w:val="auto"/>
              </w:rPr>
              <w:t>37,800,102</w:t>
            </w:r>
          </w:p>
        </w:tc>
        <w:tc>
          <w:tcPr>
            <w:tcW w:w="120" w:type="dxa"/>
            <w:vAlign w:val="bottom"/>
          </w:tcPr>
          <w:p>
            <w:pPr>
              <w:spacing w:after="0"/>
              <w:rPr>
                <w:sz w:val="15"/>
                <w:szCs w:val="15"/>
                <w:color w:val="auto"/>
              </w:rPr>
            </w:pPr>
          </w:p>
        </w:tc>
        <w:tc>
          <w:tcPr>
            <w:tcW w:w="720" w:type="dxa"/>
            <w:vAlign w:val="bottom"/>
          </w:tcPr>
          <w:p>
            <w:pPr>
              <w:ind w:left="58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32320" cy="111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-347980</wp:posOffset>
            </wp:positionV>
            <wp:extent cx="7132320" cy="111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-116840</wp:posOffset>
            </wp:positionV>
            <wp:extent cx="7132320" cy="111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-819785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jc w:val="right"/>
              <w:ind w:right="133"/>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Accumulated</w:t>
            </w:r>
          </w:p>
        </w:tc>
        <w:tc>
          <w:tcPr>
            <w:tcW w:w="13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Total</w:t>
            </w:r>
          </w:p>
        </w:tc>
      </w:tr>
      <w:tr>
        <w:trPr>
          <w:trHeight w:val="178"/>
        </w:trPr>
        <w:tc>
          <w:tcPr>
            <w:tcW w:w="1080" w:type="dxa"/>
            <w:vAlign w:val="bottom"/>
          </w:tcPr>
          <w:p>
            <w:pPr>
              <w:jc w:val="right"/>
              <w:ind w:right="233"/>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Accumulated</w:t>
            </w:r>
          </w:p>
        </w:tc>
        <w:tc>
          <w:tcPr>
            <w:tcW w:w="1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Other Comprehensive</w:t>
            </w:r>
          </w:p>
        </w:tc>
        <w:tc>
          <w:tcPr>
            <w:tcW w:w="13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Stockholders’</w:t>
            </w:r>
          </w:p>
        </w:tc>
      </w:tr>
      <w:tr>
        <w:trPr>
          <w:trHeight w:val="177"/>
        </w:trPr>
        <w:tc>
          <w:tcPr>
            <w:tcW w:w="10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Loss Amount</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5"/>
                <w:szCs w:val="15"/>
                <w:color w:val="auto"/>
              </w:rPr>
            </w:pPr>
          </w:p>
        </w:tc>
      </w:tr>
      <w:tr>
        <w:trPr>
          <w:trHeight w:val="169"/>
        </w:trPr>
        <w:tc>
          <w:tcPr>
            <w:tcW w:w="1080" w:type="dxa"/>
            <w:vAlign w:val="bottom"/>
          </w:tcPr>
          <w:p>
            <w:pPr>
              <w:jc w:val="right"/>
              <w:spacing w:after="0"/>
              <w:rPr>
                <w:sz w:val="20"/>
                <w:szCs w:val="20"/>
                <w:color w:val="auto"/>
              </w:rPr>
            </w:pPr>
            <w:r>
              <w:rPr>
                <w:rFonts w:ascii="Arial" w:cs="Arial" w:eastAsia="Arial" w:hAnsi="Arial"/>
                <w:sz w:val="13"/>
                <w:szCs w:val="13"/>
                <w:color w:val="auto"/>
              </w:rPr>
              <w:t>512,617</w:t>
            </w:r>
          </w:p>
        </w:tc>
        <w:tc>
          <w:tcPr>
            <w:tcW w:w="12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(287,308 )</w:t>
            </w:r>
          </w:p>
        </w:tc>
        <w:tc>
          <w:tcPr>
            <w:tcW w:w="1600" w:type="dxa"/>
            <w:vAlign w:val="bottom"/>
          </w:tcPr>
          <w:p>
            <w:pPr>
              <w:jc w:val="right"/>
              <w:spacing w:after="0"/>
              <w:rPr>
                <w:sz w:val="20"/>
                <w:szCs w:val="20"/>
                <w:color w:val="auto"/>
              </w:rPr>
            </w:pPr>
            <w:r>
              <w:rPr>
                <w:rFonts w:ascii="Arial" w:cs="Arial" w:eastAsia="Arial" w:hAnsi="Arial"/>
                <w:sz w:val="13"/>
                <w:szCs w:val="13"/>
                <w:color w:val="auto"/>
              </w:rPr>
              <w:t>539</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225,848</w:t>
            </w:r>
          </w:p>
        </w:tc>
        <w:tc>
          <w:tcPr>
            <w:tcW w:w="60" w:type="dxa"/>
            <w:vAlign w:val="bottom"/>
          </w:tcPr>
          <w:p>
            <w:pPr>
              <w:spacing w:after="0"/>
              <w:rPr>
                <w:sz w:val="14"/>
                <w:szCs w:val="14"/>
                <w:color w:val="auto"/>
              </w:rPr>
            </w:pP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1080" w:type="dxa"/>
            <w:vAlign w:val="bottom"/>
          </w:tcPr>
          <w:p>
            <w:pPr>
              <w:jc w:val="right"/>
              <w:spacing w:after="0"/>
              <w:rPr>
                <w:sz w:val="20"/>
                <w:szCs w:val="20"/>
                <w:color w:val="auto"/>
              </w:rPr>
            </w:pPr>
            <w:r>
              <w:rPr>
                <w:rFonts w:ascii="Arial" w:cs="Arial" w:eastAsia="Arial" w:hAnsi="Arial"/>
                <w:sz w:val="13"/>
                <w:szCs w:val="13"/>
                <w:color w:val="auto"/>
              </w:rPr>
              <w:t>2,909</w:t>
            </w:r>
          </w:p>
        </w:tc>
        <w:tc>
          <w:tcPr>
            <w:tcW w:w="1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2,909</w:t>
            </w:r>
          </w:p>
        </w:tc>
        <w:tc>
          <w:tcPr>
            <w:tcW w:w="60" w:type="dxa"/>
            <w:vAlign w:val="bottom"/>
          </w:tcPr>
          <w:p>
            <w:pPr>
              <w:spacing w:after="0"/>
              <w:rPr>
                <w:sz w:val="13"/>
                <w:szCs w:val="13"/>
                <w:color w:val="auto"/>
              </w:rPr>
            </w:pPr>
          </w:p>
        </w:tc>
      </w:tr>
      <w:tr>
        <w:trPr>
          <w:trHeight w:val="176"/>
        </w:trPr>
        <w:tc>
          <w:tcPr>
            <w:tcW w:w="1080" w:type="dxa"/>
            <w:vAlign w:val="bottom"/>
          </w:tcPr>
          <w:p>
            <w:pPr>
              <w:jc w:val="right"/>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95</w:t>
            </w:r>
          </w:p>
        </w:tc>
        <w:tc>
          <w:tcPr>
            <w:tcW w:w="60" w:type="dxa"/>
            <w:vAlign w:val="bottom"/>
          </w:tcPr>
          <w:p>
            <w:pPr>
              <w:spacing w:after="0"/>
              <w:rPr>
                <w:sz w:val="15"/>
                <w:szCs w:val="15"/>
                <w:color w:val="auto"/>
              </w:rPr>
            </w:pPr>
          </w:p>
        </w:tc>
      </w:tr>
      <w:tr>
        <w:trPr>
          <w:trHeight w:val="176"/>
        </w:trPr>
        <w:tc>
          <w:tcPr>
            <w:tcW w:w="1080" w:type="dxa"/>
            <w:vAlign w:val="bottom"/>
          </w:tcPr>
          <w:p>
            <w:pPr>
              <w:jc w:val="right"/>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158</w:t>
            </w:r>
          </w:p>
        </w:tc>
        <w:tc>
          <w:tcPr>
            <w:tcW w:w="60" w:type="dxa"/>
            <w:vAlign w:val="bottom"/>
          </w:tcPr>
          <w:p>
            <w:pPr>
              <w:spacing w:after="0"/>
              <w:rPr>
                <w:sz w:val="15"/>
                <w:szCs w:val="15"/>
                <w:color w:val="auto"/>
              </w:rPr>
            </w:pPr>
          </w:p>
        </w:tc>
      </w:tr>
      <w:tr>
        <w:trPr>
          <w:trHeight w:val="175"/>
        </w:trPr>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76"/>
        </w:trPr>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720" w:type="dxa"/>
            <w:vAlign w:val="bottom"/>
            <w:gridSpan w:val="2"/>
          </w:tcPr>
          <w:p>
            <w:pPr>
              <w:jc w:val="right"/>
              <w:ind w:right="60"/>
              <w:spacing w:after="0"/>
              <w:rPr>
                <w:sz w:val="20"/>
                <w:szCs w:val="20"/>
                <w:color w:val="auto"/>
              </w:rPr>
            </w:pPr>
            <w:r>
              <w:rPr>
                <w:rFonts w:ascii="Arial" w:cs="Arial" w:eastAsia="Arial" w:hAnsi="Arial"/>
                <w:sz w:val="13"/>
                <w:szCs w:val="13"/>
                <w:color w:val="auto"/>
              </w:rPr>
              <w:t>(521 )</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(521 )</w:t>
            </w:r>
          </w:p>
        </w:tc>
      </w:tr>
      <w:tr>
        <w:trPr>
          <w:trHeight w:val="175"/>
        </w:trPr>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(19,706 )</w:t>
            </w:r>
          </w:p>
        </w:tc>
        <w:tc>
          <w:tcPr>
            <w:tcW w:w="1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(19,706 )</w:t>
            </w:r>
          </w:p>
        </w:tc>
      </w:tr>
      <w:tr>
        <w:trPr>
          <w:trHeight w:val="20"/>
        </w:trPr>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0"/>
        </w:trPr>
        <w:tc>
          <w:tcPr>
            <w:tcW w:w="1080" w:type="dxa"/>
            <w:vAlign w:val="bottom"/>
          </w:tcPr>
          <w:p>
            <w:pPr>
              <w:jc w:val="right"/>
              <w:spacing w:after="0"/>
              <w:rPr>
                <w:sz w:val="20"/>
                <w:szCs w:val="20"/>
                <w:color w:val="auto"/>
              </w:rPr>
            </w:pPr>
            <w:r>
              <w:rPr>
                <w:rFonts w:ascii="Arial" w:cs="Arial" w:eastAsia="Arial" w:hAnsi="Arial"/>
                <w:sz w:val="13"/>
                <w:szCs w:val="13"/>
                <w:color w:val="auto"/>
              </w:rPr>
              <w:t>515,779</w:t>
            </w:r>
          </w:p>
        </w:tc>
        <w:tc>
          <w:tcPr>
            <w:tcW w:w="12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(307,014 )</w:t>
            </w:r>
          </w:p>
        </w:tc>
        <w:tc>
          <w:tcPr>
            <w:tcW w:w="160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208,783</w:t>
            </w:r>
          </w:p>
        </w:tc>
        <w:tc>
          <w:tcPr>
            <w:tcW w:w="60" w:type="dxa"/>
            <w:vAlign w:val="bottom"/>
          </w:tcPr>
          <w:p>
            <w:pPr>
              <w:spacing w:after="0"/>
              <w:rPr>
                <w:sz w:val="14"/>
                <w:szCs w:val="14"/>
                <w:color w:val="auto"/>
              </w:rPr>
            </w:pPr>
          </w:p>
        </w:tc>
      </w:tr>
    </w:tbl>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jc w:val="right"/>
              <w:ind w:right="133"/>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Accumulated</w:t>
            </w:r>
          </w:p>
        </w:tc>
        <w:tc>
          <w:tcPr>
            <w:tcW w:w="13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Total</w:t>
            </w:r>
          </w:p>
        </w:tc>
      </w:tr>
      <w:tr>
        <w:trPr>
          <w:trHeight w:val="178"/>
        </w:trPr>
        <w:tc>
          <w:tcPr>
            <w:tcW w:w="1080" w:type="dxa"/>
            <w:vAlign w:val="bottom"/>
          </w:tcPr>
          <w:p>
            <w:pPr>
              <w:jc w:val="right"/>
              <w:ind w:right="233"/>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Accumulated</w:t>
            </w:r>
          </w:p>
        </w:tc>
        <w:tc>
          <w:tcPr>
            <w:tcW w:w="1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Other Comprehensive</w:t>
            </w:r>
          </w:p>
        </w:tc>
        <w:tc>
          <w:tcPr>
            <w:tcW w:w="13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Stockholders’</w:t>
            </w:r>
          </w:p>
        </w:tc>
      </w:tr>
      <w:tr>
        <w:trPr>
          <w:trHeight w:val="177"/>
        </w:trPr>
        <w:tc>
          <w:tcPr>
            <w:tcW w:w="10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Loss Amount</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5"/>
                <w:szCs w:val="15"/>
                <w:color w:val="auto"/>
              </w:rPr>
            </w:pPr>
          </w:p>
        </w:tc>
      </w:tr>
      <w:tr>
        <w:trPr>
          <w:trHeight w:val="169"/>
        </w:trPr>
        <w:tc>
          <w:tcPr>
            <w:tcW w:w="1080" w:type="dxa"/>
            <w:vAlign w:val="bottom"/>
          </w:tcPr>
          <w:p>
            <w:pPr>
              <w:jc w:val="right"/>
              <w:spacing w:after="0"/>
              <w:rPr>
                <w:sz w:val="20"/>
                <w:szCs w:val="20"/>
                <w:color w:val="auto"/>
              </w:rPr>
            </w:pPr>
            <w:r>
              <w:rPr>
                <w:rFonts w:ascii="Arial" w:cs="Arial" w:eastAsia="Arial" w:hAnsi="Arial"/>
                <w:sz w:val="13"/>
                <w:szCs w:val="13"/>
                <w:color w:val="auto"/>
              </w:rPr>
              <w:t>406,555</w:t>
            </w:r>
          </w:p>
        </w:tc>
        <w:tc>
          <w:tcPr>
            <w:tcW w:w="12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(210,900 )</w:t>
            </w:r>
          </w:p>
        </w:tc>
        <w:tc>
          <w:tcPr>
            <w:tcW w:w="1720" w:type="dxa"/>
            <w:vAlign w:val="bottom"/>
            <w:gridSpan w:val="2"/>
          </w:tcPr>
          <w:p>
            <w:pPr>
              <w:jc w:val="right"/>
              <w:ind w:right="60"/>
              <w:spacing w:after="0"/>
              <w:rPr>
                <w:sz w:val="20"/>
                <w:szCs w:val="20"/>
                <w:color w:val="auto"/>
              </w:rPr>
            </w:pPr>
            <w:r>
              <w:rPr>
                <w:rFonts w:ascii="Arial" w:cs="Arial" w:eastAsia="Arial" w:hAnsi="Arial"/>
                <w:sz w:val="13"/>
                <w:szCs w:val="13"/>
                <w:color w:val="auto"/>
              </w:rPr>
              <w:t>(72 )</w:t>
            </w:r>
          </w:p>
        </w:tc>
        <w:tc>
          <w:tcPr>
            <w:tcW w:w="1300" w:type="dxa"/>
            <w:vAlign w:val="bottom"/>
          </w:tcPr>
          <w:p>
            <w:pPr>
              <w:jc w:val="right"/>
              <w:spacing w:after="0"/>
              <w:rPr>
                <w:sz w:val="20"/>
                <w:szCs w:val="20"/>
                <w:color w:val="auto"/>
              </w:rPr>
            </w:pPr>
            <w:r>
              <w:rPr>
                <w:rFonts w:ascii="Arial" w:cs="Arial" w:eastAsia="Arial" w:hAnsi="Arial"/>
                <w:sz w:val="13"/>
                <w:szCs w:val="13"/>
                <w:color w:val="auto"/>
              </w:rPr>
              <w:t>195,583</w:t>
            </w:r>
          </w:p>
        </w:tc>
        <w:tc>
          <w:tcPr>
            <w:tcW w:w="60" w:type="dxa"/>
            <w:vAlign w:val="bottom"/>
          </w:tcPr>
          <w:p>
            <w:pPr>
              <w:spacing w:after="0"/>
              <w:rPr>
                <w:sz w:val="14"/>
                <w:szCs w:val="14"/>
                <w:color w:val="auto"/>
              </w:rPr>
            </w:pP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1080" w:type="dxa"/>
            <w:vAlign w:val="bottom"/>
          </w:tcPr>
          <w:p>
            <w:pPr>
              <w:jc w:val="right"/>
              <w:spacing w:after="0"/>
              <w:rPr>
                <w:sz w:val="20"/>
                <w:szCs w:val="20"/>
                <w:color w:val="auto"/>
              </w:rPr>
            </w:pPr>
            <w:r>
              <w:rPr>
                <w:rFonts w:ascii="Arial" w:cs="Arial" w:eastAsia="Arial" w:hAnsi="Arial"/>
                <w:sz w:val="13"/>
                <w:szCs w:val="13"/>
                <w:color w:val="auto"/>
              </w:rPr>
              <w:t>1,913</w:t>
            </w:r>
          </w:p>
        </w:tc>
        <w:tc>
          <w:tcPr>
            <w:tcW w:w="1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1,913</w:t>
            </w:r>
          </w:p>
        </w:tc>
        <w:tc>
          <w:tcPr>
            <w:tcW w:w="60" w:type="dxa"/>
            <w:vAlign w:val="bottom"/>
          </w:tcPr>
          <w:p>
            <w:pPr>
              <w:spacing w:after="0"/>
              <w:rPr>
                <w:sz w:val="13"/>
                <w:szCs w:val="13"/>
                <w:color w:val="auto"/>
              </w:rPr>
            </w:pPr>
          </w:p>
        </w:tc>
      </w:tr>
      <w:tr>
        <w:trPr>
          <w:trHeight w:val="176"/>
        </w:trPr>
        <w:tc>
          <w:tcPr>
            <w:tcW w:w="1080" w:type="dxa"/>
            <w:vAlign w:val="bottom"/>
          </w:tcPr>
          <w:p>
            <w:pPr>
              <w:jc w:val="right"/>
              <w:spacing w:after="0"/>
              <w:rPr>
                <w:sz w:val="20"/>
                <w:szCs w:val="20"/>
                <w:color w:val="auto"/>
              </w:rPr>
            </w:pPr>
            <w:r>
              <w:rPr>
                <w:rFonts w:ascii="Arial" w:cs="Arial" w:eastAsia="Arial" w:hAnsi="Arial"/>
                <w:sz w:val="13"/>
                <w:szCs w:val="13"/>
                <w:color w:val="auto"/>
              </w:rPr>
              <w:t>145</w:t>
            </w:r>
          </w:p>
        </w:tc>
        <w:tc>
          <w:tcPr>
            <w:tcW w:w="1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145</w:t>
            </w:r>
          </w:p>
        </w:tc>
        <w:tc>
          <w:tcPr>
            <w:tcW w:w="60" w:type="dxa"/>
            <w:vAlign w:val="bottom"/>
          </w:tcPr>
          <w:p>
            <w:pPr>
              <w:spacing w:after="0"/>
              <w:rPr>
                <w:sz w:val="15"/>
                <w:szCs w:val="15"/>
                <w:color w:val="auto"/>
              </w:rPr>
            </w:pPr>
          </w:p>
        </w:tc>
      </w:tr>
      <w:tr>
        <w:trPr>
          <w:trHeight w:val="175"/>
        </w:trPr>
        <w:tc>
          <w:tcPr>
            <w:tcW w:w="1080" w:type="dxa"/>
            <w:vAlign w:val="bottom"/>
          </w:tcPr>
          <w:p>
            <w:pPr>
              <w:jc w:val="right"/>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56</w:t>
            </w:r>
          </w:p>
        </w:tc>
        <w:tc>
          <w:tcPr>
            <w:tcW w:w="60" w:type="dxa"/>
            <w:vAlign w:val="bottom"/>
          </w:tcPr>
          <w:p>
            <w:pPr>
              <w:spacing w:after="0"/>
              <w:rPr>
                <w:sz w:val="15"/>
                <w:szCs w:val="15"/>
                <w:color w:val="auto"/>
              </w:rPr>
            </w:pPr>
          </w:p>
        </w:tc>
      </w:tr>
      <w:tr>
        <w:trPr>
          <w:trHeight w:val="176"/>
        </w:trPr>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0" w:type="dxa"/>
            <w:vAlign w:val="bottom"/>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27</w:t>
            </w:r>
          </w:p>
        </w:tc>
        <w:tc>
          <w:tcPr>
            <w:tcW w:w="60" w:type="dxa"/>
            <w:vAlign w:val="bottom"/>
          </w:tcPr>
          <w:p>
            <w:pPr>
              <w:spacing w:after="0"/>
              <w:rPr>
                <w:sz w:val="15"/>
                <w:szCs w:val="15"/>
                <w:color w:val="auto"/>
              </w:rPr>
            </w:pPr>
          </w:p>
        </w:tc>
      </w:tr>
      <w:tr>
        <w:trPr>
          <w:trHeight w:val="175"/>
        </w:trPr>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(17,466 )</w:t>
            </w:r>
          </w:p>
        </w:tc>
        <w:tc>
          <w:tcPr>
            <w:tcW w:w="1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(17,466 )</w:t>
            </w:r>
          </w:p>
        </w:tc>
      </w:tr>
      <w:tr>
        <w:trPr>
          <w:trHeight w:val="20"/>
        </w:trPr>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0"/>
        </w:trPr>
        <w:tc>
          <w:tcPr>
            <w:tcW w:w="1080" w:type="dxa"/>
            <w:vAlign w:val="bottom"/>
          </w:tcPr>
          <w:p>
            <w:pPr>
              <w:jc w:val="right"/>
              <w:spacing w:after="0"/>
              <w:rPr>
                <w:sz w:val="20"/>
                <w:szCs w:val="20"/>
                <w:color w:val="auto"/>
              </w:rPr>
            </w:pPr>
            <w:r>
              <w:rPr>
                <w:rFonts w:ascii="Arial" w:cs="Arial" w:eastAsia="Arial" w:hAnsi="Arial"/>
                <w:sz w:val="13"/>
                <w:szCs w:val="13"/>
                <w:color w:val="auto"/>
              </w:rPr>
              <w:t>408,669</w:t>
            </w:r>
          </w:p>
        </w:tc>
        <w:tc>
          <w:tcPr>
            <w:tcW w:w="12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(228,366 )</w:t>
            </w:r>
          </w:p>
        </w:tc>
        <w:tc>
          <w:tcPr>
            <w:tcW w:w="1720" w:type="dxa"/>
            <w:vAlign w:val="bottom"/>
            <w:gridSpan w:val="2"/>
          </w:tcPr>
          <w:p>
            <w:pPr>
              <w:jc w:val="right"/>
              <w:ind w:right="60"/>
              <w:spacing w:after="0"/>
              <w:rPr>
                <w:sz w:val="20"/>
                <w:szCs w:val="20"/>
                <w:color w:val="auto"/>
              </w:rPr>
            </w:pPr>
            <w:r>
              <w:rPr>
                <w:rFonts w:ascii="Arial" w:cs="Arial" w:eastAsia="Arial" w:hAnsi="Arial"/>
                <w:sz w:val="13"/>
                <w:szCs w:val="13"/>
                <w:color w:val="auto"/>
              </w:rPr>
              <w:t>(45 )</w:t>
            </w:r>
          </w:p>
        </w:tc>
        <w:tc>
          <w:tcPr>
            <w:tcW w:w="1300" w:type="dxa"/>
            <w:vAlign w:val="bottom"/>
          </w:tcPr>
          <w:p>
            <w:pPr>
              <w:jc w:val="right"/>
              <w:spacing w:after="0"/>
              <w:rPr>
                <w:sz w:val="20"/>
                <w:szCs w:val="20"/>
                <w:color w:val="auto"/>
              </w:rPr>
            </w:pPr>
            <w:r>
              <w:rPr>
                <w:rFonts w:ascii="Arial" w:cs="Arial" w:eastAsia="Arial" w:hAnsi="Arial"/>
                <w:sz w:val="13"/>
                <w:szCs w:val="13"/>
                <w:color w:val="auto"/>
              </w:rPr>
              <w:t>180,258</w:t>
            </w:r>
          </w:p>
        </w:tc>
        <w:tc>
          <w:tcPr>
            <w:tcW w:w="60" w:type="dxa"/>
            <w:vAlign w:val="bottom"/>
          </w:tcPr>
          <w:p>
            <w:pPr>
              <w:spacing w:after="0"/>
              <w:rPr>
                <w:sz w:val="14"/>
                <w:szCs w:val="14"/>
                <w:color w:val="auto"/>
              </w:rPr>
            </w:pPr>
          </w:p>
        </w:tc>
      </w:tr>
    </w:tbl>
    <w:p>
      <w:pPr>
        <w:spacing w:after="0" w:line="184" w:lineRule="exact"/>
        <w:rPr>
          <w:sz w:val="20"/>
          <w:szCs w:val="20"/>
          <w:color w:val="auto"/>
        </w:rPr>
      </w:pPr>
    </w:p>
    <w:p>
      <w:pPr>
        <w:sectPr>
          <w:pgSz w:w="11900" w:h="16838" w:orient="portrait"/>
          <w:cols w:equalWidth="0" w:num="2">
            <w:col w:w="5720" w:space="120"/>
            <w:col w:w="5340"/>
          </w:cols>
          <w:pgMar w:left="340" w:top="985" w:right="379" w:bottom="1440" w:gutter="0" w:footer="0" w:header="0"/>
          <w:type w:val="continuous"/>
        </w:sectPr>
      </w:pPr>
    </w:p>
    <w:p>
      <w:pPr>
        <w:jc w:val="center"/>
        <w:ind w:right="-39"/>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985" w:right="37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47"/>
        </w:trPr>
        <w:tc>
          <w:tcPr>
            <w:tcW w:w="7760" w:type="dxa"/>
            <w:vAlign w:val="bottom"/>
            <w:gridSpan w:val="2"/>
          </w:tcPr>
          <w:p>
            <w:pPr>
              <w:jc w:val="center"/>
              <w:ind w:left="3390"/>
              <w:spacing w:after="0"/>
              <w:rPr>
                <w:sz w:val="20"/>
                <w:szCs w:val="20"/>
                <w:color w:val="auto"/>
              </w:rPr>
            </w:pPr>
            <w:r>
              <w:rPr>
                <w:rFonts w:ascii="Arial" w:cs="Arial" w:eastAsia="Arial" w:hAnsi="Arial"/>
                <w:sz w:val="18"/>
                <w:szCs w:val="18"/>
                <w:b w:val="1"/>
                <w:bCs w:val="1"/>
                <w:color w:val="auto"/>
                <w:w w:val="99"/>
              </w:rPr>
              <w:t>Aura Biosciences, Inc.</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8100" w:type="dxa"/>
            <w:vAlign w:val="bottom"/>
            <w:gridSpan w:val="3"/>
          </w:tcPr>
          <w:p>
            <w:pPr>
              <w:jc w:val="center"/>
              <w:ind w:left="299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gridSpan w:val="2"/>
          </w:tcPr>
          <w:p>
            <w:pPr>
              <w:jc w:val="center"/>
              <w:ind w:left="3390"/>
              <w:spacing w:after="0" w:line="202" w:lineRule="exact"/>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760" w:type="dxa"/>
            <w:vAlign w:val="bottom"/>
            <w:gridSpan w:val="2"/>
          </w:tcPr>
          <w:p>
            <w:pPr>
              <w:jc w:val="center"/>
              <w:ind w:left="3390"/>
              <w:spacing w:after="0"/>
              <w:rPr>
                <w:sz w:val="20"/>
                <w:szCs w:val="20"/>
                <w:color w:val="auto"/>
              </w:rPr>
            </w:pPr>
            <w:r>
              <w:rPr>
                <w:rFonts w:ascii="Arial" w:cs="Arial" w:eastAsia="Arial" w:hAnsi="Arial"/>
                <w:sz w:val="18"/>
                <w:szCs w:val="18"/>
                <w:b w:val="1"/>
                <w:bCs w:val="1"/>
                <w:color w:val="auto"/>
                <w:w w:val="99"/>
              </w:rPr>
              <w:t>(in thousands)</w:t>
            </w:r>
          </w:p>
        </w:tc>
        <w:tc>
          <w:tcPr>
            <w:tcW w:w="340" w:type="dxa"/>
            <w:vAlign w:val="bottom"/>
          </w:tcPr>
          <w:p>
            <w:pPr>
              <w:spacing w:after="0"/>
              <w:rPr>
                <w:sz w:val="21"/>
                <w:szCs w:val="21"/>
                <w:color w:val="auto"/>
              </w:rPr>
            </w:pPr>
          </w:p>
        </w:tc>
        <w:tc>
          <w:tcPr>
            <w:tcW w:w="3140" w:type="dxa"/>
            <w:vAlign w:val="bottom"/>
            <w:gridSpan w:val="6"/>
            <w:vMerge w:val="restart"/>
          </w:tcPr>
          <w:p>
            <w:pPr>
              <w:jc w:val="right"/>
              <w:ind w:right="9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72"/>
        </w:trPr>
        <w:tc>
          <w:tcPr>
            <w:tcW w:w="7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(19,706 )</w:t>
            </w:r>
          </w:p>
        </w:tc>
        <w:tc>
          <w:tcPr>
            <w:tcW w:w="1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(17,466 )</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Depreciation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Accretion on marketable securities</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(1,506 )</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(1,004 )</w:t>
            </w:r>
          </w:p>
        </w:tc>
        <w:tc>
          <w:tcPr>
            <w:tcW w:w="0" w:type="dxa"/>
            <w:vAlign w:val="bottom"/>
          </w:tcPr>
          <w:p>
            <w:pPr>
              <w:spacing w:after="0"/>
              <w:rPr>
                <w:sz w:val="1"/>
                <w:szCs w:val="1"/>
                <w:color w:val="auto"/>
              </w:rPr>
            </w:pPr>
          </w:p>
        </w:tc>
      </w:tr>
      <w:tr>
        <w:trPr>
          <w:trHeight w:val="230"/>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(5 )</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7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(3,750 )</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Other long-term assets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29"/>
        </w:trPr>
        <w:tc>
          <w:tcPr>
            <w:tcW w:w="7760" w:type="dxa"/>
            <w:vAlign w:val="bottom"/>
            <w:gridSpan w:val="2"/>
          </w:tcPr>
          <w:p>
            <w:pPr>
              <w:ind w:left="7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(1,881 )</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(2,895 )</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(506 )</w:t>
            </w:r>
          </w:p>
        </w:tc>
        <w:tc>
          <w:tcPr>
            <w:tcW w:w="0" w:type="dxa"/>
            <w:vAlign w:val="bottom"/>
          </w:tcPr>
          <w:p>
            <w:pPr>
              <w:spacing w:after="0"/>
              <w:rPr>
                <w:sz w:val="1"/>
                <w:szCs w:val="1"/>
                <w:color w:val="auto"/>
              </w:rPr>
            </w:pPr>
          </w:p>
        </w:tc>
      </w:tr>
      <w:tr>
        <w:trPr>
          <w:trHeight w:val="230"/>
        </w:trPr>
        <w:tc>
          <w:tcPr>
            <w:tcW w:w="7760" w:type="dxa"/>
            <w:vAlign w:val="bottom"/>
            <w:gridSpan w:val="2"/>
          </w:tcPr>
          <w:p>
            <w:pPr>
              <w:ind w:left="78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(237 )</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gridSpan w:val="2"/>
            <w:shd w:val="clear" w:color="auto" w:fill="CFF0FC"/>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(24,452 )</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(16,412 )</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(88 )</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Purchase of marketable securities</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(29,201 )</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(88,847 )</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Proceeds from sale of marketable securities</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38,685</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ind w:left="5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(66,879 )</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Proceeds from ESPP purchase</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ind w:left="5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(14,803 )</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(83,090 )</w:t>
            </w:r>
          </w:p>
        </w:tc>
        <w:tc>
          <w:tcPr>
            <w:tcW w:w="0" w:type="dxa"/>
            <w:vAlign w:val="bottom"/>
          </w:tcPr>
          <w:p>
            <w:pPr>
              <w:spacing w:after="0"/>
              <w:rPr>
                <w:sz w:val="1"/>
                <w:szCs w:val="1"/>
                <w:color w:val="auto"/>
              </w:rPr>
            </w:pPr>
          </w:p>
        </w:tc>
      </w:tr>
      <w:tr>
        <w:trPr>
          <w:trHeight w:val="230"/>
        </w:trPr>
        <w:tc>
          <w:tcPr>
            <w:tcW w:w="776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27,047</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6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58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Purchases of property and equipment in accounts payable and accrued expenses and other</w:t>
            </w:r>
          </w:p>
        </w:tc>
        <w:tc>
          <w:tcPr>
            <w:tcW w:w="180" w:type="dxa"/>
            <w:vAlign w:val="bottom"/>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-2245360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-1653540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-1053465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-445135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-427990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0" w:right="320"/>
        <w:spacing w:after="0" w:line="252"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same such amounts shown in the unaudited condensed consolidated statements of cash flows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March 31,</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26,279</w:t>
            </w:r>
          </w:p>
        </w:tc>
        <w:tc>
          <w:tcPr>
            <w:tcW w:w="7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38,492</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Short-term restricted cash, end of period</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30"/>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restricted cash, end of period</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2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27,047</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39,280</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-179705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Aura Biosciences, Inc., or the Company or Aura, is a clinical-stage biotechnology company developing precision immunotherapies to treat solid tumors designed to preserve the function of the organ with cancer. Within these unaudited condensed consolidated financial statements, unless the context otherwise requires, references to the Company or Aura refer to Aura Biosciences, Inc. and its subsidiaries on a consolidated basis. The Company’s proprietary platform is designed to enable the targeting of a broad range of solid tumors using Virus-Like Particles, or VLPs, that can be conjugated with drugs or loaded with nucleic acids to create Virus-Like Drug Conjugates, or VDCs. VDCs are a novel class of drugs with a dual mechanism of action that promote cancer cell death by both the delivery of the cytotoxic payload to generate acute necrosis and activation of a secondary immune mediated response. The Company’s initial focus is in ocular and urologic oncology, both areas of high unmet medical need where local targeted therapies may enable early intervention. The Company is evaluating the safety and efficacy of its lead candidate, bel-sar, as a potential vision-sparing therapy in an ongoing global Phase 3 CoMpass trial for the first-line treatment of adult patients with small choroidal melanoma and indeterminate lesions, or early-stage choroidal melanoma. Bel-sar is also being explored for choroidal metastases and cancers of the ocular surface and is in Phase 1 clinical development in bladder cancer. The Company envisions the potential for development of bel-sar in additional therapeutic areas. Aura’s headquarters are located in Boston, Massachusetts.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operations to date have consisted primarily of conducting research and development and raising capital.</w:t>
      </w:r>
    </w:p>
    <w:p>
      <w:pPr>
        <w:spacing w:after="0" w:line="21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collaborative partners, contract development and manufacturing organizations and other third-parties, competition, customer demand, management of growth, and the effectiveness of marketing by the Company.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75"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Through March 31, 2024, the Company has funded its operations primarily with proceeds from the initial and additional closings of its convertible preferred stock financings, and through its IPO, follow-on offerings and at-the-market offering, or ATM. On November 9, 2023, the Company issued and sold 11,000,000 shares of common stock at a price to the public of $9.00 per share for aggregate gross proceeds of $99.0 million, or the 2023 Follow-On Offering. The Company received approximately $92.6 million in net proceeds from the 2023 Follow-On Offering after deducting underwriting discounts and commissions and offering expenses. On December 5, 2022, the Company issued and sold 7,705,000 shares of common stock, including the full exercise of the underwriters’ option to purchase additional shares at a price to the public of $12.00 per share for aggregate gross proceeds of $92.5 million, or the 2022 Follow-On Offering. The Company received approximately $86.7 million in net proceeds from the 2022 Follow-On Offering after deducting underwriting discounts, commissions and offering expenses. On November 1, 2022, the Company filed a shelf registration statement on Form S-3, or the 2022 Shelf, with the SEC in relation to the registration of up to an aggregate offering price of $250.0 million of common stock, preferred stock, debt securities, warrants and units or any combination thereof. The Company also simultaneously entered into the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Sales Agreement, with Jefferies LLC, or the Sales Agent, to provide for the offering, issuance and sale by the Company of up to an aggregate of $75.0 million of common stock from time to time in the ATM under the 2022 Shelf and subject to the limitations thereof. In connection with the 2023 Follow-On Offering, on November 6, 2023, the Company delivered written notice to Jefferies that the Company was suspending and terminating the prospectus related to the shares issuable in the ATM pursuant to the terms of the Sales Agreement. As of November 6, 2023, the Company had issued 993,996 shares of common stock at an average price of $12.50 under the ATM. On March 27, 2024, the Company filed a new shelf registration statement on Form S-3, or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The Company issued no shares of common stock during the three months ended March 31, 2024 under the ATM.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jc w:val="both"/>
        <w:ind w:firstLine="509"/>
        <w:spacing w:after="0" w:line="247" w:lineRule="auto"/>
        <w:rPr>
          <w:sz w:val="20"/>
          <w:szCs w:val="20"/>
          <w:color w:val="auto"/>
        </w:rPr>
      </w:pPr>
      <w:r>
        <w:rPr>
          <w:rFonts w:ascii="Arial" w:cs="Arial" w:eastAsia="Arial" w:hAnsi="Arial"/>
          <w:sz w:val="18"/>
          <w:szCs w:val="18"/>
          <w:color w:val="auto"/>
        </w:rPr>
        <w:t>As of the issuance date of these unaudited condensed consolidated financial statements for the three months ended March 31, 2024, the Company expects that its cash and cash equivalents and marketable securities will be sufficient to fund its operating expenses and capital expenditure requirements through at least 12 months from the issuance of these consolidated financial statements. The future viability of the Company beyond that point is dependent on its ability to raise additional capital to finance its operations.</w:t>
      </w:r>
    </w:p>
    <w:p>
      <w:pPr>
        <w:spacing w:after="0" w:line="174" w:lineRule="exact"/>
        <w:rPr>
          <w:sz w:val="20"/>
          <w:szCs w:val="20"/>
          <w:color w:val="auto"/>
        </w:rPr>
      </w:pPr>
    </w:p>
    <w:p>
      <w:pPr>
        <w:ind w:left="520" w:right="7260" w:hanging="512"/>
        <w:spacing w:after="0" w:line="320" w:lineRule="auto"/>
        <w:tabs>
          <w:tab w:leader="none" w:pos="21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or U.S. GAAP. In management’s opinion, the accompanying unaudited condensed consolidated financial statements include all adjustments, consisting of normal recurring adjustments, which are necessary to present fairly the Company’s financial position, results of operations, and cash flows. The financial data and other information disclosed in these notes related to the three months ended March 31, 2024 and 2023 are also unaudited. The unaudited condensed results of operations are not necessarily indicative of the operating results that may occur for the full fiscal year ending December 31, 2024. Certain information and footnote disclosures normally included in annual consolidated financial statements prepared in accordance with U.S. GAAP have been omitted pursuant to instructions, rules, and regulations prescribed by the United States Securities and Exchange Commission, or the SEC. Management believes that the disclosures provided here are adequate to make the information presented not misleading when these unaudited condensed consolidated financial statements are read in conjunction with the audited consolidated financial statements and notes thereto included in the Company’s Annual Report on Form 10-K.</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2023, in the Company’s Annual Report on Form 10-K filed with the SEC on March 27, 2024. There have been no changes to the Company’s significant accounting policies except as noted below.</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6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which was subsequently amended in November 2018 through ASU No. 2018-19, “Codification Improvements to Topic 326, Financial Instruments—Credit Losses.” ASU No. 2016-13 will require entities to estimate lifetime expected credit losses for trade and other receivables, net investments in leases, financing receivables, debt securities and other instruments, which will result in earlier recognition of credit losses. Further, the new credit loss model will affect how entities in all industries estimate their allowance for losses for receivables that are current with respect to their payment terms. ASU No. 2018-19 further clarifies that receivables arising from operating leases are not within the scope of Topic 326. Instead, impairment from receivables of operating leases should be accounted for in accordance with Topic 842, Leases. As per the latest ASU 2020-02, FASB deferred the timelines for certain small public and private entities, thus the new guidance was adopted by the Company for the annual reporting period beginning January 1, 2023, including interim periods within that annual reporting period. The standard will apply as a cumulative-effect adjustment to retained earnings as of the beginning of the first reporting period in which the guidance is adopted. The Company adopted this standard on January 1, 2023 and the standard did not have a material impact on its results of operations, financial condition, and financial statement disclosures.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Fair Value of Assets and Liabilities</w:t>
      </w:r>
    </w:p>
    <w:p>
      <w:pPr>
        <w:spacing w:after="0" w:line="6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March 31, 2024 and December 31, 2023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8"/>
              </w:rPr>
              <w:t>Quoted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70"/>
              <w:spacing w:after="0" w:line="202" w:lineRule="exact"/>
              <w:rPr>
                <w:sz w:val="20"/>
                <w:szCs w:val="20"/>
                <w:color w:val="auto"/>
              </w:rPr>
            </w:pPr>
            <w:r>
              <w:rPr>
                <w:rFonts w:ascii="Arial" w:cs="Arial" w:eastAsia="Arial" w:hAnsi="Arial"/>
                <w:sz w:val="18"/>
                <w:szCs w:val="18"/>
                <w:b w:val="1"/>
                <w:bCs w:val="1"/>
                <w:color w:val="auto"/>
              </w:rPr>
              <w:t>prices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7"/>
              </w:rPr>
              <w:t>active</w:t>
            </w:r>
          </w:p>
        </w:tc>
        <w:tc>
          <w:tcPr>
            <w:tcW w:w="220" w:type="dxa"/>
            <w:vAlign w:val="bottom"/>
          </w:tcPr>
          <w:p>
            <w:pPr>
              <w:spacing w:after="0"/>
              <w:rPr>
                <w:sz w:val="19"/>
                <w:szCs w:val="19"/>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Significant</w:t>
            </w:r>
          </w:p>
        </w:tc>
        <w:tc>
          <w:tcPr>
            <w:tcW w:w="24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Significant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70"/>
              <w:spacing w:after="0" w:line="202" w:lineRule="exact"/>
              <w:rPr>
                <w:sz w:val="20"/>
                <w:szCs w:val="20"/>
                <w:color w:val="auto"/>
              </w:rPr>
            </w:pPr>
            <w:r>
              <w:rPr>
                <w:rFonts w:ascii="Arial" w:cs="Arial" w:eastAsia="Arial" w:hAnsi="Arial"/>
                <w:sz w:val="18"/>
                <w:szCs w:val="18"/>
                <w:b w:val="1"/>
                <w:bCs w:val="1"/>
                <w:color w:val="auto"/>
              </w:rPr>
              <w:t>markets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other</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for identical</w:t>
            </w:r>
          </w:p>
        </w:tc>
        <w:tc>
          <w:tcPr>
            <w:tcW w:w="220" w:type="dxa"/>
            <w:vAlign w:val="bottom"/>
          </w:tcPr>
          <w:p>
            <w:pPr>
              <w:spacing w:after="0"/>
              <w:rPr>
                <w:sz w:val="17"/>
                <w:szCs w:val="17"/>
                <w:color w:val="auto"/>
              </w:rPr>
            </w:pPr>
          </w:p>
        </w:tc>
        <w:tc>
          <w:tcPr>
            <w:tcW w:w="1120" w:type="dxa"/>
            <w:vAlign w:val="bottom"/>
            <w:gridSpan w:val="5"/>
          </w:tcPr>
          <w:p>
            <w:pPr>
              <w:jc w:val="center"/>
              <w:spacing w:after="0" w:line="202" w:lineRule="exact"/>
              <w:rPr>
                <w:sz w:val="20"/>
                <w:szCs w:val="20"/>
                <w:color w:val="auto"/>
              </w:rPr>
            </w:pPr>
            <w:r>
              <w:rPr>
                <w:rFonts w:ascii="Arial" w:cs="Arial" w:eastAsia="Arial" w:hAnsi="Arial"/>
                <w:sz w:val="18"/>
                <w:szCs w:val="18"/>
                <w:b w:val="1"/>
                <w:bCs w:val="1"/>
                <w:color w:val="auto"/>
              </w:rPr>
              <w:t>observable</w:t>
            </w:r>
          </w:p>
        </w:tc>
        <w:tc>
          <w:tcPr>
            <w:tcW w:w="240" w:type="dxa"/>
            <w:vAlign w:val="bottom"/>
          </w:tcPr>
          <w:p>
            <w:pPr>
              <w:spacing w:after="0"/>
              <w:rPr>
                <w:sz w:val="17"/>
                <w:szCs w:val="17"/>
                <w:color w:val="auto"/>
              </w:rPr>
            </w:pPr>
          </w:p>
        </w:tc>
        <w:tc>
          <w:tcPr>
            <w:tcW w:w="122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observable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assets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left="10"/>
              <w:spacing w:after="0" w:line="202" w:lineRule="exact"/>
              <w:rPr>
                <w:sz w:val="20"/>
                <w:szCs w:val="20"/>
                <w:color w:val="auto"/>
              </w:rPr>
            </w:pPr>
            <w:r>
              <w:rPr>
                <w:rFonts w:ascii="Arial" w:cs="Arial" w:eastAsia="Arial" w:hAnsi="Arial"/>
                <w:sz w:val="18"/>
                <w:szCs w:val="18"/>
                <w:b w:val="1"/>
                <w:bCs w:val="1"/>
                <w:color w:val="auto"/>
                <w:w w:val="99"/>
              </w:rPr>
              <w:t>inputs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inputs</w:t>
            </w:r>
          </w:p>
        </w:tc>
        <w:tc>
          <w:tcPr>
            <w:tcW w:w="0" w:type="dxa"/>
            <w:vAlign w:val="bottom"/>
          </w:tcPr>
          <w:p>
            <w:pPr>
              <w:spacing w:after="0"/>
              <w:rPr>
                <w:sz w:val="1"/>
                <w:szCs w:val="1"/>
                <w:color w:val="auto"/>
              </w:rPr>
            </w:pPr>
          </w:p>
        </w:tc>
      </w:tr>
      <w:tr>
        <w:trPr>
          <w:trHeight w:val="208"/>
        </w:trPr>
        <w:tc>
          <w:tcPr>
            <w:tcW w:w="5820" w:type="dxa"/>
            <w:vAlign w:val="bottom"/>
            <w:gridSpan w:val="3"/>
          </w:tcPr>
          <w:p>
            <w:pPr>
              <w:ind w:left="20"/>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(Level 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3"/>
            <w:shd w:val="clear" w:color="auto" w:fill="CFF0FC"/>
          </w:tcPr>
          <w:p>
            <w:pPr>
              <w:ind w:left="20"/>
              <w:spacing w:after="0"/>
              <w:rPr>
                <w:sz w:val="20"/>
                <w:szCs w:val="20"/>
                <w:color w:val="auto"/>
              </w:rPr>
            </w:pPr>
            <w:r>
              <w:rPr>
                <w:rFonts w:ascii="Arial" w:cs="Arial" w:eastAsia="Arial" w:hAnsi="Arial"/>
                <w:sz w:val="18"/>
                <w:szCs w:val="18"/>
                <w:i w:val="1"/>
                <w:iCs w:val="1"/>
                <w:color w:val="auto"/>
              </w:rPr>
              <w:t>Financial assets</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5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25,808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25,808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8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176,098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176,098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tcPr>
          <w:p>
            <w:pPr>
              <w:ind w:left="340"/>
              <w:spacing w:after="0"/>
              <w:rPr>
                <w:sz w:val="20"/>
                <w:szCs w:val="20"/>
                <w:color w:val="auto"/>
              </w:rPr>
            </w:pPr>
            <w:r>
              <w:rPr>
                <w:rFonts w:ascii="Arial" w:cs="Arial" w:eastAsia="Arial" w:hAnsi="Arial"/>
                <w:sz w:val="18"/>
                <w:szCs w:val="18"/>
                <w:color w:val="auto"/>
              </w:rPr>
              <w:t>Asset-backed securities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497</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202,403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25,808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176,595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7"/>
        </w:trPr>
        <w:tc>
          <w:tcPr>
            <w:tcW w:w="2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48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w w:val="98"/>
              </w:rPr>
              <w:t>Quoted</w:t>
            </w: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70"/>
              <w:spacing w:after="0" w:line="202" w:lineRule="exact"/>
              <w:rPr>
                <w:sz w:val="20"/>
                <w:szCs w:val="20"/>
                <w:color w:val="auto"/>
              </w:rPr>
            </w:pPr>
            <w:r>
              <w:rPr>
                <w:rFonts w:ascii="Arial" w:cs="Arial" w:eastAsia="Arial" w:hAnsi="Arial"/>
                <w:sz w:val="18"/>
                <w:szCs w:val="18"/>
                <w:b w:val="1"/>
                <w:bCs w:val="1"/>
                <w:color w:val="auto"/>
              </w:rPr>
              <w:t>prices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7"/>
              </w:rPr>
              <w:t>active</w:t>
            </w:r>
          </w:p>
        </w:tc>
        <w:tc>
          <w:tcPr>
            <w:tcW w:w="220" w:type="dxa"/>
            <w:vAlign w:val="bottom"/>
          </w:tcPr>
          <w:p>
            <w:pPr>
              <w:spacing w:after="0"/>
              <w:rPr>
                <w:sz w:val="19"/>
                <w:szCs w:val="19"/>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Significant</w:t>
            </w:r>
          </w:p>
        </w:tc>
        <w:tc>
          <w:tcPr>
            <w:tcW w:w="24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Significant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70"/>
              <w:spacing w:after="0" w:line="202" w:lineRule="exact"/>
              <w:rPr>
                <w:sz w:val="20"/>
                <w:szCs w:val="20"/>
                <w:color w:val="auto"/>
              </w:rPr>
            </w:pPr>
            <w:r>
              <w:rPr>
                <w:rFonts w:ascii="Arial" w:cs="Arial" w:eastAsia="Arial" w:hAnsi="Arial"/>
                <w:sz w:val="18"/>
                <w:szCs w:val="18"/>
                <w:b w:val="1"/>
                <w:bCs w:val="1"/>
                <w:color w:val="auto"/>
              </w:rPr>
              <w:t>markets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other</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for identical</w:t>
            </w:r>
          </w:p>
        </w:tc>
        <w:tc>
          <w:tcPr>
            <w:tcW w:w="220" w:type="dxa"/>
            <w:vAlign w:val="bottom"/>
          </w:tcPr>
          <w:p>
            <w:pPr>
              <w:spacing w:after="0"/>
              <w:rPr>
                <w:sz w:val="17"/>
                <w:szCs w:val="17"/>
                <w:color w:val="auto"/>
              </w:rPr>
            </w:pPr>
          </w:p>
        </w:tc>
        <w:tc>
          <w:tcPr>
            <w:tcW w:w="1120" w:type="dxa"/>
            <w:vAlign w:val="bottom"/>
            <w:gridSpan w:val="5"/>
          </w:tcPr>
          <w:p>
            <w:pPr>
              <w:jc w:val="center"/>
              <w:spacing w:after="0" w:line="202" w:lineRule="exact"/>
              <w:rPr>
                <w:sz w:val="20"/>
                <w:szCs w:val="20"/>
                <w:color w:val="auto"/>
              </w:rPr>
            </w:pPr>
            <w:r>
              <w:rPr>
                <w:rFonts w:ascii="Arial" w:cs="Arial" w:eastAsia="Arial" w:hAnsi="Arial"/>
                <w:sz w:val="18"/>
                <w:szCs w:val="18"/>
                <w:b w:val="1"/>
                <w:bCs w:val="1"/>
                <w:color w:val="auto"/>
              </w:rPr>
              <w:t>observable</w:t>
            </w:r>
          </w:p>
        </w:tc>
        <w:tc>
          <w:tcPr>
            <w:tcW w:w="240" w:type="dxa"/>
            <w:vAlign w:val="bottom"/>
          </w:tcPr>
          <w:p>
            <w:pPr>
              <w:spacing w:after="0"/>
              <w:rPr>
                <w:sz w:val="17"/>
                <w:szCs w:val="17"/>
                <w:color w:val="auto"/>
              </w:rPr>
            </w:pPr>
          </w:p>
        </w:tc>
        <w:tc>
          <w:tcPr>
            <w:tcW w:w="122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observable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22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assets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left="10"/>
              <w:spacing w:after="0" w:line="202" w:lineRule="exact"/>
              <w:rPr>
                <w:sz w:val="20"/>
                <w:szCs w:val="20"/>
                <w:color w:val="auto"/>
              </w:rPr>
            </w:pPr>
            <w:r>
              <w:rPr>
                <w:rFonts w:ascii="Arial" w:cs="Arial" w:eastAsia="Arial" w:hAnsi="Arial"/>
                <w:sz w:val="18"/>
                <w:szCs w:val="18"/>
                <w:b w:val="1"/>
                <w:bCs w:val="1"/>
                <w:color w:val="auto"/>
                <w:w w:val="99"/>
              </w:rPr>
              <w:t>inputs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inputs</w:t>
            </w:r>
          </w:p>
        </w:tc>
        <w:tc>
          <w:tcPr>
            <w:tcW w:w="0" w:type="dxa"/>
            <w:vAlign w:val="bottom"/>
          </w:tcPr>
          <w:p>
            <w:pPr>
              <w:spacing w:after="0"/>
              <w:rPr>
                <w:sz w:val="1"/>
                <w:szCs w:val="1"/>
                <w:color w:val="auto"/>
              </w:rPr>
            </w:pPr>
          </w:p>
        </w:tc>
      </w:tr>
      <w:tr>
        <w:trPr>
          <w:trHeight w:val="208"/>
        </w:trPr>
        <w:tc>
          <w:tcPr>
            <w:tcW w:w="5820" w:type="dxa"/>
            <w:vAlign w:val="bottom"/>
            <w:gridSpan w:val="3"/>
          </w:tcPr>
          <w:p>
            <w:pPr>
              <w:ind w:left="20"/>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(Level 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3"/>
            <w:shd w:val="clear" w:color="auto" w:fill="CFF0FC"/>
          </w:tcPr>
          <w:p>
            <w:pPr>
              <w:ind w:left="20"/>
              <w:spacing w:after="0"/>
              <w:rPr>
                <w:sz w:val="20"/>
                <w:szCs w:val="20"/>
                <w:color w:val="auto"/>
              </w:rPr>
            </w:pPr>
            <w:r>
              <w:rPr>
                <w:rFonts w:ascii="Arial" w:cs="Arial" w:eastAsia="Arial" w:hAnsi="Arial"/>
                <w:sz w:val="18"/>
                <w:szCs w:val="18"/>
                <w:i w:val="1"/>
                <w:iCs w:val="1"/>
                <w:color w:val="auto"/>
              </w:rPr>
              <w:t>Financial assets</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5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40,551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40,551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58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9,137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tcPr>
          <w:p>
            <w:pPr>
              <w:ind w:left="36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6,187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6,187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58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166,002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166,002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tcPr>
          <w:p>
            <w:pPr>
              <w:ind w:left="100"/>
              <w:spacing w:after="0"/>
              <w:rPr>
                <w:sz w:val="20"/>
                <w:szCs w:val="20"/>
                <w:color w:val="auto"/>
              </w:rPr>
            </w:pPr>
            <w:r>
              <w:rPr>
                <w:rFonts w:ascii="Arial" w:cs="Arial" w:eastAsia="Arial" w:hAnsi="Arial"/>
                <w:sz w:val="18"/>
                <w:szCs w:val="18"/>
                <w:color w:val="auto"/>
              </w:rPr>
              <w:t>Yankee bonds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2,982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FF0FC"/>
            </w:tcBorders>
            <w:shd w:val="clear" w:color="auto" w:fill="CFF0FC"/>
          </w:tcPr>
          <w:p>
            <w:pPr>
              <w:spacing w:after="0"/>
              <w:rPr>
                <w:sz w:val="19"/>
                <w:szCs w:val="19"/>
                <w:color w:val="auto"/>
              </w:rPr>
            </w:pPr>
          </w:p>
        </w:tc>
        <w:tc>
          <w:tcPr>
            <w:tcW w:w="58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Asset-backed securities</w:t>
            </w: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Total financial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225,638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40,551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185,087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58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7020" w:type="dxa"/>
            <w:vAlign w:val="bottom"/>
            <w:gridSpan w:val="4"/>
          </w:tcPr>
          <w:p>
            <w:pPr>
              <w:jc w:val="right"/>
              <w:ind w:right="81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20" w:type="dxa"/>
            <w:vAlign w:val="bottom"/>
            <w:gridSpan w:val="5"/>
            <w:vMerge w:val="restart"/>
          </w:tcPr>
          <w:p>
            <w:pPr>
              <w:jc w:val="right"/>
              <w:ind w:right="62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4"/>
            <w:vMerge w:val="restart"/>
          </w:tcPr>
          <w:p>
            <w:pPr>
              <w:jc w:val="right"/>
              <w:ind w:right="30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Assets under construction</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center"/>
              <w:ind w:right="1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IT equipment</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Lab equipment</w:t>
            </w:r>
          </w:p>
        </w:tc>
        <w:tc>
          <w:tcPr>
            <w:tcW w:w="1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7,552</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Less—accumulated depreciation</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6"/>
              </w:rPr>
              <w:t>(5,342 )</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(5,036 )</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gridSpan w:val="3"/>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CFF0FC"/>
            </w:tcBorders>
          </w:tcPr>
          <w:p>
            <w:pPr>
              <w:spacing w:after="0"/>
              <w:rPr>
                <w:sz w:val="19"/>
                <w:szCs w:val="19"/>
                <w:color w:val="auto"/>
              </w:rPr>
            </w:pPr>
          </w:p>
        </w:tc>
        <w:tc>
          <w:tcPr>
            <w:tcW w:w="108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jc w:val="center"/>
              <w:ind w:right="4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3,054</w:t>
            </w:r>
          </w:p>
        </w:tc>
        <w:tc>
          <w:tcPr>
            <w:tcW w:w="26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-4431030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-4413885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-4431030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-4413885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-4431030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-4413885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-4413885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-2005330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-2005330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-2005330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-488315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-179705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$0.3 million and $0.3 million for the three months ended March 31, 2024 and 2023,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insurance</w:t>
            </w:r>
          </w:p>
        </w:tc>
        <w:tc>
          <w:tcPr>
            <w:tcW w:w="3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Prepaid research and development expenses</w:t>
            </w:r>
          </w:p>
        </w:tc>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5,829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2,288</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9,375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160" w:type="dxa"/>
            <w:vAlign w:val="bottom"/>
            <w:vMerge w:val="restart"/>
          </w:tcPr>
          <w:p>
            <w:pPr>
              <w:jc w:val="right"/>
              <w:ind w:right="1990"/>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6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-593090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-593090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902" w:gutter="0" w:footer="0" w:header="0"/>
        </w:sectPr>
      </w:pPr>
    </w:p>
    <w:bookmarkStart w:id="11" w:name="page12"/>
    <w:bookmarkEnd w:id="11"/>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820" w:type="dxa"/>
            <w:vAlign w:val="bottom"/>
          </w:tcPr>
          <w:p>
            <w:pPr>
              <w:spacing w:after="0"/>
              <w:rPr>
                <w:sz w:val="20"/>
                <w:szCs w:val="20"/>
                <w:color w:val="auto"/>
              </w:rPr>
            </w:pPr>
            <w:r>
              <w:rPr>
                <w:rFonts w:ascii="Arial" w:cs="Arial" w:eastAsia="Arial" w:hAnsi="Arial"/>
                <w:sz w:val="18"/>
                <w:szCs w:val="18"/>
                <w:b w:val="1"/>
                <w:bCs w:val="1"/>
                <w:color w:val="auto"/>
              </w:rPr>
              <w:t>6. Marketable Securities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820" w:type="dxa"/>
            <w:vAlign w:val="bottom"/>
          </w:tcPr>
          <w:p>
            <w:pPr>
              <w:ind w:left="520"/>
              <w:spacing w:after="0"/>
              <w:rPr>
                <w:sz w:val="20"/>
                <w:szCs w:val="20"/>
                <w:color w:val="auto"/>
              </w:rPr>
            </w:pPr>
            <w:r>
              <w:rPr>
                <w:rFonts w:ascii="Arial" w:cs="Arial" w:eastAsia="Arial" w:hAnsi="Arial"/>
                <w:sz w:val="18"/>
                <w:szCs w:val="18"/>
                <w:color w:val="auto"/>
              </w:rPr>
              <w:t>Marketable securities consist of the following (in thousands):</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00" w:type="dxa"/>
            <w:vAlign w:val="bottom"/>
            <w:gridSpan w:val="7"/>
            <w:vMerge w:val="restart"/>
          </w:tcPr>
          <w:p>
            <w:pPr>
              <w:jc w:val="center"/>
              <w:ind w:right="580"/>
              <w:spacing w:after="0"/>
              <w:rPr>
                <w:sz w:val="20"/>
                <w:szCs w:val="20"/>
                <w:color w:val="auto"/>
              </w:rPr>
            </w:pPr>
            <w:r>
              <w:rPr>
                <w:rFonts w:ascii="Arial" w:cs="Arial" w:eastAsia="Arial" w:hAnsi="Arial"/>
                <w:sz w:val="18"/>
                <w:szCs w:val="18"/>
                <w:b w:val="1"/>
                <w:bCs w:val="1"/>
                <w:color w:val="auto"/>
                <w:w w:val="99"/>
              </w:rPr>
              <w:t>March 31, 2024</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7"/>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9"/>
              </w:rPr>
              <w:t>Amortized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4"/>
          </w:tcPr>
          <w:p>
            <w:pPr>
              <w:jc w:val="center"/>
              <w:ind w:right="280"/>
              <w:spacing w:after="0" w:line="191"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10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Losses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U.S. Government agencies</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176,079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176,577</w:t>
            </w:r>
          </w:p>
        </w:tc>
        <w:tc>
          <w:tcPr>
            <w:tcW w:w="120" w:type="dxa"/>
            <w:vAlign w:val="bottom"/>
          </w:tcPr>
          <w:p>
            <w:pPr>
              <w:spacing w:after="0"/>
              <w:rPr>
                <w:sz w:val="19"/>
                <w:szCs w:val="19"/>
                <w:color w:val="auto"/>
              </w:rPr>
            </w:pP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176,595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5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center"/>
              <w:ind w:right="600"/>
              <w:spacing w:after="0"/>
              <w:rPr>
                <w:sz w:val="20"/>
                <w:szCs w:val="20"/>
                <w:color w:val="auto"/>
              </w:rPr>
            </w:pPr>
            <w:r>
              <w:rPr>
                <w:rFonts w:ascii="Arial" w:cs="Arial" w:eastAsia="Arial" w:hAnsi="Arial"/>
                <w:sz w:val="18"/>
                <w:szCs w:val="18"/>
                <w:b w:val="1"/>
                <w:bCs w:val="1"/>
                <w:color w:val="auto"/>
                <w:w w:val="99"/>
              </w:rPr>
              <w:t>December 31, 2023</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9"/>
              </w:rPr>
              <w:t>Amortized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4"/>
          </w:tcPr>
          <w:p>
            <w:pPr>
              <w:jc w:val="center"/>
              <w:ind w:right="280"/>
              <w:spacing w:after="0" w:line="191"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10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Losses</w:t>
            </w:r>
          </w:p>
        </w:tc>
        <w:tc>
          <w:tcPr>
            <w:tcW w:w="24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9,144</w:t>
            </w:r>
          </w:p>
        </w:tc>
        <w:tc>
          <w:tcPr>
            <w:tcW w:w="48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agencies</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165,453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120"/>
              <w:spacing w:after="0"/>
              <w:rPr>
                <w:sz w:val="20"/>
                <w:szCs w:val="20"/>
                <w:color w:val="auto"/>
              </w:rPr>
            </w:pPr>
            <w:r>
              <w:rPr>
                <w:rFonts w:ascii="Arial" w:cs="Arial" w:eastAsia="Arial" w:hAnsi="Arial"/>
                <w:sz w:val="18"/>
                <w:szCs w:val="18"/>
                <w:color w:val="auto"/>
              </w:rPr>
              <w:t>Yankee bonds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184,548</w:t>
            </w:r>
          </w:p>
        </w:tc>
        <w:tc>
          <w:tcPr>
            <w:tcW w:w="120" w:type="dxa"/>
            <w:vAlign w:val="bottom"/>
          </w:tcPr>
          <w:p>
            <w:pPr>
              <w:spacing w:after="0"/>
              <w:rPr>
                <w:sz w:val="19"/>
                <w:szCs w:val="19"/>
                <w:color w:val="auto"/>
              </w:rPr>
            </w:pP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-1833880</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-1833880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-1833880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-179070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-179070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-179070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of March 31, 2024, the unrealized losses on the Company’s investments in U.S. government agencies securities and asset-backed securities were caused by interest rate increases. The current credit ratings are all within the guidelines of the investment policy of the Company and the Company does not expect the issuers to settle any security at a price less than the amortized cost basis of the investment. The Company does not intend to sell the investments and it is not probable that the Company will be required to sell the investments before recovery of their amortized cost basis.</w:t>
      </w:r>
    </w:p>
    <w:p>
      <w:pPr>
        <w:spacing w:after="0" w:line="2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March 31, 2024, four marketable securities with contractual maturities of one year or less were in an unrealized loss position totaling $0.01 million.</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2024, the Company had marketable securities with a fair value of $58.7 million that had maturities of one to two years.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impairments of the Company’s assets measured and carried at fair value during the three months ended March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60" w:type="dxa"/>
            <w:vAlign w:val="bottom"/>
          </w:tcPr>
          <w:p>
            <w:pPr>
              <w:spacing w:after="0"/>
              <w:rPr>
                <w:sz w:val="20"/>
                <w:szCs w:val="20"/>
                <w:color w:val="auto"/>
              </w:rPr>
            </w:pPr>
            <w:r>
              <w:rPr>
                <w:rFonts w:ascii="Arial" w:cs="Arial" w:eastAsia="Arial" w:hAnsi="Arial"/>
                <w:sz w:val="18"/>
                <w:szCs w:val="18"/>
                <w:b w:val="1"/>
                <w:bCs w:val="1"/>
                <w:color w:val="auto"/>
              </w:rPr>
              <w:t>7. Accrued Expenses and Other Current Liabilities</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760" w:type="dxa"/>
            <w:vAlign w:val="bottom"/>
          </w:tcPr>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240" w:type="dxa"/>
            <w:vAlign w:val="bottom"/>
          </w:tcPr>
          <w:p>
            <w:pPr>
              <w:spacing w:after="0"/>
              <w:rPr>
                <w:sz w:val="22"/>
                <w:szCs w:val="22"/>
                <w:color w:val="auto"/>
              </w:rPr>
            </w:pPr>
          </w:p>
        </w:tc>
        <w:tc>
          <w:tcPr>
            <w:tcW w:w="13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80"/>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7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4,989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-179705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had 150,000,000 authorized shares of common stock, par value $0.00001 per share, of which 49,504,405 and 49,350,788 shares were issued and outstanding at March 31, 2024 and December 31, 2023,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both"/>
        <w:ind w:firstLine="509"/>
        <w:spacing w:after="0" w:line="253" w:lineRule="auto"/>
        <w:rPr>
          <w:sz w:val="20"/>
          <w:szCs w:val="20"/>
          <w:color w:val="auto"/>
        </w:rPr>
      </w:pPr>
      <w:r>
        <w:rPr>
          <w:rFonts w:ascii="Arial" w:cs="Arial" w:eastAsia="Arial" w:hAnsi="Arial"/>
          <w:sz w:val="18"/>
          <w:szCs w:val="18"/>
          <w:color w:val="auto"/>
        </w:rPr>
        <w:t>In addition, the Company had 10,000,000 authorized shares of preferred stock, par value $0.00001 per share, all of which shares of preferred stock are undesignated. No authorized shares of preferred stock were issued and outstanding at March 31, 2024 and December 31, 2023.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77"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On November 9, 2023, the Company issued and sold 11,000,000 shares of common stock at a price to the public of $9.00 per share for aggregate gross proceeds of $99.0 million in the 2023 Follow-On Offering. The Company received approximately $92.6 million in net proceeds from the 2023 Follow-On Offering after deducting underwriting discounts and commissions and offering expenses.</w:t>
      </w:r>
    </w:p>
    <w:p>
      <w:pPr>
        <w:spacing w:after="0" w:line="20"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On December 5, 2022, the Company issued and sold 7,705,000 shares of common stock, including the full exercise of the underwriters’ option to purchase additional shares at a price to the public of $12.00 per share for aggregate gross proceeds of $92.5 million in the 2022 Follow-On Offering. The Company received approximately $86.7 million in net proceeds from the 2022 Follow-On Offering after deducting underwriting discounts, commissions and offering expenses.</w:t>
      </w:r>
    </w:p>
    <w:p>
      <w:pPr>
        <w:spacing w:after="0" w:line="2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On November 1, 2022, the Company filed the 2022 Shelf with the SEC in relation to the registration of up to an aggregate offering price of $250.0 million of common stock, preferred stock, debt securities, warrants and units or any combination thereof. The Company also simultaneously entered into the Sales Agreement with the Sales Agent to provide for the offering, issuance and sale by the Company of up to an aggregate of $75.0 million of common stock from time to time in the ATM under the 2022 Shelf and subject to the limitations thereof. As of November 6, 2023, the Company had issued 993,996 shares of common stock at an average price of $12.50 under the ATM. On March 27, 2024, the Company filed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The Company issued no shares of common stock during the three months ended March 31, 2024 under the ATM.</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Stock Option and Incentive Plan</w:t>
      </w:r>
    </w:p>
    <w:p>
      <w:pPr>
        <w:spacing w:after="0" w:line="198" w:lineRule="exact"/>
        <w:rPr>
          <w:sz w:val="20"/>
          <w:szCs w:val="20"/>
          <w:color w:val="auto"/>
        </w:rPr>
      </w:pPr>
    </w:p>
    <w:p>
      <w:pPr>
        <w:jc w:val="both"/>
        <w:ind w:firstLine="384"/>
        <w:spacing w:after="0" w:line="247" w:lineRule="auto"/>
        <w:rPr>
          <w:sz w:val="20"/>
          <w:szCs w:val="20"/>
          <w:color w:val="auto"/>
        </w:rPr>
      </w:pPr>
      <w:r>
        <w:rPr>
          <w:rFonts w:ascii="Arial" w:cs="Arial" w:eastAsia="Arial" w:hAnsi="Arial"/>
          <w:sz w:val="18"/>
          <w:szCs w:val="18"/>
          <w:color w:val="auto"/>
        </w:rPr>
        <w:t>On December 12, 2018, the Company adopted the Aura Biosciences, Inc. 2018 Equity Incentive Plan, or the 2018 Plan. The 2018 Plan will expire in 2028. Under the 2018 Plan, Aura may grant incentive stock options, non-qualified stock options, restricted and unrestricted stock awards and stock rights. The Board of Directors, or the Board, has determined not to make any further awards under the 2018 Plan as of November 2, 2021. However, the 2018 Plan will continue to govern outstanding equity awards granted thereunder.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Stock Option and Incentive Plan</w:t>
      </w:r>
    </w:p>
    <w:p>
      <w:pPr>
        <w:spacing w:after="0" w:line="198" w:lineRule="exact"/>
        <w:rPr>
          <w:sz w:val="20"/>
          <w:szCs w:val="20"/>
          <w:color w:val="auto"/>
        </w:rPr>
      </w:pPr>
    </w:p>
    <w:p>
      <w:pPr>
        <w:jc w:val="both"/>
        <w:ind w:firstLine="303"/>
        <w:spacing w:after="0" w:line="239" w:lineRule="auto"/>
        <w:rPr>
          <w:sz w:val="20"/>
          <w:szCs w:val="20"/>
          <w:color w:val="auto"/>
        </w:rPr>
      </w:pPr>
      <w:r>
        <w:rPr>
          <w:rFonts w:ascii="Arial" w:cs="Arial" w:eastAsia="Arial" w:hAnsi="Arial"/>
          <w:sz w:val="18"/>
          <w:szCs w:val="18"/>
          <w:color w:val="auto"/>
        </w:rPr>
        <w:t>The 2021 Stock Option and Incentive Plan, or the 2021 Plan, was adopted by the Board on October 7, 2021, approved by the Company’s stockholders on October 22, 2021 and became effective on November 1, 2021. The 2021 Plan permits the granting of both options to purchase common stock intended to qualify as incentive stock options under Section 422 of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 annual increase for such year or 3,352,166 shares of common stock. On January 1, 2024, the shares reserved for issuance was increased to 9,414,162 shares. With the transfer of the available options from the 2018 Plan to the 2021 Plan, there were 4,110,430 options and restricted stock units available for grant under the 2021 Plan at March 31, 2024.</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98"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18"/>
          <w:szCs w:val="18"/>
          <w:color w:val="auto"/>
        </w:rPr>
        <w:t>The 2021 Employee Stock Purchase Plan, or the ESPP, was adopted by the Board on October 7, 2021, approved by the Company’s stockholders on October 22, 2021 and became effective on November 1, 2021. A total of 335,217 shares of common stock were initially reserved for issuance under this plan, which increased on January 1, 2022 and will continue to increase each January 1 thereafter through January 1, 2031, by the least of (i) 335,217 shares of common stock, (ii) 1% of the outstanding number of shares of common stock on the immediately preceding December 31 or (iii) such lesser number of shares of common stock as determined by the administrator of the ESPP. On January 1, 2024, the shares reserved for issuance was increased to 1,282,856 shares. The purchase price of the shares under the ESPP are at 85% of the lower of the fair market value of the Company’s common stock on the first trading day of the offering period or on the purchase date. As of March 31, 2024, 1,270,542 shares were available to be issued under the ESPP. The Company recognized $0.03 million share-based compensation expense related to the ESPP for the three months ended March 31, 2024.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The Board is authorized to administer the 2021 Plan. In accordance with the provisions of the 2021 Plan, the Board determines the terms of Aura options and other awards issued pursuant thereto, including the following:</w:t>
      </w: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which employees, directors and consultants shall be granted awards;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shares of common stock subject to options and other awards;</w:t>
      </w:r>
    </w:p>
    <w:p>
      <w:pPr>
        <w:spacing w:after="0" w:line="4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exercise price of each option, which generally shall not be less than fair market value of the common stock on the date of grant;</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cancellation provisions applicable to options;</w:t>
      </w:r>
    </w:p>
    <w:p>
      <w:pPr>
        <w:spacing w:after="0" w:line="35"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and conditions of other awards, including conditions for repurchase, termination or cancellation, issue price and repurchase price; and</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all other terms and conditions upon which each award may be granted in accordance with the 2021 Plan.</w:t>
      </w:r>
    </w:p>
    <w:p>
      <w:pPr>
        <w:spacing w:after="0" w:line="2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2018 Plan and 2021 Plan for the three months ended March 31, 2024: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rPr>
              <w:t>Weighted-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Average</w:t>
            </w:r>
          </w:p>
        </w:tc>
        <w:tc>
          <w:tcPr>
            <w:tcW w:w="240" w:type="dxa"/>
            <w:vAlign w:val="bottom"/>
          </w:tcPr>
          <w:p>
            <w:pPr>
              <w:spacing w:after="0"/>
              <w:rPr>
                <w:sz w:val="17"/>
                <w:szCs w:val="17"/>
                <w:color w:val="auto"/>
              </w:rPr>
            </w:pPr>
          </w:p>
        </w:tc>
        <w:tc>
          <w:tcPr>
            <w:tcW w:w="124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203"/>
        </w:trPr>
        <w:tc>
          <w:tcPr>
            <w:tcW w:w="5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03"/>
        </w:trPr>
        <w:tc>
          <w:tcPr>
            <w:tcW w:w="5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Average</w:t>
            </w:r>
          </w:p>
        </w:tc>
        <w:tc>
          <w:tcPr>
            <w:tcW w:w="22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5"/>
              </w:rPr>
              <w:t>Value</w:t>
            </w:r>
          </w:p>
        </w:tc>
      </w:tr>
      <w:tr>
        <w:trPr>
          <w:trHeight w:val="203"/>
        </w:trPr>
        <w:tc>
          <w:tcPr>
            <w:tcW w:w="5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Exercise</w:t>
            </w:r>
          </w:p>
        </w:tc>
        <w:tc>
          <w:tcPr>
            <w:tcW w:w="22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Term</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(in</w:t>
            </w:r>
          </w:p>
        </w:tc>
      </w:tr>
      <w:tr>
        <w:trPr>
          <w:trHeight w:val="235"/>
        </w:trPr>
        <w:tc>
          <w:tcPr>
            <w:tcW w:w="5800" w:type="dxa"/>
            <w:vAlign w:val="bottom"/>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Options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Price</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thousands)</w:t>
            </w:r>
          </w:p>
        </w:tc>
        <w:tc>
          <w:tcPr>
            <w:tcW w:w="100" w:type="dxa"/>
            <w:vAlign w:val="bottom"/>
          </w:tcPr>
          <w:p>
            <w:pPr>
              <w:spacing w:after="0"/>
              <w:rPr>
                <w:sz w:val="20"/>
                <w:szCs w:val="20"/>
                <w:color w:val="auto"/>
              </w:rPr>
            </w:pP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2023</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5,030,351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10,353</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1,085,500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7.83</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(51,180 )</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(107,783 )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11.12</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March 31, 2024</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5,956,888</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22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8"/>
                <w:szCs w:val="18"/>
                <w:color w:val="auto"/>
              </w:rPr>
              <w:t>Exercisable at March 31, 2024</w:t>
            </w:r>
          </w:p>
        </w:tc>
        <w:tc>
          <w:tcPr>
            <w:tcW w:w="1200" w:type="dxa"/>
            <w:vAlign w:val="bottom"/>
          </w:tcPr>
          <w:p>
            <w:pPr>
              <w:jc w:val="right"/>
              <w:spacing w:after="0"/>
              <w:rPr>
                <w:sz w:val="20"/>
                <w:szCs w:val="20"/>
                <w:color w:val="auto"/>
              </w:rPr>
            </w:pPr>
            <w:r>
              <w:rPr>
                <w:rFonts w:ascii="Arial" w:cs="Arial" w:eastAsia="Arial" w:hAnsi="Arial"/>
                <w:sz w:val="18"/>
                <w:szCs w:val="18"/>
                <w:color w:val="auto"/>
              </w:rPr>
              <w:t>2,902,169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6,627</w:t>
            </w:r>
          </w:p>
        </w:tc>
        <w:tc>
          <w:tcPr>
            <w:tcW w:w="10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-196215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-179705</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-196215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-179705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-196215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-179705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weighted-average grant date fair value of stock options granted during the three months ended March 31, 2024 and 2023 was $5.90 and $7.52 per share, respectively. The fair value of options vested during the three months ended March 31, 2024 and 2023 was $2.2 million and $1.2 million, respectively. The total intrinsic value of options exercised was $0.3 million and $0.1 million for the three months ended March 31, 2024 and 2023,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jc w:val="both"/>
        <w:ind w:right="80" w:firstLine="509"/>
        <w:spacing w:after="0" w:line="253" w:lineRule="auto"/>
        <w:rPr>
          <w:sz w:val="20"/>
          <w:szCs w:val="20"/>
          <w:color w:val="auto"/>
        </w:rPr>
      </w:pPr>
      <w:r>
        <w:rPr>
          <w:rFonts w:ascii="Arial" w:cs="Arial" w:eastAsia="Arial" w:hAnsi="Arial"/>
          <w:sz w:val="18"/>
          <w:szCs w:val="18"/>
          <w:color w:val="auto"/>
        </w:rPr>
        <w:t>The fair value of the stock options issued for the three months ended March 31, 2024 and 2023 was measured with the following weighted-average assumptions:</w:t>
      </w:r>
    </w:p>
    <w:p>
      <w:pPr>
        <w:jc w:val="center"/>
        <w:ind w:left="7580"/>
        <w:spacing w:after="0" w:line="234" w:lineRule="auto"/>
        <w:rPr>
          <w:sz w:val="20"/>
          <w:szCs w:val="20"/>
          <w:color w:val="auto"/>
        </w:rPr>
      </w:pPr>
      <w:r>
        <w:rPr>
          <w:rFonts w:ascii="Arial" w:cs="Arial" w:eastAsia="Arial" w:hAnsi="Arial"/>
          <w:sz w:val="18"/>
          <w:szCs w:val="18"/>
          <w:b w:val="1"/>
          <w:bCs w:val="1"/>
          <w:color w:val="auto"/>
        </w:rPr>
        <w:t>Three Months Ended</w:t>
      </w:r>
    </w:p>
    <w:p>
      <w:pPr>
        <w:spacing w:after="0" w:line="1"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9"/>
                <w:szCs w:val="19"/>
                <w:color w:val="auto"/>
              </w:rPr>
            </w:pPr>
          </w:p>
        </w:tc>
      </w:tr>
      <w:tr>
        <w:trPr>
          <w:trHeight w:val="22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3.84 %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3.53 %</w:t>
            </w: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540" w:type="dxa"/>
            <w:vAlign w:val="bottom"/>
          </w:tcPr>
          <w:p>
            <w:pPr>
              <w:jc w:val="right"/>
              <w:spacing w:after="0"/>
              <w:rPr>
                <w:sz w:val="20"/>
                <w:szCs w:val="20"/>
                <w:color w:val="auto"/>
              </w:rPr>
            </w:pPr>
            <w:r>
              <w:rPr>
                <w:rFonts w:ascii="Arial" w:cs="Arial" w:eastAsia="Arial" w:hAnsi="Arial"/>
                <w:sz w:val="18"/>
                <w:szCs w:val="18"/>
                <w:color w:val="auto"/>
              </w:rPr>
              <w:t>6.06</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9"/>
                <w:szCs w:val="19"/>
                <w:color w:val="auto"/>
              </w:rPr>
            </w:pP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Expected volatility of the underlying stock</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88.50 %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84.83 %</w:t>
            </w:r>
          </w:p>
        </w:tc>
      </w:tr>
      <w:tr>
        <w:trPr>
          <w:trHeight w:val="23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Expected dividend rate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-588010</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6"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8"/>
          <w:szCs w:val="18"/>
          <w:color w:val="auto"/>
        </w:rPr>
        <w:t>The Company has granted restricted stock units with service-based vesting conditions. Unvested restricted stock units may not be sold or transferred by the holder.</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restricted stock units activity during the three months ended March 31, 2024 is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Weighted-</w:t>
            </w:r>
          </w:p>
        </w:tc>
      </w:tr>
      <w:tr>
        <w:trPr>
          <w:trHeight w:val="203"/>
        </w:trPr>
        <w:tc>
          <w:tcPr>
            <w:tcW w:w="7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8"/>
              </w:rPr>
              <w:t>Average</w:t>
            </w:r>
          </w:p>
        </w:tc>
      </w:tr>
      <w:tr>
        <w:trPr>
          <w:trHeight w:val="203"/>
        </w:trPr>
        <w:tc>
          <w:tcPr>
            <w:tcW w:w="7700" w:type="dxa"/>
            <w:vAlign w:val="bottom"/>
          </w:tcPr>
          <w:p>
            <w:pPr>
              <w:spacing w:after="0"/>
              <w:rPr>
                <w:sz w:val="17"/>
                <w:szCs w:val="17"/>
                <w:color w:val="auto"/>
              </w:rPr>
            </w:pPr>
          </w:p>
        </w:tc>
        <w:tc>
          <w:tcPr>
            <w:tcW w:w="190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Restricted Stock</w:t>
            </w:r>
          </w:p>
        </w:tc>
        <w:tc>
          <w:tcPr>
            <w:tcW w:w="1640" w:type="dxa"/>
            <w:vAlign w:val="bottom"/>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Grant Date Fair</w:t>
            </w:r>
          </w:p>
        </w:tc>
      </w:tr>
      <w:tr>
        <w:trPr>
          <w:trHeight w:val="235"/>
        </w:trPr>
        <w:tc>
          <w:tcPr>
            <w:tcW w:w="7700" w:type="dxa"/>
            <w:vAlign w:val="bottom"/>
          </w:tcPr>
          <w:p>
            <w:pPr>
              <w:spacing w:after="0"/>
              <w:rPr>
                <w:sz w:val="20"/>
                <w:szCs w:val="20"/>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Units</w:t>
            </w:r>
          </w:p>
        </w:tc>
        <w:tc>
          <w:tcPr>
            <w:tcW w:w="22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Value</w:t>
            </w: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December 31,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1,093,402</w:t>
            </w:r>
          </w:p>
        </w:tc>
        <w:tc>
          <w:tcPr>
            <w:tcW w:w="28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731,925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Vested/Released</w:t>
            </w:r>
          </w:p>
        </w:tc>
        <w:tc>
          <w:tcPr>
            <w:tcW w:w="1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(90,123 )</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(44,662 )</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r>
      <w:tr>
        <w:trPr>
          <w:trHeight w:val="26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March 31,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1,690,542</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As a result of the 2021 Plan, the Company granted restricted stock units which vest in increments of 25% annually over a period of four years. For the three months ended March 31, 2024, 90,123 restricted stock units vested with a fair value of $1.0 million.</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recorded stock-based compensation expense as follows (in thousands):</w:t>
      </w:r>
    </w:p>
    <w:p>
      <w:pPr>
        <w:spacing w:after="0" w:line="23"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color w:val="auto"/>
        </w:rPr>
        <w:t>Three Months Ended</w:t>
      </w:r>
    </w:p>
    <w:p>
      <w:pPr>
        <w:jc w:val="center"/>
        <w:ind w:left="76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6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r>
      <w:tr>
        <w:trPr>
          <w:trHeight w:val="263"/>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2,909</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60" w:firstLine="509"/>
        <w:spacing w:after="0" w:line="271" w:lineRule="auto"/>
        <w:rPr>
          <w:sz w:val="20"/>
          <w:szCs w:val="20"/>
          <w:color w:val="auto"/>
        </w:rPr>
      </w:pPr>
      <w:r>
        <w:rPr>
          <w:rFonts w:ascii="Arial" w:cs="Arial" w:eastAsia="Arial" w:hAnsi="Arial"/>
          <w:sz w:val="18"/>
          <w:szCs w:val="18"/>
          <w:color w:val="auto"/>
        </w:rPr>
        <w:t>As of March 31, 2024, there was $18.8 million of unrecognized compensation expense related to stock options, which is expected to be recognized over a weighted-average period of 2.74 years.</w:t>
      </w:r>
    </w:p>
    <w:p>
      <w:pPr>
        <w:spacing w:after="0" w:line="140" w:lineRule="exact"/>
        <w:rPr>
          <w:sz w:val="20"/>
          <w:szCs w:val="20"/>
          <w:color w:val="auto"/>
        </w:rPr>
      </w:pPr>
    </w:p>
    <w:p>
      <w:pPr>
        <w:jc w:val="both"/>
        <w:ind w:right="60" w:firstLine="509"/>
        <w:spacing w:after="0" w:line="271" w:lineRule="auto"/>
        <w:rPr>
          <w:sz w:val="20"/>
          <w:szCs w:val="20"/>
          <w:color w:val="auto"/>
        </w:rPr>
      </w:pPr>
      <w:r>
        <w:rPr>
          <w:rFonts w:ascii="Arial" w:cs="Arial" w:eastAsia="Arial" w:hAnsi="Arial"/>
          <w:sz w:val="18"/>
          <w:szCs w:val="18"/>
          <w:color w:val="auto"/>
        </w:rPr>
        <w:t>As of March 31, 2024, there was $13.8 million of unrecognized compensation expense related to restricted stock units, which is expected to be recognized over a weighted-average period of 3.31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Warrants</w:t>
      </w:r>
    </w:p>
    <w:p>
      <w:pPr>
        <w:spacing w:after="0" w:line="63" w:lineRule="exact"/>
        <w:rPr>
          <w:sz w:val="20"/>
          <w:szCs w:val="20"/>
          <w:color w:val="auto"/>
        </w:rPr>
      </w:pPr>
    </w:p>
    <w:p>
      <w:pPr>
        <w:jc w:val="both"/>
        <w:ind w:right="60" w:firstLine="509"/>
        <w:spacing w:after="0"/>
        <w:rPr>
          <w:sz w:val="20"/>
          <w:szCs w:val="20"/>
          <w:color w:val="auto"/>
        </w:rPr>
      </w:pPr>
      <w:r>
        <w:rPr>
          <w:rFonts w:ascii="Arial" w:cs="Arial" w:eastAsia="Arial" w:hAnsi="Arial"/>
          <w:sz w:val="18"/>
          <w:szCs w:val="18"/>
          <w:color w:val="auto"/>
        </w:rPr>
        <w:t>In February 2015 and May 2015, the Company issued warrants to purchase 1,650,098 and 887,536 shares of Series B convertible preferred stock, respectively, at an exercise price of $1.24235 per share (the “Series B Warrants”). Each Series B Warrant was immediately exercisable and expires ten years from the original date of issuance. Pursuant to FASB ASC Topic 480, Distinguishing Liabilities from Equity, the Series B Warrants were classified as a liability and were re-measured to fair value at each balance sheet date. A total of 173,827 of the Series B Warrants were outstanding and were converted into warrants to purchase 12,686 shares of common stock with an exercise price of $17.03 upon the completion of the IPO in November 2021. As a result, the 12,686 common stock warrants were converted into equity instruments and remain outstanding as of March 31, 2024.</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11. Compensation</w:t>
      </w:r>
    </w:p>
    <w:p>
      <w:pPr>
        <w:spacing w:after="0" w:line="63" w:lineRule="exact"/>
        <w:rPr>
          <w:sz w:val="20"/>
          <w:szCs w:val="20"/>
          <w:color w:val="auto"/>
        </w:rPr>
      </w:pPr>
    </w:p>
    <w:p>
      <w:pPr>
        <w:jc w:val="both"/>
        <w:ind w:right="60" w:firstLine="509"/>
        <w:spacing w:after="0" w:line="244" w:lineRule="auto"/>
        <w:rPr>
          <w:sz w:val="20"/>
          <w:szCs w:val="20"/>
          <w:color w:val="auto"/>
        </w:rPr>
      </w:pPr>
      <w:r>
        <w:rPr>
          <w:rFonts w:ascii="Arial" w:cs="Arial" w:eastAsia="Arial" w:hAnsi="Arial"/>
          <w:sz w:val="18"/>
          <w:szCs w:val="18"/>
          <w:color w:val="auto"/>
        </w:rPr>
        <w:t>In January 2012, the Company adopted the Aura Biosciences 401(k) Profit Sharing Plan and Trust (the “401(k) Plan”) for its employees, which is designed to be qualified under Section 401(k) of the Internal Revenue Code. Eligible employees are permitted to contribute to the 401(k) Plan within statutory and 401(k) Plan limits. The Company makes matching contributions of 100% of the first 6% of employee contributions. The Company made matching contributions in the amount of $0.2 million for the three months ended March 31, 2024 and 2023,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61"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8"/>
          <w:szCs w:val="18"/>
          <w:color w:val="auto"/>
        </w:rPr>
        <w:t>The Company has historically entered into lease arrangements for its facilities. The Company has one operating lease for its office and laboratory facility with required future minimum payments as of March 31, 2024 and one operating lease that was terminated in August 2022.</w:t>
      </w:r>
    </w:p>
    <w:p>
      <w:pPr>
        <w:spacing w:after="0" w:line="154" w:lineRule="exact"/>
        <w:rPr>
          <w:sz w:val="20"/>
          <w:szCs w:val="20"/>
          <w:color w:val="auto"/>
        </w:rPr>
      </w:pPr>
    </w:p>
    <w:p>
      <w:pPr>
        <w:jc w:val="both"/>
        <w:ind w:right="60" w:firstLine="509"/>
        <w:spacing w:after="0" w:line="242" w:lineRule="auto"/>
        <w:rPr>
          <w:sz w:val="20"/>
          <w:szCs w:val="20"/>
          <w:color w:val="auto"/>
        </w:rPr>
      </w:pPr>
      <w:r>
        <w:rPr>
          <w:rFonts w:ascii="Arial" w:cs="Arial" w:eastAsia="Arial" w:hAnsi="Arial"/>
          <w:sz w:val="18"/>
          <w:szCs w:val="18"/>
          <w:color w:val="auto"/>
        </w:rPr>
        <w:t>On May 16, 2022, the Company entered into an office and laboratory lease in Boston, MA with an initial 10-year term and one renewal option to extend the lease for an additional seven years. The lease commenced on August 1, 2022, and estimated payments due under the initial term total $35.2 million. The lease requires a letter of credit totaling $0.8 million which is classified as long-term restricted cash and deposits on the consolidated balance sheet. The landlord will reimburse the Company up to $0.5 million for certain costs related to expansion of the laboratory space. As of March 31, 2024, the Company has incurred $0.1 million of expenses related to the expansion, and has been reimbursed for $0.1 million of these expenses.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Company’s leases for the three months ended March 31, 2024 and 2023 (in thousands):</w:t>
      </w:r>
    </w:p>
    <w:p>
      <w:pPr>
        <w:spacing w:after="0" w:line="5" w:lineRule="exact"/>
        <w:rPr>
          <w:sz w:val="20"/>
          <w:szCs w:val="20"/>
          <w:color w:val="auto"/>
        </w:rPr>
      </w:pPr>
    </w:p>
    <w:p>
      <w:pPr>
        <w:jc w:val="center"/>
        <w:ind w:left="6800"/>
        <w:spacing w:after="0"/>
        <w:rPr>
          <w:sz w:val="20"/>
          <w:szCs w:val="20"/>
          <w:color w:val="auto"/>
        </w:rPr>
      </w:pPr>
      <w:r>
        <w:rPr>
          <w:rFonts w:ascii="Arial" w:cs="Arial" w:eastAsia="Arial" w:hAnsi="Arial"/>
          <w:sz w:val="18"/>
          <w:szCs w:val="18"/>
          <w:b w:val="1"/>
          <w:bCs w:val="1"/>
          <w:color w:val="auto"/>
        </w:rPr>
        <w:t>Three Months Ended</w:t>
      </w:r>
    </w:p>
    <w:p>
      <w:pPr>
        <w:jc w:val="center"/>
        <w:ind w:left="680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20" w:type="dxa"/>
            <w:vAlign w:val="bottom"/>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6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4"/>
              </w:rPr>
              <w:t>2023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Cost</w:t>
            </w:r>
          </w:p>
        </w:tc>
        <w:tc>
          <w:tcPr>
            <w:tcW w:w="1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Operating lease costs</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868</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Variable lease costs</w:t>
            </w:r>
          </w:p>
        </w:tc>
        <w:tc>
          <w:tcPr>
            <w:tcW w:w="1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costs</w:t>
            </w:r>
          </w:p>
        </w:tc>
        <w:tc>
          <w:tcPr>
            <w:tcW w:w="130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90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385"/>
        </w:trPr>
        <w:tc>
          <w:tcPr>
            <w:tcW w:w="6920" w:type="dxa"/>
            <w:vAlign w:val="bottom"/>
            <w:tcBorders>
              <w:top w:val="single" w:sz="8" w:color="CFF0FC"/>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Pr>
          <w:p>
            <w:pPr>
              <w:spacing w:after="0"/>
              <w:rPr>
                <w:sz w:val="24"/>
                <w:szCs w:val="24"/>
                <w:color w:val="auto"/>
              </w:rPr>
            </w:pPr>
          </w:p>
        </w:tc>
      </w:tr>
      <w:tr>
        <w:trPr>
          <w:trHeight w:val="197"/>
        </w:trPr>
        <w:tc>
          <w:tcPr>
            <w:tcW w:w="692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Cash paid for amounts included in the measurement of</w:t>
            </w:r>
          </w:p>
        </w:tc>
        <w:tc>
          <w:tcPr>
            <w:tcW w:w="1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35"/>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liabilities—operating leases</w:t>
            </w:r>
          </w:p>
        </w:tc>
        <w:tc>
          <w:tcPr>
            <w:tcW w:w="130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197"/>
        </w:trPr>
        <w:tc>
          <w:tcPr>
            <w:tcW w:w="6920" w:type="dxa"/>
            <w:vAlign w:val="bottom"/>
          </w:tcPr>
          <w:p>
            <w:pPr>
              <w:ind w:left="20"/>
              <w:spacing w:after="0" w:line="197" w:lineRule="exact"/>
              <w:rPr>
                <w:sz w:val="20"/>
                <w:szCs w:val="20"/>
                <w:color w:val="auto"/>
              </w:rPr>
            </w:pPr>
            <w:r>
              <w:rPr>
                <w:rFonts w:ascii="Arial" w:cs="Arial" w:eastAsia="Arial" w:hAnsi="Arial"/>
                <w:sz w:val="18"/>
                <w:szCs w:val="18"/>
                <w:color w:val="auto"/>
              </w:rPr>
              <w:t>Weighted-average remaining lease term—operating leases</w:t>
            </w: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5"/>
        </w:trPr>
        <w:tc>
          <w:tcPr>
            <w:tcW w:w="6920" w:type="dxa"/>
            <w:vAlign w:val="bottom"/>
          </w:tcPr>
          <w:p>
            <w:pPr>
              <w:ind w:left="20"/>
              <w:spacing w:after="0"/>
              <w:rPr>
                <w:sz w:val="20"/>
                <w:szCs w:val="20"/>
                <w:color w:val="auto"/>
              </w:rPr>
            </w:pPr>
            <w:r>
              <w:rPr>
                <w:rFonts w:ascii="Arial" w:cs="Arial" w:eastAsia="Arial" w:hAnsi="Arial"/>
                <w:sz w:val="18"/>
                <w:szCs w:val="18"/>
                <w:color w:val="auto"/>
              </w:rPr>
              <w:t>(years)</w:t>
            </w:r>
          </w:p>
        </w:tc>
        <w:tc>
          <w:tcPr>
            <w:tcW w:w="1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8.34</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Weighted-average discount rate—operating leases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10.71 %</w:t>
            </w:r>
          </w:p>
        </w:tc>
        <w:tc>
          <w:tcPr>
            <w:tcW w:w="16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10.71 %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-976630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-959485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4"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The following table reconciles the future minimum commitments to the Company’s operating lease liabilities at March 31, 2024 (in thousands):</w:t>
      </w:r>
    </w:p>
    <w:tbl>
      <w:tblPr>
        <w:tblLayout w:type="fixed"/>
        <w:tblInd w:w="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jc w:val="right"/>
              <w:ind w:right="420"/>
              <w:spacing w:after="0" w:line="185" w:lineRule="exact"/>
              <w:rPr>
                <w:sz w:val="20"/>
                <w:szCs w:val="20"/>
                <w:color w:val="auto"/>
              </w:rPr>
            </w:pPr>
            <w:r>
              <w:rPr>
                <w:rFonts w:ascii="Arial" w:cs="Arial" w:eastAsia="Arial" w:hAnsi="Arial"/>
                <w:sz w:val="18"/>
                <w:szCs w:val="18"/>
                <w:b w:val="1"/>
                <w:bCs w:val="1"/>
                <w:color w:val="auto"/>
              </w:rPr>
              <w:t>Operating lease</w:t>
            </w:r>
          </w:p>
        </w:tc>
      </w:tr>
      <w:tr>
        <w:trPr>
          <w:trHeight w:val="203"/>
        </w:trPr>
        <w:tc>
          <w:tcPr>
            <w:tcW w:w="43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02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payments as of March</w:t>
            </w:r>
          </w:p>
        </w:tc>
      </w:tr>
      <w:tr>
        <w:trPr>
          <w:trHeight w:val="235"/>
        </w:trPr>
        <w:tc>
          <w:tcPr>
            <w:tcW w:w="43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31, 2024</w:t>
            </w:r>
          </w:p>
        </w:tc>
        <w:tc>
          <w:tcPr>
            <w:tcW w:w="100" w:type="dxa"/>
            <w:vAlign w:val="bottom"/>
          </w:tcPr>
          <w:p>
            <w:pPr>
              <w:spacing w:after="0"/>
              <w:rPr>
                <w:sz w:val="20"/>
                <w:szCs w:val="20"/>
                <w:color w:val="auto"/>
              </w:rPr>
            </w:pPr>
          </w:p>
        </w:tc>
      </w:tr>
      <w:tr>
        <w:trPr>
          <w:trHeight w:val="223"/>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5080" w:type="dxa"/>
            <w:vAlign w:val="bottom"/>
            <w:gridSpan w:val="2"/>
            <w:shd w:val="clear" w:color="auto" w:fill="CFF0FC"/>
          </w:tcPr>
          <w:p>
            <w:pPr>
              <w:ind w:left="49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FF0FC"/>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2025</w:t>
            </w:r>
          </w:p>
        </w:tc>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r>
      <w:tr>
        <w:trPr>
          <w:trHeight w:val="229"/>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4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w:t>
            </w:r>
          </w:p>
        </w:tc>
        <w:tc>
          <w:tcPr>
            <w:tcW w:w="100" w:type="dxa"/>
            <w:vAlign w:val="bottom"/>
            <w:shd w:val="clear" w:color="auto" w:fill="CFF0FC"/>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2027</w:t>
            </w:r>
          </w:p>
        </w:tc>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19"/>
                <w:szCs w:val="19"/>
                <w:color w:val="auto"/>
              </w:rPr>
            </w:pPr>
          </w:p>
        </w:tc>
      </w:tr>
      <w:tr>
        <w:trPr>
          <w:trHeight w:val="230"/>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w:t>
            </w:r>
          </w:p>
        </w:tc>
        <w:tc>
          <w:tcPr>
            <w:tcW w:w="4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w:t>
            </w:r>
          </w:p>
        </w:tc>
        <w:tc>
          <w:tcPr>
            <w:tcW w:w="100" w:type="dxa"/>
            <w:vAlign w:val="bottom"/>
            <w:shd w:val="clear" w:color="auto" w:fill="CFF0FC"/>
          </w:tcPr>
          <w:p>
            <w:pPr>
              <w:spacing w:after="0"/>
              <w:rPr>
                <w:sz w:val="19"/>
                <w:szCs w:val="19"/>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13,823</w:t>
            </w:r>
          </w:p>
        </w:tc>
        <w:tc>
          <w:tcPr>
            <w:tcW w:w="100" w:type="dxa"/>
            <w:vAlign w:val="bottom"/>
          </w:tcPr>
          <w:p>
            <w:pPr>
              <w:spacing w:after="0"/>
              <w:rPr>
                <w:sz w:val="19"/>
                <w:szCs w:val="19"/>
                <w:color w:val="auto"/>
              </w:rPr>
            </w:pPr>
          </w:p>
        </w:tc>
      </w:tr>
      <w:tr>
        <w:trPr>
          <w:trHeight w:val="223"/>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4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29,723</w:t>
            </w:r>
          </w:p>
        </w:tc>
        <w:tc>
          <w:tcPr>
            <w:tcW w:w="100" w:type="dxa"/>
            <w:vAlign w:val="bottom"/>
            <w:shd w:val="clear" w:color="auto" w:fill="CFF0FC"/>
          </w:tcPr>
          <w:p>
            <w:pPr>
              <w:spacing w:after="0"/>
              <w:rPr>
                <w:sz w:val="19"/>
                <w:szCs w:val="19"/>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(10,403 )</w:t>
            </w:r>
          </w:p>
        </w:tc>
      </w:tr>
      <w:tr>
        <w:trPr>
          <w:trHeight w:val="223"/>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 at March 31, 2024</w:t>
            </w:r>
          </w:p>
        </w:tc>
        <w:tc>
          <w:tcPr>
            <w:tcW w:w="49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Less: current portion of lease liabilities</w:t>
            </w:r>
          </w:p>
        </w:tc>
        <w:tc>
          <w:tcPr>
            <w:tcW w:w="4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19"/>
                <w:szCs w:val="19"/>
                <w:color w:val="auto"/>
              </w:rPr>
            </w:pPr>
          </w:p>
        </w:tc>
      </w:tr>
      <w:tr>
        <w:trPr>
          <w:trHeight w:val="263"/>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 net of current portion</w:t>
            </w:r>
          </w:p>
        </w:tc>
        <w:tc>
          <w:tcPr>
            <w:tcW w:w="5080" w:type="dxa"/>
            <w:vAlign w:val="bottom"/>
            <w:gridSpan w:val="2"/>
            <w:shd w:val="clear" w:color="auto" w:fill="CFF0FC"/>
          </w:tcPr>
          <w:p>
            <w:pPr>
              <w:ind w:left="49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16,579</w:t>
            </w:r>
          </w:p>
        </w:tc>
        <w:tc>
          <w:tcPr>
            <w:tcW w:w="100" w:type="dxa"/>
            <w:vAlign w:val="bottom"/>
            <w:shd w:val="clear" w:color="auto" w:fill="CFF0FC"/>
          </w:tcPr>
          <w:p>
            <w:pPr>
              <w:spacing w:after="0"/>
              <w:rPr>
                <w:sz w:val="22"/>
                <w:szCs w:val="22"/>
                <w:color w:val="auto"/>
              </w:rPr>
            </w:pPr>
          </w:p>
        </w:tc>
      </w:tr>
      <w:tr>
        <w:trPr>
          <w:trHeight w:val="633"/>
        </w:trPr>
        <w:tc>
          <w:tcPr>
            <w:tcW w:w="4320" w:type="dxa"/>
            <w:vAlign w:val="bottom"/>
            <w:tcBorders>
              <w:top w:val="single" w:sz="8" w:color="CFF0FC"/>
            </w:tcBorders>
          </w:tcPr>
          <w:p>
            <w:pPr>
              <w:spacing w:after="0"/>
              <w:rPr>
                <w:sz w:val="24"/>
                <w:szCs w:val="24"/>
                <w:color w:val="auto"/>
              </w:rPr>
            </w:pPr>
          </w:p>
        </w:tc>
        <w:tc>
          <w:tcPr>
            <w:tcW w:w="4900" w:type="dxa"/>
            <w:vAlign w:val="bottom"/>
            <w:tcBorders>
              <w:top w:val="single" w:sz="8" w:color="CFF0FC"/>
            </w:tcBorders>
          </w:tcPr>
          <w:p>
            <w:pPr>
              <w:jc w:val="right"/>
              <w:ind w:right="3410"/>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32"/>
        </w:trPr>
        <w:tc>
          <w:tcPr>
            <w:tcW w:w="432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the following key agreements that relate to the core technology under development:</w:t>
      </w:r>
    </w:p>
    <w:p>
      <w:pPr>
        <w:spacing w:after="0" w:line="21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Rakuten License and Supply Agreement</w:t>
      </w:r>
    </w:p>
    <w:p>
      <w:pPr>
        <w:spacing w:after="0" w:line="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May 2024, the Company received notice from LI-COR, Inc., or LI-COR, that as of April 16, 2024, LI-COR assigned, and Rakuten Medical, Inc., or Rakuten, assumed, the 2014 Exclusive Agreement and the 2014 Non-Exclusive Agreement (each described below), each originally entered into by and between the Company and LI-COR. The 2014 Exclusive Agreement and 2014 Non-Exclusive Agreement were not otherwise modified by this assignment and assumption and remain in effect.</w:t>
      </w:r>
    </w:p>
    <w:p>
      <w:pPr>
        <w:spacing w:after="0" w:line="160"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2014 Exclusive Agreement</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January 2014, the Company entered into an Exclusive License and Supply Agreement, or the 2014 Exclusive Agreement, with LI-COR for the license of IRDye 700DC and related licensed patent (now expired) for the treatment and diagnosis of ocular cancers in humans, as amended in January 2016, July 2017, April 2018 and April 2019. The 2014 Exclusive Agreement required a one-time upfront license issue fee of $0.1 million and aggregate milestone payments of up to $0.2 million upon certain regulatory and development milestones. The Company is also required to pay Rakuten low-single digit royalties on net sales. The term of the 2014 Exclusive Agreement expires on a country-by-country basis, until the longer of (i) ten years from the first commercial sale of a licensed product in such country and (ii) the last to expire valid claim in such country.</w:t>
      </w:r>
    </w:p>
    <w:p>
      <w:pPr>
        <w:spacing w:after="0" w:line="3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recognized no expenses related to this agreement and related amendments for the three months ended March 31, 2024 and 2023, respectively.</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2014 Non-Exclusive Agreement</w:t>
      </w:r>
    </w:p>
    <w:p>
      <w:pPr>
        <w:spacing w:after="0" w:line="7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December 2014, the Company entered into a Non-Exclusive License Agreement, or the 2014 Non-Exclusive Agreement, with LI-COR for the supply of IRDye 700DX to the Company for the treatment and diagnosis of non-ocular solid tumor cancers in humans. Under the 2014 Non-Exclusive Agreement, the Company paid a license issue fee of $0.03 million on the effective date. The Company must also pay Rakuten a non-refundable, non-creditable fee of $0.03 million per each licensed product upon pre-IND designation, as defined of such licensed product, aggregate milestone payments of up to $0.3 million upon certain regulatory and development milestones; and during the term, the Company must pay Rakuten a low-single digit percentage royalty on net sales. Rakuten receives 10% of all sublicensee income within 30 days of the Company’s receipt from the sublicensee. The 2014 Non-Exclusive Agreement also required the Company to make certain payments upon the achievement of specified development and commercial milestones of up to $0.4 million in aggregate. During the three months ended March 31, 2024 and 2023, the Company recognized no milestones related to this agreement.</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Life Technologies Corporation License Agreements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December 2014, the Company entered into a non-exclusive, perpetual license agreement with Life Technologies Corporation, or the Life Technologies, which allows for five licensed products. Under this agreement the Company is required to pay an initial license fee of $0.1 million for each product. An annual development fee of $0.1 million is due within a year from payment of the initial license fee and due annually or earlier of (i) payment of a commercialization fee or (ii) all development work is terminated. The commercialization fee is a one-time, non-refundable, non-creditable fee of $0.3 million due upon receipt of approval of a licensed product. In the event of a change of control, there will be a change of control fee of $0.2 million.</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January 2022, the Company entered into the First Amendment to the non-exclusive, perpetual license agreement with Life Technologies for use of the license in an additional indication. The cost of this amendment was a one-time fee of $0.05 million. During the three months ended March 31, 2024 and 2023, the Company recognized $0.02 million of expenses related to this agreement, respectively.</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Effective in September 2022, the Company entered into a new non-exclusive, perpetual license agreement with Life Technologies for licensed products. Under this agreement, the Company is required to pay an initial license fee of $0.4 million for the first licensed product and $0.5 million for each additional licensed product. In addition, the agreement allows the Company the right to sublicense which would lead to a $0.2 million payment for each sublicense per licensed product and a $0.03 million payment for use of the cell line document package. In the event of a change of control, there will be a change of control fee of $0.5 million. During the three months ended March 31, 2024 and 2023, the Company recognized no expenses related to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7" w:name="page18"/>
    <w:bookmarkEnd w:id="17"/>
    <w:p>
      <w:pPr>
        <w:ind w:left="1020"/>
        <w:spacing w:after="0"/>
        <w:rPr>
          <w:sz w:val="20"/>
          <w:szCs w:val="20"/>
          <w:color w:val="auto"/>
        </w:rPr>
      </w:pPr>
      <w:r>
        <w:rPr>
          <w:rFonts w:ascii="Arial" w:cs="Arial" w:eastAsia="Arial" w:hAnsi="Arial"/>
          <w:sz w:val="18"/>
          <w:szCs w:val="18"/>
          <w:i w:val="1"/>
          <w:iCs w:val="1"/>
          <w:color w:val="auto"/>
        </w:rPr>
        <w:t>National Institute of Health (NIH)-Collaboration Research and Development Agreement</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July 2011, the Company entered into a Collaboration Research and Development Agreement, or CRADA, with Dr. John Schiller at the NIH, for a period of two years with the rights to an exclusive license to all technology generated within the collaboration. Under this agreement, the Company is required to make annual payments of $0.03 million to fund the research activities, the first payment of which was paid within 30 days of the effective date. Subsequent payments are due within 30 days of the anniversary of the effective date. This agreement was first amended in 2012, 2013, 2014, 2015, 2016, 2018 and in September of 2020. During the three months ended March 31, 2024 and 2023, the Company paid no research collaboration fees related to this agreement.</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 seventh amendment was made in October 2020, requiring payment of $0.04 million within 30 days of October 1, 2020, and another $0.03 million within 30 days of the 10th anniversary of the CRADA, which was paid in July 2021. This seventh amendment extended the term of the CRADA to September 30, 2022. The Company recognized no milestones related to this agreement and related amendments for the three months ended March 31, 2024 and 2023.</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An eighth amendment was effective in September 2022, requiring payment of $0.04 million within 30 days of November 1, 2022, and payment of another $0.03 million within 30 days of the 12th anniversary of the CRADA, which was in August 2023. This eighth amendment extended the term of the CRADA to September 30, 2024. During the three months ended March 31, 2024 and 2023, the Company recognized no expenses related to this agreement.</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(NIH)-Exclusive Patent License Agreement</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September 2013, the Company entered into an exclusive patent license agreement, or the NIH Exclusive License Agreement, with the NIH, that required the Company to pay a license issue royalty of $0.1 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 million in aggregate and sales milestone payments up to $0.6 million in the aggregate. The Company is also required to pay the NIH a mid-single to low teen-digit percentage of any sublicensing revenue the Company receives. Additionally, the Company’s payment obligations to the NIH are subject to an annual minimum royalty payment of low five figures. The Company recognized no patent licensing fees for the three months ended March 31, 2024 and 2023, respectively.</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2015, 2018 and 2019, the Company amended its exclusive patent license to include updates on the status of the commercial development and update/expand the list of licensed patents and patent applications. Each of those amendments required a $0.03 million payment that the Company paid.</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Inserm-Transfert License Agreement</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November 2009, the Company entered into an exclusive, royalty-bearing patent license agreement with Inserm-Transfert of France. The agreement expires on a country by country basis based on the last to expire any patent encompassed within the scope of the patent rights or 10 years from the date of the first commercial sales by the Company, whichever is later. The IND filing milestone of €0.01 million was accrued in 2016 and paid in 2017 by the Company. The milestones for the successful Phase I, II and III clinical trials are based on receiving a final report and achieving the primary endpoints defined in that trial, and those milestones have not been achieved as of March 31, 2024. Upon the sublicense by the Company of a product for which royalties are payable under the agreement, low- to mid-single-digit royalty payments would be due by the Company. The non-milestone payments in this agreement are subject to an anti-stacking clause. The Company did not incur any expense in the three months ended March 31, 2024 and 2023.</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Clearside License Agreement</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July 2019, the Company entered into an exclusive license agreement, or the Clearside License Agreement, with Clearside Biomedical, Inc., or Clearside, for the license of Clearside’s Suprachoroidal Microneedle Technology for use in the treatment of indeterminate lesions and choroidal tumors. Upon execution of the Clearside License Agreement, the Company paid Clearside an upfront payment of $0.1 million which was expensed as incurred. Under the Clearside License Agreement, the Company is required to pay milestones up to $21.0 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8" w:name="page19"/>
    <w:bookmarkEnd w:id="18"/>
    <w:p>
      <w:pPr>
        <w:jc w:val="both"/>
        <w:ind w:right="20" w:firstLine="509"/>
        <w:spacing w:after="0" w:line="271" w:lineRule="auto"/>
        <w:rPr>
          <w:sz w:val="20"/>
          <w:szCs w:val="20"/>
          <w:color w:val="auto"/>
        </w:rPr>
      </w:pPr>
      <w:r>
        <w:rPr>
          <w:rFonts w:ascii="Arial" w:cs="Arial" w:eastAsia="Arial" w:hAnsi="Arial"/>
          <w:sz w:val="18"/>
          <w:szCs w:val="18"/>
          <w:color w:val="auto"/>
        </w:rPr>
        <w:t>The Clearside License Agreement expires on a country-by-country basis upon the later of the last to expire patent or ten years from the date of the first commercial sale of a product.</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recognized no expense related to this agreement and related amendments for the three months ended March 31, 2024 and 2023.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6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Basic net loss per share is calculated by dividing the net loss per common share by the weighted average number of shares of common stock outstanding during the period, without consideration for potentially dilutive securities. Diluted net loss per share is the same as basic net loss per share for the periods presented since the effects of potentially dilutive securities are antidilutive given the net loss of the Company.</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has calculated basic and diluted net loss per share for the three months ended March 31, 2024 and 2023 as follows (in thousands, except share and per share data):</w:t>
      </w:r>
    </w:p>
    <w:p>
      <w:pPr>
        <w:jc w:val="center"/>
        <w:ind w:left="7220"/>
        <w:spacing w:after="0" w:line="234" w:lineRule="auto"/>
        <w:rPr>
          <w:sz w:val="20"/>
          <w:szCs w:val="20"/>
          <w:color w:val="auto"/>
        </w:rPr>
      </w:pPr>
      <w:r>
        <w:rPr>
          <w:rFonts w:ascii="Arial" w:cs="Arial" w:eastAsia="Arial" w:hAnsi="Arial"/>
          <w:sz w:val="18"/>
          <w:szCs w:val="18"/>
          <w:b w:val="1"/>
          <w:bCs w:val="1"/>
          <w:color w:val="auto"/>
        </w:rPr>
        <w:t>Three Months Ended</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3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(19,706 )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(17,466 )</w:t>
            </w:r>
          </w:p>
        </w:tc>
      </w:tr>
      <w:tr>
        <w:trPr>
          <w:trHeight w:val="20"/>
        </w:trPr>
        <w:tc>
          <w:tcPr>
            <w:tcW w:w="7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Weighted-average common stock outstanding—basic and diluted</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49,451,943</w:t>
            </w:r>
          </w:p>
        </w:tc>
        <w:tc>
          <w:tcPr>
            <w:tcW w:w="3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37,784,282</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common share—basic and diluted</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(0.40 )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(0.46 )</w:t>
            </w:r>
          </w:p>
        </w:tc>
      </w:tr>
      <w:tr>
        <w:trPr>
          <w:trHeight w:val="20"/>
        </w:trPr>
        <w:tc>
          <w:tcPr>
            <w:tcW w:w="73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-25400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following potentially dilutive securities were excluded from the computation of the diluted net loss per share for the periods presented because their effect would have been antidilutive:</w:t>
      </w:r>
    </w:p>
    <w:p>
      <w:pPr>
        <w:jc w:val="center"/>
        <w:ind w:left="7000"/>
        <w:spacing w:after="0" w:line="234" w:lineRule="auto"/>
        <w:rPr>
          <w:sz w:val="20"/>
          <w:szCs w:val="20"/>
          <w:color w:val="auto"/>
        </w:rPr>
      </w:pPr>
      <w:r>
        <w:rPr>
          <w:rFonts w:ascii="Arial" w:cs="Arial" w:eastAsia="Arial" w:hAnsi="Arial"/>
          <w:sz w:val="18"/>
          <w:szCs w:val="18"/>
          <w:b w:val="1"/>
          <w:bCs w:val="1"/>
          <w:color w:val="auto"/>
        </w:rPr>
        <w:t>Three Months Ended</w:t>
      </w:r>
    </w:p>
    <w:p>
      <w:pPr>
        <w:spacing w:after="0" w:line="1"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4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5,956,888</w:t>
            </w:r>
          </w:p>
        </w:tc>
        <w:tc>
          <w:tcPr>
            <w:tcW w:w="2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4,891,746</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Restricted stock units that vest into common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1,690,542</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566,064</w:t>
            </w:r>
          </w:p>
        </w:tc>
        <w:tc>
          <w:tcPr>
            <w:tcW w:w="100" w:type="dxa"/>
            <w:vAlign w:val="bottom"/>
          </w:tcPr>
          <w:p>
            <w:pPr>
              <w:spacing w:after="0"/>
              <w:rPr>
                <w:sz w:val="19"/>
                <w:szCs w:val="19"/>
                <w:color w:val="auto"/>
              </w:rPr>
            </w:pPr>
          </w:p>
        </w:tc>
      </w:tr>
      <w:tr>
        <w:trPr>
          <w:trHeight w:val="230"/>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 to purchase common stock</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24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 potential dilutive shares</w:t>
            </w:r>
          </w:p>
        </w:tc>
        <w:tc>
          <w:tcPr>
            <w:tcW w:w="1880" w:type="dxa"/>
            <w:vAlign w:val="bottom"/>
          </w:tcPr>
          <w:p>
            <w:pPr>
              <w:jc w:val="right"/>
              <w:spacing w:after="0"/>
              <w:rPr>
                <w:sz w:val="20"/>
                <w:szCs w:val="20"/>
                <w:color w:val="auto"/>
              </w:rPr>
            </w:pPr>
            <w:r>
              <w:rPr>
                <w:rFonts w:ascii="Arial" w:cs="Arial" w:eastAsia="Arial" w:hAnsi="Arial"/>
                <w:sz w:val="18"/>
                <w:szCs w:val="18"/>
                <w:color w:val="auto"/>
              </w:rPr>
              <w:t>7,660,116</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5,470,496</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-179070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7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For the three months ended March 31, 2024 and 2023, the Company recorded a tax provision of $0.05 million and $0 million, resulting in an effective tax rate of 0.1% and 0.0%, respectively. The income tax provision for the three months ended March 31, 2024 is attributable to state income taxes. The difference in the statutory rate and the effective tax rate is primarily the result of the valuation allowance recorded against the Company’s net deferred tax assets.</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Due to the Company’s history of losses since inception, there is not enough positive evidence at this time to support a position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March 31, 2024, the Company had no unrecognized income tax benefits that would reduce the Company’s effective tax rate if recognized.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6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Subsequent events have been evaluated through the date of filing of the unaudited condensed consolidated financial statements. The Company has identified no subsequent events that require disclosure except as noted below.</w:t>
      </w:r>
    </w:p>
    <w:p>
      <w:pPr>
        <w:spacing w:after="0" w:line="154" w:lineRule="exact"/>
        <w:rPr>
          <w:sz w:val="20"/>
          <w:szCs w:val="20"/>
          <w:color w:val="auto"/>
        </w:rPr>
      </w:pPr>
    </w:p>
    <w:p>
      <w:pPr>
        <w:jc w:val="both"/>
        <w:ind w:firstLine="560"/>
        <w:spacing w:after="0" w:line="271" w:lineRule="auto"/>
        <w:rPr>
          <w:sz w:val="20"/>
          <w:szCs w:val="20"/>
          <w:color w:val="auto"/>
        </w:rPr>
      </w:pPr>
      <w:r>
        <w:rPr>
          <w:rFonts w:ascii="Arial" w:cs="Arial" w:eastAsia="Arial" w:hAnsi="Arial"/>
          <w:sz w:val="18"/>
          <w:szCs w:val="18"/>
          <w:color w:val="auto"/>
        </w:rPr>
        <w:t>In May 2024, the Company received notice that LI-COR assigned and Rakuten assumed the 2014 Exclusive Agreement and the 2014 Non-Exclusive Agreement, as further described in Note 12 of these unaudited condensed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related notes included elsewhere in this Quarterly Report.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titled “Special Note Regarding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 clinical-stage biotechnology company developing precision immunotherapies to treat solid tumors designed to preserve the function of the organ with cancer. Our proprietary platform is designed to enable the targeting of a broad range of solid tumors using Virus-Like Particles, or VLPs, that can be conjugated with drugs or loaded with nucleic acids to create Virus-Like Drug Conjugates, or VDCs. VDCs are a novel class of drugs with a dual mechanism of action that promote cancer cell death by both the delivery of the cytotoxic payload to generate acute necrosis and activation of a secondary immune mediated response. Bel-sar, our lead VDC candidate, consists of a human papilloma virus, or HPV, derived VLP conjugated to hundreds of infrared laser-activated molecules. The VDC is designed in a way that prevents the conjugation from interfering with tumor binding enabling its selectivity to tumor cells but not to normal cells. Laser activation of bel-sar is designed to result in precise tumor cell killing with minimal damage to surrounding healthy tissues.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are evaluating the safety and efficacy of bel-sar as a potential vision-sparing therapy in an ongoing global Phase 3 CoMpass trial for the first-line treatment of adult patients with small choroidal melanoma and indeterminate lesions, or early-stage choroidal melanoma. Bel-sar is also being explored for choroidal metastases and cancers of the ocular surface and is in Phase 1 clinical development in bladder cancer. While our initial focus is in ocular and urologic oncology, we envision the potential for development of bel-sar in additional therapeutic areas.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 Choroidal Melanoma and Indeterminate Lesions</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developing bel-sar as a potential first line vision-sparing treatment option for early intervention in small choroidal melanoma and indeterminate lesions, avoiding the need for radiotherapy and reducing the risk for metastasis for these patients. There are no U.S Food and Drug Administration, or FDA, -approved therapies for primary choroidal melanoma. There are three common treatments routinely used as standard of care, or SoC, for local control of choroidal melanoma: plaque brachytherapy; proton beam irradiation; and enucleation, or removal of the affected eye, each of which represent invasive surgical procedures and are associated with significant vision loss. We have received Orphan Drug Designation, or ODD, for the treatment of choroidal (also referred to as uveal) melanoma from the FDA and the European Medicines Agency, or EMA, and Fast Track designation from the FDA for the treatment of choroidal melanoma.</w:t>
      </w:r>
    </w:p>
    <w:p>
      <w:pPr>
        <w:spacing w:after="0" w:line="18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ongoing Phase 3 CoMpass trial in adult patients with small choroidal melanoma and indeterminate lesions is designed as a superiority trial comparing bel-sar versus sham delivered via suprachoroidal, or SC, injection followed by laser light activation. The trial is a global, randomized, multi-center, masked study. It is intended to enroll approximately 100 patients randomized 2:1:2 to receive the high dose regimen of bel-sar, low dose regimen of bel-sar or a sham control. The primary endpoint is time to tumor progression, and the first key secondary endpoint is a composite time to event analysis. Endpoints will only compare the bel-sar high dose regimen to sham when the last patient completes 15 months of follow up. The trial has a power of &gt;90% to meet the primary endpoint. (ClinicalTrials.gov ID: NCT06007690)</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have received written agreement from the FDA under a Special Protocol Assessment, or SPA, for the design and planned analysis of the global Phase 3 CoMpass trial. Since there is no drug approved for the treatment of primary choroidal melanoma, we have aligned with FDA that a statistically significant difference on the primary endpoint will provide support from a regulatory perspective to meet the requirement of clinical effectiveness. Based on the SPA, the FDA has agreed that the design and planned analysis of the study can adequately address objectives in support of a regulatory submission.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jc w:val="both"/>
        <w:ind w:firstLine="509"/>
        <w:spacing w:after="0" w:line="238" w:lineRule="auto"/>
        <w:rPr>
          <w:sz w:val="20"/>
          <w:szCs w:val="20"/>
          <w:color w:val="auto"/>
        </w:rPr>
      </w:pPr>
      <w:r>
        <w:rPr>
          <w:rFonts w:ascii="Arial" w:cs="Arial" w:eastAsia="Arial" w:hAnsi="Arial"/>
          <w:sz w:val="18"/>
          <w:szCs w:val="18"/>
          <w:color w:val="auto"/>
        </w:rPr>
        <w:t>Bel-sar has shown clinical benefit and has been generally well-tolerated in clinical trials to date. Interim 12-month results from a Phase 2 trial (ClinicalTrials.gov ID: NCT04417530) that evaluated 22 patients with small choroidal melanoma and indeterminate lesions in an open label dose escalation study of bel-sar delivered via SC injection followed by laser light activation was presented at the 2023 American Academy of Ophthalmology. The results demonstrated that patients who received three cycles of bel -sar therapy showed a local complete response with a tumor control rate of 80% (8/10) and a visual acuity preservation rate of 90% (9/10). The majority of patients were at high-risk for vision loss with tumors close to the fovea or optic disk. For 80% of patients that showed a local complete response, data showed a statistically significant reduction in tumor growth rate (-0.382 mm/yr, p = &lt;0.0001) compared to each patient’s documented growth rate at study entry. The overall tolerability profile of bel-sar was favorable, with no dose-limiting toxicities, treatment-related serious adverse events or significant adverse events reported as of August 3, 2023. The interim Phase 2 results demonstrated an improved risk-benefit profile over intravitreal therapy, or IVT, administration and confirmed the SC delivery route of administration for the Phase 3 program. Final Phase 2 data from this study is expected to be presented by the end of 2024.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Choroidal Metastases</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Choroidal metastasis, where different types of primary cancers from elsewhere in the body (e.g., breast and lung cancer) metastasize to the eye, is an even more common cause of intraocular malignancy than primary choroidal melanoma. There is a high unmet need in these patients, as current therapy consists primarily of external radiotherapy, which comes with a very high treatment burden and ocular morbidity. As such, an easier-to-apply treatment that preserves vision is needed. These patients are treated by the same ocular oncologists that treat choroidal melanoma, and SC administration of bel-sar followed by laser light activation will be the mode of administration studied in this indication. We have an open Investigational New Drug application, or IND, in the United States and have received Fast Track designation from the FDA’s Division of Oncology. We plan to initiate a Phase 2 clinical trial in choroidal metastases in 2024, with initial data expected by the end of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Cancers of the Ocular Surface</w:t>
      </w:r>
    </w:p>
    <w:p>
      <w:pPr>
        <w:spacing w:after="0" w:line="7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212121"/>
        </w:rPr>
        <w:t xml:space="preserve">We are also evaluating the development of bel-sar in other eye cancer indications like cancers of the ocular surface. Ocular surface tumors are tumors that start in the conjunctiva and are treated by the same ocular oncologists that treat choroidal melanoma and choroidal metastasis. These tumors are life threatening and are diagnosed early, when they are not yet metastatic, not unlike choroidal melanoma. Ocular surface tumors are known to be immunologically ‘hot’, that is, susceptible to control through normal immune mechanisms and immune-modulating therapies. This could allow us to benefit from the immune activation that is part of our mechanism of action, as we have demonstrated with bladder tumors. </w:t>
      </w:r>
      <w:r>
        <w:rPr>
          <w:rFonts w:ascii="Arial" w:cs="Arial" w:eastAsia="Arial" w:hAnsi="Arial"/>
          <w:sz w:val="18"/>
          <w:szCs w:val="18"/>
          <w:color w:val="242424"/>
        </w:rPr>
        <w:t>There are currently no drugs approved for cancers of the ocular surface, and patients are treated with</w:t>
      </w:r>
      <w:r>
        <w:rPr>
          <w:rFonts w:ascii="Arial" w:cs="Arial" w:eastAsia="Arial" w:hAnsi="Arial"/>
          <w:sz w:val="18"/>
          <w:szCs w:val="18"/>
          <w:color w:val="212121"/>
        </w:rPr>
        <w:t xml:space="preserve"> </w:t>
      </w:r>
      <w:r>
        <w:rPr>
          <w:rFonts w:ascii="Arial" w:cs="Arial" w:eastAsia="Arial" w:hAnsi="Arial"/>
          <w:sz w:val="18"/>
          <w:szCs w:val="18"/>
          <w:color w:val="242424"/>
        </w:rPr>
        <w:t>surgery and off-label chemotherapy.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Bladder Cancer</w:t>
      </w:r>
    </w:p>
    <w:p>
      <w:pPr>
        <w:spacing w:after="0" w:line="6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developing bel-sar for bladder cancer and have an ongoing Phase 1 clinical trial for the treatment of Non-Muscle Invasive Bladder Cancer, or NMIBC, and Muscle Invasive Bladder Cancer, or MIBC. Bladder cancer is the most common malignancy involving the urinary system and is the eighth most common cause of cancer death in men in the United States. While metastatic bladder cancer has several approved therapies, there are limited options for the treatment of intermediate and high-risk NMIBC.</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have generated nonclinical in vivo data that supports that bel-sar’s dual mechanism of action can lead to cytotoxicity and long-term antitumor immunity which may further reduce the risk of recurrence and metastases. We have also shown that bel-sar is highly synergistic with checkpoint inhibitors that are already approved for a subset of patients with NMIBC. We believe this immune response can play an important role in bladder cancer, given that bladder cancer has a well-documented response to immune activation.</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received Fast Track designation from the FDA for bel-sar for the treatment of NMIBC in June 2022, and in September 2023 we updated the protocol to include patients with MIBC. The ongoing Phase 1 multi-center, open-label clinical trial is expected to enroll approximately 21 adult patients and will evaluate the feasibility and safety of local administration, and early tumor response by histopathology. (ClinicalTrials.gov ID: NCT05483868) The trial has completed enrollment of the bel-sar only cohort (bel-sar injection without light activation). Protocol mandated safety review found no safety issues and the study has proceeded to the bel-sar injection plus light activation cohorts in patients with either NMIBC or MIBC. Preliminary data from the first patient in the light activated cohort of the trial, utilizing a single dose of bel-sar with light activation, produced a clinical complete response demonstrated by absence of cancer cells on histopathology with evidence of extensive necrosis and immune activation. Early Phase 1 data from this trial is expected in mid-2024.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jc w:val="both"/>
        <w:ind w:firstLine="509"/>
        <w:spacing w:after="0" w:line="234" w:lineRule="auto"/>
        <w:rPr>
          <w:sz w:val="20"/>
          <w:szCs w:val="20"/>
          <w:color w:val="auto"/>
        </w:rPr>
      </w:pPr>
      <w:r>
        <w:rPr>
          <w:rFonts w:ascii="Arial" w:cs="Arial" w:eastAsia="Arial" w:hAnsi="Arial"/>
          <w:sz w:val="18"/>
          <w:szCs w:val="18"/>
          <w:color w:val="auto"/>
        </w:rPr>
        <w:t>We were incorporated as a Delaware corporation in 2009 and our headquarters are located in Boston, Massachusetts. Since our inception, we have focused our efforts on identifying and developing potential product candidates, conducting preclinical studies and clinical trials, organizing and staffing our company, business planning, establishing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March 31, 2024, we have raised an aggregate of approximately $418.6 million of gross proceeds primarily from private placements of our equity and convertible preferred stock as well as through the issuance of our common stock. On November 9, 2023, we issued and sold 11,000,000 shares of common stock at a price to the public of $9.00 per share for aggregate gross proceeds of $99.0 million, or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$92.5 million, or the 2022 Follow-On Offering. We received approximately $86.7 million in net proceeds from the 2022 Follow-On Offering after deducting underwriting discounts, commissions and offering expenses. On November 1, 2022, we filed a shelf registration statement on Form S-3, or the 2022 Shelf, with the Securities and Exchange Commission, or the SEC, in relation to the registration of up to an aggregate offering price of $250.0 million of common stock, preferred stock, debt securities, warrants and units or any combination thereof. We also simultaneously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to provide for the offering, issuance and sale by us of up to an aggregate of $ 75.0 million of its common stock from time to time in “at-the-market” offerings, or the ATM, under the 2022 Shelf and subject to the limitations thereof. In connection with the 2023 Follow-On Offering, on November 6, 2023, we delivered written notice to Jefferies that we were suspending and terminating the prospectus related to the shares issuable in the ATM pursuant to the terms of the Sales Agreement. Other than the termination of the prospectus, the Sales Agreement remains in full force and effect. As of November 6, 2023, we had issued 993,996 shares of common stock at an average price of $12.50 under the ATM. On March 27, 2024, we filed a new shelf registration statement on Form S-3, or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issued no shares of common stock during the three months ended March 31, 2024 under the ATM.</w:t>
      </w:r>
    </w:p>
    <w:p>
      <w:pPr>
        <w:spacing w:after="0" w:line="19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$19.7 million and $17.5 million for the three months ended March 31, 2024 and 2023, respectively. As of March 31, 2024, we had an accumulated deficit of $307.0 million. In addition, our losses from operations may fluctuate significantly from quarter-to-quarter and year-to-year, depending on the timing of our clinical trials and our expenditures on other research and development activities.</w:t>
      </w:r>
    </w:p>
    <w:p>
      <w:pPr>
        <w:spacing w:after="0" w:line="17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p>
    <w:p>
      <w:pPr>
        <w:spacing w:after="0" w:line="2" w:lineRule="exact"/>
        <w:rPr>
          <w:sz w:val="20"/>
          <w:szCs w:val="20"/>
          <w:color w:val="auto"/>
        </w:rPr>
      </w:pPr>
    </w:p>
    <w:p>
      <w:pPr>
        <w:ind w:left="1160" w:hanging="508"/>
        <w:spacing w:after="0"/>
        <w:tabs>
          <w:tab w:leader="none" w:pos="11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conduct our current and future clinical trials of bel-sar;</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progress the preclinical and clinical development of new indications;</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our manufacturing capability, including developing our contract development and manufacturing relationships;</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develop additional product candidates;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of our current and future product candidates;</w:t>
      </w:r>
    </w:p>
    <w:p>
      <w:pPr>
        <w:spacing w:after="0" w:line="48" w:lineRule="exact"/>
        <w:rPr>
          <w:rFonts w:ascii="Times New Roman" w:cs="Times New Roman" w:eastAsia="Times New Roman" w:hAnsi="Times New Roman"/>
          <w:sz w:val="18"/>
          <w:szCs w:val="18"/>
          <w:color w:val="auto"/>
        </w:rPr>
      </w:pPr>
    </w:p>
    <w:p>
      <w:pPr>
        <w:ind w:left="1160" w:right="20" w:hanging="508"/>
        <w:spacing w:after="0" w:line="257" w:lineRule="auto"/>
        <w:tabs>
          <w:tab w:leader="none" w:pos="11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commercialization efforts;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and protect our intellectual property portfolio; and</w:t>
      </w:r>
    </w:p>
    <w:p>
      <w:pPr>
        <w:spacing w:after="0" w:line="35" w:lineRule="exact"/>
        <w:rPr>
          <w:rFonts w:ascii="Times New Roman" w:cs="Times New Roman" w:eastAsia="Times New Roman" w:hAnsi="Times New Roman"/>
          <w:sz w:val="18"/>
          <w:szCs w:val="18"/>
          <w:color w:val="auto"/>
        </w:rPr>
      </w:pPr>
    </w:p>
    <w:p>
      <w:pPr>
        <w:ind w:left="1160" w:right="20" w:hanging="508"/>
        <w:spacing w:after="0" w:line="270" w:lineRule="auto"/>
        <w:tabs>
          <w:tab w:leader="none" w:pos="11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jc w:val="both"/>
        <w:ind w:firstLine="509"/>
        <w:spacing w:after="0" w:line="242"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 xml:space="preserve">As of March 31, 2024, we had cash and cash equivalents and marketable securities of $202.9 million. We believe that our existing cash and cash equivalents and marketable securities will enable us to fund our operating expenses and capital expenditure requirements into the second half of 2026. We have based this estimate on assumptions that may prove to be wrong, and we could exhaust our available capital resources sooner than we expect.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We may never succeed in obtaining regulatory approval for any of our product candidates.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1" w:lineRule="exact"/>
        <w:rPr>
          <w:sz w:val="20"/>
          <w:szCs w:val="20"/>
          <w:color w:val="auto"/>
        </w:rPr>
      </w:pPr>
    </w:p>
    <w:p>
      <w:pPr>
        <w:jc w:val="both"/>
        <w:ind w:right="20" w:firstLine="509"/>
        <w:spacing w:after="0" w:line="258"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bel-sar program, and include:</w:t>
      </w:r>
    </w:p>
    <w:p>
      <w:pPr>
        <w:ind w:left="1160" w:right="20" w:hanging="508"/>
        <w:spacing w:after="0" w:line="257" w:lineRule="auto"/>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including salaries, benefits and stock-based compensation expense for employees engaged in research and development functions;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fees paid to consultants for services directly related to our product development and regulatory efforts;</w:t>
      </w:r>
    </w:p>
    <w:p>
      <w:pPr>
        <w:spacing w:after="0" w:line="35"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expenses associated with conducting preclinical studies and clinical trials performed by ourselves, outside vendors or academic collaborators;</w:t>
      </w:r>
    </w:p>
    <w:p>
      <w:pPr>
        <w:spacing w:after="0" w:line="1"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expenses incurred under agreements with contract research organizations, or CROs, as well as consultants that conduct and provide supplies for our preclinical studies and clinical trials;</w:t>
      </w:r>
    </w:p>
    <w:p>
      <w:pPr>
        <w:spacing w:after="0" w:line="1" w:lineRule="exact"/>
        <w:rPr>
          <w:rFonts w:ascii="Times New Roman" w:cs="Times New Roman" w:eastAsia="Times New Roman" w:hAnsi="Times New Roman"/>
          <w:sz w:val="18"/>
          <w:szCs w:val="18"/>
          <w:color w:val="auto"/>
        </w:rPr>
      </w:pPr>
    </w:p>
    <w:p>
      <w:pPr>
        <w:jc w:val="both"/>
        <w:ind w:left="1160" w:hanging="508"/>
        <w:spacing w:after="0" w:line="248" w:lineRule="auto"/>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bel-sar, including the potential cost of CDMOs that manufacture product for use in our preclinical studies and clinical trials and perform analytical testing, scale-up and other services in connection with our development activities;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preclinical activities and clinical development activities;</w:t>
      </w:r>
    </w:p>
    <w:p>
      <w:pPr>
        <w:spacing w:after="0" w:line="39"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our intellectual property portfolio;</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compliance with regulatory requirements; and</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allocated expenses for utilities and other facility-related costs.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both"/>
        <w:ind w:firstLine="509"/>
        <w:spacing w:after="0"/>
        <w:rPr>
          <w:sz w:val="20"/>
          <w:szCs w:val="20"/>
          <w:color w:val="auto"/>
        </w:rPr>
      </w:pPr>
      <w:r>
        <w:rPr>
          <w:rFonts w:ascii="Arial" w:cs="Arial" w:eastAsia="Arial" w:hAnsi="Arial"/>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bel-sar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bel-sar program.</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Research and development activities are central to our business. We expect that our research and development expenses will increase for the foreseeable future as we continue clinical development for bel-sar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that our general and administrative expenses will increase in the near-term as we continue to build a team to support our administrative, accounting and finance, communications, legal and business development efforts. We expect to incur increased expenses associated with our growth, including costs of accounting, audit, legal, regulatory and tax compliance services; director and officer insurance costs; and investor and public relations costs.</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w:t>
      </w:r>
    </w:p>
    <w:p>
      <w:pPr>
        <w:spacing w:after="0" w:line="75"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Our other income (expense) consists of accretion, interest income and realized losses on marketable securities, interest income on our invested cash balances, and gains and losses on disposals of equipment.</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Income Tax Benefit (Provision), Net</w:t>
      </w:r>
    </w:p>
    <w:p>
      <w:pPr>
        <w:spacing w:after="0" w:line="6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For the year ending December 31, 2023, we recorded a $0.1 million tax provision related to the current state income taxes. Since our inception, we have not recorded any U.S. federal benefits for our net operating loss carryforwards or research and development tax credits, due to the uncertainty of realizing a benefit from those items. As of December 31, 2023, we had federal gross operating loss carryforwards of approximately $174.4 million which may be available to offset future taxable income, of which $44.2 million begin to expire in 2029 and go through 2037 and $ 130.2 million do not expire. The state gross operating loss carryforwards of $148.5 million, which may be available to offset future taxable income and which would begin to expire in 2030, except for $0.7 million of state NOLs that do not expire. We had foreign gross operating loss carryforwards of $0.1 million, which may be available to offset future taxable income and which do not expire. As of December 31, 2023, we had federal and state research and experimentation credit carryforwards of $ 8.2 million and $2.3 million, respectively, which may be available to offset future income tax liabilities and which would begin to expire in 2029 and 2028, respectively. Due to the degree of uncertainty related to the ultimate use of the deferred tax assets, we have fully reserved these tax benefits, as the determination of the realization of the deferred tax benefits was not determined to be more likely than not.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March 31, 2024 and 2023</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2024 and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5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w w:val="76"/>
              </w:rPr>
              <w:t>thousands)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17,052</w:t>
            </w:r>
          </w:p>
        </w:tc>
        <w:tc>
          <w:tcPr>
            <w:tcW w:w="2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14,405</w:t>
            </w:r>
          </w:p>
        </w:tc>
        <w:tc>
          <w:tcPr>
            <w:tcW w:w="2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5,261</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5,039</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22,313</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(22,313 )</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(19,444 )</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(2,869 )</w:t>
            </w:r>
          </w:p>
        </w:tc>
        <w:tc>
          <w:tcPr>
            <w:tcW w:w="0" w:type="dxa"/>
            <w:vAlign w:val="bottom"/>
          </w:tcPr>
          <w:p>
            <w:pPr>
              <w:spacing w:after="0"/>
              <w:rPr>
                <w:sz w:val="1"/>
                <w:szCs w:val="1"/>
                <w:color w:val="auto"/>
              </w:rPr>
            </w:pPr>
          </w:p>
        </w:tc>
      </w:tr>
      <w:tr>
        <w:trPr>
          <w:trHeight w:val="223"/>
        </w:trPr>
        <w:tc>
          <w:tcPr>
            <w:tcW w:w="68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of discount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(32 )</w:t>
            </w:r>
          </w:p>
        </w:tc>
        <w:tc>
          <w:tcPr>
            <w:tcW w:w="3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(13 )</w:t>
            </w:r>
          </w:p>
        </w:tc>
        <w:tc>
          <w:tcPr>
            <w:tcW w:w="2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20"/>
                <w:szCs w:val="20"/>
                <w:color w:val="auto"/>
              </w:rPr>
            </w:pPr>
          </w:p>
        </w:tc>
        <w:tc>
          <w:tcPr>
            <w:tcW w:w="122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(19,660 )</w:t>
            </w:r>
          </w:p>
        </w:tc>
        <w:tc>
          <w:tcPr>
            <w:tcW w:w="340" w:type="dxa"/>
            <w:vAlign w:val="bottom"/>
          </w:tcPr>
          <w:p>
            <w:pPr>
              <w:spacing w:after="0"/>
              <w:rPr>
                <w:sz w:val="20"/>
                <w:szCs w:val="20"/>
                <w:color w:val="auto"/>
              </w:rPr>
            </w:pPr>
          </w:p>
        </w:tc>
        <w:tc>
          <w:tcPr>
            <w:tcW w:w="11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(17,466 )</w:t>
            </w:r>
          </w:p>
        </w:tc>
        <w:tc>
          <w:tcPr>
            <w:tcW w:w="240" w:type="dxa"/>
            <w:vAlign w:val="bottom"/>
          </w:tcPr>
          <w:p>
            <w:pPr>
              <w:spacing w:after="0"/>
              <w:rPr>
                <w:sz w:val="20"/>
                <w:szCs w:val="20"/>
                <w:color w:val="auto"/>
              </w:rPr>
            </w:pPr>
          </w:p>
        </w:tc>
        <w:tc>
          <w:tcPr>
            <w:tcW w:w="12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(2,194 )</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 benefit (provision), net</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(46 )</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
        </w:trPr>
        <w:tc>
          <w:tcPr>
            <w:tcW w:w="6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(19,706 )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(17,466 )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(2,148 )</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-1405255</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-1405255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-1096645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-1096645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-496570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-496570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-179070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-179070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March 31, 2024 and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(in</w:t>
            </w:r>
          </w:p>
        </w:tc>
        <w:tc>
          <w:tcPr>
            <w:tcW w:w="15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w w:val="74"/>
              </w:rPr>
              <w:t>thousands)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Preclinical</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6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30"/>
        </w:trPr>
        <w:tc>
          <w:tcPr>
            <w:tcW w:w="6660" w:type="dxa"/>
            <w:vAlign w:val="bottom"/>
          </w:tcPr>
          <w:p>
            <w:pPr>
              <w:ind w:left="280"/>
              <w:spacing w:after="0"/>
              <w:rPr>
                <w:sz w:val="20"/>
                <w:szCs w:val="20"/>
                <w:color w:val="auto"/>
              </w:rPr>
            </w:pPr>
            <w:r>
              <w:rPr>
                <w:rFonts w:ascii="Arial" w:cs="Arial" w:eastAsia="Arial" w:hAnsi="Arial"/>
                <w:sz w:val="18"/>
                <w:szCs w:val="18"/>
                <w:color w:val="auto"/>
              </w:rPr>
              <w:t>Clinical trials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Manufacturing development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(987 )</w:t>
            </w:r>
          </w:p>
        </w:tc>
        <w:tc>
          <w:tcPr>
            <w:tcW w:w="0" w:type="dxa"/>
            <w:vAlign w:val="bottom"/>
          </w:tcPr>
          <w:p>
            <w:pPr>
              <w:spacing w:after="0"/>
              <w:rPr>
                <w:sz w:val="1"/>
                <w:szCs w:val="1"/>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Personnel/overhead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10,710</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7,294</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17,052</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14,405</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-25400</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Research and development expenses increased to $17.1 million for the three months ended March 31, 2024 from $14.4 million for the three months ended March 31, 2023, primarily due to ongoing clinical costs related to the progression of our Phase 2 study of bel-sar in early-stage choroidal melanoma and CRO costs associated with the advancement of our Phase 3 trial of bel-sar in early-stage choroidal melanoma, and higher personnel expenses related to growth of our company.</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General and administrative expenses increased to $5.3 million for the three months ended March 31, 2024 from $5.0 million for the three months ended March 31, 2023, primarily driven by personnel expenses, as well as increases in general corporate expenses related to growth of our company.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To date we have funded our operations primarily through the sale of convertible preferred stock and warrants as well as common stock. Through March 31, 2024, we have raised an aggregate of approximately $418.6 million of gross proceeds primarily from private placements of our equity and convertible preferred stock and warrants, as well as through the issuance of our common stock. On November 9, 2023, we issued and sold 11,000,000 shares of common stock at a price to the public of $9.00 per share for aggregate gross proceeds of $99.0 million in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$ 12.00 per share for aggregate gross proceeds of $ 92.5 million in the 2022 Follow-On Offering. We received approximately $86.7 million in net proceeds from the 2022 Follow-On Offering after deducting underwriting discounts, commissions and offering expenses. On November 1, 2022, we filed the 2022 Shelf with the SEC in relation to the registration of up to an aggregate offering price of $250.0 million of common stock, preferred stock, debt securities, warrants and units or any combination thereof. We also simultaneously entered into the Sales Agreement with the Sales Agent to provide for the offering, issuance and sale by us of up to an aggregate of $ 75.0 million of our common stock from time to time in the ATM under the 2022 Shelf and subject to the limitations thereof. In connection with the 2023 Follow-On Offering, on November 6, 2023, we delivered written notice to Jefferies that we were suspending and terminating the prospectus related to the shares issuable in the ATM pursuant to the terms of the Sales Agreement. As of November 6, 2023, we had issued 993,996 shares of common stock at an average price of $12.50 under the ATM. On March 27, 2024, we filed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issued no shares of common stock during the three months ended March 31, 2024 under the ATM.</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12"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color w:val="auto"/>
        </w:rPr>
        <w:t>Three Months Ended</w:t>
      </w:r>
    </w:p>
    <w:p>
      <w:pPr>
        <w:spacing w:after="0" w:line="14"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7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74"/>
              </w:rPr>
              <w:t>thousands)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(24,452 )</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(16,412 )</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9,396</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(66,879 )</w:t>
            </w:r>
          </w:p>
        </w:tc>
      </w:tr>
      <w:tr>
        <w:trPr>
          <w:trHeight w:val="230"/>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(14,803 )</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(83,090 )</w:t>
            </w:r>
          </w:p>
        </w:tc>
      </w:tr>
      <w:tr>
        <w:trPr>
          <w:trHeight w:val="20"/>
        </w:trPr>
        <w:tc>
          <w:tcPr>
            <w:tcW w:w="7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-179070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Operating Activities</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During the three months ended March 31, 2024, net cash used in operating activities was $24.5 million primarily due to our net loss of $19.7 million and a decrease in accrued expenses and other current liabilities related to timing of vendor invoicing and payments and a decrease in prepaid expenses related to CRO costs incurred for the year associated with the start of our Phase 3 trial of bel-sar in early-stage choroidal melanoma, partially offset by an increase in stock compensation expense.</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three months ended March 31, 2023, net cash used in operating activities was $16.4 million, primarily due to our net loss of $17.5 million and a decrease in accounts payable related to timing of vendor invoicing and payments, partially offset by an increase in stock compensation expense.</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Investing Activities</w:t>
      </w:r>
    </w:p>
    <w:p>
      <w:pPr>
        <w:spacing w:after="0" w:line="61"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Net cash provided by investing activities during the three months ended March 31, 2024 was $9.4 million primarily due to maturities of marketable securities partially offset by purchases of marketable securities and property and equipment.</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Net cash used in investing activities during the three months ended March 31, 2023 was $66.9 million primarily due to purchases of marketable securities and property and equipment, partially offset by proceeds from sale and maturities of marketable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left="1020"/>
        <w:spacing w:after="0"/>
        <w:rPr>
          <w:sz w:val="20"/>
          <w:szCs w:val="20"/>
          <w:color w:val="auto"/>
        </w:rPr>
      </w:pPr>
      <w:r>
        <w:rPr>
          <w:rFonts w:ascii="Arial" w:cs="Arial" w:eastAsia="Arial" w:hAnsi="Arial"/>
          <w:sz w:val="18"/>
          <w:szCs w:val="18"/>
          <w:i w:val="1"/>
          <w:iCs w:val="1"/>
          <w:color w:val="auto"/>
        </w:rPr>
        <w:t>Financing Activities</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three months ended March 31, 2024, net cash provided by financing activities was $0.3 million from proceeds from stock options exercises and issuance of common stock under the ESPP.</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three months ended March 31, 2023, net cash provided by financing activities was $0.2 million from proceeds from stock options exercises and issuance of common stock under the ESPP.</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plan of operation is to continue implementing our business strategy, continue research and development of bel-sar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p>
    <w:p>
      <w:pPr>
        <w:ind w:left="1160" w:hanging="508"/>
        <w:spacing w:after="0" w:line="252" w:lineRule="auto"/>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48"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 w:lineRule="exact"/>
        <w:rPr>
          <w:rFonts w:ascii="Times New Roman" w:cs="Times New Roman" w:eastAsia="Times New Roman" w:hAnsi="Times New Roman"/>
          <w:sz w:val="18"/>
          <w:szCs w:val="18"/>
          <w:color w:val="auto"/>
        </w:rPr>
      </w:pPr>
    </w:p>
    <w:p>
      <w:pPr>
        <w:jc w:val="both"/>
        <w:ind w:left="1160" w:hanging="508"/>
        <w:spacing w:after="0" w:line="248" w:lineRule="auto"/>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1" w:lineRule="exact"/>
        <w:rPr>
          <w:rFonts w:ascii="Times New Roman" w:cs="Times New Roman" w:eastAsia="Times New Roman" w:hAnsi="Times New Roman"/>
          <w:sz w:val="18"/>
          <w:szCs w:val="18"/>
          <w:color w:val="auto"/>
        </w:rPr>
      </w:pPr>
    </w:p>
    <w:p>
      <w:pPr>
        <w:jc w:val="both"/>
        <w:ind w:left="1160" w:hanging="508"/>
        <w:spacing w:after="0" w:line="246" w:lineRule="auto"/>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48"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 candidates are approved, our ability to establish a commercially viable pricing structure and obtain approval for coverage and adequate reimbursement from third-party and government payors;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 and</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global economic conditions, which may exacerbate the magnitude of the factors discussed above.</w:t>
      </w:r>
    </w:p>
    <w:p>
      <w:pPr>
        <w:spacing w:after="0" w:line="2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As of March 31, 2024, we had cash and cash equivalents and marketable securities of $202.9 million. Based on our research and development plans, we believe that our existing cash and cash equivalents, will be sufficient to fund our operations into the second half of 2026. We have based this estimate on assumptions that may prove to be wrong, and we could exhaust our available capital resources sooner than we expect.</w:t>
      </w:r>
    </w:p>
    <w:p>
      <w:pPr>
        <w:spacing w:after="0" w:line="17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Until such time as we can generate significant revenue from product sales, if ever, we expect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preferred stock,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7" w:name="page28"/>
    <w:bookmarkEnd w:id="27"/>
    <w:p>
      <w:pPr>
        <w:jc w:val="both"/>
        <w:ind w:firstLine="509"/>
        <w:spacing w:after="0" w:line="242" w:lineRule="auto"/>
        <w:rPr>
          <w:sz w:val="20"/>
          <w:szCs w:val="20"/>
          <w:color w:val="auto"/>
        </w:rPr>
      </w:pPr>
      <w:r>
        <w:rPr>
          <w:rFonts w:ascii="Arial" w:cs="Arial" w:eastAsia="Arial" w:hAnsi="Arial"/>
          <w:sz w:val="18"/>
          <w:szCs w:val="18"/>
          <w:color w:val="auto"/>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and commitments as of March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Payments Due by Period</w:t>
            </w: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Less than</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rPr>
              <w:t>1 to 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3 to 5</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More than</w:t>
            </w:r>
          </w:p>
        </w:tc>
        <w:tc>
          <w:tcPr>
            <w:tcW w:w="100" w:type="dxa"/>
            <w:vAlign w:val="bottom"/>
          </w:tcPr>
          <w:p>
            <w:pPr>
              <w:spacing w:after="0"/>
              <w:rPr>
                <w:sz w:val="16"/>
                <w:szCs w:val="16"/>
                <w:color w:val="auto"/>
              </w:rPr>
            </w:pPr>
          </w:p>
        </w:tc>
      </w:tr>
      <w:tr>
        <w:trPr>
          <w:trHeight w:val="235"/>
        </w:trPr>
        <w:tc>
          <w:tcPr>
            <w:tcW w:w="3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1 Year</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Years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Years</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5 Years</w:t>
            </w:r>
          </w:p>
        </w:tc>
      </w:tr>
      <w:tr>
        <w:trPr>
          <w:trHeight w:val="223"/>
        </w:trPr>
        <w:tc>
          <w:tcPr>
            <w:tcW w:w="3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commitments (1)</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29,723</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2,887</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7,379</w:t>
            </w:r>
          </w:p>
        </w:tc>
        <w:tc>
          <w:tcPr>
            <w:tcW w:w="3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29,723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2,887</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10,295</w:t>
            </w:r>
          </w:p>
        </w:tc>
        <w:tc>
          <w:tcPr>
            <w:tcW w:w="18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7,379</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9,162</w:t>
            </w:r>
          </w:p>
        </w:tc>
        <w:tc>
          <w:tcPr>
            <w:tcW w:w="10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-179070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-179070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-179070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-179070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8572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80" w:hanging="372"/>
        <w:spacing w:after="0" w:line="271"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in the table above reflect payments due for our lease of office and lab space in Boston, Massachusetts, that expires in August 2032.</w:t>
      </w:r>
    </w:p>
    <w:p>
      <w:pPr>
        <w:spacing w:after="0" w:line="208" w:lineRule="exact"/>
        <w:rPr>
          <w:sz w:val="20"/>
          <w:szCs w:val="20"/>
          <w:color w:val="auto"/>
        </w:rPr>
      </w:pPr>
    </w:p>
    <w:p>
      <w:pPr>
        <w:jc w:val="both"/>
        <w:ind w:right="20" w:firstLine="586"/>
        <w:spacing w:after="0" w:line="271" w:lineRule="auto"/>
        <w:rPr>
          <w:sz w:val="20"/>
          <w:szCs w:val="20"/>
          <w:color w:val="auto"/>
        </w:rPr>
      </w:pPr>
      <w:r>
        <w:rPr>
          <w:rFonts w:ascii="Arial" w:cs="Arial" w:eastAsia="Arial" w:hAnsi="Arial"/>
          <w:sz w:val="18"/>
          <w:szCs w:val="18"/>
          <w:color w:val="auto"/>
        </w:rPr>
        <w:t>On May 16, 2022, we entered into an office and laboratory lease in Boston, Massachusetts with an initial 10-year term and one renewal option to extend the lease for an additional seven years. The lease commenced on August 1, 2022.</w:t>
      </w:r>
    </w:p>
    <w:p>
      <w:pPr>
        <w:spacing w:after="0" w:line="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CDMOs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We have also acquired exclusive and non-exclusive rights to use, research, develop and offer for sale certain products and patents under license agreements. The license agreements obligate us to make payments to the licensors for license fees, milestones, license maintenance fees and royalties. These payments are not included in the preceding table as the amount and timing of such payments are not known.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7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consolidated financial statements, which have been prepared in accordance with U.S. generally accepted accounting principles. The preparation of our condensed consolidated financial statements and related disclosures requires us to make estimates and assumptions that affect the reported amounts of assets and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three months ended March 31, 2024, there were no material changes to our critical accounting policies from those described in the section titled “Management’s Discussion and Analysis of Financial Condition and Operations” included in our Annual Report on Form 10-K for the year ended December 31, 2023, as filed with the SEC.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63"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We assessed the recent accounting pronouncements for the three months ended March 31, 2024, and determined no pronouncements have material impact to the condensed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6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Jumpstart Our Business Startups Act of 2012, or 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spacing w:after="0" w:line="4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will remain an “emerging growth company” until the earliest of: the last day of the fiscal year in which we have more than $1.235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initial public offering, or IPO.</w:t>
      </w:r>
    </w:p>
    <w:p>
      <w:pPr>
        <w:spacing w:after="0" w:line="25"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will not be required to obtain a separate attestation of internal control over financial reporting from an outside auditor.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under this item.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Disclosure Controls and Procedures</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 desired control objectives and our management necessarily applies its judgment in evaluating the cost-benefit relationship of possible controls and procedures.</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March 31, 2024, our disclosure controls and procedures were effective to provide reasonable assurance that the information required to be disclosed by us in this Quarterly Report was (a) reported within the time periods specified by the SEC rules and regulations, and (b) communicated to our management, including our Chief Executive Officer and Chief Financial Officer, to allow timely decisions regarding any required disclosure.</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6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March 31, 2024,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read and consider all of the risks described below, as well as the other information in this Quarterly Report, including our unaudited condensed consolidated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Additional Capital Needs</w:t>
      </w:r>
    </w:p>
    <w:p>
      <w:pPr>
        <w:spacing w:after="0" w:line="65"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anticipate that we will continue to incur losses for the foreseeable future.</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$19.7 million and $17.5 million for the three months ended March 31, 2024 and 2023, respectively. As of March 31, 2024, we had an accumulated deficit of $307.0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bel-sar and continue to discover and develop additional product candidates. In addition, if we obtain regulatory approval for our product candidates, we will incur significant sales, marketing and manufacturing expenses. We incur costs, and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To date, we have not generated any revenue from any product sales. Our ability to become profitable depends upon our ability to generate revenue. We have no products approved for commercial sale and, therefore, have never generated any revenue from product sales, and we do not expect to in the foreseeable future. Further, we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p>
    <w:p>
      <w:pPr>
        <w:spacing w:after="0" w:line="12" w:lineRule="exact"/>
        <w:rPr>
          <w:sz w:val="20"/>
          <w:szCs w:val="20"/>
          <w:color w:val="auto"/>
        </w:rPr>
      </w:pPr>
    </w:p>
    <w:p>
      <w:pPr>
        <w:jc w:val="both"/>
        <w:ind w:left="102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initiating and completing research regarding, and preclinical and clinical development of, bel-sar in primary choroidal melanoma and additional oncology indications, including choroidal metastases and bladder cancer as well as any other research programs from our VDC technology platform and any future product candidates;</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 for bel-sar and any future product candidates for which we complete clinical trials;</w:t>
      </w:r>
    </w:p>
    <w:p>
      <w:pPr>
        <w:spacing w:after="0" w:line="35"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and developing and maintaining it with, a CDMO for bel-sar and any future product candidates, including establishing and maintaining commercially viable supply and manufacturing relationships with third parties;</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launching and commercializing bel-sar and any future product candidates for which we obtain marketing approvals, either directly or with a collaborator or distributor;</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 acceptance of bel-sar and any future product candidates as viable treatment options;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technological and market developments;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acquiring and developing new product candidates from our VDC technology platform;</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3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protecting, and expanding our portfolio of intellectual property rights, including patents, trade secrets, and know-how;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bel-sar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we are successful in obtaining regulatory approvals to market bel-sar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bel-sar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or terminate one or more of our research and development programs, future commercialization efforts, product development or other operations.</w:t>
      </w:r>
    </w:p>
    <w:p>
      <w:pPr>
        <w:spacing w:after="0" w:line="1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bel-sar. Identifying and developing pharmaceutical products, including conducting preclinical studies and clinical trials, is a very time-consuming, expensive and uncertain process that takes years to complete. Even if one or more of bel-sar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nonclinical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bel-sar or any future product candidates that we develop. We also expect to incur additional costs associated with operating as a public company. Accordingly, we will need to obtain substantial additional funding in order to continue our operations.</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Based on our current operating plan, we believe that our existing cash and cash equivalents and marketable securities will be sufficient to fund our operating expenses and capital expenditures into the second half of 2026. Advancing the development of bel-sar and other research programs will require a significant amount of capital. Our existing cash and cash equivalents will not be sufficient to fund bel-sar through regulatory approval, and we anticipate needing to raise additional capital to complete the development and commercialization of bel-sar. Our estimate as to how long we expect our existing cash and cash equivalents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1" w:name="page32"/>
    <w:bookmarkEnd w:id="31"/>
    <w:p>
      <w:pPr>
        <w:jc w:val="both"/>
        <w:ind w:firstLine="509"/>
        <w:spacing w:after="0" w:line="237" w:lineRule="auto"/>
        <w:rPr>
          <w:sz w:val="20"/>
          <w:szCs w:val="20"/>
          <w:color w:val="auto"/>
        </w:rPr>
      </w:pPr>
      <w:r>
        <w:rPr>
          <w:rFonts w:ascii="Arial" w:cs="Arial" w:eastAsia="Arial" w:hAnsi="Arial"/>
          <w:sz w:val="18"/>
          <w:szCs w:val="18"/>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Any additional fundraising efforts may divert our management from their day-to-day activities, which may adversely affect our ability to develop and commercialize product candidates. Disruptions in financial markets due to unfavorable global economic conditions and inflationary pressures may make equity and debt financings more difficult to obtain and may have a material adverse effect on our ability to meet our fundraising needs. To the extent that we raise additional capital through the sale of equity or convertible preferred stock,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bel-sar if and when approved and develop our product candidates.</w:t>
      </w:r>
    </w:p>
    <w:p>
      <w:pPr>
        <w:spacing w:after="0" w:line="18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clinical trials, research and development programs, future commercialization efforts or other operations.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Recent volatility in capital markets may affect our ability to access new capital through sales of shares of our common stock or issuance of indebtedness.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1"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finance unanticipated working capital requirements;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develop or enhance our technological infrastructure and our existing solutions;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pursue acquisitions or other strategic relationships;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respond to competitive pressures.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businesses.</w:t>
      </w:r>
    </w:p>
    <w:p>
      <w:pPr>
        <w:spacing w:after="0" w:line="182"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proprietary rights to our technologies or product candidates.</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jc w:val="both"/>
        <w:ind w:firstLine="509"/>
        <w:spacing w:after="0" w:line="244" w:lineRule="auto"/>
        <w:rPr>
          <w:sz w:val="20"/>
          <w:szCs w:val="20"/>
          <w:color w:val="auto"/>
        </w:rPr>
      </w:pPr>
      <w:r>
        <w:rPr>
          <w:rFonts w:ascii="Arial" w:cs="Arial" w:eastAsia="Arial" w:hAnsi="Arial"/>
          <w:sz w:val="18"/>
          <w:szCs w:val="18"/>
          <w:color w:val="auto"/>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our objectives relating to the discovery, development, regulatory approval and commercialization of our product candidates.</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p>
    <w:p>
      <w:pPr>
        <w:spacing w:after="0" w:line="1" w:lineRule="exact"/>
        <w:rPr>
          <w:sz w:val="20"/>
          <w:szCs w:val="20"/>
          <w:color w:val="auto"/>
        </w:rPr>
      </w:pPr>
    </w:p>
    <w:p>
      <w:pPr>
        <w:jc w:val="both"/>
        <w:ind w:left="1020" w:hanging="503"/>
        <w:spacing w:after="0" w:line="25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preclinical and clinical development of bel-sar in small choroidal melanoma and indeterminate lesions and additional oncology indications, including but not limited to choroidal metastases and bladder cancer, other research programs from our VDC technology platform, and any other future programs;</w:t>
      </w:r>
    </w:p>
    <w:p>
      <w:pPr>
        <w:ind w:left="1020" w:hanging="503"/>
        <w:spacing w:after="0" w:line="255"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relationships with CROs and clinical sites for the clinical development of bel-sar, other research programs from our VDC technology platform, and any other future programs;</w:t>
      </w:r>
    </w:p>
    <w:p>
      <w:pPr>
        <w:ind w:left="1020" w:hanging="503"/>
        <w:spacing w:after="0" w:line="25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ind w:left="1020" w:hanging="503"/>
        <w:spacing w:after="0" w:line="257"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and developing or maintaining it with, a CDMO including obtaining finished products that are appropriately packaged for sale;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8"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1"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product candidates from our VDC technology platform;</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interference or infringement claims, if any;</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heavily dependent on the success of bel-sar, our only product candidate to date.</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currently have no products that are approved for commercial sale and may never be able to develop marketable products. We expect that a substantial portion of our efforts and expenditures over the next several years will be devoted to development of bel-sar in multiple oncology indications, which is currently our only product candidate. Accordingly, our business currently depends heavily on the successful development, regulatory approval, and commercialization of bel-sar. We can provide no assurance that bel-sar will receive regulatory approval or be successfully commercialized even if we receive regulatory approval. If we were required to discontinue development of bel-sar or if bel-sar does not receive regulatory approval or fails to achieve significant market acceptance, we would be delayed by many years in our ability to achieve profitability, if ever.</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research, testing, manufacturing, safety, efficacy, recordkeeping, labeling, approval, licensure, sale, marketing, advertising, promotion and distribution of bel-sar is, and will remain, subject to comprehensive regulation by the FDA and foreign regulatory authorities. Failure to obtain regulatory approval for bel-sar in the United States, Europe and other major markets around the world will prevent us from commercializing and marketing bel-sar in such jurisdictions.</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Even if we were to successfully obtain approval from the FDA and foreign regulatory authorities for bel-sar, any approval might contain significant limitations related to use, including limitations on the stage or type of cancer bel-sar is approved to treat, as well as restrictions for specified age groups, warnings, precautions or contraindications, or requirement for a risk evaluation and mitigation strategy, or REMS. Any such limitations or restrictions could similarly impact any supplemental marketing approvals we may obtain for bel-sar. Furthermore, even if we obtain regulatory approval for bel-sar,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bel-sar, we may not be able to generate sufficient revenue to continue our business.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pacing w:after="0" w:line="1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Premarket Approval, or PMA, or biologics license application,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bel-sar in ocular melanoma requires a drug delivery device and activation by a laser, the regulatory complexity of the product candidate is greater than for products that don’t utilize a device, which creates uncertainties in the requirements for regulatory approval. Our product candidates could be delayed in receiving, or fail to receive, regulatory approval for many reasons, including the following:</w:t>
      </w:r>
    </w:p>
    <w:p>
      <w:pPr>
        <w:spacing w:after="0" w:line="4" w:lineRule="exact"/>
        <w:rPr>
          <w:sz w:val="20"/>
          <w:szCs w:val="20"/>
          <w:color w:val="auto"/>
        </w:rPr>
      </w:pPr>
    </w:p>
    <w:p>
      <w:pPr>
        <w:jc w:val="center"/>
        <w:ind w:left="5520" w:right="580" w:hanging="5003"/>
        <w:spacing w:after="0" w:line="536" w:lineRule="auto"/>
        <w:tabs>
          <w:tab w:leader="none" w:pos="1022"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left="1020" w:hanging="503"/>
        <w:spacing w:after="0" w:line="255"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ind w:left="1020" w:right="20" w:hanging="503"/>
        <w:spacing w:after="0" w:line="25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1020" w:hanging="503"/>
        <w:spacing w:after="0" w:line="25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BLA or other submission or to obtain regulatory approval in the United States or elsewhere;</w:t>
      </w:r>
    </w:p>
    <w:p>
      <w:pPr>
        <w:ind w:left="1020" w:right="20" w:hanging="503"/>
        <w:spacing w:after="0" w:line="257"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fail to approve our manufacturing processes or facilities or those of third-party manufacturers with which we contract for clinical and commercial supplies; and</w:t>
      </w:r>
    </w:p>
    <w:p>
      <w:pPr>
        <w:spacing w:after="0" w:line="1"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novel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the conduct of Advisory Committee meetings may be disrupted or delayed and the impact that may have on the overall timing of regulatory approvals is uncertain.</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5" w:name="page36"/>
    <w:bookmarkEnd w:id="35"/>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have initiated but not yet completed a pivotal clinical trial nor have we commercialized any pharmaceutical products, which may make it difficult to evaluate our future prospects.</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will need to successfully complete pivotal clinical trials in order to obtain the approval of the FDA, the EMA, or other regulatory agencies to market bel-sar or any future product candidate. Carrying out later-stage clinical trials is a complicated process. Our operations to date have been limited to financing and staffing our company, developing our technology and conducting preclinical research and Phase 1 and Phase 2 clinical trials for our product candidates, primarily related to our bel-sar program in small choroidal melanoma and indeterminate lesions. We have not yet demonstrated an ability to successfully complete pivotal clinical trials, though we have an ongoing global Phase 3 trial in small choroidal melanomas and indeterminate lesions, obtain marketing approvals, manufacture a commercial-scale product or arrange for a third party to do so on our behalf, or conduct sales and marketing activities necessary for successful product commercialization. In order to complete later stage or pivotal trials, we are expanding our clinical operations, CMC and regulatory capabilities, and we may be unable to recruit and train qualified personnel or sign a contract with a global clinical research organization to conduct the trials on our behalf. Consequently, we may be unable to successfully and efficiently design, execute and complete necessary clinical trials in a way that leads to approval of bel-sar or future product candidates. We may require more time to enroll patients and incur greater costs than our competitors and may not succeed in obtaining global regulatory approvals of product candidates that we develop. Furthermore, we may conduct our first pivotal trial based on an adaptive design, which could increase the time spent on or costs associated with this trial. We are in the process of transferring our intended commercial manufacturing process to our intended external CDMO commercial manufacturing site. During this transfer process, some modifications may be needed to ensure manufacturability and ability to scale-up the process to commercial batch sizes. We intend to perform an analytical comparability assessment between the current clinical process and the intended commercial process, however, if this analytical process comparability assessment is unsuccessful, clinical comparability may be required, which may result in delayed regulatory approval. We do not anticipate a change in formulation. However, failure to commence or complete, or delays in, our planned clinical trials, could prevent us from or delay us in commercializing our product candidates.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9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develop additional product candidates, or obtain additional indications of our first product candidate, our commercial opportunity could be limited.</w:t>
      </w:r>
    </w:p>
    <w:p>
      <w:pPr>
        <w:spacing w:after="0" w:line="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to focus our resources on the development of bel-sar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p>
    <w:p>
      <w:pPr>
        <w:spacing w:after="0" w:line="16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Bel-sar is a biologic that requires the use of multiple medical devices, which may result in additional regulatory risks.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Bel-sar is a novel biologic for which the intended use in ocular oncology requires delivery to the suprachoroidal space, or SCS, and activation by a laser. For ocular oncology indications, we use Clearside Biomedical Inc.’s SCS Microinjector®, or the SCS Microinjector, to deliver bel-sar into the SCS. In the United States, we plan to submit a single BLA for the review and approval of this combination of bel-sar with the SCS Microinjector and the laser(s) in our initial target indication of small choroidal melanoma and indeterminate lesions, but subsequent indications and delivery systems may require different or additional applications for marketing authorization. The SCS Microinjector was approved by FDA in October 2021 as a constituent of the drug/device combination product XIPERE®. There may be additional regulatory risks for biologic-device combination products. We may experience delays in obtaining regulatory approval of bel-sar given the increased complexity of the review process when approval of the product and a medical device is sought under a single BLA.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In the European Union, or EU, medical devices must be authorized under the EU’s Medical Devices Regulation, which requires compliance with the general safety and performance requirements set forth in such legislation.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bel-sar reaching the market.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the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w:t>
      </w:r>
    </w:p>
    <w:p>
      <w:pPr>
        <w:spacing w:after="0" w:line="1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Our lead indication of early-stage choroidal melanoma is a rare disease and as such clinical trial recruitment estimates may be inaccurate and such recruitment may take longer than expected.</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3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severity of the disease under investigation;</w:t>
      </w:r>
    </w:p>
    <w:p>
      <w:pPr>
        <w:spacing w:after="0" w:line="35"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clinicians’ and patients’ awareness of, and perceptions as to the potential advantages and risks of bel-sar in relation to other available therapies, including any new drugs that may be approved for the indications we are investigating;</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monitor patients adequately during and after treatment;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studies or trials with similar eligibility criteria;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7" w:name="page38"/>
    <w:bookmarkEnd w:id="37"/>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reporting of the preliminary results of any of our clinical trials;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factors we may not be able to control that may limit patients, principal investigators or staff or clinical site availability.</w:t>
      </w:r>
    </w:p>
    <w:p>
      <w:pPr>
        <w:spacing w:after="0" w:line="22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are conducting a clinical trial outside the United States, and we may in the future conduct additional clinical trials for current or future product candidates outside the United States, and the FDA and comparable foreign regulatory authorities may not accept data from such trials.</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currently conducting a Phase 3 clinical trial and have, or anticipate to have, sites in the United States as well as in some or all of the following countries, among others: Ireland, the UK, Canada, Australia, Austria, Italy, Greece, South Korea, Israel, Germany, France, Spain, Denmark, Sweden, Belgium, and the Czech Republic. We also may in the future choose to conduct one or more additional clinical trials outside the United States, including in Europe.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in the United States, we may never receive regulatory approval to market our current or future product candidates outside of the United States.</w:t>
      </w:r>
    </w:p>
    <w:p>
      <w:pPr>
        <w:spacing w:after="0" w:line="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p>
    <w:p>
      <w:pPr>
        <w:spacing w:after="0" w:line="1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The results of preclinical studies and early clinical trials may not be predictive of future results.</w:t>
      </w:r>
    </w:p>
    <w:p>
      <w:pPr>
        <w:spacing w:after="0" w:line="6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outcome of preclinical testing and early clinical trials may not be predictive of the success of later clinical trials. Bel-sar and any other product candidates we may develop may fail to show the desired safety and efficacy in clinical development despite positive results in preclinical studies or having successfully advanced through initial clinical trials. For example, bel-sar may not be effective at slowing or arresting tumor growth or may not preserve visual acuity in later stage trials. Even if bel-sar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bel-sar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any other product candidates then under development and/or cause the FDA or other regulatory authorities to require additional testing before approving any other product candidates.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p>
    <w:p>
      <w:pPr>
        <w:spacing w:after="0" w:line="18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Additionally, we may continue to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bel-sar when studied in a controlled environment with a placebo or active control.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9" w:name="page40"/>
    <w:bookmarkEnd w:id="39"/>
    <w:p>
      <w:pPr>
        <w:jc w:val="both"/>
        <w:spacing w:after="0" w:line="249" w:lineRule="auto"/>
        <w:rPr>
          <w:sz w:val="20"/>
          <w:szCs w:val="20"/>
          <w:color w:val="auto"/>
        </w:rPr>
      </w:pPr>
      <w:r>
        <w:rPr>
          <w:rFonts w:ascii="Arial" w:cs="Arial" w:eastAsia="Arial" w:hAnsi="Arial"/>
          <w:sz w:val="18"/>
          <w:szCs w:val="18"/>
          <w:b w:val="1"/>
          <w:bCs w:val="1"/>
          <w:i w:val="1"/>
          <w:iCs w:val="1"/>
          <w:color w:val="auto"/>
        </w:rPr>
        <w:t>Bel-sar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1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Adverse events or other undesirable side effects caused by or associated with treatment by bel-sar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bel-sar has been evaluated in clinical trials, unexpected side effects may still arise in our ongoing or any future clinical trials. These side effects have included pigmentary changes around the tumor margin and vision loss.</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pivotal clinical trials or, in some cases, after they are made available to patients on a commercial scale after approval.</w:t>
      </w:r>
    </w:p>
    <w:p>
      <w:pPr>
        <w:spacing w:after="0" w:line="185" w:lineRule="exact"/>
        <w:rPr>
          <w:sz w:val="20"/>
          <w:szCs w:val="20"/>
          <w:color w:val="auto"/>
        </w:rPr>
      </w:pPr>
    </w:p>
    <w:p>
      <w:pPr>
        <w:jc w:val="both"/>
        <w:ind w:right="20" w:firstLine="509"/>
        <w:spacing w:after="0" w:line="250"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withdraw approvals of such product or require additional warnings on the label;</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clinical trials or post-approval studies;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or limitations in the labeling, such as a contraindication, limitation of use, or a boxed warning, or issue safety alerts, Dear Healthcare Provider letters, press releases or other communications containing warnings or other safety information about the product;</w:t>
      </w: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subject to regulatory investigations and government enforcement actions;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Moreover, if bel-sar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materially affect our business, financial condition, results of operations, and growth prospects.</w:t>
      </w:r>
    </w:p>
    <w:p>
      <w:pPr>
        <w:spacing w:after="0" w:line="15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patients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p>
    <w:p>
      <w:pPr>
        <w:spacing w:after="0" w:line="1" w:lineRule="exact"/>
        <w:rPr>
          <w:sz w:val="20"/>
          <w:szCs w:val="20"/>
          <w:color w:val="auto"/>
        </w:rPr>
      </w:pPr>
    </w:p>
    <w:p>
      <w:pPr>
        <w:ind w:left="1020" w:hanging="503"/>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or institutional review board, or IRBs, or ethics committees may delay or may not authorize us or our investigators to commence a clinical trial or conduct a clinical trial at a prospective trial site;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0" w:name="page41"/>
    <w:bookmarkEnd w:id="40"/>
    <w:p>
      <w:pPr>
        <w:jc w:val="both"/>
        <w:ind w:left="1020" w:hanging="503"/>
        <w:spacing w:after="0" w:line="248"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8"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w:t>
      </w:r>
    </w:p>
    <w:p>
      <w:pPr>
        <w:ind w:left="1020" w:right="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5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Moreover, principal investigators for our trials involving bel-sar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41" w:name="page42"/>
    <w:bookmarkEnd w:id="41"/>
    <w:p>
      <w:pPr>
        <w:jc w:val="both"/>
        <w:spacing w:after="0" w:line="245"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expenses. Additionally, our product candidates, if approved, could be subject to post-marketing commitments/requirements,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2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2" w:lineRule="exact"/>
        <w:rPr>
          <w:sz w:val="20"/>
          <w:szCs w:val="20"/>
          <w:color w:val="auto"/>
        </w:rPr>
      </w:pPr>
    </w:p>
    <w:p>
      <w:pPr>
        <w:ind w:left="1020" w:hanging="503"/>
        <w:spacing w:after="0" w:line="257"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ind w:left="1020" w:hanging="503"/>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holds;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other regulatory enforcement action;</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0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2" w:name="page43"/>
    <w:bookmarkEnd w:id="42"/>
    <w:p>
      <w:pPr>
        <w:jc w:val="both"/>
        <w:ind w:firstLine="509"/>
        <w:spacing w:after="0" w:line="24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be unable to obtain ODD for additional indications, or to maintain the benefits associated with orphan drug status, including market exclusivity, which may cause our revenue, if any, to be reduced.</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ODD must be requested before submitting an NDA or BLA. In the United States, ODD entitles a party to financial incentives such as opportunities for grant funding towards clinical trial costs, tax advantages and user-fee waivers. After the FDA grants ODD, the generic identity of the drug and its potential orphan use are disclosed publicly by the FDA. ODD does not convey any advantage in, or shorten the duration of, the regulatory review and approval process.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a product that has ODD subsequently receives the first FDA approval for a particular active ingredient for the disease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our current product candidates and any future product candidates receive orphan exclusivity, the FDA can still approve other drugs that have a different active ingredient for use in treating the same indication or disease. Furthermore, the FDA can waive orphan exclusivity if we are unable to manufacture sufficient supply of our product.</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obtained orphan designation for bel-sar for the treatment of uveal melanoma from the FDA and EMA, and we may seek additional ODDs for some or all of our current or future product candidates in orphan indications in which there is a medically plausible basis for the use of these products. Even if we obtain ODD,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6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Similarly, in the EU, the European Commission grants an orphan designation in respect of a product after receiving the opinion of the EMA’s Committee for Orphan Medicinal Products on a designation application. Orphan designation in the EU is granted to products where the sponsor can establish that (1) such product is intended for the diagnosis, prevention or treatment of a life-threatening or chronically debilitating condition; (2) either (i) such condition affects no more than 5 in 10,000 persons in the EU when the application is made; or (ii) without incentives, it is unlikely that the marketing of the product would generate sufficient return in the EU to justify the necessary investment in its development; and (3) there exists no satisfactory method of diagnosis, prevention or treatment of such condition that has been authorized in the EU, or if such a method exists, the product in question would be of significant benefit to those affected by that condition. In the EU, orphan designation entitles a party to a number of incentives, such as protocol assistance and scientific advice specifically for designated orphan medicines, and potential fee reductions depending on the status of the sponsor. Generally, if a product with an orphan designation subsequently receives the first marketing approval for the indication for which it has such designation, the product is entitled to a ten-year period of marketing exclusivity, which precludes the EMA from approving another MA application for a similar medicinal product in the same indication for that time period, except in limited circumstances. The EU exclusivity period can be reduced to six years if, at the end of the fifth year, a product no longer meets the criteria for orphan designation or if the product is sufficiently profitable such that market exclusivity is no longer justified. The European Commission introduced a legislative proposal in April 2023 that, if implemented, could reduce the current ten-year marketing exclusivity period in the EU for certain orphan medicines.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jc w:val="both"/>
        <w:spacing w:after="0" w:line="256"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8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obtained Fast Track designation for bel-sar for the treatment of choroidal melanoma, for the treatment of choroidal metastasis and for the treatment of NMIBC, and we may seek additional Fast Track designation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FDA’s agreement to a Special Protocol Assessment with respect to the study design of our global Phase 3 trial of bel-sar for the treatment of early-stage choroidal melanoma does not guarantee any particular outcome from regulatory review, including ultimate approval, and may not lead to a successful review or approval process.</w:t>
      </w:r>
    </w:p>
    <w:p>
      <w:pPr>
        <w:spacing w:after="0" w:line="1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obtained agreement from the FDA on the design and planned analysis of our global Phase 3 trial of bel-sar for the treatment of early-stage choroidal melanoma through a SPA. An SPA agreement documents FDA’s agreement that the design and planned analysis of a study can adequately address objectives in support of a regulatory submission. However, final determinations for marketing application approval are made after complete review of a marketing application and are based on the entire data in the application.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4" w:name="page45"/>
    <w:bookmarkEnd w:id="44"/>
    <w:p>
      <w:pPr>
        <w:jc w:val="both"/>
        <w:ind w:firstLine="509"/>
        <w:spacing w:after="0" w:line="247" w:lineRule="auto"/>
        <w:rPr>
          <w:sz w:val="20"/>
          <w:szCs w:val="20"/>
          <w:color w:val="auto"/>
        </w:rPr>
      </w:pPr>
      <w:r>
        <w:rPr>
          <w:rFonts w:ascii="Arial" w:cs="Arial" w:eastAsia="Arial" w:hAnsi="Arial"/>
          <w:sz w:val="18"/>
          <w:szCs w:val="18"/>
          <w:color w:val="auto"/>
        </w:rPr>
        <w:t>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The FDA ultimately assesses whether specific elements of the protocol design of the trial, such as entry criteria, dose selection, endpoints and/or planned analyses, are acceptable to support a regulatory submission.</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even after an SPA agreement is finalized, the SPA agreement may be modified, and such modification will be deemed binding by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Moreover, if the FDA revokes or alters its agreement under the SPA, or interprets the data collected from the clinical trial differently than we do, the FDA may not deem the data sufficient to support an application for regulatory approval of bel-sar for the treatment of small choroidal melanoma and indeterminate lesions.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p>
    <w:p>
      <w:pPr>
        <w:spacing w:after="0" w:line="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central reading centers, medical institutions and clinical investigators, to conduct some aspects of our research, preclinical testing and clinical trials. We are using a clinical CRO for the pivotal trial for bel-sar for the treatment of early-stage choroidal melanoma. Any of these third parties may terminate their engagements with us or be unable to fulfill their contractual obligations. If we need to enter into alternative arrangements, our product development activities would be delayed.</w:t>
      </w:r>
    </w:p>
    <w:p>
      <w:pPr>
        <w:spacing w:after="0" w:line="1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jc w:val="both"/>
        <w:ind w:firstLine="509"/>
        <w:spacing w:after="0" w:line="25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currently rely on third-party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1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currently do not have any manufacturing facilities and have no plans to build our own clinical or commercial scale manufacturing capabilities. Instead, we expect to rely on third parties for the manufacture of our product candidates and related raw materials for future preclinical and clinical development, as well as for commercial manufacture if any of our product candidates receive marketing approval. We are currently reliant on a single source for each of our regulatory starting materials, drug substance and drug product manufacturing for bel-sar.</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or our third-party suppliers or manufacturers may encounter shortages in the raw materials or active pharmaceutical ingredient, or API, necessary to produce bel-sar and future product candidates we may develop in the quantities needed for our clinical trials or, if bel-sar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bel-sar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p>
    <w:p>
      <w:pPr>
        <w:spacing w:after="0" w:line="1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Reliance on third-party manufacturers may expose us to different risks than if we were to manufacture clinical or commercial supply of our product candidates ourselves. The facilities used by third-party manufacturers to manufacture bel-sar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Finding new CDMOs or third-party suppliers involves additional cost and requires our management’s time and focus. In addition, there is typically a transition period when a new CDMO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 new CDMO could delay completion of clinical trials, require the conduct of bridging clinical trials or studies, require the repetition of one or more clinical trials, increase clinical trial costs, delay approval of bel-sar and future product candidates and jeopardize our ability to commence product sales and generate revenue.</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part of their manufacture of our product candidates, our CDMOs and third-party suppliers are expected to comply with and respect the intellectual property and proprietary rights of others. If a CDMO or third-party supplier fails to acquire the proper licenses or otherwise infringes, misappropriates or otherwise violates the intellectual property or proprietary rights of others in the course of providing services to us, we may have to find alternative CDMOs or third-party suppliers or defend against applicable claims, either of which would significantly impact our ability to develop, obtain regulatory approval for or commercialize our product candidates, if approved.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ind w:firstLine="509"/>
        <w:spacing w:after="0" w:line="244" w:lineRule="auto"/>
        <w:rPr>
          <w:sz w:val="20"/>
          <w:szCs w:val="20"/>
          <w:color w:val="auto"/>
        </w:rPr>
      </w:pPr>
      <w:r>
        <w:rPr>
          <w:rFonts w:ascii="Arial" w:cs="Arial" w:eastAsia="Arial" w:hAnsi="Arial"/>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spacing w:after="0" w:line="176"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w:t>
      </w: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breach of the manufacturing agreement by the third-party manufacturers;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specifications;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lack of qualified backup suppliers for those components or materials that are currently purchased from a sole or single source supplier;</w:t>
      </w: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schedule or at all;</w:t>
      </w:r>
    </w:p>
    <w:p>
      <w:pPr>
        <w:spacing w:after="0" w:line="39"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difficulties caused by unforeseen events that may delay the availability of one or more of the necessary raw materials or delay the manufacture of bel-sar or any future product candidates for use in clinical trials or for commercial supply;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supply or service disruptions or increased costs that are beyond our control;</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Bel-sar and any other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replace such manufacturers and we may be unable to replace them on a timely basis or on terms acceptable to us. Our current and anticipated future dependence upon others for the manufacture of bel-sar or any other future product candidates or products may adversely affect our future profit margins and our ability to commercialize any products that receive marketing approval on a timely and competitive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6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bel-sar or any future product candidates do not achieve broad market acceptance, the revenue that we generate from their sales may be limited, and we may never become profitable.</w:t>
      </w:r>
    </w:p>
    <w:p>
      <w:pPr>
        <w:spacing w:after="0" w:line="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have never commercialized a product candidate for any indication. Even if bel-sar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bel-sar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VDCs is unsafe, whether related to our or our competitors’ products, our products may not be accepted by the general public or the medical community. In addition, training clinicians to properly use bel-sar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ind w:firstLine="509"/>
        <w:spacing w:after="0" w:line="246" w:lineRule="auto"/>
        <w:rPr>
          <w:sz w:val="20"/>
          <w:szCs w:val="20"/>
          <w:color w:val="auto"/>
        </w:rPr>
      </w:pPr>
      <w:r>
        <w:rPr>
          <w:rFonts w:ascii="Arial" w:cs="Arial" w:eastAsia="Arial" w:hAnsi="Arial"/>
          <w:sz w:val="18"/>
          <w:szCs w:val="18"/>
          <w:color w:val="auto"/>
        </w:rPr>
        <w:t>Efforts to educate the medical community and third-party payors on the benefits of bel-sar and any future product candidates may require significant resources and may not be successful. If bel-sar or any future product candidates are approved but do not achieve an adequate level of market acceptance, we could be prevented from or significantly delayed in achieving profitability. The degree of market acceptance of any of bel-sar and any future product candidates will depend on a number of factors, including:</w:t>
      </w:r>
    </w:p>
    <w:p>
      <w:pPr>
        <w:spacing w:after="0" w:line="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of bel-sar and our VLP technology, and any future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adverse events associated with bel-sar and any future product candidates or those products with which they may be co-administered;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bel-sar are approved and the approved claims that we may make for the products;</w:t>
      </w:r>
    </w:p>
    <w:p>
      <w:pPr>
        <w:spacing w:after="0" w:line="48" w:lineRule="exact"/>
        <w:rPr>
          <w:rFonts w:ascii="Times New Roman" w:cs="Times New Roman" w:eastAsia="Times New Roman" w:hAnsi="Times New Roman"/>
          <w:sz w:val="18"/>
          <w:szCs w:val="18"/>
          <w:color w:val="auto"/>
        </w:rPr>
      </w:pPr>
    </w:p>
    <w:p>
      <w:pPr>
        <w:jc w:val="both"/>
        <w:ind w:left="1020" w:hanging="503"/>
        <w:spacing w:after="0" w:line="248"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bel-sar and any future product candidates that may be more restrictive than other competitive products;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SoC for the targeted indications for bel-sar and any future product candidates, which could reduce the marketing impact of any claims that we could make following FDA approval or approval by comparable foreign regulatory authorities, if obtained;</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relative convenience and ease of administration of bel-sar and any future product candidates and any products with which they are co-administered;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adequate coverage or reimbursement by third-party payors, including government healthcare programs such as Medicare and Medicaid and other healthcare payors;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price concessions required by third-party payors to obtain coverage;</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 of life and cost effectiveness of bel-sar compared to those of other available treatments;</w:t>
      </w: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3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marketing and distribution of bel-sar and any future product candidates;</w:t>
      </w:r>
    </w:p>
    <w:p>
      <w:pPr>
        <w:spacing w:after="0" w:line="48"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ind w:left="1020" w:hanging="503"/>
        <w:spacing w:after="0" w:line="252"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distribution and use restrictions imposed by the FDA or comparable foreign regulatory authorities with respect to bel-sar and any future product candidates or to which we agree as part of a REMS or voluntary risk management plan;</w:t>
      </w: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bel-sar and any future product candidates, as well as competitive products;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offer bel-sar and any future product candidates for sale at competitive prices;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third-party manufacturer and supplier support;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publicity concerning our bel-sar or competing products and treatments;</w:t>
      </w:r>
    </w:p>
    <w:p>
      <w:pPr>
        <w:spacing w:after="0" w:line="48"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actions of companies that market any products with which bel-sar and any future product candidates may be co-administered;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products;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adverse publicity about bel-sar and any future product candidates or any products with which they are co-administered, or favorable publicity about competitive products;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liability claims.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p>
    <w:p>
      <w:pPr>
        <w:spacing w:after="0" w:line="1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ind w:firstLine="509"/>
        <w:spacing w:after="0"/>
        <w:rPr>
          <w:sz w:val="20"/>
          <w:szCs w:val="20"/>
          <w:color w:val="auto"/>
        </w:rPr>
      </w:pPr>
      <w:r>
        <w:rPr>
          <w:rFonts w:ascii="Arial" w:cs="Arial" w:eastAsia="Arial" w:hAnsi="Arial"/>
          <w:sz w:val="18"/>
          <w:szCs w:val="18"/>
          <w:color w:val="auto"/>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Furthermore, developing a sales and marketing organization requires significant investment, is time-consuming and could delay the launch of our product candidate. We may not be able to build an effective sales and marketing organization in the United States, the EU or other key global markets. If we are unable to build our own distribution and marketing capabilities or to find suitable partners for the commercialization of our product candidate, we may have difficulties generating revenue from them.</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5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may face competition, which may result in others discovering, developing or commercializing drugs before or more successfully than we do.</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biopharmaceutical industry is characterized by intense competition and rapid innovation. While we are not aware of anyone currently developing a treatment for early-stage choroidal melanoma, in the future our competitors may be able to develop other compounds or drugs that are able to achieve similar or better results than us. There are multiple companies that have drugs in clinical development for the treatment of NMIBC that are unresponsive to BCG, such as Sesen Bio, Inc., FerGene, Inc., UroGen Pharma Ltd., CG Oncology, Inc. and ImmunityBio, Inc.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 xml:space="preserve">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the section of our Annual Report on Form 10-K for the year ended December 31, 2023 titled </w:t>
      </w:r>
      <w:r>
        <w:rPr>
          <w:rFonts w:ascii="Arial" w:cs="Arial" w:eastAsia="Arial" w:hAnsi="Arial"/>
          <w:sz w:val="18"/>
          <w:szCs w:val="18"/>
          <w:i w:val="1"/>
          <w:iCs w:val="1"/>
          <w:color w:val="auto"/>
        </w:rPr>
        <w:t>“Business—Competition</w:t>
      </w:r>
      <w:r>
        <w:rPr>
          <w:rFonts w:ascii="Arial" w:cs="Arial" w:eastAsia="Arial" w:hAnsi="Arial"/>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For more information, see the section of our Annual Report on Form 10-K for the year ended December 31, 2023 titled “Business—Government Regulation—Coverage and Reimbursement.”</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8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incidence and prevalence for target patient populations of bel-sar and any future product candidates has not been established with precision. Bel-sar is a VDC product candidate being developed for the first line treatment of early-stage choroidal melanoma. Our projections of both the number of people who have choroidal melanoma, as well as additional ocular oncology and bladder cancer indications, are based on our estimates.</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total addressable market opportunity will ultimately depend upon, among other things, the patient criteria included in the final label, the indications for which bel-sar is approved for sale, acceptance by the medical community and patient access, product pricing and reimbursement. The number of patients with choroidal melanoma, choroidal metastasis, and NMIBC for which bel-sar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Bel-sar is our only product candidate and therefore our business is dependent on the market opportunity for our product.</w:t>
      </w:r>
    </w:p>
    <w:p>
      <w:pPr>
        <w:spacing w:after="0" w:line="18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 product candidates, if approved. For more information, see the section of our Annual Report on Form 10-K for the year ended December 31, 2023 titled “</w:t>
      </w:r>
      <w:r>
        <w:rPr>
          <w:rFonts w:ascii="Arial" w:cs="Arial" w:eastAsia="Arial" w:hAnsi="Arial"/>
          <w:sz w:val="18"/>
          <w:szCs w:val="18"/>
          <w:i w:val="1"/>
          <w:iCs w:val="1"/>
          <w:color w:val="auto"/>
        </w:rPr>
        <w:t>Business – Government Regulation – Health Care Laws and Regulations.”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0" w:name="page51"/>
    <w:bookmarkEnd w:id="50"/>
    <w:p>
      <w:pPr>
        <w:jc w:val="both"/>
        <w:ind w:firstLine="509"/>
        <w:spacing w:after="0" w:line="237" w:lineRule="auto"/>
        <w:rPr>
          <w:sz w:val="20"/>
          <w:szCs w:val="20"/>
          <w:color w:val="auto"/>
        </w:rPr>
      </w:pPr>
      <w:r>
        <w:rPr>
          <w:rFonts w:ascii="Arial" w:cs="Arial" w:eastAsia="Arial" w:hAnsi="Arial"/>
          <w:sz w:val="18"/>
          <w:szCs w:val="18"/>
          <w:color w:val="auto"/>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General Data Protection Regulation, or GDPR, also govern the privacy and security of health information in some circumstances, many of which differ from each other in significant ways and often are not preempted by the Health Insurance Portability and Accountability Act, or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8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Current and future healthcare legislative reform measures may have a material adverse effect on our business and results of operations.</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the section of our Annual Report on Form 10-K for the year ended December 31, 2023 titled “Business—Government Regulation—Health Care Reform &amp; Legislative Updates.”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there have been, and continue to be, a significant number of legislative initiatives to contain healthcare costs. The United States has also sought to implement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both"/>
        <w:ind w:firstLine="509"/>
        <w:spacing w:after="0" w:line="247"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w:t>
      </w:r>
    </w:p>
    <w:p>
      <w:pPr>
        <w:spacing w:after="0" w:line="1"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products;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product;</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2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6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 and our proprietary rights do not necessarily address all potential threats to our competitive advantage.</w:t>
      </w:r>
    </w:p>
    <w:p>
      <w:pPr>
        <w:spacing w:after="0" w:line="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commercial success depends upon obtaining and maintaining proprietary rights to our intellectual property estate, including rights relating to our technology platform using HPV-derived VLPs to target tumors and VDCs like bel-sar, as well as successfully defending these rights against third-party challenges and successfully enforcing these rights to prevent third-party infringement. We will only be able to protect bel-sar or a future product candidate derived from our platform from unauthorized use by third parties to the extent that valid and enforceable patents cover it. Our ability to maintain patent protection for bel-sar or a future product candidate is uncertain due to a number of factors, including that:</w:t>
      </w:r>
    </w:p>
    <w:p>
      <w:pPr>
        <w:spacing w:after="0" w:line="4" w:lineRule="exact"/>
        <w:rPr>
          <w:sz w:val="20"/>
          <w:szCs w:val="20"/>
          <w:color w:val="auto"/>
        </w:rPr>
      </w:pPr>
    </w:p>
    <w:p>
      <w:pPr>
        <w:ind w:left="1020" w:hanging="503"/>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design around our patent claims to produce competitive technologies, products or methods that fall outside of the scope of our patents;</w:t>
      </w: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obtain patent protection in all jurisdictions that may eventually provide us a significant business opportunity;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any patents issued to us may be successfully challenged by third parties.</w:t>
      </w:r>
    </w:p>
    <w:p>
      <w:pPr>
        <w:spacing w:after="0" w:line="2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Even with our patents covering bel-sar, we may still not be able to make use or sell bel-sar or a future product candidate because of the patent rights of others. Others may have filed patent applications covering compositions, products or methods that are similar or identical to ours, which could materially affect our ability to successfully commercialize bel-sar or a future product candidate.</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ind w:firstLine="509"/>
        <w:spacing w:after="0" w:line="239" w:lineRule="auto"/>
        <w:rPr>
          <w:sz w:val="20"/>
          <w:szCs w:val="20"/>
          <w:color w:val="auto"/>
        </w:rPr>
      </w:pPr>
      <w:r>
        <w:rPr>
          <w:rFonts w:ascii="Arial" w:cs="Arial" w:eastAsia="Arial" w:hAnsi="Arial"/>
          <w:sz w:val="18"/>
          <w:szCs w:val="18"/>
          <w:color w:val="auto"/>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bel-sar or any future product candidates. It may be necessary for us to use the patented or proprietary technology of third parties to commercialize bel-sar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3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32"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and related obligations under the license agreement and other interpretation-related issues;</w:t>
      </w:r>
    </w:p>
    <w:p>
      <w:pPr>
        <w:spacing w:after="0" w:line="3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licensor’s right to license or sublicense patent and other rights to us, and whether and the extent to which the right is retained by a third party;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ind w:left="1020" w:hanging="503"/>
        <w:spacing w:after="0" w:line="255"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infringes on intellectual property of the licensor that is not subject to the licensing agreement;</w:t>
      </w: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bel-sar or any future product candidates, and what activities satisfy those diligence obligations;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22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bel-sar or a future product candidate.</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we fail to comply with our obligations under the license agreements, our licensors may have the right to terminate these agreements, in which event we might not be able to manufacture or market bel-sar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with respect to bel-sar or a future product candidate, thereby potentially extending the term of marketing exclusivity for such product, our business may be harmed.</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bel-sar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54" w:name="page55"/>
    <w:bookmarkEnd w:id="54"/>
    <w:p>
      <w:pPr>
        <w:jc w:val="both"/>
        <w:spacing w:after="0" w:line="272" w:lineRule="auto"/>
        <w:rPr>
          <w:sz w:val="20"/>
          <w:szCs w:val="20"/>
          <w:color w:val="auto"/>
        </w:rPr>
      </w:pPr>
      <w:r>
        <w:rPr>
          <w:rFonts w:ascii="Arial" w:cs="Arial" w:eastAsia="Arial" w:hAnsi="Arial"/>
          <w:sz w:val="18"/>
          <w:szCs w:val="18"/>
          <w:b w:val="1"/>
          <w:bCs w:val="1"/>
          <w:i w:val="1"/>
          <w:iCs w:val="1"/>
          <w:color w:val="auto"/>
        </w:rPr>
        <w:t>Patents and patent applications involve highly complex legal and factual questions, which, if determined adversely to us, could negatively impact our patent position.</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opposition proceedings may be costly. Accordingly, rights under any issued patents may not provide us with sufficient protection against competitive products or processes.</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Furthermore, even if not challenged, our patents and patent applications may not prevent others from designing their products to avoid being covered by our claims. If the breadth or strength of protection provided by the patent applications we hold with respect to bel-sar or a future product candidate is threatened, it could dissuade companies from collaborating with us to develop, and could threaten our or their ability to successfully commercialize, bel-sar or a future product candidate.</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changes in, or different interpretations of, patent laws in the United States and other countries may permit others to use our discoveries or to develop and commercialize our technology without providing any compensation to us,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p>
    <w:p>
      <w:pPr>
        <w:spacing w:after="0" w:line="3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Our commercial success depends upon our ability to develop, manufacture, market and sell bel-sar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bel-sar or a future product candidate, or forced to modify bel-sar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5" w:name="page56"/>
    <w:bookmarkEnd w:id="55"/>
    <w:p>
      <w:pPr>
        <w:jc w:val="both"/>
        <w:ind w:firstLine="509"/>
        <w:spacing w:after="0" w:line="239"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bel-sar or a future product candidate that is the subject of the suit may be delayed or terminated. In addition, defending such claims may cause us to incur substantial expenses and, if successful, could cause us to pay substantial damages if we are found to be infringing a third-party’s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bel-sar or a future product candidate unless we obtain a license under the applicable patents, or until such patents expire or are finally determined to be invalid or unenforceable.</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bel-sar or a future product candidate.</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Filing, prosecuting and defending patents on bel-sar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U.S., or from selling or importing products made using our inventions in and into the U.S. or other jurisdictions.</w:t>
      </w:r>
    </w:p>
    <w:p>
      <w:pPr>
        <w:spacing w:after="0" w:line="17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ind w:firstLine="509"/>
        <w:spacing w:after="0" w:line="242" w:lineRule="auto"/>
        <w:rPr>
          <w:sz w:val="20"/>
          <w:szCs w:val="20"/>
          <w:color w:val="auto"/>
        </w:rPr>
      </w:pPr>
      <w:r>
        <w:rPr>
          <w:rFonts w:ascii="Arial" w:cs="Arial" w:eastAsia="Arial" w:hAnsi="Arial"/>
          <w:sz w:val="18"/>
          <w:szCs w:val="18"/>
          <w:color w:val="auto"/>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or our licensors are unable to protect the confidentiality of the proprietary information related to our product or process, our business and competitive position would be harmed.</w:t>
      </w:r>
    </w:p>
    <w:p>
      <w:pPr>
        <w:spacing w:after="0" w:line="1"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We and our licensors rely on confidentiality agreements to protect unpatented know-how, technology and other proprietary information related to our product and process, to maintain our competitive position. For example, our licensor Rakuten (previously LI-COR) maintains its manufacture of IRDye 700DX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dye molecules (used in bel-sar)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bel-sar.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p>
    <w:p>
      <w:pPr>
        <w:spacing w:after="0" w:line="18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or subject to unauthorized access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cybersecurity incident or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6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Competition for skilled personnel in our industry is intense and may limit our ability to hire and retain highly qualified personnel on acceptable terms, in a timely manner or at all. In particular, we have experienced a very competitive hiring environment in the Boston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p>
    <w:p>
      <w:pPr>
        <w:spacing w:after="0" w:line="18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jc w:val="both"/>
        <w:ind w:firstLine="509"/>
        <w:spacing w:after="0" w:line="24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us or our investors.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 For example, under Section 174 of the Code, in taxable years beginning after December 31, 2021, expenses that are incurred for research and development in the U.S. will be capitalized and amortized, which may have an adverse effect on our cash flow.</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contractors, consultants or others who process sensitive information on our behalf, may fail or suffer cybersecurity incidents or breaches,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p>
    <w:p>
      <w:pPr>
        <w:spacing w:after="0" w:line="3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the ordinary course of our business, we may collect, store and transmit confidential information, including intellectual property, proprietary business information and personal information (including health information). We have established safeguards to do so in a secure manner in an effort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infrastructure, and those of our CROs and other third parties on which we rely, are vulnerable to damage from computer viruses, unauthorized access and misuse,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cybersecurity incidents or breaches from inadvertent or intentional actions (such as error or theft) by our employees, contractors, consultants, business partners, and/or other third parties, phishing attacks, ransomware, denial-of-service attacks, social engineering schemes (including phishing attacks) and other means that affect service reliability and threaten the confidentiality, integrity and availability of information), which may compromise our system infrastructure as well as lead to unauthorized access, disclosure, misuse or acquisition of information. Cyberattacks generally are increasing in their frequency, sophistication and intensity. The techniques used to sabotage or to obtain unauthorized access to our information technology systems or those upon whom we rely on to process our information change frequently, and we may be unable to anticipate such techniques or implement adequate preventative measures or to stop or to adequately address cybersecurity incidents or breaches in all instances. The recovery systems, security protocols, network protection mechanisms and other security measures that we have integrated into our information technology systems, which are designed to protect against, detect and minimize cybersecurity incidents or breaches, may not be adequate to prevent or detect or adequately address service interruption, system failure or data loss.</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Significant disruptions of our information technology systems or cybersecurity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as a result of increased hybrid work, a significant number of our employees and partners are working remotely, which increases the risk of a cybersecurity incident or breach or other data and cybersecurity issues. To the extent that any disruption or cybersecurity incident or breach results in a loss of, or damage to, our data or applications, or inappropriate disclosure or misuse of or access to confidential or proprietary information, we could incur liability and the further development of our future product candidates could be delayed.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ind w:firstLine="509"/>
        <w:spacing w:after="0" w:line="238" w:lineRule="auto"/>
        <w:rPr>
          <w:sz w:val="20"/>
          <w:szCs w:val="20"/>
          <w:color w:val="auto"/>
        </w:rPr>
      </w:pPr>
      <w:r>
        <w:rPr>
          <w:rFonts w:ascii="Arial" w:cs="Arial" w:eastAsia="Arial" w:hAnsi="Arial"/>
          <w:sz w:val="18"/>
          <w:szCs w:val="18"/>
          <w:color w:val="auto"/>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cybersecurity incidents and breaches. Failure to prevent or mitigate cyberattacks could result in unauthorized access to data, including personal data. Most jurisdictions have enacted laws requiring companies to notify individuals, regulatory authorities, and others of cybersecurity incidents or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cybersecurity incident or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cybersecurity incident or breach. In addition, our efforts to contain or remediate a cybersecurity incident or any vulnerability exploited to cause an incident may be unsuccessful, and efforts and any related failures to contain or remediate them could result in interruptions, delays, harm to our reputation, and increases to our insurance coverage.</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litigation resulting from cybersecurity incidents or breaches may adversely affect our business. Unauthorized access to our information technology systems or infrastructure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cybersecurity incident or breach were to occur and the confidentiality, integrity or availability of our data or the data of our collaborators were disrupted, we could incur significant liability, which could negatively affect our business and damage our reputation.</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Furthermore, we may not have adequate insurance coverage or otherwise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p>
    <w:p>
      <w:pPr>
        <w:spacing w:after="0" w:line="2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Regulation of data (including personal and clinical trial data) is evolving, as federal, state, and foreign governments continue to adopt new, or modify existing, laws and regulations addressing data privacy and security, 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jc w:val="both"/>
        <w:ind w:firstLine="509"/>
        <w:spacing w:after="0" w:line="238" w:lineRule="auto"/>
        <w:rPr>
          <w:sz w:val="20"/>
          <w:szCs w:val="20"/>
          <w:color w:val="auto"/>
        </w:rPr>
      </w:pPr>
      <w:r>
        <w:rPr>
          <w:rFonts w:ascii="Arial" w:cs="Arial" w:eastAsia="Arial" w:hAnsi="Arial"/>
          <w:sz w:val="18"/>
          <w:szCs w:val="18"/>
          <w:color w:val="auto"/>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HIPAA, as amended by the Health Information Technology for Economic and Clinical Health Act. Depending on the facts and circumstances, we could be subject to significant penalties if we violate HIPAA. Additionally, we could be subject to criminal penalties if we knowingly obtain, use, or disclose individually identifiable health information maintained by a HIPAA-covered entity in a manner that is not authorized or permitted by HIPAA.</w:t>
      </w:r>
    </w:p>
    <w:p>
      <w:pPr>
        <w:spacing w:after="0" w:line="18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CCPA, which went into effect on January 1, 2020, established a comprehensive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Although there are limited exemptions for protected health information covered under HIPAA and clinical trial data, the CCPA may increase our compliance costs and potential liability. The CCPA was expanded on January 1, 2023, when the California Privacy Rights Act of 2020, or CPRA, became operative. The amendments introduced by the CPRA expanded the scope of the CCPA in a number of ways, including by providing California residents the ability to limit use of certain sensitive information, establishing restrictions on the retention of personal data, expanding the types of data breaches subject to the CCPA’s private right of action and establishing a California Privacy Protection Agency to implement and enforce the legislation.</w:t>
      </w:r>
    </w:p>
    <w:p>
      <w:pPr>
        <w:spacing w:after="0" w:line="18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Similar comprehensive consumer privacy laws have been passed in numerous other states and a number of other states have proposed new privacy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In addition, laws in all 50 U.S. states require businesses to provide notice to individuals if certain of their personal information has been disclosed as a result of a qualifying data breach or cybersecurity incident. There are also states that are specifically regulating health information. For example, Washington state recently passed a health privacy law that will regulate the collection and sharing of health information, and the law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 These laws demonstrate our vulnerability to the evolving regulatory environment related to personal data. As we expand our operations, these and similar laws may increase our compliance costs and potential liability.</w:t>
      </w:r>
    </w:p>
    <w:p>
      <w:pPr>
        <w:spacing w:after="0" w:line="1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Foreign data protection laws, such as, without limitation, the EU GDPR, the EU member state implementing legislation, and the UK GDPR, may also apply to health-related and other personal data that we process, including, without limitation, personal data relating to clinical trial participants. The GDPR imposes strict obligations on the ability to process health-related and other personal data, including in relation to security (which requires the adoption of administrative, physical and technical safeguards designed to protect such information), collection, use and transfer or personal data. These obligations include, without limitation, several requirements relating to transparency related to communications with data subjects regarding the processing of their personal data, ensuring an appropriate legal basis or conditions applies to the processing of personal data, limitations on the retention of personal data, increased requirements pertaining to health data,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international transfer of personal data.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jc w:val="both"/>
        <w:ind w:firstLine="509"/>
        <w:spacing w:after="0" w:line="237" w:lineRule="auto"/>
        <w:rPr>
          <w:sz w:val="20"/>
          <w:szCs w:val="20"/>
          <w:color w:val="auto"/>
        </w:rPr>
      </w:pPr>
      <w:r>
        <w:rPr>
          <w:rFonts w:ascii="Arial" w:cs="Arial" w:eastAsia="Arial" w:hAnsi="Arial"/>
          <w:sz w:val="18"/>
          <w:szCs w:val="18"/>
          <w:color w:val="auto"/>
        </w:rPr>
        <w:t>The GDPR imposes strict rules on the transfer of personal data out of the EEA and UK to other regions outside the EEA/UK, or third countries, that have not been deemed to offer “adequate” privacy protections by the competent data protection authorities, including the United States in certain circumstances, unless a derogation exists or adequate international transfer safeguards (for example, the European Commission approved Standard Contractual Clauses, or the EU SCCs, and the UK International Data Transfer Agreement/Addendum, or the UK IDTA) are put in place. Where relying on the EU SCCs or UK IDTA for data transfers, we may also be required to carry out transfer impact assessments on the transfers made pursuant to the EU SCCs and UK IDTA, on a case-by-case basis, to ensure the law in the recipient country provides “essentially equivalent” protections to safeguard the transferred personal data as provided in the EEA and UK, and may be required to adopt supplementary measures if this standard is not met. Further, the EU and United States have adopted its adequacy decision for the EU-U.S. Data Privacy Framework, 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 Any inability to process or transfer personal data from the EEA to the United States in compliance with data protection laws may impede our ability to conduct trials and may adversely affect our business and financial position.</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Although the UK is regarded as one of the third countries under the EU GDPR, the European Commission has adopted an adequacy decision in favor of the UK, enabling data transfers from EEA member states to the UK without additional safeguards. The UK government has confirmed that personal data transfers from the UK to the EEA remain free flowing. The UK Government has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In addition, EEA Member States have adopted national laws to implement the GDPR that may partially deviate from the GDPR. Further, the competent authorities in the EEA Member States interpret GDPR obligations slightly differently from country to country (particularly in relation to the processing of health data) and therefore we do not expect to operate in a uniform legal landscape in the EEA. The potential of the respective provisions and enforcement of the EU GDPR and UK GDPR further diverging in the future creates additional regulatory challenges and uncertainties for us.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(£17.5 million under UK GDPR) or 4% of their worldwide annual turnover, or revenue. Additionally, regulators could prohibit our use of personal data subject to the GDPR. The GDPR also confers a private right of action on data subjects and consumer associations to lodge complaints with supervisory authorities, seek judicial remedies, and obtain compensation for damages resulting from infringement of the GDPR. The GDPR has increased our responsibility and potential liability in relation to personal data that we process, requiring us to put in place additional mechanisms to comply with the GDPR and other foreign data protection requirements.</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ind w:firstLine="509"/>
        <w:spacing w:after="0" w:line="237" w:lineRule="auto"/>
        <w:rPr>
          <w:sz w:val="20"/>
          <w:szCs w:val="20"/>
          <w:color w:val="auto"/>
        </w:rPr>
      </w:pPr>
      <w:r>
        <w:rPr>
          <w:rFonts w:ascii="Arial" w:cs="Arial" w:eastAsia="Arial" w:hAnsi="Arial"/>
          <w:sz w:val="18"/>
          <w:szCs w:val="18"/>
          <w:color w:val="auto"/>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cybersecurity incidents or data breaches. Moreover, clinical trial participants or patients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 Any of the foregoing could have a material adverse effect on our business, financial condition, results of operations and prospects.</w:t>
      </w:r>
    </w:p>
    <w:p>
      <w:pPr>
        <w:spacing w:after="0" w:line="184"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integrate generative artificial intelligence tools into our systems for specific use cases reviewed by legal and information security. In addition,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We also expect to see increasing government and supranational regulation related to artificial intelligence use and ethics, which may also significantly increase the burden and cost of research, development and compliance in this area. For example, the EU’s Artificial Intelligence Act, or the AI Act, the world’s first comprehensive AI law, is anticipated to enter into force in Spring 2024 and, with some exceptions, become effective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Any future acquisitions, in-licensing or strategic partnerships may increase our capital requirements, dilute our stockholders, divert our management’s attention, cause us to incur debt or assume contingent liabilities and subject us to other risks.</w:t>
      </w:r>
    </w:p>
    <w:p>
      <w:pPr>
        <w:spacing w:after="0" w:line="139"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indebtedness or contingent liabilities;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ind w:left="1020" w:hanging="503"/>
        <w:spacing w:after="0" w:line="252"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spend substantial operational, financial and management resources in integrating new businesses, technologies and products;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5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or the third parties upon whom we depend on may be adversely affected by natural disasters and our business continuity and disaster recovery plans may not adequately protect us from a serious disaster.</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p>
    <w:p>
      <w:pPr>
        <w:spacing w:after="0" w:line="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4" w:name="page65"/>
    <w:bookmarkEnd w:id="64"/>
    <w:p>
      <w:pPr>
        <w:jc w:val="both"/>
        <w:spacing w:after="0" w:line="272"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p>
    <w:p>
      <w:pPr>
        <w:spacing w:after="0" w:line="1"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any current or future product candidates that we may develop;</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 and significant negative media attention;</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costs to defend the related litigation;</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 diversion of management’s time and resources;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trial participants or patients;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stock price;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current or future product candidates that we may develop.</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While we maintain product liability insurance, we anticipate that we will need to increase our insurance coverage as we conduct additional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 -compliance,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6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Based on the beneficial ownership of our common stock as of March 31, 2024, our executive officers, directors, holders of 5% or more of our capital stock and their respective affiliates beneficially owned approximately 51.1%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6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Under Section 382 of the Internal Revenue Code of 1986, as amended, or the Code, if a corporation undergoes an “ownership change” (generally defined as a greater than 50 percentage point change (by value) in the ownership of its equity over a three year period), the corporation’s ability to use its pre-change net operating loss, or NOL, carryforwards and certain other pre-change tax attributes to offset its post-change income may be limited. We may have experienced such ownership changes in the past, and we may experience ownership changes in the future as a result of subsequent shifts in our stock ownership, some of which are outside our control. Our gross operating losses and tax credits may also be impaired or restricted under state law. As of December 31, 2023, we had federal gross operating loss carryforwards of approximately $174.4 million, state gross operating loss carryforwards of $148.5 million, and foreign gross operating loss carryforwards of $0.1 million. Furthermore, our ability to utilize our NOLs or credits is conditioned upon our attaining profitability and generating the U.S. federal and state taxable income. As a result, the amount of the gross operating loss and tax credit carryforwards presented in our financial statements could be limited and may expire unutilized. Under current law, unused U.S. federal gross operating loss carryforwards generated in taxable years beginning after December 31, 2017 are not subject to expiration and may be carried forward indefinitely. For taxable years beginning after December 31, 2020, however, the deductibility of such U.S. federal NOLs is limited to 80% of our taxable income in such taxable years.</w:t>
      </w:r>
    </w:p>
    <w:p>
      <w:pPr>
        <w:spacing w:after="0" w:line="18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ind w:right="20"/>
        <w:spacing w:after="0" w:line="272"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the level of expense related to the ongoing development of bel-sar or future development programs;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ind w:left="1020" w:hanging="503"/>
        <w:spacing w:after="0" w:line="252"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ind w:left="1020" w:hanging="503"/>
        <w:spacing w:after="0" w:line="257"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and departures of key personnel;</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market and economic conditions, including inflationary pressures.</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amended and restated bylaws (including the interpretation, validity or enforceability thereof) or (iv) any action asserting a claim that is governed by the internal affairs doctrine, or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7" w:name="page68"/>
    <w:bookmarkEnd w:id="67"/>
    <w:p>
      <w:pPr>
        <w:jc w:val="both"/>
        <w:ind w:firstLine="509"/>
        <w:spacing w:after="0" w:line="253" w:lineRule="auto"/>
        <w:rPr>
          <w:sz w:val="20"/>
          <w:szCs w:val="20"/>
          <w:color w:val="auto"/>
        </w:rPr>
      </w:pPr>
      <w:r>
        <w:rPr>
          <w:rFonts w:ascii="Arial" w:cs="Arial" w:eastAsia="Arial" w:hAnsi="Arial"/>
          <w:sz w:val="18"/>
          <w:szCs w:val="18"/>
          <w:color w:val="auto"/>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amended and restated bylaws and under Delaware law could make an acquisition of us, which may be beneficial to our stockholders, more difficult and may prevent attempts by our stockholders to replace or remove our current management and, therefore, decrease the trading price of our common stock.</w:t>
      </w:r>
    </w:p>
    <w:p>
      <w:pPr>
        <w:spacing w:after="0" w:line="17"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Our tenth amended and restated certificate of incorporation and amended and restated bylaws contain provisions that could delay or prevent a change of control of our company or changes in our board of directors, or Board, that our stockholders might consider favorable. Some of these provisions include:</w:t>
      </w:r>
    </w:p>
    <w:p>
      <w:pPr>
        <w:spacing w:after="0" w:line="1" w:lineRule="exact"/>
        <w:rPr>
          <w:sz w:val="20"/>
          <w:szCs w:val="20"/>
          <w:color w:val="auto"/>
        </w:rPr>
      </w:pPr>
    </w:p>
    <w:p>
      <w:pPr>
        <w:ind w:left="1020" w:right="20" w:hanging="503"/>
        <w:spacing w:after="0" w:line="257"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 Board divided into three classes serving staggered three-year terms, such that not all members of the Board will be elected at one time;</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jc w:val="both"/>
        <w:ind w:left="1020" w:hanging="503"/>
        <w:spacing w:after="0" w:line="246"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requirements for stockholder proposals and nominations for election to our Board;</w:t>
      </w:r>
    </w:p>
    <w:p>
      <w:pPr>
        <w:spacing w:after="0" w:line="48" w:lineRule="exact"/>
        <w:rPr>
          <w:rFonts w:ascii="Times New Roman" w:cs="Times New Roman" w:eastAsia="Times New Roman" w:hAnsi="Times New Roman"/>
          <w:sz w:val="18"/>
          <w:szCs w:val="18"/>
          <w:color w:val="auto"/>
        </w:rPr>
      </w:pPr>
    </w:p>
    <w:p>
      <w:pPr>
        <w:jc w:val="both"/>
        <w:ind w:left="1020" w:right="20" w:hanging="503"/>
        <w:spacing w:after="0" w:line="248"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w:t>
      </w:r>
    </w:p>
    <w:p>
      <w:pPr>
        <w:spacing w:after="0" w:line="1"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authority of the Board to issue preferred stock on terms determined by the Board without stockholder approval, which preferred stock may include rights superior to the rights of the holders of common stock.</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tenth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acquire shares of our common stock, could result in additional dilution to the ownership of our stockholders and cause the market price of our common stock to decline significantly.</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be granted rights superior to our existing stockholders. In March 2024, we filed a registration statement on Form S-3 relating to the registration of our common stock, preferred stock, debt securities, warrants and units or any combination thereof. Concurrently with the filing of such registration statement, we filed an “at-the-market” offering prospectus supplement, which provides for the offering, issuance and sale by us of shares of our common stock from time to time for aggregate gross proceeds of up to $75 million in sales deemed to be “at-the-market offerings” as defined by the Securities Act. Any sale or issuance of securities pursuant to this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jc w:val="both"/>
        <w:ind w:firstLine="509"/>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March 31, 2024, we have 49,504,405 shares of common stock outstanding. Significant portions of these shares are held by a small number of stockholders, including persons who were our stockholders prior to our IPO. Sales by our stockholders of a substantial number of shares, or the expectation that such sales may occur, could significantly reduce the market price of our common stock. Moreover, certain shares of our common stock have rights, subject to conditions, to require us to file registration statements covering their shares or to include their shares in registration statements that we may file for ourselves or other stockholders. We have also registered or intend to register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our directors, executive officers and certain affiliates may establish programmed selling plans under Rule 10b5-1 of the Exchange Act for the purpose of effecting sales of our common stock. If any of these events cause a large number of our shares to be sold, or if it is perceived that they will be sold, in the public market, the market price of our common stock could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6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company’s current and projected business operations and its financial condition and results of operations.</w:t>
      </w:r>
    </w:p>
    <w:p>
      <w:pPr>
        <w:spacing w:after="0" w:line="11"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16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jc w:val="both"/>
        <w:ind w:firstLine="509"/>
        <w:spacing w:after="0" w:line="239" w:lineRule="auto"/>
        <w:rPr>
          <w:sz w:val="20"/>
          <w:szCs w:val="20"/>
          <w:color w:val="auto"/>
        </w:rPr>
      </w:pPr>
      <w:r>
        <w:rPr>
          <w:rFonts w:ascii="Arial" w:cs="Arial" w:eastAsia="Arial" w:hAnsi="Arial"/>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83"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loss of access to revolving existing credit facilities or other working capital sources and/or the inability to refund, roll over or extend the maturity of, or enter into new credit facilities or other working capital resources;</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breach of contractual obligations that require us to maintain letters of credit or other credit support arrangements;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breach of financial covenants in our credit agreements or credit arrangements;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cross-defaults in other credit agreements, credit arrangements or operating or financing agreements; or</w:t>
      </w:r>
    </w:p>
    <w:p>
      <w:pPr>
        <w:spacing w:after="0" w:line="48"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cash management arrangements and/or delays in accessing or actual loss of funds subject to cash management arrangements.</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our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material adverse impacts on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which began in 2020, caused significant volatility and uncertainty in the U.S. and international markets. In addition, the current military conflict between Russia and Ukraine and the armed conflict in Israel and the Gaza Strip could disrupt or otherwise adversely impact our operations and those of third parties upon which we rely. Related sanctions, export controls or other actions that may be initiated by nations including the United States, the EU or Russia (e.g., potential cyberattacks, disruption of energy flows, etc.), which could adversely affect our business and/or our supply chain, our CROs, CDMOs and other third parties with which we conduct business. A severe or prolonged economic downturn or political unrest could result in a variety of risks to our business, including but not limited to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employees, independent contractors, consultants, academic collaborators, partners and vendors may engage in misconduct or other improper activities, including noncompliance with regulatory standards and requirements.</w:t>
      </w:r>
    </w:p>
    <w:p>
      <w:pPr>
        <w:spacing w:after="0" w:line="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exposed to the risk of employee fraud or other illegal activity by our employees, independent contractors, consultants, academic collaborators, partners and vendors. Misconduct by these parties could include intentional, reckless and/or negligent conduct that fails to comply with the laws of the FDA, the EMA and comparable foreign regulatory authorities, provide true, complete and accurate information to the FDA, the EMA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academic collaborators, partners and vendors, and the precautions we take to detect and prevent such activities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as amended, or Section 404,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IPO, (b) in which we have total annual gross revenue of at least $1.235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71" w:name="page72"/>
    <w:bookmarkEnd w:id="71"/>
    <w:p>
      <w:pPr>
        <w:jc w:val="both"/>
        <w:ind w:firstLine="509"/>
        <w:spacing w:after="0" w:line="242"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trading price of our common stock is highly volatile and subject to wide fluctuations in response to various factors, some of which we cannot control. As a result of this volatility, you may not be able to sell your common stock at or above the price you paid for your common stock. The market price for our common stock may be influenced by many factors, including the other risks described in the section of this Quarterly Report on Form 10-Q titled “Risk Factors” and the following:</w:t>
      </w:r>
    </w:p>
    <w:p>
      <w:pPr>
        <w:spacing w:after="0" w:line="2" w:lineRule="exact"/>
        <w:rPr>
          <w:sz w:val="20"/>
          <w:szCs w:val="20"/>
          <w:color w:val="auto"/>
        </w:rPr>
      </w:pPr>
    </w:p>
    <w:p>
      <w:pPr>
        <w:ind w:left="1020" w:hanging="503"/>
        <w:spacing w:after="0" w:line="257"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preclinical studies and results or enrollment of clinical trials of bel-sar or our future product candidates, or those of our potential future competitors or our existing or future collaborators;</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future competitive products or technologies;</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1"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actions taken by regulatory agencies with respect to our products, clinical trials, manufacturing process or sales and marketing terms;</w:t>
      </w: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3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concerning any future collaborations, including but not limited to those with our sources of manufacturing supply and our commercialization partners;</w:t>
      </w: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39"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bel-sar or our future product candidates and products;</w:t>
      </w: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3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ind w:left="1020" w:hanging="503"/>
        <w:spacing w:after="0" w:line="255"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ind w:left="1020" w:hanging="503"/>
        <w:spacing w:after="0" w:line="252"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and expectation of additional financing efforts;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speculation in the press or investment community;</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trading volume of our common stock;</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or our stockholders;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concentrated ownership of our common stock;</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principles;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pandemics and other calamities;</w:t>
      </w:r>
    </w:p>
    <w:p>
      <w:pPr>
        <w:spacing w:after="0" w:line="35"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acts of war or periods of widespread civil unrest, including the increasingly volatile global economic conditions resulting from the Russia-Ukraine conflict and Israel-Hamas conflict;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including inflationary pressures.</w:t>
      </w:r>
    </w:p>
    <w:p>
      <w:pPr>
        <w:spacing w:after="0" w:line="2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devotes substantial time to compliance initiatives.</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73" w:name="page74"/>
    <w:bookmarkEnd w:id="73"/>
    <w:p>
      <w:pPr>
        <w:jc w:val="both"/>
        <w:ind w:firstLine="509"/>
        <w:spacing w:after="0" w:line="237" w:lineRule="auto"/>
        <w:rPr>
          <w:sz w:val="20"/>
          <w:szCs w:val="20"/>
          <w:color w:val="auto"/>
        </w:rPr>
      </w:pPr>
      <w:r>
        <w:rPr>
          <w:rFonts w:ascii="Arial" w:cs="Arial" w:eastAsia="Arial" w:hAnsi="Arial"/>
          <w:sz w:val="18"/>
          <w:szCs w:val="18"/>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Global economic uncertainty and unfavorable global economic conditions caused by political instability, changes in trade agreements and conflicts, such as the Russia-Ukraine and Israel-Hamas conflicts, could adversely affect our business, financial condition, results of operations or prospects.</w:t>
      </w:r>
    </w:p>
    <w:p>
      <w:pPr>
        <w:spacing w:after="0" w:line="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business, financial condition, results of operations or prospects could be adversely affected by general conditions in the global economy and in the global financial markets. A severe or prolonged economic downturn, increased inflation, economic uncertainties in various global markets caused by political instability and conflict, such as the Russia-Ukraine and Israel-Hamas conflicts, or additional global financial crises, could result in a variety of risks to our business, including weakened demand for our product candidates, if approved, or our inability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63" w:lineRule="exact"/>
        <w:rPr>
          <w:sz w:val="20"/>
          <w:szCs w:val="20"/>
          <w:color w:val="auto"/>
        </w:rPr>
      </w:pPr>
    </w:p>
    <w:p>
      <w:pPr>
        <w:ind w:left="520" w:right="6960" w:hanging="512"/>
        <w:spacing w:after="0" w:line="350" w:lineRule="auto"/>
        <w:tabs>
          <w:tab w:leader="none" w:pos="281"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Equity Securities </w:t>
      </w:r>
      <w:r>
        <w:rPr>
          <w:rFonts w:ascii="Arial" w:cs="Arial" w:eastAsia="Arial" w:hAnsi="Arial"/>
          <w:sz w:val="18"/>
          <w:szCs w:val="18"/>
          <w:color w:val="auto"/>
        </w:rPr>
        <w:t>None.</w:t>
      </w:r>
    </w:p>
    <w:p>
      <w:pPr>
        <w:spacing w:after="0" w:line="84" w:lineRule="exact"/>
        <w:rPr>
          <w:rFonts w:ascii="Arial" w:cs="Arial" w:eastAsia="Arial" w:hAnsi="Arial"/>
          <w:sz w:val="18"/>
          <w:szCs w:val="18"/>
          <w:b w:val="1"/>
          <w:bCs w:val="1"/>
          <w:color w:val="auto"/>
        </w:rPr>
      </w:pPr>
    </w:p>
    <w:p>
      <w:pPr>
        <w:ind w:left="520" w:right="5320" w:hanging="512"/>
        <w:spacing w:after="0" w:line="365" w:lineRule="auto"/>
        <w:tabs>
          <w:tab w:leader="none" w:pos="291"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the Initial Public Offering of Common Stock </w:t>
      </w:r>
      <w:r>
        <w:rPr>
          <w:rFonts w:ascii="Arial" w:cs="Arial" w:eastAsia="Arial" w:hAnsi="Arial"/>
          <w:sz w:val="18"/>
          <w:szCs w:val="18"/>
          <w:color w:val="auto"/>
        </w:rPr>
        <w:t>None.</w:t>
      </w:r>
    </w:p>
    <w:p>
      <w:pPr>
        <w:spacing w:after="0" w:line="72" w:lineRule="exact"/>
        <w:rPr>
          <w:rFonts w:ascii="Arial" w:cs="Arial" w:eastAsia="Arial" w:hAnsi="Arial"/>
          <w:sz w:val="18"/>
          <w:szCs w:val="18"/>
          <w:b w:val="1"/>
          <w:bCs w:val="1"/>
          <w:color w:val="auto"/>
        </w:rPr>
      </w:pPr>
    </w:p>
    <w:p>
      <w:pPr>
        <w:ind w:left="280" w:hanging="272"/>
        <w:spacing w:after="0"/>
        <w:tabs>
          <w:tab w:leader="none" w:pos="2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Purchases of Equity Securities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Insider Trading Arrangements</w:t>
      </w:r>
    </w:p>
    <w:p>
      <w:pPr>
        <w:spacing w:after="0" w:line="6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None of our directors or officers, as defined in Rule 16a-1(f) under the Securities Act, adopted or terminated a Rule 10b5-1 trading arrangement or a non-Rule 10b5-1 trading arrangement, as defined in Item 408(c) of Regulation S-K, during the quarter ended March 31, 2024.</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gridSpan w:val="16"/>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16"/>
          </w:tcPr>
          <w:p>
            <w:pPr>
              <w:spacing w:after="0" w:line="169" w:lineRule="exact"/>
              <w:rPr>
                <w:rFonts w:ascii="Arial" w:cs="Arial" w:eastAsia="Arial" w:hAnsi="Arial"/>
                <w:sz w:val="18"/>
                <w:szCs w:val="18"/>
                <w:color w:val="0000FF"/>
              </w:rPr>
            </w:pPr>
            <w:hyperlink r:id="rId221">
              <w:r>
                <w:rPr>
                  <w:rFonts w:ascii="Arial" w:cs="Arial" w:eastAsia="Arial" w:hAnsi="Arial"/>
                  <w:sz w:val="18"/>
                  <w:szCs w:val="18"/>
                  <w:color w:val="0000FF"/>
                </w:rPr>
                <w:t>Tenth Amended and Restated Certificate of Incorporation of Registrant, as currently in effect (incorporated by reference to</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4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221">
              <w:r>
                <w:rPr>
                  <w:rFonts w:ascii="Arial" w:cs="Arial" w:eastAsia="Arial" w:hAnsi="Arial"/>
                  <w:sz w:val="18"/>
                  <w:szCs w:val="18"/>
                  <w:color w:val="0000FF"/>
                  <w:w w:val="99"/>
                </w:rPr>
                <w:t>Exhibit 3.1 of the Registrant’s Annual Report on Form 10-K (File No. 001-40971) filed on March 23, 2022).</w:t>
              </w:r>
            </w:hyperlink>
          </w:p>
        </w:tc>
        <w:tc>
          <w:tcPr>
            <w:tcW w:w="20" w:type="dxa"/>
            <w:vAlign w:val="bottom"/>
            <w:tcBorders>
              <w:top w:val="single" w:sz="8" w:color="0000FF"/>
              <w:bottom w:val="single" w:sz="8" w:color="0000EE"/>
            </w:tcBorders>
          </w:tcPr>
          <w:p>
            <w:pPr>
              <w:spacing w:after="0"/>
              <w:rPr>
                <w:sz w:val="15"/>
                <w:szCs w:val="15"/>
                <w:color w:val="auto"/>
              </w:rPr>
            </w:pPr>
          </w:p>
        </w:tc>
        <w:tc>
          <w:tcPr>
            <w:tcW w:w="1280" w:type="dxa"/>
            <w:vAlign w:val="bottom"/>
            <w:tcBorders>
              <w:top w:val="single" w:sz="8" w:color="0000FF"/>
            </w:tcBorders>
            <w:gridSpan w:val="4"/>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6"/>
          </w:tcPr>
          <w:p>
            <w:pPr>
              <w:spacing w:after="0" w:line="196" w:lineRule="exact"/>
              <w:rPr>
                <w:rFonts w:ascii="Arial" w:cs="Arial" w:eastAsia="Arial" w:hAnsi="Arial"/>
                <w:sz w:val="18"/>
                <w:szCs w:val="18"/>
                <w:color w:val="0000FF"/>
              </w:rPr>
            </w:pPr>
            <w:hyperlink r:id="rId222">
              <w:r>
                <w:rPr>
                  <w:rFonts w:ascii="Arial" w:cs="Arial" w:eastAsia="Arial" w:hAnsi="Arial"/>
                  <w:sz w:val="18"/>
                  <w:szCs w:val="18"/>
                  <w:color w:val="0000FF"/>
                </w:rPr>
                <w:t>Amended and Restated Bylaws of Registrant, as currently in effect (incorporated by reference to Exhibit 3.2 of the</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0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222">
              <w:r>
                <w:rPr>
                  <w:rFonts w:ascii="Arial" w:cs="Arial" w:eastAsia="Arial" w:hAnsi="Arial"/>
                  <w:sz w:val="18"/>
                  <w:szCs w:val="18"/>
                  <w:color w:val="0000FF"/>
                </w:rPr>
                <w:t>Registrant’s Annual Report on Form 10-K (File No. 001-40971) filed on March 23, 2022).</w:t>
              </w:r>
            </w:hyperlink>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6"/>
          </w:tcPr>
          <w:p>
            <w:pPr>
              <w:spacing w:after="0" w:line="196" w:lineRule="exact"/>
              <w:rPr>
                <w:rFonts w:ascii="Arial" w:cs="Arial" w:eastAsia="Arial" w:hAnsi="Arial"/>
                <w:sz w:val="18"/>
                <w:szCs w:val="18"/>
                <w:color w:val="0000FF"/>
              </w:rPr>
            </w:pPr>
            <w:hyperlink r:id="rId223">
              <w:r>
                <w:rPr>
                  <w:rFonts w:ascii="Arial" w:cs="Arial" w:eastAsia="Arial" w:hAnsi="Arial"/>
                  <w:sz w:val="18"/>
                  <w:szCs w:val="18"/>
                  <w:color w:val="0000FF"/>
                </w:rPr>
                <w:t>Fifth Amended and Restated Investors’ Rights Agreement (incorporated by reference to Exhibit 4.2 to the Registrant’s</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223">
              <w:r>
                <w:rPr>
                  <w:rFonts w:ascii="Arial" w:cs="Arial" w:eastAsia="Arial" w:hAnsi="Arial"/>
                  <w:sz w:val="18"/>
                  <w:szCs w:val="18"/>
                  <w:color w:val="0000FF"/>
                </w:rPr>
                <w:t>Registration Statement on Form S-1, as amended (File No. 333-260156) filed on October 8, 2021)</w:t>
              </w:r>
              <w:r>
                <w:rPr>
                  <w:rFonts w:ascii="Arial" w:cs="Arial" w:eastAsia="Arial" w:hAnsi="Arial"/>
                  <w:sz w:val="18"/>
                  <w:szCs w:val="18"/>
                  <w:color w:val="000000"/>
                </w:rPr>
                <w:t>.</w:t>
              </w:r>
            </w:hyperlink>
          </w:p>
        </w:tc>
        <w:tc>
          <w:tcPr>
            <w:tcW w:w="3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tcBorders>
              <w:top w:val="single" w:sz="8" w:color="0000FF"/>
            </w:tcBorders>
            <w:gridSpan w:val="7"/>
          </w:tcPr>
          <w:p>
            <w:pPr>
              <w:spacing w:after="0" w:line="196" w:lineRule="exact"/>
              <w:rPr>
                <w:sz w:val="20"/>
                <w:szCs w:val="20"/>
                <w:color w:val="auto"/>
              </w:rPr>
            </w:pPr>
            <w:r>
              <w:rPr>
                <w:rFonts w:ascii="Arial" w:cs="Arial" w:eastAsia="Arial" w:hAnsi="Arial"/>
                <w:sz w:val="18"/>
                <w:szCs w:val="18"/>
                <w:color w:val="0000FF"/>
              </w:rPr>
              <w:t>Employment Offer Letter, dated March 12, 2024, by and between Conor Kilroy and the Registrant.</w:t>
            </w:r>
          </w:p>
        </w:tc>
        <w:tc>
          <w:tcPr>
            <w:tcW w:w="2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EE"/>
            </w:tcBorders>
            <w:gridSpan w:val="2"/>
            <w:shd w:val="clear" w:color="auto" w:fill="0000FF"/>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6"/>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600" w:type="dxa"/>
            <w:vAlign w:val="bottom"/>
            <w:tcBorders>
              <w:top w:val="single" w:sz="8" w:color="0000FF"/>
            </w:tcBorders>
            <w:gridSpan w:val="11"/>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6"/>
          </w:tcPr>
          <w:p>
            <w:pPr>
              <w:spacing w:after="0" w:line="196" w:lineRule="exact"/>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540" w:type="dxa"/>
            <w:vAlign w:val="bottom"/>
            <w:tcBorders>
              <w:top w:val="single" w:sz="8" w:color="0000FF"/>
            </w:tcBorders>
            <w:gridSpan w:val="10"/>
          </w:tcPr>
          <w:p>
            <w:pPr>
              <w:spacing w:after="0"/>
              <w:rPr>
                <w:sz w:val="15"/>
                <w:szCs w:val="15"/>
                <w:color w:val="auto"/>
              </w:rPr>
            </w:pPr>
          </w:p>
        </w:tc>
        <w:tc>
          <w:tcPr>
            <w:tcW w:w="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6"/>
          </w:tcPr>
          <w:p>
            <w:pPr>
              <w:spacing w:after="0" w:line="196" w:lineRule="exact"/>
              <w:rPr>
                <w:sz w:val="20"/>
                <w:szCs w:val="20"/>
                <w:color w:val="auto"/>
              </w:rPr>
            </w:pPr>
            <w:r>
              <w:rPr>
                <w:rFonts w:ascii="Arial" w:cs="Arial" w:eastAsia="Arial" w:hAnsi="Arial"/>
                <w:sz w:val="18"/>
                <w:szCs w:val="18"/>
                <w:color w:val="0000FF"/>
              </w:rPr>
              <w:t>Certification of Principal Executive Officer and Principal Financial Officer Pursuant to 18 U.S.C. Section 1350, as Adopted</w:t>
            </w: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Pursuant to Section 906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4900" w:type="dxa"/>
            <w:vAlign w:val="bottom"/>
            <w:tcBorders>
              <w:top w:val="single" w:sz="8" w:color="0000FF"/>
            </w:tcBorders>
            <w:gridSpan w:val="10"/>
          </w:tcPr>
          <w:p>
            <w:pPr>
              <w:spacing w:after="0"/>
              <w:rPr>
                <w:sz w:val="15"/>
                <w:szCs w:val="15"/>
                <w:color w:val="auto"/>
              </w:rPr>
            </w:pPr>
          </w:p>
        </w:tc>
        <w:tc>
          <w:tcPr>
            <w:tcW w:w="3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6"/>
          </w:tcPr>
          <w:p>
            <w:pPr>
              <w:spacing w:after="0" w:line="204" w:lineRule="exact"/>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34"/>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3700" w:firstLine="21"/>
        <w:spacing w:after="0" w:line="360" w:lineRule="auto"/>
        <w:tabs>
          <w:tab w:leader="none" w:pos="1215"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9512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 Indicates a management contract or any compensatory plan, contract or arrangement.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Certain information in this document (indicated by asterisks) has been excluded pursuant to Regulation S-K, Item 601(a)(6).</w:t>
      </w:r>
    </w:p>
    <w:p>
      <w:pPr>
        <w:spacing w:after="0" w:line="32" w:lineRule="exact"/>
        <w:rPr>
          <w:sz w:val="20"/>
          <w:szCs w:val="20"/>
          <w:color w:val="auto"/>
        </w:rPr>
      </w:pPr>
    </w:p>
    <w:p>
      <w:pPr>
        <w:jc w:val="both"/>
        <w:ind w:firstLine="8"/>
        <w:spacing w:after="0" w:line="253" w:lineRule="auto"/>
        <w:tabs>
          <w:tab w:leader="none" w:pos="1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Exchange Act nor shall they be deemed incorporated by reference in any filing under the Securities Act, except as shall be expressly set forth by specific reference in such filing.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Aura Biosciences, Inc.</w:t>
      </w:r>
    </w:p>
    <w:p>
      <w:pPr>
        <w:spacing w:after="0" w:line="225" w:lineRule="exact"/>
        <w:rPr>
          <w:sz w:val="20"/>
          <w:szCs w:val="20"/>
          <w:color w:val="auto"/>
        </w:rPr>
      </w:pPr>
    </w:p>
    <w:p>
      <w:pPr>
        <w:ind w:left="20"/>
        <w:spacing w:after="0"/>
        <w:tabs>
          <w:tab w:leader="none" w:pos="5660" w:val="left"/>
          <w:tab w:leader="none" w:pos="7700" w:val="left"/>
        </w:tabs>
        <w:rPr>
          <w:sz w:val="20"/>
          <w:szCs w:val="20"/>
          <w:color w:val="auto"/>
        </w:rPr>
      </w:pPr>
      <w:r>
        <w:rPr>
          <w:rFonts w:ascii="Arial" w:cs="Arial" w:eastAsia="Arial" w:hAnsi="Arial"/>
          <w:sz w:val="18"/>
          <w:szCs w:val="18"/>
          <w:color w:val="auto"/>
        </w:rPr>
        <w:t>Date: May 9,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17780</wp:posOffset>
            </wp:positionV>
            <wp:extent cx="32658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Elisabet de los Pinos</w:t>
      </w:r>
    </w:p>
    <w:p>
      <w:pPr>
        <w:spacing w:after="0" w:line="9"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7"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May 9,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17780</wp:posOffset>
            </wp:positionV>
            <wp:extent cx="32658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Julie Feder</w:t>
      </w:r>
    </w:p>
    <w:p>
      <w:pPr>
        <w:spacing w:after="0" w:line="9"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7" w:name="page78"/>
    <w:bookmarkEnd w:id="77"/>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278130</wp:posOffset>
            </wp:positionV>
            <wp:extent cx="1482725" cy="3943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148272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12,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Conor Kilroy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Offer of Employment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Conor,</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Following up on our discussions, the following represents our offer regarding your employment by Aura Biosciences, Inc. (the “Company”) as a full-time, “at will” employee.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 title and position will be General Counsel and Secretary and will report to the Chief Executive Officer.</w:t>
      </w:r>
    </w:p>
    <w:p>
      <w:pPr>
        <w:spacing w:after="0" w:line="202" w:lineRule="exact"/>
        <w:rPr>
          <w:sz w:val="20"/>
          <w:szCs w:val="20"/>
          <w:color w:val="auto"/>
        </w:rPr>
      </w:pPr>
    </w:p>
    <w:p>
      <w:pPr>
        <w:jc w:val="both"/>
        <w:ind w:left="1500" w:hanging="743"/>
        <w:spacing w:after="0" w:line="238" w:lineRule="auto"/>
        <w:tabs>
          <w:tab w:leader="none" w:pos="15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Salary and Expenses: </w:t>
      </w:r>
      <w:r>
        <w:rPr>
          <w:rFonts w:ascii="Times New Roman" w:cs="Times New Roman" w:eastAsia="Times New Roman" w:hAnsi="Times New Roman"/>
          <w:sz w:val="22"/>
          <w:szCs w:val="22"/>
          <w:color w:val="auto"/>
        </w:rPr>
        <w:t>Your compensation will be a starting salary of Four-Hundred and Forty Thousand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($440,000.00) Dollars per annum subject to any Company discretionary increase, (the “Base Salary”), which will be paid bi-weekly or in accordance with the Company’s normal payroll practices in effect from time to time. In accordance with Company policies and procedures, you will be reimbursed for all reasonable out-of-pocket expenses incurred by you on behalf of the Company, in accordance with Company policy.</w:t>
      </w:r>
    </w:p>
    <w:p>
      <w:pPr>
        <w:spacing w:after="0" w:line="17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Annual Bonuses:</w:t>
      </w:r>
    </w:p>
    <w:p>
      <w:pPr>
        <w:spacing w:after="0" w:line="210" w:lineRule="exact"/>
        <w:rPr>
          <w:rFonts w:ascii="Times New Roman" w:cs="Times New Roman" w:eastAsia="Times New Roman" w:hAnsi="Times New Roman"/>
          <w:sz w:val="22"/>
          <w:szCs w:val="22"/>
          <w:color w:val="auto"/>
        </w:rPr>
      </w:pPr>
    </w:p>
    <w:p>
      <w:pPr>
        <w:jc w:val="both"/>
        <w:ind w:left="150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eligible to receive an annual bonus targeted at 40% of your Base Salary based on the performance of the Company (the “Bonus”). The amount of the Bonus, if any, will be at the sole discretion of the Company. You must be employed on the date that the Bonus is paid to be eligible to receive the Bonus. Your Bonus will be paid no later than March 15 of the following calendar year.</w:t>
      </w:r>
    </w:p>
    <w:p>
      <w:pPr>
        <w:spacing w:after="0" w:line="176" w:lineRule="exact"/>
        <w:rPr>
          <w:rFonts w:ascii="Times New Roman" w:cs="Times New Roman" w:eastAsia="Times New Roman" w:hAnsi="Times New Roman"/>
          <w:sz w:val="22"/>
          <w:szCs w:val="22"/>
          <w:color w:val="auto"/>
        </w:rPr>
      </w:pPr>
    </w:p>
    <w:p>
      <w:pPr>
        <w:jc w:val="both"/>
        <w:ind w:left="1500" w:hanging="743"/>
        <w:spacing w:after="0" w:line="247" w:lineRule="auto"/>
        <w:tabs>
          <w:tab w:leader="none" w:pos="150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Equity: </w:t>
      </w:r>
      <w:r>
        <w:rPr>
          <w:rFonts w:ascii="Times New Roman" w:cs="Times New Roman" w:eastAsia="Times New Roman" w:hAnsi="Times New Roman"/>
          <w:sz w:val="21"/>
          <w:szCs w:val="21"/>
          <w:color w:val="auto"/>
        </w:rPr>
        <w:t>You will be eligible to be granted the following: One-Hundred and Forty-Four Thousand (144,000)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Options to purchase at the then fair market value, as determined on the date of the grant, and Ninety-Six Thousand (96,000) Restricted Stock Units (RSU’s). Both grants will be subject to the Company’s Equity Incentive Plan. The stock option price and the vesting terms will be outlined in your equity agreements that you will receive approximately 30 days from your hire date. Subject to the approval of the Company’s Board of Directors which will be addressed at the next regularly scheduled Board meeting, in addition to any other changes to the Company’s Equity Plan, your options will accelerate and fully vest in full upon the occurrence of a “Sale Event,” which means the consummation of (i) the dissolution or liquidation of the Company, (ii) the sale of all or substantially all of the assets of the Company on a consolidated basis to an unrelated person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78" w:name="page79"/>
    <w:bookmarkEnd w:id="78"/>
    <w:p>
      <w:pPr>
        <w:jc w:val="both"/>
        <w:ind w:left="743"/>
        <w:spacing w:after="0" w:line="234" w:lineRule="auto"/>
        <w:rPr>
          <w:sz w:val="20"/>
          <w:szCs w:val="20"/>
          <w:color w:val="auto"/>
        </w:rPr>
      </w:pPr>
      <w:r>
        <w:rPr>
          <w:rFonts w:ascii="Times New Roman" w:cs="Times New Roman" w:eastAsia="Times New Roman" w:hAnsi="Times New Roman"/>
          <w:sz w:val="22"/>
          <w:szCs w:val="22"/>
          <w:color w:val="auto"/>
        </w:rPr>
        <w:t>entity (a “Person”), (iii) a merger, reorganization or consolidation involving the Company in which the shares of the Company’s voting equity outstanding immediately prior to such transaction represent or are converted into or exchanged for securities of the surviving or resulting entity immediately upon completion of such transaction which represent less than fifty percent (50%) of the outstanding voting power of such surviving or resulting entity, (iv) the acquisition of all or a majority of the outstanding voting equity of the Company in a single transaction or a series of related transactions by a Person or a group of Persons, or (v) any other acquisition of the business of the Company, as determined by the Board; provided, however, that the Company’s initial public offering, any subsequent public offering or another capital raising event, or a merger effected solely to change the Company’s domicile shall not constitute a Sale Event.</w:t>
      </w:r>
    </w:p>
    <w:p>
      <w:pPr>
        <w:spacing w:after="0" w:line="179" w:lineRule="exact"/>
        <w:rPr>
          <w:sz w:val="20"/>
          <w:szCs w:val="20"/>
          <w:color w:val="auto"/>
        </w:rPr>
      </w:pPr>
    </w:p>
    <w:p>
      <w:pPr>
        <w:jc w:val="both"/>
        <w:ind w:left="743" w:hanging="743"/>
        <w:spacing w:after="0" w:line="252" w:lineRule="auto"/>
        <w:tabs>
          <w:tab w:leader="none" w:pos="74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Benefits</w:t>
      </w:r>
      <w:r>
        <w:rPr>
          <w:rFonts w:ascii="Times New Roman" w:cs="Times New Roman" w:eastAsia="Times New Roman" w:hAnsi="Times New Roman"/>
          <w:sz w:val="21"/>
          <w:szCs w:val="21"/>
          <w:color w:val="auto"/>
        </w:rPr>
        <w:t>: As a full-time employee, you will be entitled to health and dental insurance benefits currently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available (healthcare, dental and vision) for which you are eligible, and you may elect to cover your spouse and immediate family. During 2024, there is no employee contribution to premiums, but this is subject to change. We also offer a 401(k)retirement plan for which you will be eligible to participate, and the Company currently matches up to 6%. Further, you will be entitled to four (4) weeks of paid vacation, pro-rated on an annual basis.</w:t>
      </w:r>
    </w:p>
    <w:p>
      <w:pPr>
        <w:spacing w:after="0" w:line="163" w:lineRule="exact"/>
        <w:rPr>
          <w:rFonts w:ascii="Times New Roman" w:cs="Times New Roman" w:eastAsia="Times New Roman" w:hAnsi="Times New Roman"/>
          <w:sz w:val="21"/>
          <w:szCs w:val="21"/>
          <w:color w:val="auto"/>
        </w:rPr>
      </w:pPr>
    </w:p>
    <w:p>
      <w:pPr>
        <w:jc w:val="both"/>
        <w:ind w:left="743" w:hanging="743"/>
        <w:spacing w:after="0" w:line="234" w:lineRule="auto"/>
        <w:tabs>
          <w:tab w:leader="none" w:pos="74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Employees of the Company are employed “at will.” This means that you may terminate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employment with the Company at any time and for any reason or no reason, upon five (5) days’ prior written notice to the Company. Likewise, the Company reserves the right to terminate your employment at any time and for any reason or no reason, upon five (5) days’ prior written notice to you or up to five (5) days’ pay in lieu of notices; provided, however, that in the event of a termination for Cause, no prior notice (written or otherwise) will be required. In the event of the termination of this Agreement by either you or the Company for any reason or no reason, your Salary under Section 1 (and the vesting of any stock options under Section 3) shall immediately cease and this Agreement and the stock option agreement shall terminate; however, the Confidential Information, Non-Solicitation, and Invention Assignment Agreement (attached hereto as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shall survive and remain in full force and effect in accordance with its terms.</w:t>
      </w:r>
    </w:p>
    <w:p>
      <w:pPr>
        <w:spacing w:after="0" w:line="179" w:lineRule="exact"/>
        <w:rPr>
          <w:rFonts w:ascii="Times New Roman" w:cs="Times New Roman" w:eastAsia="Times New Roman" w:hAnsi="Times New Roman"/>
          <w:sz w:val="22"/>
          <w:szCs w:val="22"/>
          <w:color w:val="auto"/>
        </w:rPr>
      </w:pPr>
    </w:p>
    <w:p>
      <w:pPr>
        <w:jc w:val="both"/>
        <w:ind w:left="743" w:hanging="743"/>
        <w:spacing w:after="0" w:line="241" w:lineRule="auto"/>
        <w:tabs>
          <w:tab w:leader="none" w:pos="74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Status</w:t>
      </w:r>
      <w:r>
        <w:rPr>
          <w:rFonts w:ascii="Times New Roman" w:cs="Times New Roman" w:eastAsia="Times New Roman" w:hAnsi="Times New Roman"/>
          <w:sz w:val="22"/>
          <w:szCs w:val="22"/>
          <w:color w:val="auto"/>
        </w:rPr>
        <w:t>: The Immigration Reform and Control Act requires employers to verify the employment eligibility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identity of new employees. You will need to complete the I-9 Form and bring it, together with the appropriate documents, with you when you report for work. We will not be able to employ you if you cannot comply with this requirement.</w:t>
      </w:r>
    </w:p>
    <w:p>
      <w:pPr>
        <w:spacing w:after="0" w:line="171"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Job location: </w:t>
      </w:r>
      <w:r>
        <w:rPr>
          <w:rFonts w:ascii="Times New Roman" w:cs="Times New Roman" w:eastAsia="Times New Roman" w:hAnsi="Times New Roman"/>
          <w:sz w:val="22"/>
          <w:szCs w:val="22"/>
          <w:color w:val="auto"/>
        </w:rPr>
        <w:t>80 Guest St. Brighton, MA.</w:t>
      </w:r>
    </w:p>
    <w:p>
      <w:pPr>
        <w:spacing w:after="0" w:line="206" w:lineRule="exact"/>
        <w:rPr>
          <w:rFonts w:ascii="Times New Roman" w:cs="Times New Roman" w:eastAsia="Times New Roman" w:hAnsi="Times New Roman"/>
          <w:sz w:val="22"/>
          <w:szCs w:val="22"/>
          <w:color w:val="auto"/>
        </w:rPr>
      </w:pPr>
    </w:p>
    <w:p>
      <w:pPr>
        <w:ind w:left="743" w:hanging="743"/>
        <w:spacing w:after="0" w:line="262" w:lineRule="auto"/>
        <w:tabs>
          <w:tab w:leader="none" w:pos="74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References: </w:t>
      </w:r>
      <w:r>
        <w:rPr>
          <w:rFonts w:ascii="Times New Roman" w:cs="Times New Roman" w:eastAsia="Times New Roman" w:hAnsi="Times New Roman"/>
          <w:sz w:val="22"/>
          <w:szCs w:val="22"/>
          <w:color w:val="auto"/>
        </w:rPr>
        <w:t>The Company has the right to rescind this offer pending satisfactory results, in its sole discretion,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background and reference checks.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993775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79" w:name="page80"/>
    <w:bookmarkEnd w:id="79"/>
    <w:p>
      <w:pPr>
        <w:jc w:val="both"/>
        <w:ind w:left="743" w:hanging="743"/>
        <w:spacing w:after="0" w:line="247" w:lineRule="auto"/>
        <w:tabs>
          <w:tab w:leader="none" w:pos="74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Start date and Assurances: </w:t>
      </w:r>
      <w:r>
        <w:rPr>
          <w:rFonts w:ascii="Times New Roman" w:cs="Times New Roman" w:eastAsia="Times New Roman" w:hAnsi="Times New Roman"/>
          <w:sz w:val="21"/>
          <w:szCs w:val="21"/>
          <w:color w:val="auto"/>
        </w:rPr>
        <w:t>On April 1, 2024, or as otherwise mutually agreed (the “Start Date”).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represent that (i) you are not a party to any agreement that would prohibit you from entering into employment with the Company; and (ii)you have brought to the Company’s attention and provided it with a copy of any agreement that may impact your future employment with the Company or performing the services contemplated, including but not limited to any non disclosure, non-competition, non-solicitation or invention assignment agreements containing future work restrictions. You represent that prior to the Start Date you will not take any actions on behalf of the Company or engage in any discussions or communications on behalf of the Company, including, without limitation, with any prospective Company employees or other service providers.</w:t>
      </w:r>
    </w:p>
    <w:p>
      <w:pPr>
        <w:spacing w:after="0" w:line="171" w:lineRule="exact"/>
        <w:rPr>
          <w:rFonts w:ascii="Times New Roman" w:cs="Times New Roman" w:eastAsia="Times New Roman" w:hAnsi="Times New Roman"/>
          <w:sz w:val="21"/>
          <w:szCs w:val="21"/>
          <w:color w:val="auto"/>
        </w:rPr>
      </w:pPr>
    </w:p>
    <w:p>
      <w:pPr>
        <w:jc w:val="both"/>
        <w:ind w:left="743" w:hanging="743"/>
        <w:spacing w:after="0" w:line="237" w:lineRule="auto"/>
        <w:tabs>
          <w:tab w:leader="none" w:pos="74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Non-disparagement</w:t>
      </w:r>
      <w:r>
        <w:rPr>
          <w:rFonts w:ascii="Times New Roman" w:cs="Times New Roman" w:eastAsia="Times New Roman" w:hAnsi="Times New Roman"/>
          <w:sz w:val="22"/>
          <w:szCs w:val="22"/>
          <w:color w:val="auto"/>
        </w:rPr>
        <w:t>: Unless as required by law or valid subpoena, you agree that you will not, whether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employment or thereafter, directly or indirectly, make or ratify any statement, public or private, oral or written, to any person that disparages, either professionally or personally, the Company or any of its known affiliates, past and present, and each of them, as well as its and their known trustees, directors, officers, members, managers, partners, agents, attorneys, employees, stockholders, representatives, assigns, and successors, past and present, and each of them.</w:t>
      </w:r>
    </w:p>
    <w:p>
      <w:pPr>
        <w:spacing w:after="0" w:line="175" w:lineRule="exact"/>
        <w:rPr>
          <w:rFonts w:ascii="Times New Roman" w:cs="Times New Roman" w:eastAsia="Times New Roman" w:hAnsi="Times New Roman"/>
          <w:sz w:val="22"/>
          <w:szCs w:val="22"/>
          <w:color w:val="auto"/>
        </w:rPr>
      </w:pPr>
    </w:p>
    <w:p>
      <w:pPr>
        <w:jc w:val="both"/>
        <w:ind w:left="743" w:hanging="743"/>
        <w:spacing w:after="0" w:line="228" w:lineRule="auto"/>
        <w:tabs>
          <w:tab w:leader="none" w:pos="74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Severance</w:t>
      </w:r>
      <w:r>
        <w:rPr>
          <w:rFonts w:ascii="Times New Roman" w:cs="Times New Roman" w:eastAsia="Times New Roman" w:hAnsi="Times New Roman"/>
          <w:sz w:val="22"/>
          <w:szCs w:val="22"/>
          <w:color w:val="auto"/>
        </w:rPr>
        <w:t>: In the event that the Company terminates your employment without Cause, or you terminate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for Good Reason, and not due to your death or Disability, and provided you execute a separation agreement in a form provided by the Company, including, without limitation, a general release of claims (the “Release”) in favor of the Company on or before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your last date of employment and, in the Company’s sole discretion, a one-year post-employment noncompetition agreement in a form as required of the other senior executives of the Company, the Company will (i) continue to pay you your annual Base Salary for the Severance Period, and (ii) provided you have properly elected to continue your healthcare coverage pursuant to the Consolidated Omnibus Budget Reconciliation Act of 1985 (“COBRA”) the Company and you will continue to pay your healthcare and dental coverage premiums for COBRA coverage on the same premium-sharing basis for the Severance Period, or, if earlier, until you qualify for alternative health coverage pursuant to new employment or are no longer eligible to continue your coverage pursuant to COBRA. You agree to notify the Company promptly if you become eligible for group medical care coverage through another employer. You also agree to respond promptly and fully to any reasonable requests for information by the Company concerning your eligibility for such coverage. You may continue coverage after the end of the Severance Period at your own expense for the remainder of the COBRA continuation period, subject to continued eligibility. The base salary continuation shall begin to be paid pursuant to the Company’s regular payroll schedule beginning on the first practicable payroll date that follows the date the Release is effective, which will be on the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you execute the Release. If the Company does not make one or more payments of base salary continuation on a regular payroll date because the Release has not yet become effective, the Company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1021080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4" w:right="339" w:bottom="1440" w:gutter="0" w:footer="0" w:header="0"/>
        </w:sectPr>
      </w:pPr>
    </w:p>
    <w:bookmarkStart w:id="80" w:name="page81"/>
    <w:bookmarkEnd w:id="80"/>
    <w:p>
      <w:pPr>
        <w:jc w:val="both"/>
        <w:ind w:left="380"/>
        <w:spacing w:after="0" w:line="238" w:lineRule="auto"/>
        <w:rPr>
          <w:sz w:val="20"/>
          <w:szCs w:val="20"/>
          <w:color w:val="auto"/>
        </w:rPr>
      </w:pPr>
      <w:r>
        <w:rPr>
          <w:rFonts w:ascii="Times New Roman" w:cs="Times New Roman" w:eastAsia="Times New Roman" w:hAnsi="Times New Roman"/>
          <w:sz w:val="22"/>
          <w:szCs w:val="22"/>
          <w:color w:val="auto"/>
        </w:rPr>
        <w:t>make all such delayed payments by the first payroll date when it is practicable to do so after the Release becomes effective. Under no circumstances will the Release require you to release your rights to vested benefits and equity and or your rights to indemnification and defense. Further, if you die after you are terminated without Cause, the Company will pay the balance of the severance owed to you under this Agreement to your spouse. If your spouse is not alive at the time, the balance will be paid your estate.</w:t>
      </w:r>
    </w:p>
    <w:p>
      <w:pPr>
        <w:spacing w:after="0" w:line="177"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22"/>
          <w:szCs w:val="22"/>
          <w:color w:val="auto"/>
        </w:rPr>
        <w:t>The capitalized terms used in this Section 11 (unless otherwise defined therein) shall have the following meanings:</w:t>
      </w:r>
    </w:p>
    <w:p>
      <w:pPr>
        <w:spacing w:after="0" w:line="154" w:lineRule="exact"/>
        <w:rPr>
          <w:sz w:val="20"/>
          <w:szCs w:val="20"/>
          <w:color w:val="auto"/>
        </w:rPr>
      </w:pPr>
    </w:p>
    <w:p>
      <w:pPr>
        <w:jc w:val="both"/>
        <w:ind w:left="1140"/>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xml:space="preserve">” means that you have: (i) violated your fiduciary duty to the Company or committed any other act involving material dishonesty or fraud with respect to the Company; (ii) been indicted for or pled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felony involving violence, conversion, theft or misappropriation of property of another, controlled substances, moral turpitude, or the regulatory good standing of the Company; (iii) engaged in grossly negligent or willful misconduct that the Company determines to be materially injurious to the Company; (iv) willfully violated any Company policy that harmed the Company or breached any material provision of any agreement between you and the Company; or (v) failed or refused to perform your material duties or failed or refused to follow a lawful directive from the CEO or the Board of Directors unrelated to a Disability. Further, before terminating you for Cause the Company will provide you in writing the reason for your termination, and if the Company determines that you can cure, 10 business days to cure. For purposes of clarity, receiving a poor performance review is not Cause for purposes of this Agreement. If you are given a cure period, the Company will only terminate your employment if you failed to cure.</w:t>
      </w:r>
    </w:p>
    <w:p>
      <w:pPr>
        <w:spacing w:after="0" w:line="182" w:lineRule="exact"/>
        <w:rPr>
          <w:sz w:val="20"/>
          <w:szCs w:val="20"/>
          <w:color w:val="auto"/>
        </w:rPr>
      </w:pPr>
    </w:p>
    <w:p>
      <w:pPr>
        <w:jc w:val="both"/>
        <w:ind w:left="114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means a physical or mental illness, impairment, or condition determined by a physician reasonably selected by you and the Company, and if an agreement on such selection cannot be reached, selected jointly by the two physicians identified by you and the Company, that prevents you from performing the essential functions of your role, with or without a reasonable accommodation, for a period of 90 consecutive dates, or 180 days (which need not be consecutive) in any 12 month period.</w:t>
      </w:r>
    </w:p>
    <w:p>
      <w:pPr>
        <w:spacing w:after="0" w:line="163" w:lineRule="exact"/>
        <w:rPr>
          <w:sz w:val="20"/>
          <w:szCs w:val="20"/>
          <w:color w:val="auto"/>
        </w:rPr>
      </w:pPr>
    </w:p>
    <w:p>
      <w:pPr>
        <w:jc w:val="both"/>
        <w:ind w:left="1140"/>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that you have completed all steps of the Good Reason Process (hereinafter defined) following the occurrence of any of the following events without your consent (each, a “Good Reason Condition”):</w:t>
      </w:r>
    </w:p>
    <w:p>
      <w:pPr>
        <w:spacing w:after="0" w:line="171" w:lineRule="exact"/>
        <w:rPr>
          <w:sz w:val="20"/>
          <w:szCs w:val="20"/>
          <w:color w:val="auto"/>
        </w:rPr>
      </w:pPr>
    </w:p>
    <w:p>
      <w:pPr>
        <w:ind w:left="1500" w:hanging="366"/>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responsibilities, authority or duties;</w:t>
      </w:r>
    </w:p>
    <w:p>
      <w:pPr>
        <w:spacing w:after="0" w:line="206" w:lineRule="exact"/>
        <w:rPr>
          <w:rFonts w:ascii="Times New Roman" w:cs="Times New Roman" w:eastAsia="Times New Roman" w:hAnsi="Times New Roman"/>
          <w:sz w:val="22"/>
          <w:szCs w:val="22"/>
          <w:color w:val="auto"/>
        </w:rPr>
      </w:pPr>
    </w:p>
    <w:p>
      <w:pPr>
        <w:ind w:left="1500" w:hanging="366"/>
        <w:spacing w:after="0" w:line="258" w:lineRule="auto"/>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Base Salary except for across-the-board salary reductions based on the Company’s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81" w:name="page82"/>
    <w:bookmarkEnd w:id="81"/>
    <w:p>
      <w:pPr>
        <w:ind w:left="2620"/>
        <w:spacing w:after="0"/>
        <w:rPr>
          <w:sz w:val="20"/>
          <w:szCs w:val="20"/>
          <w:color w:val="auto"/>
        </w:rPr>
      </w:pPr>
      <w:r>
        <w:rPr>
          <w:rFonts w:ascii="Times New Roman" w:cs="Times New Roman" w:eastAsia="Times New Roman" w:hAnsi="Times New Roman"/>
          <w:sz w:val="22"/>
          <w:szCs w:val="22"/>
          <w:color w:val="auto"/>
        </w:rPr>
        <w:t>similarly affecting all or substantially all senior management employees of the Company; or</w:t>
      </w:r>
    </w:p>
    <w:p>
      <w:pPr>
        <w:spacing w:after="0" w:line="206" w:lineRule="exact"/>
        <w:rPr>
          <w:sz w:val="20"/>
          <w:szCs w:val="20"/>
          <w:color w:val="auto"/>
        </w:rPr>
      </w:pPr>
    </w:p>
    <w:p>
      <w:pPr>
        <w:ind w:left="2620" w:right="1140" w:hanging="366"/>
        <w:spacing w:after="0" w:line="435" w:lineRule="auto"/>
        <w:tabs>
          <w:tab w:leader="none" w:pos="26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including a breach of Section 7, of this Agreement by the Company. The “Good Reason Process” consists of the following steps:</w:t>
      </w:r>
    </w:p>
    <w:p>
      <w:pPr>
        <w:ind w:left="4120" w:right="60" w:hanging="368"/>
        <w:spacing w:after="0" w:line="258" w:lineRule="auto"/>
        <w:tabs>
          <w:tab w:leader="none" w:pos="417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reasonably determine in good faith that a Good Reason Condition has occurred.</w:t>
      </w:r>
    </w:p>
    <w:p>
      <w:pPr>
        <w:spacing w:after="0" w:line="158" w:lineRule="exact"/>
        <w:rPr>
          <w:rFonts w:ascii="Times New Roman" w:cs="Times New Roman" w:eastAsia="Times New Roman" w:hAnsi="Times New Roman"/>
          <w:sz w:val="22"/>
          <w:szCs w:val="22"/>
          <w:color w:val="auto"/>
        </w:rPr>
      </w:pPr>
    </w:p>
    <w:p>
      <w:pPr>
        <w:ind w:left="4120" w:right="40" w:hanging="368"/>
        <w:spacing w:after="0" w:line="258" w:lineRule="auto"/>
        <w:tabs>
          <w:tab w:leader="none" w:pos="417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notify the Company in writing of the first occurrence of the Good Reason Condition within 60 days of the first occurrence of such condition.</w:t>
      </w:r>
    </w:p>
    <w:p>
      <w:pPr>
        <w:spacing w:after="0" w:line="158" w:lineRule="exact"/>
        <w:rPr>
          <w:rFonts w:ascii="Times New Roman" w:cs="Times New Roman" w:eastAsia="Times New Roman" w:hAnsi="Times New Roman"/>
          <w:sz w:val="22"/>
          <w:szCs w:val="22"/>
          <w:color w:val="auto"/>
        </w:rPr>
      </w:pPr>
    </w:p>
    <w:p>
      <w:pPr>
        <w:jc w:val="both"/>
        <w:ind w:left="4120" w:hanging="368"/>
        <w:spacing w:after="0" w:line="244" w:lineRule="auto"/>
        <w:tabs>
          <w:tab w:leader="none" w:pos="417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cooperate in good faith with the Company’s efforts, for a period of not less than 30 days following such notice (the “Cure Period”), to remedy the Good Reason Condition.</w:t>
      </w:r>
    </w:p>
    <w:p>
      <w:pPr>
        <w:spacing w:after="0" w:line="173" w:lineRule="exact"/>
        <w:rPr>
          <w:rFonts w:ascii="Times New Roman" w:cs="Times New Roman" w:eastAsia="Times New Roman" w:hAnsi="Times New Roman"/>
          <w:sz w:val="22"/>
          <w:szCs w:val="22"/>
          <w:color w:val="auto"/>
        </w:rPr>
      </w:pPr>
    </w:p>
    <w:p>
      <w:pPr>
        <w:ind w:left="4120" w:right="20" w:hanging="368"/>
        <w:spacing w:after="0" w:line="258" w:lineRule="auto"/>
        <w:tabs>
          <w:tab w:leader="none" w:pos="417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such efforts, the Good Reason Condition continues to exist at the end of the Cure Period; and</w:t>
      </w:r>
    </w:p>
    <w:p>
      <w:pPr>
        <w:spacing w:after="0" w:line="158" w:lineRule="exact"/>
        <w:rPr>
          <w:rFonts w:ascii="Times New Roman" w:cs="Times New Roman" w:eastAsia="Times New Roman" w:hAnsi="Times New Roman"/>
          <w:sz w:val="22"/>
          <w:szCs w:val="22"/>
          <w:color w:val="auto"/>
        </w:rPr>
      </w:pPr>
    </w:p>
    <w:p>
      <w:pPr>
        <w:ind w:left="4180" w:hanging="428"/>
        <w:spacing w:after="0"/>
        <w:tabs>
          <w:tab w:leader="none" w:pos="418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terminate employment within 60 days after the end of the Cure Period.</w:t>
      </w:r>
    </w:p>
    <w:p>
      <w:pPr>
        <w:spacing w:after="0" w:line="206" w:lineRule="exact"/>
        <w:rPr>
          <w:sz w:val="20"/>
          <w:szCs w:val="20"/>
          <w:color w:val="auto"/>
        </w:rPr>
      </w:pPr>
    </w:p>
    <w:p>
      <w:pPr>
        <w:ind w:left="2620"/>
        <w:spacing w:after="0" w:line="258" w:lineRule="auto"/>
        <w:rPr>
          <w:sz w:val="20"/>
          <w:szCs w:val="20"/>
          <w:color w:val="auto"/>
        </w:rPr>
      </w:pPr>
      <w:r>
        <w:rPr>
          <w:rFonts w:ascii="Times New Roman" w:cs="Times New Roman" w:eastAsia="Times New Roman" w:hAnsi="Times New Roman"/>
          <w:sz w:val="22"/>
          <w:szCs w:val="22"/>
          <w:color w:val="auto"/>
        </w:rPr>
        <w:t>If the Company cures the Good Reason Condition during the Cure Period, Good Reason shall be deemed not to have occurred.</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Period</w:t>
      </w:r>
      <w:r>
        <w:rPr>
          <w:rFonts w:ascii="Times New Roman" w:cs="Times New Roman" w:eastAsia="Times New Roman" w:hAnsi="Times New Roman"/>
          <w:sz w:val="22"/>
          <w:szCs w:val="22"/>
          <w:color w:val="auto"/>
        </w:rPr>
        <w:t>” means nine (9) months following the date of termination.</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Subject to your timely acceptance of this offer and reference checks, this offer is binding. You have been provided the additional employment documents (Confidential Information, Non-Solicitation and Invention Assignment Agreement attached hereto as Exhibit B) for your review and execution. Your employment is not effective until all the agreements are signed and returned to the Company. We very much hope to work with you to build an exciting company together. Please feel free to call me if you have any questions. This Agreement is binding on the Company’s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AURA BIOSCIENCES,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Elisabet de los Pinos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Elisabet de los Pinos, Ph.D., President and CEO</w:t>
      </w:r>
    </w:p>
    <w:p>
      <w:pPr>
        <w:spacing w:after="0"/>
        <w:rPr>
          <w:sz w:val="20"/>
          <w:szCs w:val="20"/>
          <w:color w:val="auto"/>
        </w:rPr>
      </w:pPr>
      <w:r>
        <w:rPr>
          <w:rFonts w:ascii="Times New Roman" w:cs="Times New Roman" w:eastAsia="Times New Roman" w:hAnsi="Times New Roman"/>
          <w:sz w:val="22"/>
          <w:szCs w:val="22"/>
          <w:color w:val="auto"/>
        </w:rPr>
        <w: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AGREED AND ACCEPTED</w:t>
            </w:r>
          </w:p>
        </w:tc>
        <w:tc>
          <w:tcPr>
            <w:tcW w:w="84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Date Accepted</w:t>
            </w:r>
          </w:p>
        </w:tc>
      </w:tr>
      <w:tr>
        <w:trPr>
          <w:trHeight w:val="40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w w:val="97"/>
              </w:rPr>
              <w:t>/s/ Conor Kilroy</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3/13/2024</w:t>
            </w:r>
          </w:p>
        </w:tc>
        <w:tc>
          <w:tcPr>
            <w:tcW w:w="8200" w:type="dxa"/>
            <w:vAlign w:val="bottom"/>
          </w:tcPr>
          <w:p>
            <w:pPr>
              <w:spacing w:after="0"/>
              <w:rPr>
                <w:sz w:val="24"/>
                <w:szCs w:val="24"/>
                <w:color w:val="auto"/>
              </w:rPr>
            </w:pPr>
          </w:p>
        </w:tc>
      </w:tr>
      <w:tr>
        <w:trPr>
          <w:trHeight w:val="276"/>
        </w:trPr>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Conor Kilroy</w:t>
            </w:r>
          </w:p>
        </w:tc>
        <w:tc>
          <w:tcPr>
            <w:tcW w:w="74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200" w:type="dxa"/>
            <w:vAlign w:val="bottom"/>
          </w:tcPr>
          <w:p>
            <w:pPr>
              <w:spacing w:after="0"/>
              <w:rPr>
                <w:sz w:val="23"/>
                <w:szCs w:val="23"/>
                <w:color w:val="auto"/>
              </w:rPr>
            </w:pPr>
          </w:p>
        </w:tc>
      </w:tr>
      <w:tr>
        <w:trPr>
          <w:trHeight w:val="1615"/>
        </w:trPr>
        <w:tc>
          <w:tcPr>
            <w:tcW w:w="14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Elisabet de los Pinos, certify that:</w:t>
      </w:r>
    </w:p>
    <w:p>
      <w:pPr>
        <w:spacing w:after="0" w:line="194"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Aura Biosciences, Inc;</w:t>
      </w:r>
    </w:p>
    <w:p>
      <w:pPr>
        <w:spacing w:after="0" w:line="194" w:lineRule="exact"/>
        <w:rPr>
          <w:rFonts w:ascii="Arial" w:cs="Arial" w:eastAsia="Arial" w:hAnsi="Arial"/>
          <w:sz w:val="16"/>
          <w:szCs w:val="16"/>
          <w:color w:val="auto"/>
        </w:rPr>
      </w:pPr>
    </w:p>
    <w:p>
      <w:pPr>
        <w:ind w:right="280" w:firstLine="8"/>
        <w:spacing w:after="0" w:line="286"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right="60" w:firstLine="8"/>
        <w:spacing w:after="0" w:line="286"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ind w:firstLine="8"/>
        <w:spacing w:after="0" w:line="266"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right="180" w:firstLine="517"/>
        <w:spacing w:after="0" w:line="266" w:lineRule="auto"/>
        <w:tabs>
          <w:tab w:leader="none" w:pos="752"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right="120" w:firstLine="517"/>
        <w:spacing w:after="0" w:line="266" w:lineRule="auto"/>
        <w:tabs>
          <w:tab w:leader="none" w:pos="752"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right="760" w:firstLine="517"/>
        <w:spacing w:after="0" w:line="286" w:lineRule="auto"/>
        <w:tabs>
          <w:tab w:leader="none" w:pos="743"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right="140" w:firstLine="517"/>
        <w:spacing w:after="0" w:line="266" w:lineRule="auto"/>
        <w:tabs>
          <w:tab w:leader="none" w:pos="752"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ind w:right="460" w:firstLine="8"/>
        <w:spacing w:after="0" w:line="286"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right="360" w:firstLine="517"/>
        <w:spacing w:after="0" w:line="286" w:lineRule="auto"/>
        <w:tabs>
          <w:tab w:leader="none" w:pos="752"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right="280" w:firstLine="517"/>
        <w:spacing w:after="0" w:line="286" w:lineRule="auto"/>
        <w:tabs>
          <w:tab w:leader="none" w:pos="752"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221" w:lineRule="exact"/>
        <w:rPr>
          <w:sz w:val="20"/>
          <w:szCs w:val="20"/>
          <w:color w:val="auto"/>
        </w:rPr>
      </w:pPr>
    </w:p>
    <w:p>
      <w:pPr>
        <w:ind w:left="80"/>
        <w:spacing w:after="0"/>
        <w:tabs>
          <w:tab w:leader="none" w:pos="620" w:val="left"/>
          <w:tab w:leader="none" w:pos="5900" w:val="left"/>
          <w:tab w:leader="none" w:pos="7900" w:val="left"/>
        </w:tabs>
        <w:rPr>
          <w:sz w:val="20"/>
          <w:szCs w:val="20"/>
          <w:color w:val="auto"/>
        </w:rPr>
      </w:pPr>
      <w:r>
        <w:rPr>
          <w:rFonts w:ascii="Arial" w:cs="Arial" w:eastAsia="Arial" w:hAnsi="Arial"/>
          <w:sz w:val="16"/>
          <w:szCs w:val="16"/>
          <w:color w:val="auto"/>
        </w:rPr>
        <w:t>Date:</w:t>
        <w:tab/>
        <w:t>May 9,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20955</wp:posOffset>
            </wp:positionV>
            <wp:extent cx="30600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4"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Elisabet de los Pinos</w:t>
      </w:r>
    </w:p>
    <w:p>
      <w:pPr>
        <w:spacing w:after="0" w:line="22"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1395095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Julie Feder, certify that:</w:t>
      </w:r>
    </w:p>
    <w:p>
      <w:pPr>
        <w:spacing w:after="0" w:line="194"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Aura Biosciences, Inc;</w:t>
      </w:r>
    </w:p>
    <w:p>
      <w:pPr>
        <w:spacing w:after="0" w:line="194" w:lineRule="exact"/>
        <w:rPr>
          <w:rFonts w:ascii="Arial" w:cs="Arial" w:eastAsia="Arial" w:hAnsi="Arial"/>
          <w:sz w:val="16"/>
          <w:szCs w:val="16"/>
          <w:color w:val="auto"/>
        </w:rPr>
      </w:pPr>
    </w:p>
    <w:p>
      <w:pPr>
        <w:ind w:right="280" w:firstLine="8"/>
        <w:spacing w:after="0" w:line="286"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right="60" w:firstLine="8"/>
        <w:spacing w:after="0" w:line="286"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ind w:firstLine="8"/>
        <w:spacing w:after="0" w:line="266"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right="180" w:firstLine="517"/>
        <w:spacing w:after="0" w:line="266" w:lineRule="auto"/>
        <w:tabs>
          <w:tab w:leader="none" w:pos="7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right="120" w:firstLine="517"/>
        <w:spacing w:after="0" w:line="266" w:lineRule="auto"/>
        <w:tabs>
          <w:tab w:leader="none" w:pos="7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right="760" w:firstLine="517"/>
        <w:spacing w:after="0" w:line="286" w:lineRule="auto"/>
        <w:tabs>
          <w:tab w:leader="none" w:pos="743"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right="140" w:firstLine="517"/>
        <w:spacing w:after="0" w:line="266" w:lineRule="auto"/>
        <w:tabs>
          <w:tab w:leader="none" w:pos="7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ind w:right="460" w:firstLine="8"/>
        <w:spacing w:after="0" w:line="286"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right="360" w:firstLine="517"/>
        <w:spacing w:after="0" w:line="286" w:lineRule="auto"/>
        <w:tabs>
          <w:tab w:leader="none" w:pos="7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right="280" w:firstLine="517"/>
        <w:spacing w:after="0" w:line="286" w:lineRule="auto"/>
        <w:tabs>
          <w:tab w:leader="none" w:pos="7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221" w:lineRule="exact"/>
        <w:rPr>
          <w:sz w:val="20"/>
          <w:szCs w:val="20"/>
          <w:color w:val="auto"/>
        </w:rPr>
      </w:pPr>
    </w:p>
    <w:p>
      <w:pPr>
        <w:ind w:left="80"/>
        <w:spacing w:after="0"/>
        <w:tabs>
          <w:tab w:leader="none" w:pos="680" w:val="left"/>
          <w:tab w:leader="none" w:pos="5900" w:val="left"/>
          <w:tab w:leader="none" w:pos="8240" w:val="left"/>
        </w:tabs>
        <w:rPr>
          <w:sz w:val="20"/>
          <w:szCs w:val="20"/>
          <w:color w:val="auto"/>
        </w:rPr>
      </w:pPr>
      <w:r>
        <w:rPr>
          <w:rFonts w:ascii="Arial" w:cs="Arial" w:eastAsia="Arial" w:hAnsi="Arial"/>
          <w:sz w:val="16"/>
          <w:szCs w:val="16"/>
          <w:color w:val="auto"/>
        </w:rPr>
        <w:t>Date:</w:t>
        <w:tab/>
        <w:t>May 9,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20955</wp:posOffset>
            </wp:positionV>
            <wp:extent cx="30600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4"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Julie Feder</w:t>
      </w:r>
    </w:p>
    <w:p>
      <w:pPr>
        <w:spacing w:after="0" w:line="22"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1395095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In connection with the Quarterly Report on Form 10-Q of Aura Biosciences, Inc. (the “Company”) for the period ended March 31, 2024 as filed with the Securities and Exchange Commission on the date hereof (the “Report”), each of the undersigned certifies, pursuant to 18 U.S.C. §1350, as adopted pursuant to §906 of the Sarbanes-Oxley Act of 2002, that, to the best of her knowledge:</w:t>
      </w:r>
    </w:p>
    <w:p>
      <w:pPr>
        <w:spacing w:after="0" w:line="374" w:lineRule="exact"/>
        <w:rPr>
          <w:sz w:val="20"/>
          <w:szCs w:val="20"/>
          <w:color w:val="auto"/>
        </w:rPr>
      </w:pPr>
    </w:p>
    <w:p>
      <w:pPr>
        <w:ind w:left="760" w:hanging="378"/>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left="5880" w:right="200" w:hanging="5498"/>
        <w:spacing w:after="0" w:line="505" w:lineRule="auto"/>
        <w:tabs>
          <w:tab w:leader="none" w:pos="763" w:val="left"/>
        </w:tabs>
        <w:numPr>
          <w:ilvl w:val="0"/>
          <w:numId w:val="46"/>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Aura Biosciences, Inc.</w:t>
      </w:r>
    </w:p>
    <w:p>
      <w:pPr>
        <w:spacing w:after="0" w:line="1" w:lineRule="exact"/>
        <w:rPr>
          <w:sz w:val="20"/>
          <w:szCs w:val="20"/>
          <w:color w:val="auto"/>
        </w:rPr>
      </w:pPr>
    </w:p>
    <w:p>
      <w:pPr>
        <w:ind w:left="80"/>
        <w:spacing w:after="0"/>
        <w:tabs>
          <w:tab w:leader="none" w:pos="680" w:val="left"/>
          <w:tab w:leader="none" w:pos="5860" w:val="left"/>
          <w:tab w:leader="none" w:pos="7800" w:val="left"/>
        </w:tabs>
        <w:rPr>
          <w:sz w:val="20"/>
          <w:szCs w:val="20"/>
          <w:color w:val="auto"/>
        </w:rPr>
      </w:pPr>
      <w:r>
        <w:rPr>
          <w:rFonts w:ascii="Arial" w:cs="Arial" w:eastAsia="Arial" w:hAnsi="Arial"/>
          <w:sz w:val="16"/>
          <w:szCs w:val="16"/>
          <w:color w:val="auto"/>
        </w:rPr>
        <w:t>Date:</w:t>
        <w:tab/>
        <w:t>May 9,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20955</wp:posOffset>
            </wp:positionV>
            <wp:extent cx="31629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6"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Elisabet de los Pinos</w:t>
      </w:r>
    </w:p>
    <w:p>
      <w:pPr>
        <w:spacing w:after="0" w:line="39"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0" w:lineRule="exact"/>
        <w:rPr>
          <w:sz w:val="20"/>
          <w:szCs w:val="20"/>
          <w:color w:val="auto"/>
        </w:rPr>
      </w:pPr>
    </w:p>
    <w:p>
      <w:pPr>
        <w:spacing w:after="0" w:line="230" w:lineRule="exact"/>
        <w:rPr>
          <w:sz w:val="20"/>
          <w:szCs w:val="20"/>
          <w:color w:val="auto"/>
        </w:rPr>
      </w:pPr>
    </w:p>
    <w:p>
      <w:pPr>
        <w:ind w:left="80"/>
        <w:spacing w:after="0"/>
        <w:tabs>
          <w:tab w:leader="none" w:pos="680" w:val="left"/>
          <w:tab w:leader="none" w:pos="5860" w:val="left"/>
          <w:tab w:leader="none" w:pos="8160" w:val="left"/>
        </w:tabs>
        <w:rPr>
          <w:sz w:val="20"/>
          <w:szCs w:val="20"/>
          <w:color w:val="auto"/>
        </w:rPr>
      </w:pPr>
      <w:r>
        <w:rPr>
          <w:rFonts w:ascii="Arial" w:cs="Arial" w:eastAsia="Arial" w:hAnsi="Arial"/>
          <w:sz w:val="16"/>
          <w:szCs w:val="16"/>
          <w:color w:val="auto"/>
        </w:rPr>
        <w:t>Date:</w:t>
        <w:tab/>
        <w:t>May 9,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20955</wp:posOffset>
            </wp:positionV>
            <wp:extent cx="31629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6"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Julie Feder</w:t>
      </w:r>
    </w:p>
    <w:p>
      <w:pPr>
        <w:spacing w:after="0" w:line="39"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1247140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2"/>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
      <w:numFmt w:val="bullet"/>
      <w:start w:val="1"/>
    </w:lvl>
    <w:lvl w:ilvl="1">
      <w:lvlJc w:val="left"/>
      <w:lvlText w:val="%2"/>
      <w:numFmt w:val="decimal"/>
      <w:start w:val="104"/>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4"/>
    </w:lvl>
  </w:abstractNum>
  <w:abstractNum w:abstractNumId="40">
    <w:nsid w:val="1D4ED43B"/>
    <w:multiLevelType w:val="hybridMultilevel"/>
    <w:lvl w:ilvl="0">
      <w:lvlJc w:val="left"/>
      <w:lvlText w:val="%1."/>
      <w:numFmt w:val="decimal"/>
      <w:start w:val="9"/>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lvl w:ilvl="1">
      <w:lvlJc w:val="left"/>
      <w:lvlText w:val="%2."/>
      <w:numFmt w:val="lowerRoman"/>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jpe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21" Type="http://schemas.openxmlformats.org/officeDocument/2006/relationships/hyperlink" Target="https://www.sec.gov/Archives/edgar/data/1501796/000095017022004425/aura-ex3_1.htm" TargetMode="External"/><Relationship Id="rId222" Type="http://schemas.openxmlformats.org/officeDocument/2006/relationships/hyperlink" Target="https://www.sec.gov/Archives/edgar/data/1501796/000095017022004425/aura-ex3_2.htm" TargetMode="External"/><Relationship Id="rId223" Type="http://schemas.openxmlformats.org/officeDocument/2006/relationships/hyperlink" Target="https://www.sec.gov/Archives/edgar/data/1501796/000119312521295543/d20958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2024-05-09T06:22:37Z</dcterms:created>
  <dcterms:modified xsi:type="dcterms:W3CDTF">2024-05-09T06:22:37Z</dcterms:modified>
</cp:coreProperties>
</file>