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ura-20250331.htm"/>
      <w:bookmarkStart w:id="1" w:name="ksaura20250331"/>
      <w:bookmarkEnd w:id="0"/>
      <w:bookmarkEnd w:id="1"/>
      <w:r>
        <w:rPr/>
        <w:t> </w:t>
      </w:r>
    </w:p>
    <w:p>
      <w:pPr>
        <w:pStyle w:val="TextBody"/>
        <w:bidi w:val="0"/>
        <w:jc w:val="left"/>
        <w:rPr>
          <w:rFonts w:ascii="Times New Roman" w:hAnsi="Times New Roman"/>
          <w:sz w:val="20"/>
        </w:rPr>
      </w:pPr>
      <w:r>
        <w:rPr>
          <w:rFonts w:ascii="Arial" w:hAnsi="Arial"/>
          <w:color w:val="000000"/>
          <w:sz w:val="2"/>
        </w:rPr>
        <w:t>,k</w:t>
      </w:r>
      <w:r>
        <w:rPr>
          <w:rFonts w:ascii="Times New Roman" w:hAnsi="Times New Roman"/>
          <w:color w:val="000000"/>
          <w:sz w:val="20"/>
        </w:rPr>
        <w:t xml:space="preserve"> </w:t>
      </w:r>
    </w:p>
    <w:p>
      <w:pPr>
        <w:pStyle w:val="TextBody"/>
        <w:pBdr>
          <w:top w:val="double" w:sz="6" w:space="1" w:color="000000"/>
        </w:pBdr>
        <w:bidi w:val="0"/>
        <w:jc w:val="left"/>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spacing w:before="40" w:after="283"/>
        <w:jc w:val="center"/>
        <w:rPr/>
      </w:pPr>
      <w:r>
        <w:rPr/>
        <w:t> </w:t>
      </w:r>
    </w:p>
    <w:p>
      <w:pPr>
        <w:pStyle w:val="TextBody"/>
        <w:bidi w:val="0"/>
        <w:jc w:val="left"/>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spacing w:before="80" w:after="283"/>
        <w:jc w:val="center"/>
        <w:rPr>
          <w:rFonts w:ascii="Arial" w:hAnsi="Arial"/>
          <w:b/>
          <w:color w:val="000000"/>
          <w:sz w:val="20"/>
        </w:rPr>
      </w:pPr>
      <w:r>
        <w:rPr>
          <w:rFonts w:ascii="Arial" w:hAnsi="Arial"/>
          <w:b/>
          <w:color w:val="000000"/>
          <w:sz w:val="20"/>
        </w:rPr>
        <w:t>For the quarterly period ended March 31, 2025</w:t>
      </w:r>
    </w:p>
    <w:p>
      <w:pPr>
        <w:pStyle w:val="TextBody"/>
        <w:bidi w:val="0"/>
        <w:spacing w:before="80" w:after="283"/>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spacing w:before="120" w:after="283"/>
        <w:jc w:val="center"/>
        <w:rPr>
          <w:rFonts w:ascii="Arial" w:hAnsi="Arial"/>
          <w:b/>
          <w:color w:val="000000"/>
          <w:sz w:val="20"/>
        </w:rPr>
      </w:pPr>
      <w:r>
        <w:rPr>
          <w:rFonts w:ascii="Arial" w:hAnsi="Arial"/>
          <w:b/>
          <w:color w:val="000000"/>
          <w:sz w:val="20"/>
        </w:rPr>
        <w:t>For the transition period from ___________________ to ___________________</w:t>
      </w:r>
    </w:p>
    <w:p>
      <w:pPr>
        <w:pStyle w:val="TextBody"/>
        <w:bidi w:val="0"/>
        <w:spacing w:before="120" w:after="283"/>
        <w:jc w:val="center"/>
        <w:rPr>
          <w:rFonts w:ascii="Arial" w:hAnsi="Arial"/>
          <w:b/>
          <w:color w:val="000000"/>
          <w:sz w:val="20"/>
        </w:rPr>
      </w:pPr>
      <w:r>
        <w:rPr>
          <w:rFonts w:ascii="Arial" w:hAnsi="Arial"/>
          <w:b/>
          <w:color w:val="000000"/>
          <w:sz w:val="20"/>
        </w:rPr>
        <w:t>Commission File Number: 001-40971</w:t>
      </w:r>
    </w:p>
    <w:p>
      <w:pPr>
        <w:pStyle w:val="TextBody"/>
        <w:pBdr>
          <w:bottom w:val="single" w:sz="4" w:space="1" w:color="000000"/>
        </w:pBdr>
        <w:bidi w:val="0"/>
        <w:spacing w:before="40" w:after="100"/>
        <w:jc w:val="center"/>
        <w:rPr/>
      </w:pPr>
      <w:r>
        <w:rPr/>
        <w:t> </w:t>
      </w:r>
    </w:p>
    <w:p>
      <w:pPr>
        <w:pStyle w:val="TextBody"/>
        <w:bidi w:val="0"/>
        <w:jc w:val="center"/>
        <w:rPr>
          <w:rFonts w:ascii="Arial" w:hAnsi="Arial"/>
          <w:b/>
          <w:color w:val="000000"/>
          <w:sz w:val="48"/>
        </w:rPr>
      </w:pPr>
      <w:r>
        <w:rPr>
          <w:rFonts w:ascii="Arial" w:hAnsi="Arial"/>
          <w:b/>
          <w:color w:val="000000"/>
          <w:sz w:val="48"/>
        </w:rPr>
        <w:t>AURA BIOSCIENCES, INC.</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947" w:type="dxa"/>
        <w:jc w:val="left"/>
        <w:tblInd w:w="0" w:type="dxa"/>
        <w:tblLayout w:type="fixed"/>
        <w:tblCellMar>
          <w:top w:w="28" w:type="dxa"/>
          <w:left w:w="28" w:type="dxa"/>
          <w:bottom w:w="28" w:type="dxa"/>
          <w:right w:w="28" w:type="dxa"/>
        </w:tblCellMar>
      </w:tblPr>
      <w:tblGrid>
        <w:gridCol w:w="2656"/>
        <w:gridCol w:w="1291"/>
      </w:tblGrid>
      <w:tr>
        <w:trPr/>
        <w:tc>
          <w:tcPr>
            <w:tcW w:w="26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32-0271970</w:t>
            </w:r>
          </w:p>
        </w:tc>
      </w:tr>
      <w:tr>
        <w:trPr/>
        <w:tc>
          <w:tcPr>
            <w:tcW w:w="2656"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15"/>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(I.R.S. Employer</w:t>
              <w:br/>
              <w:t>Identification No.)</w:t>
            </w:r>
          </w:p>
        </w:tc>
      </w:tr>
      <w:tr>
        <w:trPr/>
        <w:tc>
          <w:tcPr>
            <w:tcW w:w="2656" w:type="dxa"/>
            <w:tcBorders/>
            <w:tcMar>
              <w:top w:w="0" w:type="dxa"/>
              <w:left w:w="0" w:type="dxa"/>
              <w:bottom w:w="0" w:type="dxa"/>
              <w:right w:w="0" w:type="dxa"/>
            </w:tcMar>
            <w:vAlign w:val="center"/>
          </w:tcPr>
          <w:p>
            <w:pPr>
              <w:pStyle w:val="TableContents"/>
              <w:bidi w:val="0"/>
              <w:spacing w:before="60" w:after="15"/>
              <w:jc w:val="center"/>
              <w:rPr>
                <w:rFonts w:ascii="Arial" w:hAnsi="Arial"/>
                <w:b/>
                <w:color w:val="000000"/>
                <w:sz w:val="20"/>
              </w:rPr>
            </w:pPr>
            <w:r>
              <w:rPr>
                <w:rFonts w:ascii="Arial" w:hAnsi="Arial"/>
                <w:b/>
                <w:color w:val="000000"/>
                <w:sz w:val="20"/>
              </w:rPr>
              <w:t>80 Guest Street</w:t>
            </w:r>
          </w:p>
          <w:p>
            <w:pPr>
              <w:pStyle w:val="TableContents"/>
              <w:bidi w:val="0"/>
              <w:spacing w:before="0" w:after="15"/>
              <w:jc w:val="center"/>
              <w:rPr>
                <w:rFonts w:ascii="Arial" w:hAnsi="Arial"/>
                <w:b/>
                <w:color w:val="000000"/>
                <w:sz w:val="20"/>
              </w:rPr>
            </w:pPr>
            <w:r>
              <w:rPr>
                <w:rFonts w:ascii="Arial" w:hAnsi="Arial"/>
                <w:b/>
                <w:color w:val="000000"/>
                <w:sz w:val="20"/>
              </w:rPr>
              <w:t>Boston, MA</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02135</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spacing w:before="80" w:after="283"/>
        <w:jc w:val="center"/>
        <w:rPr>
          <w:rFonts w:ascii="Arial" w:hAnsi="Arial"/>
          <w:b/>
          <w:color w:val="000000"/>
          <w:sz w:val="20"/>
        </w:rPr>
      </w:pPr>
      <w:r>
        <w:rPr>
          <w:rFonts w:ascii="Arial" w:hAnsi="Arial"/>
          <w:b/>
          <w:color w:val="000000"/>
          <w:sz w:val="20"/>
        </w:rPr>
        <w:t>Registrant’s telephone number, including area code: (617) 500-8864</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Arial" w:hAnsi="Arial"/>
          <w:b/>
          <w:color w:val="000000"/>
          <w:sz w:val="14"/>
        </w:rPr>
      </w:pPr>
      <w:r>
        <w:rPr>
          <w:rFonts w:ascii="Arial" w:hAnsi="Arial"/>
          <w:b/>
          <w:color w:val="000000"/>
          <w:sz w:val="14"/>
        </w:rPr>
        <w:t>(Former Name or Former Address, if Changed Since Last Report)</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Arial" w:hAnsi="Arial"/>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740" w:type="dxa"/>
        <w:jc w:val="left"/>
        <w:tblInd w:w="0" w:type="dxa"/>
        <w:tblLayout w:type="fixed"/>
        <w:tblCellMar>
          <w:top w:w="28" w:type="dxa"/>
          <w:left w:w="28" w:type="dxa"/>
          <w:bottom w:w="28" w:type="dxa"/>
          <w:right w:w="28" w:type="dxa"/>
        </w:tblCellMar>
      </w:tblPr>
      <w:tblGrid>
        <w:gridCol w:w="3871"/>
        <w:gridCol w:w="146"/>
        <w:gridCol w:w="916"/>
        <w:gridCol w:w="146"/>
        <w:gridCol w:w="366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8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AURA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Nasdaq Global Market LLC</w:t>
            </w:r>
          </w:p>
        </w:tc>
      </w:tr>
    </w:tbl>
    <w:p>
      <w:pPr>
        <w:pStyle w:val="TextBody"/>
        <w:bidi w:val="0"/>
        <w:spacing w:before="120" w:after="283"/>
        <w:jc w:val="left"/>
        <w:rPr>
          <w:rFonts w:ascii="Times New Roman" w:hAnsi="Times New Roman"/>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77" w:type="dxa"/>
        <w:jc w:val="left"/>
        <w:tblInd w:w="0" w:type="dxa"/>
        <w:tblLayout w:type="fixed"/>
        <w:tblCellMar>
          <w:top w:w="28" w:type="dxa"/>
          <w:left w:w="28" w:type="dxa"/>
          <w:bottom w:w="28" w:type="dxa"/>
          <w:right w:w="28" w:type="dxa"/>
        </w:tblCellMar>
      </w:tblPr>
      <w:tblGrid>
        <w:gridCol w:w="1951"/>
        <w:gridCol w:w="146"/>
        <w:gridCol w:w="316"/>
        <w:gridCol w:w="146"/>
        <w:gridCol w:w="2311"/>
        <w:gridCol w:w="146"/>
        <w:gridCol w:w="36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As of May 9, 2025, the Registrant had 50,268,758</w:t>
      </w:r>
      <w:r>
        <w:rPr>
          <w:rFonts w:ascii="Times New Roman" w:hAnsi="Times New Roman"/>
          <w:color w:val="000000"/>
          <w:sz w:val="20"/>
        </w:rPr>
        <w:t xml:space="preserve"> </w:t>
      </w:r>
      <w:r>
        <w:rPr>
          <w:rFonts w:ascii="Arial" w:hAnsi="Arial"/>
          <w:color w:val="000000"/>
          <w:sz w:val="18"/>
        </w:rPr>
        <w:t>shares of common stock, $0.00001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2" w:name="summary_of_the_material_risks"/>
      <w:bookmarkEnd w:id="2"/>
      <w:r>
        <w:rPr>
          <w:rFonts w:ascii="Arial" w:hAnsi="Arial"/>
          <w:b/>
          <w:color w:val="000000"/>
          <w:sz w:val="20"/>
        </w:rPr>
        <w:t>Summary of the Material Risks Associated with Our Business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Our business is subject to numerous material and other risks and uncertainties that you should be aware of in evaluating our business. These risks are described more fully in Part II, “Item 1A—Risk Factors,” in this Quarterly Report on Form 10-Q and include, but are not limited to, the following:</w:t>
      </w:r>
    </w:p>
    <w:p>
      <w:pPr>
        <w:pStyle w:val="TextBody"/>
        <w:bidi w:val="0"/>
        <w:spacing w:before="80" w:after="283"/>
        <w:jc w:val="both"/>
        <w:rPr>
          <w:color w:val="000000"/>
        </w:rPr>
      </w:pPr>
      <w:r>
        <w:rPr>
          <w:color w:val="000000"/>
        </w:rPr>
        <w:t>•</w:t>
      </w:r>
    </w:p>
    <w:p>
      <w:pPr>
        <w:pStyle w:val="TextBody"/>
        <w:bidi w:val="0"/>
        <w:spacing w:before="80" w:after="283"/>
        <w:jc w:val="both"/>
        <w:rPr>
          <w:rFonts w:ascii="Arial" w:hAnsi="Arial"/>
          <w:color w:val="000000"/>
          <w:sz w:val="20"/>
        </w:rPr>
      </w:pPr>
      <w:r>
        <w:rPr>
          <w:rFonts w:ascii="Arial" w:hAnsi="Arial"/>
          <w:color w:val="000000"/>
          <w:sz w:val="20"/>
        </w:rPr>
        <w:t>We have incurred significant net losses since our inception and anticipate that we will continue to incur losses for the foreseeable future.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Raising additional capital may cause dilution to our existing stockholders, restrict our operations or require us to relinquish proprietary rights to our technologies or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generate revenue and achieve profitability depends significantly on our ability to achieve our objectives relating to the discovery, development, regulatory approval and commercialization of our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We are heavily dependent on the success of belzupacap sarotalocan, or bel-sar, our only product candidate to date.</w:t>
      </w:r>
    </w:p>
    <w:p>
      <w:pPr>
        <w:pStyle w:val="TextBody"/>
        <w:bidi w:val="0"/>
        <w:spacing w:before="40" w:after="283"/>
        <w:jc w:val="both"/>
        <w:rPr>
          <w:color w:val="000000"/>
        </w:rPr>
      </w:pPr>
      <w:r>
        <w:rPr>
          <w:color w:val="000000"/>
        </w:rPr>
        <w: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0" w:after="283"/>
        <w:jc w:val="both"/>
        <w:rPr>
          <w:rFonts w:ascii="Arial" w:hAnsi="Arial"/>
          <w:color w:val="000000"/>
          <w:sz w:val="20"/>
        </w:rPr>
      </w:pPr>
      <w:r>
        <w:rPr>
          <w:rFonts w:ascii="Arial" w:hAnsi="Arial"/>
          <w:color w:val="000000"/>
          <w:sz w:val="20"/>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We have initiated but not yet completed a pivotal clinical trial nor have we commercialized any pharmaceutical products, which may make it difficult to evaluate our future prospects.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If we fail to develop additional product candidates, or obtain additional indications of our first product candidate, our commercial opportunity could be limited.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U.S Food and Drug Administration’s agreement to a Special Protocol Assessment with respect to the study design of our global Phase 3 trial of bel-sar for the treatment of early-stage choroidal melanoma does not guarantee any particular outcome from regulatory review, including ultimate approval, and may not lead to a successful review or approval process.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We rely on third parties to conduct our clinical trials and some aspects of our research and preclinical testing, and expect to continue to do so, and those third parties may not perform satisfactorily, including failing to meet deadlines for the completion of such trials, research or testing.</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We currently rely on third-party contract development and manufacturing organizations, or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If bel-sar or any future product candidates do not achieve broad market acceptance, the revenue that we generate from their sales may be limited, and we may never become profitable.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compete may decline if we do not adequately protect our proprietary rights, and our proprietary rights do not necessarily address all potential threats to our competitive advantage.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If we lose key management personnel, or if we fail to recruit additional highly skilled personnel, our ability to pursue our business strategy will be impaired, could result in loss of markets or market share and could make us less competitive.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Business disruptions could seriously harm our future revenue and financial condition and increase our costs and expenses.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principal stockholders and management own a significant percentage of our stock and will be able to exert significant influence over matters subject to stockholder approval.</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Special Note Regarding Forward-Looking Statements</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This Quarterly Report on Form 10-Q, or Quarterly Report, contains forward-looking statements which are made pursuant to the safe harbor provisions of Section 27A of the Securities Act of 1933, as amended, or the Securities Act, and Section 21E of the Securities Exchange Act of 1934, as amended, or the Exchange Act.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statements about:</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initiation, timing, progress, results and cost of our research and development programs and our current and future nonclinical,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efficiently develop our existing product candidates and discover new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successfully manufacture our drug substances and product candidates for preclinical use, for clinical trials and on a larger scale for commercial use, if approved;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ability and willingness of our third-party strategic collaborators to continue research and development activities relating to our development candidates and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obtain funding for our operations necessary to complete further development and commercialization of our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obtain and maintain regulatory approval of our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commercialize our products, if approved;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pricing and reimbursement of our product candidates, if approved;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implementation of our business model and strategic plans for our business and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scope of protection we are able to establish and maintain for intellectual property rights covering our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estimates of our future expenses, revenues, capital requirements and our needs for additional financing;</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potential benefits of strategic collaboration agreements, our ability to enter into strategic collaborations or arrangements and our ability to attract collaborators with development, regulatory and commercialization expertise;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future agreements with third parties in connection with the commercialization of product candidates and any other approved product;</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size and growth potential of the markets for our product candidates and our ability to serve those markets;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financial performance;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rate and degree of market acceptance of our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regulatory developments in the United States and foreign countries;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produce our products or product candidates with advantages in turnaround times or manufacturing cost;</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success of competing therapies that are or may become available;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attract and retain key scientific or management personnel;</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impact of laws and regulations;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developments relating to our competitors and our industry;</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effects of macroeconomic conditions, including rising interest rates, inflation, capital market disruptions, changes in governmental agencies, international tariffs, trade protection measures, economic sanctions and economic slowdowns or recessions, on our business operations; and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other risks and uncertainties, including those listed under the caption “Risk Factors.”</w:t>
      </w:r>
    </w:p>
    <w:p>
      <w:pPr>
        <w:pStyle w:val="TextBody"/>
        <w:bidi w:val="0"/>
        <w:spacing w:before="240" w:after="283"/>
        <w:jc w:val="center"/>
        <w:rPr>
          <w:rFonts w:ascii="Arial" w:hAnsi="Arial"/>
          <w:color w:val="000000"/>
          <w:sz w:val="20"/>
        </w:rPr>
      </w:pPr>
      <w:r>
        <w:rPr>
          <w:rFonts w:ascii="Arial" w:hAnsi="Arial"/>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ummary_of_the_material_risks">
              <w:r>
                <w:rPr>
                  <w:rStyle w:val="InternetLink"/>
                  <w:rFonts w:ascii="Arial" w:hAnsi="Arial"/>
                  <w:color w:val="0000FF"/>
                  <w:sz w:val="20"/>
                  <w:u w:val="single"/>
                </w:rPr>
                <w:t>SUMMARY OF RISKS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color w:val="0000FF"/>
                  <w:sz w:val="20"/>
                  <w:u w:val="single"/>
                </w:rPr>
                <w:t>FINANCIAL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Financial Statements (Unaudited)</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Arial" w:hAnsi="Arial"/>
                  <w:color w:val="0000FF"/>
                  <w:sz w:val="20"/>
                  <w:u w:val="single"/>
                </w:rPr>
                <w:t>Condensed Consolidated Balance Sheets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
              <w:r>
                <w:rPr>
                  <w:rStyle w:val="InternetLink"/>
                  <w:rFonts w:ascii="Arial" w:hAnsi="Arial"/>
                  <w:color w:val="0000FF"/>
                  <w:sz w:val="20"/>
                  <w:u w:val="single"/>
                </w:rPr>
                <w:t>Condensed Consolidated Statements of Operations and Comprehensive Loss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tock">
              <w:r>
                <w:rPr>
                  <w:rStyle w:val="InternetLink"/>
                  <w:rFonts w:ascii="Arial" w:hAnsi="Arial"/>
                  <w:color w:val="0000FF"/>
                  <w:sz w:val="20"/>
                  <w:u w:val="single"/>
                </w:rPr>
                <w:t>Condensed Consolidated Statements of Stockholders’ Equity</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Arial" w:hAnsi="Arial"/>
                  <w:color w:val="0000FF"/>
                  <w:sz w:val="20"/>
                  <w:u w:val="single"/>
                </w:rPr>
                <w:t>Condensed Consolidated Statements of Cash Flows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unaudited_condensed_consolidated_f">
              <w:r>
                <w:rPr>
                  <w:rStyle w:val="InternetLink"/>
                  <w:rFonts w:ascii="Arial" w:hAnsi="Arial"/>
                  <w:color w:val="0000FF"/>
                  <w:sz w:val="20"/>
                  <w:u w:val="single"/>
                </w:rPr>
                <w:t>Notes to Unaudited Condensed Consolidated Financial Statements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_discussion_analysis">
              <w:r>
                <w:rPr>
                  <w:rStyle w:val="InternetLink"/>
                  <w:rFonts w:ascii="Arial" w:hAnsi="Arial"/>
                  <w:color w:val="0000FF"/>
                  <w:sz w:val="20"/>
                  <w:u w:val="single"/>
                </w:rPr>
                <w:t>Management’s Discussion and Analysis of Financial Condition and Results of Operations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Arial" w:hAnsi="Arial"/>
                  <w:color w:val="0000FF"/>
                  <w:sz w:val="20"/>
                  <w:u w:val="single"/>
                </w:rPr>
                <w:t>Quantitative and Qualitative Disclosures About Market Risk</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Arial" w:hAnsi="Arial"/>
                  <w:color w:val="0000FF"/>
                  <w:sz w:val="20"/>
                  <w:u w:val="single"/>
                </w:rPr>
                <w:t>Controls and Procedures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Arial" w:hAnsi="Arial"/>
                  <w:color w:val="0000FF"/>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
              <w:r>
                <w:rPr>
                  <w:rStyle w:val="InternetLink"/>
                  <w:rFonts w:ascii="Arial" w:hAnsi="Arial"/>
                  <w:color w:val="0000FF"/>
                  <w:sz w:val="20"/>
                  <w:u w:val="single"/>
                </w:rPr>
                <w:t>Unregistered Sales of Equity Securities and Use of Proceeds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FF"/>
                  <w:sz w:val="20"/>
                  <w:u w:val="single"/>
                </w:rPr>
                <w:t>Defaults Upon Senior Securities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20"/>
                  <w:u w:val="single"/>
                </w:rPr>
                <w:t>Mine Safety Disclosures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FF"/>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Exhibits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iii</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bookmarkStart w:id="3" w:name="part_i_financial_information"/>
      <w:bookmarkEnd w:id="3"/>
      <w:r>
        <w:rPr>
          <w:rFonts w:ascii="Arial" w:hAnsi="Arial"/>
          <w:b/>
          <w:color w:val="000000"/>
          <w:sz w:val="20"/>
        </w:rPr>
        <w:t>PART I—FINANCIAL INFORMATION</w:t>
      </w:r>
    </w:p>
    <w:p>
      <w:pPr>
        <w:pStyle w:val="TextBody"/>
        <w:bidi w:val="0"/>
        <w:spacing w:before="360" w:after="283"/>
        <w:jc w:val="left"/>
        <w:rPr>
          <w:rFonts w:ascii="Arial" w:hAnsi="Arial"/>
          <w:b/>
          <w:color w:val="000000"/>
          <w:sz w:val="20"/>
        </w:rPr>
      </w:pPr>
      <w:bookmarkStart w:id="4" w:name="item_1_financial_statements"/>
      <w:bookmarkEnd w:id="4"/>
      <w:r>
        <w:rPr>
          <w:rFonts w:ascii="Arial" w:hAnsi="Arial"/>
          <w:b/>
          <w:color w:val="000000"/>
          <w:sz w:val="20"/>
        </w:rPr>
        <w:t>Item 1. Financial Statements.</w:t>
      </w:r>
    </w:p>
    <w:p>
      <w:pPr>
        <w:pStyle w:val="TextBody"/>
        <w:bidi w:val="0"/>
        <w:jc w:val="center"/>
        <w:rPr>
          <w:rFonts w:ascii="Arial" w:hAnsi="Arial"/>
          <w:b/>
          <w:color w:val="000000"/>
          <w:sz w:val="20"/>
        </w:rPr>
      </w:pPr>
      <w:r>
        <w:rPr>
          <w:rFonts w:ascii="Arial" w:hAnsi="Arial"/>
          <w:b/>
          <w:color w:val="000000"/>
          <w:sz w:val="20"/>
        </w:rPr>
        <w:t>Aura Biosciences, Inc.</w:t>
      </w:r>
    </w:p>
    <w:p>
      <w:pPr>
        <w:pStyle w:val="TextBody"/>
        <w:bidi w:val="0"/>
        <w:spacing w:before="240" w:after="283"/>
        <w:jc w:val="center"/>
        <w:rPr>
          <w:rFonts w:ascii="Arial" w:hAnsi="Arial"/>
          <w:b/>
          <w:color w:val="000000"/>
          <w:sz w:val="20"/>
        </w:rPr>
      </w:pPr>
      <w:bookmarkStart w:id="5" w:name="condensed_consolidated_balance_sheets"/>
      <w:bookmarkEnd w:id="5"/>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6693"/>
        <w:gridCol w:w="146"/>
        <w:gridCol w:w="233"/>
        <w:gridCol w:w="948"/>
        <w:gridCol w:w="166"/>
        <w:gridCol w:w="146"/>
        <w:gridCol w:w="253"/>
        <w:gridCol w:w="1027"/>
        <w:gridCol w:w="593"/>
      </w:tblGrid>
      <w:tr>
        <w:trPr/>
        <w:tc>
          <w:tcPr>
            <w:tcW w:w="6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31,693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119,401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9,529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160,623</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 and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assets - 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17,379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20"/>
              </w:rPr>
            </w:pPr>
            <w:r>
              <w:rPr>
                <w:rFonts w:ascii="Arial" w:hAnsi="Arial"/>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155,401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182,503</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3,149</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9,460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14,913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15,620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20"/>
              </w:rPr>
            </w:pPr>
            <w:r>
              <w:rPr>
                <w:rFonts w:ascii="Arial" w:hAnsi="Arial"/>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30,533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Common stock, $0.00001</w:t>
            </w:r>
            <w:r>
              <w:rPr>
                <w:rFonts w:ascii="Times New Roman" w:hAnsi="Times New Roman"/>
                <w:color w:val="000000"/>
                <w:sz w:val="20"/>
              </w:rPr>
              <w:t> </w:t>
            </w:r>
            <w:r>
              <w:rPr>
                <w:rFonts w:ascii="Arial" w:hAnsi="Arial"/>
                <w:color w:val="000000"/>
                <w:sz w:val="20"/>
              </w:rPr>
              <w:t>par value, 150,000,000</w:t>
            </w:r>
            <w:r>
              <w:rPr>
                <w:rFonts w:ascii="Times New Roman" w:hAnsi="Times New Roman"/>
                <w:color w:val="000000"/>
                <w:sz w:val="20"/>
              </w:rPr>
              <w:t> </w:t>
            </w:r>
            <w:r>
              <w:rPr>
                <w:rFonts w:ascii="Arial" w:hAnsi="Arial"/>
                <w:color w:val="000000"/>
                <w:sz w:val="20"/>
              </w:rPr>
              <w:t>authorized at March 31, 2025 and December 31, 2024, and 50,225,312</w:t>
            </w:r>
            <w:r>
              <w:rPr>
                <w:rFonts w:ascii="Times New Roman" w:hAnsi="Times New Roman"/>
                <w:color w:val="000000"/>
                <w:sz w:val="20"/>
              </w:rPr>
              <w:t> </w:t>
            </w:r>
            <w:r>
              <w:rPr>
                <w:rFonts w:ascii="Arial" w:hAnsi="Arial"/>
                <w:color w:val="000000"/>
                <w:sz w:val="20"/>
              </w:rPr>
              <w:t>and 49,998,279</w:t>
            </w:r>
            <w:r>
              <w:rPr>
                <w:rFonts w:ascii="Times New Roman" w:hAnsi="Times New Roman"/>
                <w:color w:val="000000"/>
                <w:sz w:val="20"/>
              </w:rPr>
              <w:t> </w:t>
            </w:r>
            <w:r>
              <w:rPr>
                <w:rFonts w:ascii="Arial" w:hAnsi="Arial"/>
                <w:color w:val="000000"/>
                <w:sz w:val="20"/>
              </w:rPr>
              <w:t>shares issued and outstanding at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525,934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(374,227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20"/>
              </w:rPr>
            </w:pPr>
            <w:r>
              <w:rPr>
                <w:rFonts w:ascii="Arial" w:hAnsi="Arial"/>
                <w:b/>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127,966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151,970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b/>
                <w:color w:val="000000"/>
                <w:sz w:val="20"/>
              </w:rPr>
            </w:pPr>
            <w:r>
              <w:rPr>
                <w:rFonts w:ascii="Arial" w:hAnsi="Arial"/>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155,401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182,503</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Aura Biosciences, Inc.</w:t>
      </w:r>
    </w:p>
    <w:p>
      <w:pPr>
        <w:pStyle w:val="TextBody"/>
        <w:bidi w:val="0"/>
        <w:spacing w:before="240" w:after="283"/>
        <w:jc w:val="center"/>
        <w:rPr>
          <w:rFonts w:ascii="Times New Roman" w:hAnsi="Times New Roman"/>
          <w:sz w:val="20"/>
        </w:rPr>
      </w:pPr>
      <w:bookmarkStart w:id="6" w:name="condensed_consolidated_statements_opera"/>
      <w:bookmarkEnd w:id="6"/>
      <w:r>
        <w:rPr>
          <w:rFonts w:ascii="Arial" w:hAnsi="Arial"/>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b/>
          <w:color w:val="000000"/>
          <w:sz w:val="20"/>
        </w:rPr>
      </w:pPr>
      <w:r>
        <w:rPr>
          <w:rFonts w:ascii="Arial" w:hAnsi="Arial"/>
          <w:b/>
          <w:color w:val="000000"/>
          <w:sz w:val="20"/>
        </w:rPr>
        <w:t>(in thousands, except share and per share data)</w:t>
      </w:r>
    </w:p>
    <w:p>
      <w:pPr>
        <w:pStyle w:val="TextBody"/>
        <w:bidi w:val="0"/>
        <w:jc w:val="center"/>
        <w:rPr/>
      </w:pPr>
      <w:r>
        <w:rPr/>
        <w:t> </w:t>
      </w:r>
    </w:p>
    <w:tbl>
      <w:tblPr>
        <w:tblW w:w="9264" w:type="dxa"/>
        <w:jc w:val="left"/>
        <w:tblInd w:w="0" w:type="dxa"/>
        <w:tblLayout w:type="fixed"/>
        <w:tblCellMar>
          <w:top w:w="28" w:type="dxa"/>
          <w:left w:w="28" w:type="dxa"/>
          <w:bottom w:w="28" w:type="dxa"/>
          <w:right w:w="28" w:type="dxa"/>
        </w:tblCellMar>
      </w:tblPr>
      <w:tblGrid>
        <w:gridCol w:w="5761"/>
        <w:gridCol w:w="146"/>
        <w:gridCol w:w="211"/>
        <w:gridCol w:w="1066"/>
        <w:gridCol w:w="166"/>
        <w:gridCol w:w="146"/>
        <w:gridCol w:w="211"/>
        <w:gridCol w:w="1066"/>
        <w:gridCol w:w="491"/>
      </w:tblGrid>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17,052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22,313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(22,313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 including amortization and accretion income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2,685</w:t>
            </w:r>
          </w:p>
        </w:tc>
        <w:tc>
          <w:tcPr>
            <w:tcW w:w="491" w:type="dxa"/>
            <w:tcBorders/>
            <w:shd w:fill="CCEC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(19,660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provision,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(19,706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common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common stock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50,126,148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49,451,943</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(19,706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(20,227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Aura Biosciences, Inc.</w:t>
      </w:r>
    </w:p>
    <w:p>
      <w:pPr>
        <w:pStyle w:val="TextBody"/>
        <w:bidi w:val="0"/>
        <w:spacing w:before="240" w:after="283"/>
        <w:jc w:val="center"/>
        <w:rPr>
          <w:rFonts w:ascii="Times New Roman" w:hAnsi="Times New Roman"/>
          <w:sz w:val="20"/>
        </w:rPr>
      </w:pPr>
      <w:bookmarkStart w:id="7" w:name="condensed_consolidated_statements_stock"/>
      <w:bookmarkEnd w:id="7"/>
      <w:r>
        <w:rPr>
          <w:rFonts w:ascii="Arial" w:hAnsi="Arial"/>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b/>
          <w:color w:val="000000"/>
          <w:sz w:val="20"/>
        </w:rPr>
      </w:pPr>
      <w:r>
        <w:rPr>
          <w:rFonts w:ascii="Arial" w:hAnsi="Arial"/>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772"/>
        <w:gridCol w:w="146"/>
        <w:gridCol w:w="1066"/>
        <w:gridCol w:w="146"/>
        <w:gridCol w:w="318"/>
        <w:gridCol w:w="523"/>
        <w:gridCol w:w="146"/>
        <w:gridCol w:w="223"/>
        <w:gridCol w:w="843"/>
        <w:gridCol w:w="146"/>
        <w:gridCol w:w="261"/>
        <w:gridCol w:w="1060"/>
        <w:gridCol w:w="166"/>
        <w:gridCol w:w="506"/>
        <w:gridCol w:w="1158"/>
        <w:gridCol w:w="166"/>
        <w:gridCol w:w="281"/>
        <w:gridCol w:w="1065"/>
        <w:gridCol w:w="213"/>
      </w:tblGrid>
      <w:tr>
        <w:trPr/>
        <w:tc>
          <w:tcPr>
            <w:tcW w:w="1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December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49,998,279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525,934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(374,227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151,970</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 Stock Purchase Plan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(27,483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50,225,312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529,571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(401,710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127,966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December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49,350,788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512,617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(287,308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225,848</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 Stock Purchase Plan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(19,706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49,504,405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515,779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208,783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Aura Biosciences, Inc.</w:t>
      </w:r>
    </w:p>
    <w:p>
      <w:pPr>
        <w:pStyle w:val="TextBody"/>
        <w:bidi w:val="0"/>
        <w:spacing w:before="240" w:after="283"/>
        <w:jc w:val="center"/>
        <w:rPr>
          <w:rFonts w:ascii="Times New Roman" w:hAnsi="Times New Roman"/>
          <w:sz w:val="20"/>
        </w:rPr>
      </w:pPr>
      <w:bookmarkStart w:id="8" w:name="condensed_consolidated_statements_cash_f"/>
      <w:bookmarkEnd w:id="8"/>
      <w:r>
        <w:rPr>
          <w:rFonts w:ascii="Arial" w:hAnsi="Arial"/>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b/>
          <w:color w:val="000000"/>
          <w:sz w:val="20"/>
        </w:rPr>
      </w:pPr>
      <w:r>
        <w:rPr>
          <w:rFonts w:ascii="Arial" w:hAnsi="Arial"/>
          <w:b/>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061"/>
        <w:gridCol w:w="189"/>
        <w:gridCol w:w="273"/>
        <w:gridCol w:w="975"/>
        <w:gridCol w:w="215"/>
        <w:gridCol w:w="189"/>
        <w:gridCol w:w="273"/>
        <w:gridCol w:w="975"/>
        <w:gridCol w:w="1055"/>
      </w:tblGrid>
      <w:tr>
        <w:trPr/>
        <w:tc>
          <w:tcPr>
            <w:tcW w:w="606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March 31,</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(27,483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(19,706</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Adjustments to reconcile net loss to net cash used in operating activities: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expense</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w:t>
            </w:r>
          </w:p>
        </w:tc>
        <w:tc>
          <w:tcPr>
            <w:tcW w:w="10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Accretion on marketable securities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(1,506</w:t>
            </w:r>
          </w:p>
        </w:tc>
        <w:tc>
          <w:tcPr>
            <w:tcW w:w="10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 expense</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2,909</w:t>
            </w:r>
          </w:p>
        </w:tc>
        <w:tc>
          <w:tcPr>
            <w:tcW w:w="10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0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Non-cash lease expense</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w:t>
            </w:r>
          </w:p>
        </w:tc>
        <w:tc>
          <w:tcPr>
            <w:tcW w:w="10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Changes in operating assets and liabilities: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Prepaid expenses and other assets</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(3,750</w:t>
            </w:r>
          </w:p>
        </w:tc>
        <w:tc>
          <w:tcPr>
            <w:tcW w:w="1055"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Other long-term assets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1055"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Accounts payable</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1055"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Accrued expenses and other liabilities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(2,895</w:t>
            </w:r>
          </w:p>
        </w:tc>
        <w:tc>
          <w:tcPr>
            <w:tcW w:w="1055"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Operating lease liabilities</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b/>
                <w:color w:val="000000"/>
                <w:sz w:val="20"/>
              </w:rPr>
            </w:pPr>
            <w:r>
              <w:rPr>
                <w:rFonts w:ascii="Arial" w:hAnsi="Arial"/>
                <w:b/>
                <w:color w:val="000000"/>
                <w:sz w:val="20"/>
              </w:rPr>
              <w:t>Net cash used in operating activities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(23,355</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(24,452</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property and equipment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marketable securities</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(29,201</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Maturities of marketable securities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sale of marketable securities</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38,685</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b/>
                <w:color w:val="000000"/>
                <w:sz w:val="20"/>
              </w:rPr>
            </w:pPr>
            <w:r>
              <w:rPr>
                <w:rFonts w:ascii="Arial" w:hAnsi="Arial"/>
                <w:b/>
                <w:color w:val="000000"/>
                <w:sz w:val="20"/>
              </w:rPr>
              <w:t>Net cash provided by investing activities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29,813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9,396</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exercise of stock options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ESPP purchases</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b/>
                <w:color w:val="000000"/>
                <w:sz w:val="20"/>
              </w:rPr>
            </w:pPr>
            <w:r>
              <w:rPr>
                <w:rFonts w:ascii="Arial" w:hAnsi="Arial"/>
                <w:b/>
                <w:color w:val="000000"/>
                <w:sz w:val="20"/>
              </w:rPr>
              <w:t>Net cash provided by financing activities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increase (decrease) in cash, cash equivalents and restricted cash</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6,554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(14,803</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Effect of exchange rate changes on cash and cash equivalents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cash equivalents and restricted cash at beginning of period</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32,461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41,850</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cash equivalents and restricted cash at end of period</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38,994</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27,047</w:t>
            </w:r>
          </w:p>
        </w:tc>
        <w:tc>
          <w:tcPr>
            <w:tcW w:w="1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 of cash flow information:</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property and equipment in accounts payable and accrued expenses and other liabilities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50"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following table provides a reconciliation of cash, cash equivalents, and restricted cash reported within the unaudited condensed consolidated balance sheets that sum to the total of the same such amounts shown in the unaudited condensed consolidated statements of cash flows (in thousands):</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end of period</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38,226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26,279</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restricted cash, end of period</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768</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cash equivalents and restricted cash at end of period</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38,994</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27,047</w:t>
            </w:r>
          </w:p>
        </w:tc>
        <w:tc>
          <w:tcPr>
            <w:tcW w:w="1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Aura Biosciences, Inc.</w:t>
      </w:r>
    </w:p>
    <w:p>
      <w:pPr>
        <w:pStyle w:val="TextBody"/>
        <w:bidi w:val="0"/>
        <w:spacing w:before="240" w:after="283"/>
        <w:jc w:val="center"/>
        <w:rPr>
          <w:rFonts w:ascii="Arial" w:hAnsi="Arial"/>
          <w:b/>
          <w:color w:val="000000"/>
          <w:sz w:val="20"/>
        </w:rPr>
      </w:pPr>
      <w:bookmarkStart w:id="9" w:name="notes_unaudited_condensed_consolidated_f"/>
      <w:bookmarkEnd w:id="9"/>
      <w:r>
        <w:rPr>
          <w:rFonts w:ascii="Arial" w:hAnsi="Arial"/>
          <w:b/>
          <w:color w:val="000000"/>
          <w:sz w:val="20"/>
        </w:rPr>
        <w:t>Notes to Unaudited Condensed Consolidated Financial Statements</w:t>
      </w:r>
    </w:p>
    <w:p>
      <w:pPr>
        <w:pStyle w:val="TextBody"/>
        <w:bidi w:val="0"/>
        <w:spacing w:before="240" w:after="283"/>
        <w:jc w:val="left"/>
        <w:rPr>
          <w:rFonts w:ascii="Arial" w:hAnsi="Arial"/>
          <w:b/>
          <w:color w:val="000000"/>
          <w:sz w:val="20"/>
        </w:rPr>
      </w:pPr>
      <w:r>
        <w:rPr>
          <w:rFonts w:ascii="Arial" w:hAnsi="Arial"/>
          <w:b/>
          <w:color w:val="000000"/>
          <w:sz w:val="20"/>
        </w:rPr>
        <w:t>1. Description of Business</w:t>
      </w:r>
    </w:p>
    <w:p>
      <w:pPr>
        <w:pStyle w:val="TextBody"/>
        <w:bidi w:val="0"/>
        <w:spacing w:before="80" w:after="283"/>
        <w:jc w:val="both"/>
        <w:rPr>
          <w:rFonts w:ascii="Arial" w:hAnsi="Arial"/>
          <w:color w:val="000000"/>
          <w:sz w:val="20"/>
        </w:rPr>
      </w:pPr>
      <w:r>
        <w:rPr>
          <w:rFonts w:ascii="Arial" w:hAnsi="Arial"/>
          <w:color w:val="000000"/>
          <w:sz w:val="20"/>
        </w:rPr>
        <w:t>Aura Biosciences, Inc., or the Company or Aura, is a clinical-stage biotechnology company developing precision therapies to treat solid tumors designed to preserve organ function. Within these unaudited condensed consolidated financial statements, unless the context otherwise requires, references to the Company or Aura refer to Aura Biosciences, Inc. and its subsidiaries on a consolidated basis. The Company’s proprietary platform is designed to enable the targeting of a broad range of solid tumors using Virus-Like Particles, or VLPs, that can be conjugated with drugs or loaded with nucleic acids to create Virus-Like Drug Conjugates, or VDCs. VDCs are a novel class of drugs with a dual mechanism of action that promote cancer cell death by both the delivery of the cytotoxic payload to generate acute necrosis and activation of a secondary immune mediated response. The Company’s initial focus is in ocular and urologic oncology, both areas of high unmet medical need where local targeted therapies may enable early intervention. The Company is evaluating the safety and efficacy of its lead candidate, bel-sar, as a potential vision-sparing therapy in an ongoing global Phase 3 CoMpass trial for the first-line treatment of adult patients with small choroidal melanoma and indeterminate lesions, or early-stage choroidal melanoma. Bel-sar is also in clinical development in metastases to the choroid and bladder cancer, and is being explored for cancers of the ocular surface. The Company envisions the potential for development of bel-sar in additional therapeutic areas. Aura’s headquarters are located in Boston, Massachusetts.</w:t>
      </w:r>
    </w:p>
    <w:p>
      <w:pPr>
        <w:pStyle w:val="TextBody"/>
        <w:bidi w:val="0"/>
        <w:spacing w:before="240" w:after="283"/>
        <w:jc w:val="both"/>
        <w:rPr>
          <w:rFonts w:ascii="Times New Roman" w:hAnsi="Times New Roman"/>
          <w:sz w:val="20"/>
        </w:rPr>
      </w:pPr>
      <w:r>
        <w:rPr>
          <w:rFonts w:ascii="Arial" w:hAnsi="Arial"/>
          <w:color w:val="000000"/>
          <w:sz w:val="20"/>
        </w:rPr>
        <w:t>The Company’s operations to date have consisted primarily of conducting research and development and raising capital.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is subject to risks common to companies in the biotechnology industry, including, but not limited to, the successful development and commercialization of products, fluctuations in operating results and financial risks, need for additional financing or alternative means of financial support or both to fund its current operating plan, protection of proprietary technology and patent risks, compliance with government regulations, dependence on key personnel, collaborative partners, contract development and manufacturing organizations and other third-parties, competition, customer demand, management of growth, and the effectiveness of marketing by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Liquidity</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Through March 31, 2025, the Company has funded its operations primarily with proceeds from the initial and additional closings of its convertible preferred stock financings, and through its initial public offering, or IPO, follow-on offerings and at-the-market offering, or ATM. On November 9, 2023, the Company issued and sold 11,000,000</w:t>
      </w:r>
      <w:r>
        <w:rPr>
          <w:rFonts w:ascii="Times New Roman" w:hAnsi="Times New Roman"/>
          <w:color w:val="000000"/>
          <w:sz w:val="20"/>
        </w:rPr>
        <w:t xml:space="preserve"> </w:t>
      </w:r>
      <w:r>
        <w:rPr>
          <w:rFonts w:ascii="Arial" w:hAnsi="Arial"/>
          <w:color w:val="000000"/>
          <w:sz w:val="20"/>
        </w:rPr>
        <w:t>shares of common stock at a price to the public of $9.00</w:t>
      </w:r>
      <w:r>
        <w:rPr>
          <w:rFonts w:ascii="Times New Roman" w:hAnsi="Times New Roman"/>
          <w:color w:val="000000"/>
          <w:sz w:val="20"/>
        </w:rPr>
        <w:t xml:space="preserve"> </w:t>
      </w:r>
      <w:r>
        <w:rPr>
          <w:rFonts w:ascii="Arial" w:hAnsi="Arial"/>
          <w:color w:val="000000"/>
          <w:sz w:val="20"/>
        </w:rPr>
        <w:t>per share for aggregate gross proceeds of $99.0</w:t>
      </w:r>
      <w:r>
        <w:rPr>
          <w:rFonts w:ascii="Times New Roman" w:hAnsi="Times New Roman"/>
          <w:color w:val="000000"/>
          <w:sz w:val="20"/>
        </w:rPr>
        <w:t xml:space="preserve"> </w:t>
      </w:r>
      <w:r>
        <w:rPr>
          <w:rFonts w:ascii="Arial" w:hAnsi="Arial"/>
          <w:color w:val="000000"/>
          <w:sz w:val="20"/>
        </w:rPr>
        <w:t>million, or the 2023 Follow-On Offering. The Company received approximately $92.6</w:t>
      </w:r>
      <w:r>
        <w:rPr>
          <w:rFonts w:ascii="Times New Roman" w:hAnsi="Times New Roman"/>
          <w:color w:val="000000"/>
          <w:sz w:val="20"/>
        </w:rPr>
        <w:t xml:space="preserve"> </w:t>
      </w:r>
      <w:r>
        <w:rPr>
          <w:rFonts w:ascii="Arial" w:hAnsi="Arial"/>
          <w:color w:val="000000"/>
          <w:sz w:val="20"/>
        </w:rPr>
        <w:t>million in net proceeds from the 2023 Follow-On Offering after deducting underwriting discounts and commissions and offering expenses. On November 1, 2022, the Company filed a shelf registration statement on Form S-3, or the 2022 Shelf, with the SEC in relation to the registration of up to an aggregate offering price of $250.0</w:t>
      </w:r>
      <w:r>
        <w:rPr>
          <w:rFonts w:ascii="Times New Roman" w:hAnsi="Times New Roman"/>
          <w:color w:val="000000"/>
          <w:sz w:val="20"/>
        </w:rPr>
        <w:t xml:space="preserve"> </w:t>
      </w:r>
      <w:r>
        <w:rPr>
          <w:rFonts w:ascii="Arial" w:hAnsi="Arial"/>
          <w:color w:val="000000"/>
          <w:sz w:val="20"/>
        </w:rPr>
        <w:t>million of common stock, preferred stock, debt securities, warrants and units or any combination thereof. The Company also simultaneously entered into the Open Market Sale Agreement</w:t>
      </w:r>
      <w:r>
        <w:rPr>
          <w:rFonts w:ascii="Arial" w:hAnsi="Arial"/>
          <w:color w:val="000000"/>
          <w:sz w:val="13"/>
        </w:rPr>
        <w:t>SM</w:t>
      </w:r>
      <w:r>
        <w:rPr>
          <w:rFonts w:ascii="Arial" w:hAnsi="Arial"/>
          <w:color w:val="000000"/>
          <w:sz w:val="20"/>
        </w:rPr>
        <w:t>, or Sales Agreement, with Jefferies LLC, or the Sales Agent, to provide for the offering, issuance and sale by the Company of up to an aggregate of $75.0</w:t>
      </w:r>
      <w:r>
        <w:rPr>
          <w:rFonts w:ascii="Times New Roman" w:hAnsi="Times New Roman"/>
          <w:color w:val="000000"/>
          <w:sz w:val="20"/>
        </w:rPr>
        <w:t xml:space="preserve"> </w:t>
      </w:r>
      <w:r>
        <w:rPr>
          <w:rFonts w:ascii="Arial" w:hAnsi="Arial"/>
          <w:color w:val="000000"/>
          <w:sz w:val="20"/>
        </w:rPr>
        <w:t>million of common stock from time to time in the ATM under the 2022 Shelf and subject to the limitations thereof. In connection with the 2023 Follow-On Offering, on November 6, 2023, the Company delivered written notice to Jefferies that the Company was suspending and terminating the prospectus related to the shares issuable in the ATM pursuant to the terms of the Sales Agreement. On March 27, 2024, the Company filed a new shelf registration statement on Form S-3, or the 2024 Shelf, with the SEC in relation to the registration of up to an aggregate offering price of $350.0</w:t>
      </w:r>
      <w:r>
        <w:rPr>
          <w:rFonts w:ascii="Times New Roman" w:hAnsi="Times New Roman"/>
          <w:color w:val="000000"/>
          <w:sz w:val="20"/>
        </w:rPr>
        <w:t xml:space="preserve"> </w:t>
      </w:r>
      <w:r>
        <w:rPr>
          <w:rFonts w:ascii="Arial" w:hAnsi="Arial"/>
          <w:color w:val="000000"/>
          <w:sz w:val="20"/>
        </w:rPr>
        <w:t>million of common stock, preferred stock, debt securities, warrants and units or any combination thereof, which superseded the 2022 Shelf. The 2024 Shelf included a prospectus supplement to provide for offerings in the ATM under the Sales Agreement. The Company did not issue any shares of common stock during the three months ended March 31, 2025 under the ATM.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of the issuance date of these unaudited condensed consolidated financial statements for the three months ended March 31, 2025, the Company expects that its cash and cash equivalents and marketable securities will be sufficient to fund its operating expenses and capital expenditure requirements through at least 12 months from the issuance of these unaudited condensed consolidated financial statements. The future viability of the Company beyond that point is dependent on its ability to raise additional capital to finance its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2. Summary of Significant Accounting Policies</w:t>
      </w:r>
    </w:p>
    <w:p>
      <w:pPr>
        <w:pStyle w:val="TextBody"/>
        <w:bidi w:val="0"/>
        <w:spacing w:before="80" w:after="283"/>
        <w:jc w:val="left"/>
        <w:rPr>
          <w:rFonts w:ascii="Times New Roman" w:hAnsi="Times New Roman"/>
          <w:sz w:val="20"/>
        </w:rPr>
      </w:pPr>
      <w:r>
        <w:rPr>
          <w:rFonts w:ascii="Arial" w:hAnsi="Arial"/>
          <w:b/>
          <w:i/>
          <w:color w:val="000000"/>
          <w:sz w:val="20"/>
        </w:rPr>
        <w:t>Basis of Presentation</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accompanying unaudited condensed consolidated financial statements have been prepared in accordance with accounting principles generally accepted in the United States of America, or U.S. GAAP. In management’s opinion, the accompanying unaudited condensed consolidated financial statements include all adjustments, consisting of normal recurring adjustments, which are necessary to present fairly the Company’s financial position, results of operations, and cash flows. The financial data and other information disclosed in these notes related to the three months ended March 31, 2025 and 2024 are also unaudited. The unaudited condensed results of operations are not necessarily indicative of the operating results that may occur for the full fiscal year ending December 31, 2025. Certain information and footnote disclosures normally included in annual consolidated financial statements prepared in accordance with U.S. GAAP have been omitted pursuant to instructions, rules, and regulations prescribed by the United States Securities and Exchange Commission, or the SEC. Management believes that the disclosures provided here are adequate to make the information presented not misleading when these unaudited condensed consolidated financial statements are read in conjunction with the audited consolidated financial statements and notes thereto included in the Company’s Annual Report on Form 10-K.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Significant Accounting Policies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Company’s significant accounting policies are disclosed in the audited consolidated financial statements for the year ended December 31, 2024, in the Company’s Annual Report on Form 10-K filed with the SEC on March 24, 2025. There have been no changes to the Company’s significant accounting policies except as noted below.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Recently Adopted Accounting Pronouncements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 xml:space="preserve">In November 2023, the FASB issued ASU No. 2023-07, </w:t>
      </w:r>
      <w:r>
        <w:rPr>
          <w:rFonts w:ascii="Arial" w:hAnsi="Arial"/>
          <w:i/>
          <w:color w:val="000000"/>
          <w:sz w:val="20"/>
        </w:rPr>
        <w:t>Segment Reporting (Topic 280): Improvements to Reportable Segment Disclosures</w:t>
      </w:r>
      <w:r>
        <w:rPr>
          <w:rFonts w:ascii="Arial" w:hAnsi="Arial"/>
          <w:color w:val="000000"/>
          <w:sz w:val="20"/>
        </w:rPr>
        <w:t>. The ASU updates reportable segment disclosure requirements, primarily through requiring enhanced disclosures about significant segment expenses and information used to assess segment performance. The amendments do not change how segments are determined, aggregated, or how thresholds are applied to determine reportable segments. The standard became effective for interim reporting periods in fiscal years beginning after December 15, 2024. The Company adopted</w:t>
      </w:r>
      <w:r>
        <w:rPr>
          <w:rFonts w:ascii="Times New Roman" w:hAnsi="Times New Roman"/>
          <w:color w:val="000000"/>
          <w:sz w:val="20"/>
        </w:rPr>
        <w:t xml:space="preserve"> </w:t>
      </w:r>
      <w:r>
        <w:rPr>
          <w:rFonts w:ascii="Arial" w:hAnsi="Arial"/>
          <w:color w:val="000000"/>
          <w:sz w:val="20"/>
        </w:rPr>
        <w:t>ASU No. 2023-07 during the year ended December 31, 2024</w:t>
      </w:r>
      <w:r>
        <w:rPr>
          <w:rFonts w:ascii="Times New Roman" w:hAnsi="Times New Roman"/>
          <w:color w:val="000000"/>
          <w:sz w:val="20"/>
        </w:rPr>
        <w:t xml:space="preserve"> </w:t>
      </w:r>
      <w:r>
        <w:rPr>
          <w:rFonts w:ascii="Arial" w:hAnsi="Arial"/>
          <w:color w:val="000000"/>
          <w:sz w:val="20"/>
        </w:rPr>
        <w:t>and the standard did not have a material impact on its results of operations. The Company's segment reporting disclosure is included within the unaudited condensed consolidated financial statements at Note 15 "Segment Reporting".</w:t>
      </w:r>
    </w:p>
    <w:p>
      <w:pPr>
        <w:pStyle w:val="TextBody"/>
        <w:bidi w:val="0"/>
        <w:spacing w:before="240" w:after="283"/>
        <w:jc w:val="both"/>
        <w:rPr>
          <w:rFonts w:ascii="Times New Roman" w:hAnsi="Times New Roman"/>
          <w:sz w:val="20"/>
        </w:rPr>
      </w:pPr>
      <w:r>
        <w:rPr>
          <w:rFonts w:ascii="Arial" w:hAnsi="Arial"/>
          <w:color w:val="000000"/>
          <w:sz w:val="20"/>
        </w:rPr>
        <w:t xml:space="preserve">In December 2023, the FASB issued ASU 2023-09, </w:t>
      </w:r>
      <w:r>
        <w:rPr>
          <w:rFonts w:ascii="Arial" w:hAnsi="Arial"/>
          <w:i/>
          <w:color w:val="000000"/>
          <w:sz w:val="20"/>
        </w:rPr>
        <w:t>Income Taxes (Topic 740): Improvements to Income Tax Disclosures</w:t>
      </w:r>
      <w:r>
        <w:rPr>
          <w:rFonts w:ascii="Arial" w:hAnsi="Arial"/>
          <w:color w:val="000000"/>
          <w:sz w:val="20"/>
        </w:rPr>
        <w:t>. The standard requires the Company to provide further disaggregated income tax disclosures for specific categories on the effective tax rate reconciliation, as well as additional information about federal, state/local and foreign income taxes. The standard also requires the Company to annually disclose its income taxes paid (net of refunds received), disaggregated by jurisdiction. The Company adopted</w:t>
      </w:r>
      <w:r>
        <w:rPr>
          <w:rFonts w:ascii="Times New Roman" w:hAnsi="Times New Roman"/>
          <w:color w:val="000000"/>
          <w:sz w:val="20"/>
        </w:rPr>
        <w:t xml:space="preserve"> </w:t>
      </w:r>
      <w:r>
        <w:rPr>
          <w:rFonts w:ascii="Arial" w:hAnsi="Arial"/>
          <w:color w:val="000000"/>
          <w:sz w:val="20"/>
        </w:rPr>
        <w:t>the standard on January 1, 2025</w:t>
      </w:r>
      <w:r>
        <w:rPr>
          <w:rFonts w:ascii="Times New Roman" w:hAnsi="Times New Roman"/>
          <w:color w:val="000000"/>
          <w:sz w:val="20"/>
        </w:rPr>
        <w:t xml:space="preserve"> </w:t>
      </w:r>
      <w:r>
        <w:rPr>
          <w:rFonts w:ascii="Arial" w:hAnsi="Arial"/>
          <w:color w:val="000000"/>
          <w:sz w:val="20"/>
        </w:rPr>
        <w:t>for fiscal year reporting. The standard is to be applied on a prospective basis although optional retrospective application is permitted. While the standard will require additional disclosures related to the Company’s income taxes within the Company’s Annual Report on Form 10-K for the year ended December 31, 2025, the standard did not have any impact on the Company’s consolidated operating results, financial condition or cash flows.</w:t>
      </w:r>
    </w:p>
    <w:p>
      <w:pPr>
        <w:pStyle w:val="TextBody"/>
        <w:bidi w:val="0"/>
        <w:spacing w:before="240" w:after="283"/>
        <w:jc w:val="both"/>
        <w:rPr>
          <w:rFonts w:ascii="Arial" w:hAnsi="Arial"/>
          <w:b/>
          <w:i/>
          <w:color w:val="000000"/>
          <w:sz w:val="20"/>
        </w:rPr>
      </w:pPr>
      <w:r>
        <w:rPr>
          <w:rFonts w:ascii="Arial" w:hAnsi="Arial"/>
          <w:b/>
          <w:i/>
          <w:color w:val="000000"/>
          <w:sz w:val="20"/>
        </w:rPr>
        <w:t>New Accounting Pronouncements Not Yet Adopted</w:t>
      </w:r>
    </w:p>
    <w:p>
      <w:pPr>
        <w:pStyle w:val="TextBody"/>
        <w:bidi w:val="0"/>
        <w:spacing w:before="80" w:after="283"/>
        <w:jc w:val="both"/>
        <w:rPr>
          <w:rFonts w:ascii="Times New Roman" w:hAnsi="Times New Roman"/>
          <w:sz w:val="20"/>
        </w:rPr>
      </w:pPr>
      <w:r>
        <w:rPr>
          <w:rFonts w:ascii="Arial" w:hAnsi="Arial"/>
          <w:color w:val="000000"/>
          <w:sz w:val="20"/>
        </w:rPr>
        <w:t xml:space="preserve">In November 2024, the FASB issued ASU 2024-03, </w:t>
      </w:r>
      <w:r>
        <w:rPr>
          <w:rFonts w:ascii="Arial" w:hAnsi="Arial"/>
          <w:i/>
          <w:color w:val="000000"/>
          <w:sz w:val="20"/>
        </w:rPr>
        <w:t>Income Statement—Reporting Comprehensive Income—Expense Disaggregation Disclosures (Subtopic 220-40): Disaggregation of Income Statement Expenses</w:t>
      </w:r>
      <w:r>
        <w:rPr>
          <w:rFonts w:ascii="Arial" w:hAnsi="Arial"/>
          <w:color w:val="000000"/>
          <w:sz w:val="20"/>
        </w:rPr>
        <w:t>. The standard requires the Company to provide further disaggregated information of relevant expense captions within its consolidated statements of operations, including employee compensation and depreciation, as well as the inclusion of other specific expenses, gains and losses required by existing GAAP. The standard is effective for fiscal years beginning after December 15, 2026 and interim periods within fiscal years beginning after December 15, 2027, with early adoption permitted. The standard may be applied prospectively or retrospectively. While the standard will require additional disclosures related to certain expenses included in the consolidated statements of operations, the standard is not expected to have any impact on the Company’s consolidated operating results, financial condition or cash flows.</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jc w:val="left"/>
        <w:rPr>
          <w:rFonts w:ascii="Arial" w:hAnsi="Arial"/>
          <w:b/>
          <w:color w:val="000000"/>
          <w:sz w:val="20"/>
        </w:rPr>
      </w:pPr>
      <w:r>
        <w:rPr>
          <w:rFonts w:ascii="Arial" w:hAnsi="Arial"/>
          <w:b/>
          <w:color w:val="000000"/>
          <w:sz w:val="20"/>
        </w:rPr>
        <w:t>3. Fair Value of Assets and Liabilities</w:t>
      </w:r>
    </w:p>
    <w:p>
      <w:pPr>
        <w:pStyle w:val="TextBody"/>
        <w:bidi w:val="0"/>
        <w:spacing w:before="80" w:after="283"/>
        <w:jc w:val="both"/>
        <w:rPr>
          <w:rFonts w:ascii="Times New Roman" w:hAnsi="Times New Roman"/>
          <w:sz w:val="20"/>
        </w:rPr>
      </w:pPr>
      <w:r>
        <w:rPr>
          <w:rFonts w:ascii="Arial" w:hAnsi="Arial"/>
          <w:color w:val="000000"/>
          <w:sz w:val="20"/>
        </w:rPr>
        <w:t>The following table presents information about the Company’s financial assets and liabilities measured at fair value on a recurring basis and indicates the level of the fair value hierarchy utilized to determine such fair values as of March 31, 2025 and December 31, 2024 (in thousands):</w:t>
      </w:r>
      <w:r>
        <w:rPr>
          <w:rFonts w:ascii="Times New Roman" w:hAnsi="Times New Roman"/>
          <w:color w:val="000000"/>
          <w:sz w:val="20"/>
        </w:rPr>
        <w:t xml:space="preserve"> </w:t>
      </w:r>
    </w:p>
    <w:tbl>
      <w:tblPr>
        <w:tblW w:w="9053" w:type="dxa"/>
        <w:jc w:val="left"/>
        <w:tblInd w:w="0" w:type="dxa"/>
        <w:tblLayout w:type="fixed"/>
        <w:tblCellMar>
          <w:top w:w="28" w:type="dxa"/>
          <w:left w:w="28" w:type="dxa"/>
          <w:bottom w:w="28" w:type="dxa"/>
          <w:right w:w="28" w:type="dxa"/>
        </w:tblCellMar>
      </w:tblPr>
      <w:tblGrid>
        <w:gridCol w:w="2876"/>
        <w:gridCol w:w="146"/>
        <w:gridCol w:w="211"/>
        <w:gridCol w:w="796"/>
        <w:gridCol w:w="146"/>
        <w:gridCol w:w="146"/>
        <w:gridCol w:w="333"/>
        <w:gridCol w:w="1092"/>
        <w:gridCol w:w="146"/>
        <w:gridCol w:w="146"/>
        <w:gridCol w:w="263"/>
        <w:gridCol w:w="863"/>
        <w:gridCol w:w="146"/>
        <w:gridCol w:w="146"/>
        <w:gridCol w:w="426"/>
        <w:gridCol w:w="700"/>
        <w:gridCol w:w="471"/>
      </w:tblGrid>
      <w:tr>
        <w:trPr/>
        <w:tc>
          <w:tcPr>
            <w:tcW w:w="2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u w:val="single"/>
              </w:rPr>
            </w:pPr>
            <w:r>
              <w:rPr>
                <w:rFonts w:ascii="Arial" w:hAnsi="Arial"/>
                <w:b/>
                <w:color w:val="000000"/>
                <w:sz w:val="20"/>
                <w:u w:val="single"/>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Quoted</w:t>
            </w:r>
            <w:r>
              <w:rPr>
                <w:rFonts w:ascii="Times New Roman" w:hAnsi="Times New Roman"/>
                <w:color w:val="000000"/>
                <w:sz w:val="20"/>
              </w:rPr>
              <w:t xml:space="preserve"> </w:t>
            </w:r>
            <w:r>
              <w:rPr>
                <w:rFonts w:ascii="Arial" w:hAnsi="Arial"/>
                <w:b/>
                <w:color w:val="000000"/>
                <w:sz w:val="20"/>
              </w:rPr>
              <w:t>prices</w:t>
              <w:br/>
              <w:t>active</w:t>
            </w:r>
            <w:r>
              <w:rPr>
                <w:rFonts w:ascii="Times New Roman" w:hAnsi="Times New Roman"/>
                <w:color w:val="000000"/>
                <w:sz w:val="20"/>
              </w:rPr>
              <w:t xml:space="preserve"> </w:t>
            </w:r>
            <w:r>
              <w:rPr>
                <w:rFonts w:ascii="Arial" w:hAnsi="Arial"/>
                <w:b/>
                <w:color w:val="000000"/>
                <w:sz w:val="20"/>
              </w:rPr>
              <w:t>markets</w:t>
              <w:br/>
              <w:t>for 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w:t>
              <w:br/>
              <w:t>other</w:t>
              <w:br/>
              <w:t>observable</w:t>
              <w:br/>
              <w:t>inputs</w:t>
              <w:br/>
              <w:t>(Level 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U.S.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89,765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89,765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127,010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411" w:type="dxa"/>
        <w:jc w:val="left"/>
        <w:tblInd w:w="0" w:type="dxa"/>
        <w:tblLayout w:type="fixed"/>
        <w:tblCellMar>
          <w:top w:w="28" w:type="dxa"/>
          <w:left w:w="28" w:type="dxa"/>
          <w:bottom w:w="28" w:type="dxa"/>
          <w:right w:w="28" w:type="dxa"/>
        </w:tblCellMar>
      </w:tblPr>
      <w:tblGrid>
        <w:gridCol w:w="2876"/>
        <w:gridCol w:w="146"/>
        <w:gridCol w:w="286"/>
        <w:gridCol w:w="1079"/>
        <w:gridCol w:w="146"/>
        <w:gridCol w:w="146"/>
        <w:gridCol w:w="333"/>
        <w:gridCol w:w="1092"/>
        <w:gridCol w:w="146"/>
        <w:gridCol w:w="146"/>
        <w:gridCol w:w="235"/>
        <w:gridCol w:w="891"/>
        <w:gridCol w:w="146"/>
        <w:gridCol w:w="146"/>
        <w:gridCol w:w="426"/>
        <w:gridCol w:w="700"/>
        <w:gridCol w:w="471"/>
      </w:tblGrid>
      <w:tr>
        <w:trPr/>
        <w:tc>
          <w:tcPr>
            <w:tcW w:w="2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u w:val="single"/>
              </w:rPr>
            </w:pPr>
            <w:r>
              <w:rPr>
                <w:rFonts w:ascii="Arial" w:hAnsi="Arial"/>
                <w:b/>
                <w:color w:val="000000"/>
                <w:sz w:val="20"/>
                <w:u w:val="single"/>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Quoted</w:t>
            </w:r>
            <w:r>
              <w:rPr>
                <w:rFonts w:ascii="Times New Roman" w:hAnsi="Times New Roman"/>
                <w:color w:val="000000"/>
                <w:sz w:val="20"/>
              </w:rPr>
              <w:t xml:space="preserve"> </w:t>
            </w:r>
            <w:r>
              <w:rPr>
                <w:rFonts w:ascii="Arial" w:hAnsi="Arial"/>
                <w:b/>
                <w:color w:val="000000"/>
                <w:sz w:val="20"/>
              </w:rPr>
              <w:t>prices</w:t>
              <w:br/>
              <w:t>active</w:t>
            </w:r>
            <w:r>
              <w:rPr>
                <w:rFonts w:ascii="Times New Roman" w:hAnsi="Times New Roman"/>
                <w:color w:val="000000"/>
                <w:sz w:val="20"/>
              </w:rPr>
              <w:t xml:space="preserve"> </w:t>
            </w:r>
            <w:r>
              <w:rPr>
                <w:rFonts w:ascii="Arial" w:hAnsi="Arial"/>
                <w:b/>
                <w:color w:val="000000"/>
                <w:sz w:val="20"/>
              </w:rPr>
              <w:t>markets</w:t>
              <w:br/>
              <w:t>for 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w:t>
              <w:br/>
              <w:t>other</w:t>
              <w:br/>
              <w:t>observable</w:t>
              <w:br/>
              <w:t>inputs</w:t>
              <w:br/>
              <w:t>(Level 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U.S. Government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119,401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119,401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150,246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119,401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4. Property and Equipment, Net</w:t>
      </w:r>
    </w:p>
    <w:p>
      <w:pPr>
        <w:pStyle w:val="TextBody"/>
        <w:bidi w:val="0"/>
        <w:spacing w:before="80" w:after="283"/>
        <w:jc w:val="both"/>
        <w:rPr>
          <w:rFonts w:ascii="Times New Roman" w:hAnsi="Times New Roman"/>
          <w:sz w:val="20"/>
        </w:rPr>
      </w:pPr>
      <w:r>
        <w:rPr>
          <w:rFonts w:ascii="Arial" w:hAnsi="Arial"/>
          <w:color w:val="000000"/>
          <w:sz w:val="20"/>
        </w:rPr>
        <w:t>Property and equipment, net, consisted of the following (in thousands):</w:t>
      </w:r>
      <w:r>
        <w:rPr>
          <w:rFonts w:ascii="Times New Roman" w:hAnsi="Times New Roman"/>
          <w:color w:val="000000"/>
          <w:sz w:val="20"/>
        </w:rPr>
        <w:t xml:space="preserve"> </w:t>
      </w:r>
    </w:p>
    <w:tbl>
      <w:tblPr>
        <w:tblW w:w="5995" w:type="dxa"/>
        <w:jc w:val="left"/>
        <w:tblInd w:w="0" w:type="dxa"/>
        <w:tblLayout w:type="fixed"/>
        <w:tblCellMar>
          <w:top w:w="28" w:type="dxa"/>
          <w:left w:w="28" w:type="dxa"/>
          <w:bottom w:w="28" w:type="dxa"/>
          <w:right w:w="28" w:type="dxa"/>
        </w:tblCellMar>
      </w:tblPr>
      <w:tblGrid>
        <w:gridCol w:w="2956"/>
        <w:gridCol w:w="146"/>
        <w:gridCol w:w="247"/>
        <w:gridCol w:w="758"/>
        <w:gridCol w:w="166"/>
        <w:gridCol w:w="146"/>
        <w:gridCol w:w="336"/>
        <w:gridCol w:w="1029"/>
        <w:gridCol w:w="2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 under 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Lab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Depreciation expense was $0.3</w:t>
      </w:r>
      <w:r>
        <w:rPr>
          <w:rFonts w:ascii="Times New Roman" w:hAnsi="Times New Roman"/>
          <w:color w:val="000000"/>
          <w:sz w:val="20"/>
        </w:rPr>
        <w:t xml:space="preserve"> </w:t>
      </w:r>
      <w:r>
        <w:rPr>
          <w:rFonts w:ascii="Arial" w:hAnsi="Arial"/>
          <w:color w:val="000000"/>
          <w:sz w:val="20"/>
        </w:rPr>
        <w:t>million for the three months ended March 31, 2025 and 2024.</w:t>
      </w:r>
    </w:p>
    <w:p>
      <w:pPr>
        <w:pStyle w:val="TextBody"/>
        <w:bidi w:val="0"/>
        <w:spacing w:before="240" w:after="283"/>
        <w:jc w:val="left"/>
        <w:rPr>
          <w:rFonts w:ascii="Arial" w:hAnsi="Arial"/>
          <w:b/>
          <w:color w:val="000000"/>
          <w:sz w:val="20"/>
        </w:rPr>
      </w:pPr>
      <w:r>
        <w:rPr>
          <w:rFonts w:ascii="Arial" w:hAnsi="Arial"/>
          <w:b/>
          <w:color w:val="000000"/>
          <w:sz w:val="20"/>
        </w:rPr>
        <w:t>5. Prepaid Expenses and Other Current Assets</w:t>
      </w:r>
    </w:p>
    <w:p>
      <w:pPr>
        <w:pStyle w:val="TextBody"/>
        <w:bidi w:val="0"/>
        <w:spacing w:before="80" w:after="283"/>
        <w:jc w:val="both"/>
        <w:rPr>
          <w:rFonts w:ascii="Times New Roman" w:hAnsi="Times New Roman"/>
          <w:sz w:val="20"/>
        </w:rPr>
      </w:pPr>
      <w:r>
        <w:rPr>
          <w:rFonts w:ascii="Arial" w:hAnsi="Arial"/>
          <w:color w:val="000000"/>
          <w:sz w:val="20"/>
        </w:rPr>
        <w:t>Prepaid expenses and other current assets consisted of the following (in thousands):</w:t>
      </w:r>
      <w:r>
        <w:rPr>
          <w:rFonts w:ascii="Times New Roman" w:hAnsi="Times New Roman"/>
          <w:color w:val="000000"/>
          <w:sz w:val="20"/>
        </w:rPr>
        <w:t xml:space="preserve"> </w:t>
      </w:r>
    </w:p>
    <w:tbl>
      <w:tblPr>
        <w:tblW w:w="7035" w:type="dxa"/>
        <w:jc w:val="left"/>
        <w:tblInd w:w="0" w:type="dxa"/>
        <w:tblLayout w:type="fixed"/>
        <w:tblCellMar>
          <w:top w:w="28" w:type="dxa"/>
          <w:left w:w="28" w:type="dxa"/>
          <w:bottom w:w="28" w:type="dxa"/>
          <w:right w:w="28" w:type="dxa"/>
        </w:tblCellMar>
      </w:tblPr>
      <w:tblGrid>
        <w:gridCol w:w="4036"/>
        <w:gridCol w:w="146"/>
        <w:gridCol w:w="266"/>
        <w:gridCol w:w="739"/>
        <w:gridCol w:w="146"/>
        <w:gridCol w:w="146"/>
        <w:gridCol w:w="361"/>
        <w:gridCol w:w="1004"/>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6. Marketable Securities</w:t>
      </w:r>
    </w:p>
    <w:p>
      <w:pPr>
        <w:pStyle w:val="TextBody"/>
        <w:bidi w:val="0"/>
        <w:spacing w:before="80" w:after="283"/>
        <w:jc w:val="left"/>
        <w:rPr>
          <w:rFonts w:ascii="Times New Roman" w:hAnsi="Times New Roman"/>
          <w:sz w:val="20"/>
        </w:rPr>
      </w:pPr>
      <w:r>
        <w:rPr>
          <w:rFonts w:ascii="Arial" w:hAnsi="Arial"/>
          <w:color w:val="000000"/>
          <w:sz w:val="20"/>
        </w:rPr>
        <w:t>Marketable securities consisted of the following (in thousands):</w:t>
      </w:r>
      <w:r>
        <w:rPr>
          <w:rFonts w:ascii="Times New Roman" w:hAnsi="Times New Roman"/>
          <w:color w:val="000000"/>
          <w:sz w:val="20"/>
        </w:rPr>
        <w:t xml:space="preserve"> </w:t>
      </w:r>
    </w:p>
    <w:tbl>
      <w:tblPr>
        <w:tblW w:w="9814" w:type="dxa"/>
        <w:jc w:val="left"/>
        <w:tblInd w:w="0" w:type="dxa"/>
        <w:tblLayout w:type="fixed"/>
        <w:tblCellMar>
          <w:top w:w="28" w:type="dxa"/>
          <w:left w:w="28" w:type="dxa"/>
          <w:bottom w:w="28" w:type="dxa"/>
          <w:right w:w="28" w:type="dxa"/>
        </w:tblCellMar>
      </w:tblPr>
      <w:tblGrid>
        <w:gridCol w:w="2476"/>
        <w:gridCol w:w="146"/>
        <w:gridCol w:w="323"/>
        <w:gridCol w:w="1222"/>
        <w:gridCol w:w="146"/>
        <w:gridCol w:w="146"/>
        <w:gridCol w:w="564"/>
        <w:gridCol w:w="1131"/>
        <w:gridCol w:w="146"/>
        <w:gridCol w:w="146"/>
        <w:gridCol w:w="651"/>
        <w:gridCol w:w="1164"/>
        <w:gridCol w:w="166"/>
        <w:gridCol w:w="146"/>
        <w:gridCol w:w="220"/>
        <w:gridCol w:w="830"/>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89,634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89,765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89,634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89,765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119,130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119,401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119,130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119,401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both"/>
        <w:rPr>
          <w:rFonts w:ascii="Arial" w:hAnsi="Arial"/>
          <w:color w:val="000000"/>
          <w:sz w:val="20"/>
        </w:rPr>
      </w:pPr>
      <w:r>
        <w:rPr>
          <w:rFonts w:ascii="Arial" w:hAnsi="Arial"/>
          <w:color w:val="000000"/>
          <w:sz w:val="20"/>
        </w:rPr>
        <w:t xml:space="preserve">As of March 31, 2025, the unrealized losses on the Company’s investments in U.S. government agencies securities were caused by interest rate increases. The current credit ratings are all within the guidelines of the investment policy of the Company and the Company does not expect the issuers to settle any security at a price less than the amortized cost basis of the investment. The Company does not intend to sell the investments, and it is not probable that the Company will be required to sell the investments before recovery of their amortized cost basis. </w:t>
      </w:r>
    </w:p>
    <w:p>
      <w:pPr>
        <w:pStyle w:val="TextBody"/>
        <w:bidi w:val="0"/>
        <w:spacing w:before="80" w:after="283"/>
        <w:jc w:val="both"/>
        <w:rPr>
          <w:rFonts w:ascii="Times New Roman" w:hAnsi="Times New Roman"/>
          <w:sz w:val="20"/>
        </w:rPr>
      </w:pPr>
      <w:r>
        <w:rPr>
          <w:rFonts w:ascii="Arial" w:hAnsi="Arial"/>
          <w:color w:val="000000"/>
          <w:sz w:val="20"/>
        </w:rPr>
        <w:t>As of March 31, 2025, one</w:t>
      </w:r>
      <w:r>
        <w:rPr>
          <w:rFonts w:ascii="Times New Roman" w:hAnsi="Times New Roman"/>
          <w:color w:val="000000"/>
          <w:sz w:val="20"/>
        </w:rPr>
        <w:t xml:space="preserve"> </w:t>
      </w:r>
      <w:r>
        <w:rPr>
          <w:rFonts w:ascii="Arial" w:hAnsi="Arial"/>
          <w:color w:val="000000"/>
          <w:sz w:val="20"/>
        </w:rPr>
        <w:t>marketable security with contractual maturity of one year or less was in an unrealized loss position totaling $0.02</w:t>
      </w:r>
      <w:r>
        <w:rPr>
          <w:rFonts w:ascii="Times New Roman" w:hAnsi="Times New Roman"/>
          <w:color w:val="000000"/>
          <w:sz w:val="20"/>
        </w:rPr>
        <w:t xml:space="preserve"> </w:t>
      </w:r>
      <w:r>
        <w:rPr>
          <w:rFonts w:ascii="Arial" w:hAnsi="Arial"/>
          <w:color w:val="000000"/>
          <w:sz w:val="20"/>
        </w:rPr>
        <w:t>million, and all marketable securities held by the Company had remaining contractual maturities of one year or less.</w:t>
      </w:r>
    </w:p>
    <w:p>
      <w:pPr>
        <w:pStyle w:val="TextBody"/>
        <w:bidi w:val="0"/>
        <w:spacing w:before="80" w:after="283"/>
        <w:jc w:val="both"/>
        <w:rPr>
          <w:rFonts w:ascii="Times New Roman" w:hAnsi="Times New Roman"/>
          <w:sz w:val="20"/>
        </w:rPr>
      </w:pPr>
      <w:r>
        <w:rPr>
          <w:rFonts w:ascii="Arial" w:hAnsi="Arial"/>
          <w:color w:val="000000"/>
          <w:sz w:val="20"/>
        </w:rPr>
        <w:t>As of March 31, 2024, four</w:t>
      </w:r>
      <w:r>
        <w:rPr>
          <w:rFonts w:ascii="Times New Roman" w:hAnsi="Times New Roman"/>
          <w:color w:val="000000"/>
          <w:sz w:val="20"/>
        </w:rPr>
        <w:t xml:space="preserve"> </w:t>
      </w:r>
      <w:r>
        <w:rPr>
          <w:rFonts w:ascii="Arial" w:hAnsi="Arial"/>
          <w:color w:val="000000"/>
          <w:sz w:val="20"/>
        </w:rPr>
        <w:t>marketable securities with contractual maturities of one year or less were in an unrealized loss position totaling $0.01</w:t>
      </w:r>
      <w:r>
        <w:rPr>
          <w:rFonts w:ascii="Times New Roman" w:hAnsi="Times New Roman"/>
          <w:color w:val="000000"/>
          <w:sz w:val="20"/>
        </w:rPr>
        <w:t xml:space="preserve"> </w:t>
      </w:r>
      <w:r>
        <w:rPr>
          <w:rFonts w:ascii="Arial" w:hAnsi="Arial"/>
          <w:color w:val="000000"/>
          <w:sz w:val="20"/>
        </w:rPr>
        <w:t>million.</w:t>
      </w:r>
    </w:p>
    <w:p>
      <w:pPr>
        <w:pStyle w:val="TextBody"/>
        <w:bidi w:val="0"/>
        <w:spacing w:before="80" w:after="283"/>
        <w:jc w:val="both"/>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impairments of the Company’s marketable securities measured and carried at fair value during the three months ended March 31, 2025 and 2024.</w:t>
      </w:r>
    </w:p>
    <w:p>
      <w:pPr>
        <w:pStyle w:val="TextBody"/>
        <w:bidi w:val="0"/>
        <w:spacing w:before="80" w:after="283"/>
        <w:jc w:val="both"/>
        <w:rPr/>
      </w:pPr>
      <w:r>
        <w:rPr/>
        <w:t> </w:t>
      </w:r>
    </w:p>
    <w:p>
      <w:pPr>
        <w:pStyle w:val="TextBody"/>
        <w:bidi w:val="0"/>
        <w:spacing w:before="240" w:after="283"/>
        <w:jc w:val="left"/>
        <w:rPr>
          <w:rFonts w:ascii="Arial" w:hAnsi="Arial"/>
          <w:b/>
          <w:color w:val="000000"/>
          <w:sz w:val="20"/>
        </w:rPr>
      </w:pPr>
      <w:r>
        <w:rPr>
          <w:rFonts w:ascii="Arial" w:hAnsi="Arial"/>
          <w:b/>
          <w:color w:val="000000"/>
          <w:sz w:val="20"/>
        </w:rPr>
        <w:t>7. Accrued Expenses and Other Current Liabilities</w:t>
      </w:r>
    </w:p>
    <w:p>
      <w:pPr>
        <w:pStyle w:val="TextBody"/>
        <w:bidi w:val="0"/>
        <w:spacing w:before="80" w:after="283"/>
        <w:jc w:val="both"/>
        <w:rPr>
          <w:rFonts w:ascii="Times New Roman" w:hAnsi="Times New Roman"/>
          <w:sz w:val="20"/>
        </w:rPr>
      </w:pPr>
      <w:r>
        <w:rPr>
          <w:rFonts w:ascii="Arial" w:hAnsi="Arial"/>
          <w:color w:val="000000"/>
          <w:sz w:val="20"/>
        </w:rPr>
        <w:t>Accrued expenses and other current liabilities consisted of the following (in thousands):</w:t>
      </w:r>
      <w:r>
        <w:rPr>
          <w:rFonts w:ascii="Times New Roman" w:hAnsi="Times New Roman"/>
          <w:color w:val="000000"/>
          <w:sz w:val="20"/>
        </w:rPr>
        <w:t xml:space="preserve"> </w:t>
      </w:r>
    </w:p>
    <w:tbl>
      <w:tblPr>
        <w:tblW w:w="7095" w:type="dxa"/>
        <w:jc w:val="left"/>
        <w:tblInd w:w="0" w:type="dxa"/>
        <w:tblLayout w:type="fixed"/>
        <w:tblCellMar>
          <w:top w:w="28" w:type="dxa"/>
          <w:left w:w="28" w:type="dxa"/>
          <w:bottom w:w="28" w:type="dxa"/>
          <w:right w:w="28" w:type="dxa"/>
        </w:tblCellMar>
      </w:tblPr>
      <w:tblGrid>
        <w:gridCol w:w="4096"/>
        <w:gridCol w:w="146"/>
        <w:gridCol w:w="266"/>
        <w:gridCol w:w="739"/>
        <w:gridCol w:w="146"/>
        <w:gridCol w:w="146"/>
        <w:gridCol w:w="361"/>
        <w:gridCol w:w="1004"/>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audit, tax, and consulting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9,460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8. Stockholders' Equity</w:t>
      </w:r>
    </w:p>
    <w:p>
      <w:pPr>
        <w:pStyle w:val="TextBody"/>
        <w:bidi w:val="0"/>
        <w:spacing w:before="80" w:after="283"/>
        <w:jc w:val="both"/>
        <w:rPr>
          <w:rFonts w:ascii="Times New Roman" w:hAnsi="Times New Roman"/>
          <w:sz w:val="20"/>
        </w:rPr>
      </w:pPr>
      <w:r>
        <w:rPr>
          <w:rFonts w:ascii="Arial" w:hAnsi="Arial"/>
          <w:color w:val="000000"/>
          <w:sz w:val="20"/>
        </w:rPr>
        <w:t>The Company had 150,000,000</w:t>
      </w:r>
      <w:r>
        <w:rPr>
          <w:rFonts w:ascii="Times New Roman" w:hAnsi="Times New Roman"/>
          <w:color w:val="000000"/>
          <w:sz w:val="20"/>
        </w:rPr>
        <w:t xml:space="preserve"> </w:t>
      </w:r>
      <w:r>
        <w:rPr>
          <w:rFonts w:ascii="Arial" w:hAnsi="Arial"/>
          <w:color w:val="000000"/>
          <w:sz w:val="20"/>
        </w:rPr>
        <w:t>authorized shares of common stock, par value $0.00001</w:t>
      </w:r>
      <w:r>
        <w:rPr>
          <w:rFonts w:ascii="Times New Roman" w:hAnsi="Times New Roman"/>
          <w:color w:val="000000"/>
          <w:sz w:val="20"/>
        </w:rPr>
        <w:t xml:space="preserve"> </w:t>
      </w:r>
      <w:r>
        <w:rPr>
          <w:rFonts w:ascii="Arial" w:hAnsi="Arial"/>
          <w:color w:val="000000"/>
          <w:sz w:val="20"/>
        </w:rPr>
        <w:t>per share, of which 50,225,312</w:t>
      </w:r>
      <w:r>
        <w:rPr>
          <w:rFonts w:ascii="Times New Roman" w:hAnsi="Times New Roman"/>
          <w:color w:val="000000"/>
          <w:sz w:val="20"/>
        </w:rPr>
        <w:t xml:space="preserve"> </w:t>
      </w:r>
      <w:r>
        <w:rPr>
          <w:rFonts w:ascii="Arial" w:hAnsi="Arial"/>
          <w:color w:val="000000"/>
          <w:sz w:val="20"/>
        </w:rPr>
        <w:t>and 49,998,279</w:t>
      </w:r>
      <w:r>
        <w:rPr>
          <w:rFonts w:ascii="Times New Roman" w:hAnsi="Times New Roman"/>
          <w:color w:val="000000"/>
          <w:sz w:val="20"/>
        </w:rPr>
        <w:t xml:space="preserve"> </w:t>
      </w:r>
      <w:r>
        <w:rPr>
          <w:rFonts w:ascii="Arial" w:hAnsi="Arial"/>
          <w:color w:val="000000"/>
          <w:sz w:val="20"/>
        </w:rPr>
        <w:t>shares were issued and outstanding at March 31, 2025 and December 31, 2024, respectively.</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In addition, the Company had 10,000,000</w:t>
      </w:r>
      <w:r>
        <w:rPr>
          <w:rFonts w:ascii="Times New Roman" w:hAnsi="Times New Roman"/>
          <w:color w:val="000000"/>
          <w:sz w:val="20"/>
        </w:rPr>
        <w:t xml:space="preserve"> </w:t>
      </w:r>
      <w:r>
        <w:rPr>
          <w:rFonts w:ascii="Arial" w:hAnsi="Arial"/>
          <w:color w:val="000000"/>
          <w:sz w:val="20"/>
        </w:rPr>
        <w:t>authorized shares of preferred stock, par value $0.00001</w:t>
      </w:r>
      <w:r>
        <w:rPr>
          <w:rFonts w:ascii="Times New Roman" w:hAnsi="Times New Roman"/>
          <w:color w:val="000000"/>
          <w:sz w:val="20"/>
        </w:rPr>
        <w:t xml:space="preserve"> </w:t>
      </w:r>
      <w:r>
        <w:rPr>
          <w:rFonts w:ascii="Arial" w:hAnsi="Arial"/>
          <w:color w:val="000000"/>
          <w:sz w:val="20"/>
        </w:rPr>
        <w:t>per share, all of which shares of preferred stock are undesignated. No</w:t>
      </w:r>
      <w:r>
        <w:rPr>
          <w:rFonts w:ascii="Times New Roman" w:hAnsi="Times New Roman"/>
          <w:color w:val="000000"/>
          <w:sz w:val="20"/>
        </w:rPr>
        <w:t xml:space="preserve"> </w:t>
      </w:r>
      <w:r>
        <w:rPr>
          <w:rFonts w:ascii="Arial" w:hAnsi="Arial"/>
          <w:color w:val="000000"/>
          <w:sz w:val="20"/>
        </w:rPr>
        <w:t>authorized shares of preferred stock were issued and outstanding at March 31, 2025 and December 31, 2024.</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Financings</w:t>
      </w:r>
    </w:p>
    <w:p>
      <w:pPr>
        <w:pStyle w:val="TextBody"/>
        <w:bidi w:val="0"/>
        <w:spacing w:before="80" w:after="283"/>
        <w:jc w:val="both"/>
        <w:rPr>
          <w:rFonts w:ascii="Times New Roman" w:hAnsi="Times New Roman"/>
          <w:sz w:val="20"/>
        </w:rPr>
      </w:pPr>
      <w:r>
        <w:rPr>
          <w:rFonts w:ascii="Arial" w:hAnsi="Arial"/>
          <w:color w:val="000000"/>
          <w:sz w:val="20"/>
        </w:rPr>
        <w:t>On March 27, 2024, the Company filed the 2024 Shelf with the SEC in relation to the registration of up to an aggregate offering price of $350.0</w:t>
      </w:r>
      <w:r>
        <w:rPr>
          <w:rFonts w:ascii="Times New Roman" w:hAnsi="Times New Roman"/>
          <w:color w:val="000000"/>
          <w:sz w:val="20"/>
        </w:rPr>
        <w:t xml:space="preserve"> </w:t>
      </w:r>
      <w:r>
        <w:rPr>
          <w:rFonts w:ascii="Arial" w:hAnsi="Arial"/>
          <w:color w:val="000000"/>
          <w:sz w:val="20"/>
        </w:rPr>
        <w:t>million of common stock, preferred stock, debt securities, warrants and units or any combination thereof, which superseded the 2022 Shelf. The 2024 Shelf included a prospectus supplement to provide for offerings in the ATM under the Sales Agreement. The Company issued no</w:t>
      </w:r>
      <w:r>
        <w:rPr>
          <w:rFonts w:ascii="Times New Roman" w:hAnsi="Times New Roman"/>
          <w:color w:val="000000"/>
          <w:sz w:val="20"/>
        </w:rPr>
        <w:t xml:space="preserve"> </w:t>
      </w:r>
      <w:r>
        <w:rPr>
          <w:rFonts w:ascii="Arial" w:hAnsi="Arial"/>
          <w:color w:val="000000"/>
          <w:sz w:val="20"/>
        </w:rPr>
        <w:t>shares of common stock during the three months ended March 31, 2025 under the ATM.</w:t>
      </w:r>
    </w:p>
    <w:p>
      <w:pPr>
        <w:pStyle w:val="TextBody"/>
        <w:bidi w:val="0"/>
        <w:spacing w:before="80" w:after="283"/>
        <w:jc w:val="both"/>
        <w:rPr>
          <w:rFonts w:ascii="Times New Roman" w:hAnsi="Times New Roman"/>
          <w:sz w:val="20"/>
        </w:rPr>
      </w:pPr>
      <w:r>
        <w:rPr>
          <w:rFonts w:ascii="Arial" w:hAnsi="Arial"/>
          <w:color w:val="000000"/>
          <w:sz w:val="20"/>
        </w:rPr>
        <w:t>On November 9, 2023, the Company issued and sold 11,000,000</w:t>
      </w:r>
      <w:r>
        <w:rPr>
          <w:rFonts w:ascii="Times New Roman" w:hAnsi="Times New Roman"/>
          <w:color w:val="000000"/>
          <w:sz w:val="20"/>
        </w:rPr>
        <w:t xml:space="preserve"> </w:t>
      </w:r>
      <w:r>
        <w:rPr>
          <w:rFonts w:ascii="Arial" w:hAnsi="Arial"/>
          <w:color w:val="000000"/>
          <w:sz w:val="20"/>
        </w:rPr>
        <w:t>shares of common stock at a price to the public of $9.00</w:t>
      </w:r>
      <w:r>
        <w:rPr>
          <w:rFonts w:ascii="Times New Roman" w:hAnsi="Times New Roman"/>
          <w:color w:val="000000"/>
          <w:sz w:val="20"/>
        </w:rPr>
        <w:t xml:space="preserve"> </w:t>
      </w:r>
      <w:r>
        <w:rPr>
          <w:rFonts w:ascii="Arial" w:hAnsi="Arial"/>
          <w:color w:val="000000"/>
          <w:sz w:val="20"/>
        </w:rPr>
        <w:t>per share for aggregate gross proceeds of $99.0</w:t>
      </w:r>
      <w:r>
        <w:rPr>
          <w:rFonts w:ascii="Times New Roman" w:hAnsi="Times New Roman"/>
          <w:color w:val="000000"/>
          <w:sz w:val="20"/>
        </w:rPr>
        <w:t xml:space="preserve"> </w:t>
      </w:r>
      <w:r>
        <w:rPr>
          <w:rFonts w:ascii="Arial" w:hAnsi="Arial"/>
          <w:color w:val="000000"/>
          <w:sz w:val="20"/>
        </w:rPr>
        <w:t>million in the 2023 Follow-On Offering. The Company received approximately $92.6</w:t>
      </w:r>
      <w:r>
        <w:rPr>
          <w:rFonts w:ascii="Times New Roman" w:hAnsi="Times New Roman"/>
          <w:color w:val="000000"/>
          <w:sz w:val="20"/>
        </w:rPr>
        <w:t xml:space="preserve"> </w:t>
      </w:r>
      <w:r>
        <w:rPr>
          <w:rFonts w:ascii="Arial" w:hAnsi="Arial"/>
          <w:color w:val="000000"/>
          <w:sz w:val="20"/>
        </w:rPr>
        <w:t>million in net proceeds from the 2023 Follow-On Offering after deducting underwriting discounts and commissions and offering expenses.</w:t>
      </w:r>
    </w:p>
    <w:p>
      <w:pPr>
        <w:pStyle w:val="TextBody"/>
        <w:bidi w:val="0"/>
        <w:spacing w:before="80" w:after="283"/>
        <w:jc w:val="both"/>
        <w:rPr>
          <w:rFonts w:ascii="Times New Roman" w:hAnsi="Times New Roman"/>
          <w:sz w:val="20"/>
        </w:rPr>
      </w:pPr>
      <w:r>
        <w:rPr>
          <w:rFonts w:ascii="Arial" w:hAnsi="Arial"/>
          <w:color w:val="000000"/>
          <w:sz w:val="20"/>
        </w:rPr>
        <w:t>On November 1, 2022, the Company filed the 2022 Shelf with the SEC in relation to the registration of up to an aggregate offering price of $250.0</w:t>
      </w:r>
      <w:r>
        <w:rPr>
          <w:rFonts w:ascii="Times New Roman" w:hAnsi="Times New Roman"/>
          <w:color w:val="000000"/>
          <w:sz w:val="20"/>
        </w:rPr>
        <w:t xml:space="preserve"> </w:t>
      </w:r>
      <w:r>
        <w:rPr>
          <w:rFonts w:ascii="Arial" w:hAnsi="Arial"/>
          <w:color w:val="000000"/>
          <w:sz w:val="20"/>
        </w:rPr>
        <w:t>million of common stock, preferred stock, debt securities, warrants and units or any combination thereof. The Company also simultaneously entered into the Sales Agreement with the Sales Agent to provide for the offering, issuance and sale by the Company of up to an aggregate of $75.0</w:t>
      </w:r>
      <w:r>
        <w:rPr>
          <w:rFonts w:ascii="Times New Roman" w:hAnsi="Times New Roman"/>
          <w:color w:val="000000"/>
          <w:sz w:val="20"/>
        </w:rPr>
        <w:t xml:space="preserve"> </w:t>
      </w:r>
      <w:r>
        <w:rPr>
          <w:rFonts w:ascii="Arial" w:hAnsi="Arial"/>
          <w:color w:val="000000"/>
          <w:sz w:val="20"/>
        </w:rPr>
        <w:t>million of common stock from time to time in the ATM under the 2022 Shelf and subject to the limitations thereof. The Company issued 261,807</w:t>
      </w:r>
      <w:r>
        <w:rPr>
          <w:rFonts w:ascii="Times New Roman" w:hAnsi="Times New Roman"/>
          <w:color w:val="000000"/>
          <w:sz w:val="20"/>
        </w:rPr>
        <w:t xml:space="preserve"> </w:t>
      </w:r>
      <w:r>
        <w:rPr>
          <w:rFonts w:ascii="Arial" w:hAnsi="Arial"/>
          <w:color w:val="000000"/>
          <w:sz w:val="20"/>
        </w:rPr>
        <w:t>shares of common stock at an average price of $12.49</w:t>
      </w:r>
      <w:r>
        <w:rPr>
          <w:rFonts w:ascii="Times New Roman" w:hAnsi="Times New Roman"/>
          <w:color w:val="000000"/>
          <w:sz w:val="20"/>
        </w:rPr>
        <w:t xml:space="preserve"> </w:t>
      </w:r>
      <w:r>
        <w:rPr>
          <w:rFonts w:ascii="Arial" w:hAnsi="Arial"/>
          <w:color w:val="000000"/>
          <w:sz w:val="20"/>
        </w:rPr>
        <w:t>for aggregate gross proceeds of $3.3</w:t>
      </w:r>
      <w:r>
        <w:rPr>
          <w:rFonts w:ascii="Times New Roman" w:hAnsi="Times New Roman"/>
          <w:color w:val="000000"/>
          <w:sz w:val="20"/>
        </w:rPr>
        <w:t xml:space="preserve"> </w:t>
      </w:r>
      <w:r>
        <w:rPr>
          <w:rFonts w:ascii="Arial" w:hAnsi="Arial"/>
          <w:color w:val="000000"/>
          <w:sz w:val="20"/>
        </w:rPr>
        <w:t>million during the year ended December 31, 2023 under the ATM.</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9. Stock-Based Compensation</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2018 Stock Option and Incentive Plan</w:t>
      </w:r>
    </w:p>
    <w:p>
      <w:pPr>
        <w:pStyle w:val="TextBody"/>
        <w:bidi w:val="0"/>
        <w:jc w:val="both"/>
        <w:rPr>
          <w:rFonts w:ascii="Arial" w:hAnsi="Arial"/>
          <w:color w:val="000000"/>
          <w:sz w:val="20"/>
        </w:rPr>
      </w:pPr>
      <w:r>
        <w:rPr>
          <w:rFonts w:ascii="Arial" w:hAnsi="Arial"/>
          <w:color w:val="000000"/>
          <w:sz w:val="20"/>
        </w:rPr>
        <w:t>On December 12, 2018, the Company adopted the Aura Biosciences, Inc. 2018 Equity Incentive Plan, or the 2018 Plan. The 2018 Plan will expire in 2028. Under the 2018 Plan, Aura may grant incentive stock options, non-qualified stock options, restricted and unrestricted stock awards and stock rights. The Board of Directors, or the Board, has determined not to make any further awards under the 2018 Plan as of November 2, 2021. However, the 2018 Plan will continue to govern outstanding equity awards granted thereunder.</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2021 Stock Option and Incentive Plan</w:t>
      </w:r>
    </w:p>
    <w:p>
      <w:pPr>
        <w:pStyle w:val="TextBody"/>
        <w:bidi w:val="0"/>
        <w:jc w:val="both"/>
        <w:rPr>
          <w:rFonts w:ascii="Times New Roman" w:hAnsi="Times New Roman"/>
          <w:sz w:val="20"/>
        </w:rPr>
      </w:pPr>
      <w:r>
        <w:rPr>
          <w:rFonts w:ascii="Arial" w:hAnsi="Arial"/>
          <w:color w:val="000000"/>
          <w:sz w:val="20"/>
        </w:rPr>
        <w:t>The 2021 Stock Option and Incentive Plan, or the 2021 Plan, was adopted by the Board on October 7, 2021, approved by the Company’s stockholders on October 22, 2021 and became effective on November 1, 2021. The 2021 Plan permits the granting of both options to purchase common stock intended to qualify as incentive stock options under Section 422 of the Code and options that do not so qualify. The number of shares initially reserved for issuance under the 2021 Plan was 3,352,166, which increased on January 1, 2022 and will continue to increase each January 1 thereafter, by 5% of the outstanding number of shares of common stock on the immediately preceding December 31 or such lesser number of shares as determined by the Company’s compensation committee. The maximum number of shares of common stock that may be issued in the form of incentive stock options shall not exceed the initial limit, cumulatively increased on January 1, 2022 and on each January 1 thereafter by the lesser of the annual increase for such year or 3,352,166</w:t>
      </w:r>
      <w:r>
        <w:rPr>
          <w:rFonts w:ascii="Times New Roman" w:hAnsi="Times New Roman"/>
          <w:color w:val="000000"/>
          <w:sz w:val="20"/>
        </w:rPr>
        <w:t xml:space="preserve"> </w:t>
      </w:r>
      <w:r>
        <w:rPr>
          <w:rFonts w:ascii="Arial" w:hAnsi="Arial"/>
          <w:color w:val="000000"/>
          <w:sz w:val="20"/>
        </w:rPr>
        <w:t>shares of common stock. On January 1, 2025, the shares reserved for issuance were increased to 11,667,747</w:t>
      </w:r>
      <w:r>
        <w:rPr>
          <w:rFonts w:ascii="Times New Roman" w:hAnsi="Times New Roman"/>
          <w:color w:val="000000"/>
          <w:sz w:val="20"/>
        </w:rPr>
        <w:t xml:space="preserve"> </w:t>
      </w:r>
      <w:r>
        <w:rPr>
          <w:rFonts w:ascii="Arial" w:hAnsi="Arial"/>
          <w:color w:val="000000"/>
          <w:sz w:val="20"/>
        </w:rPr>
        <w:t>shares. With the transfer of shares to the 2021 Plan in connection with the termination or expiration of awards under the 2018 Plan, together with shares otherwise available under the 2021 Plan, there were 4,236,967</w:t>
      </w:r>
      <w:r>
        <w:rPr>
          <w:rFonts w:ascii="Times New Roman" w:hAnsi="Times New Roman"/>
          <w:color w:val="000000"/>
          <w:sz w:val="20"/>
        </w:rPr>
        <w:t xml:space="preserve"> </w:t>
      </w:r>
      <w:r>
        <w:rPr>
          <w:rFonts w:ascii="Arial" w:hAnsi="Arial"/>
          <w:color w:val="000000"/>
          <w:sz w:val="20"/>
        </w:rPr>
        <w:t>options and restricted stock units available for grant under the 2021 Plan at March 31, 2025.</w:t>
      </w:r>
    </w:p>
    <w:p>
      <w:pPr>
        <w:pStyle w:val="TextBody"/>
        <w:bidi w:val="0"/>
        <w:jc w:val="both"/>
        <w:rPr/>
      </w:pPr>
      <w:r>
        <w:rPr/>
        <w:t> </w:t>
      </w:r>
    </w:p>
    <w:p>
      <w:pPr>
        <w:pStyle w:val="TextBody"/>
        <w:bidi w:val="0"/>
        <w:jc w:val="left"/>
        <w:rPr>
          <w:rFonts w:ascii="Times New Roman" w:hAnsi="Times New Roman"/>
          <w:sz w:val="20"/>
        </w:rPr>
      </w:pPr>
      <w:r>
        <w:rPr>
          <w:rFonts w:ascii="Arial" w:hAnsi="Arial"/>
          <w:b/>
          <w:color w:val="000000"/>
          <w:sz w:val="20"/>
        </w:rPr>
        <w:t>2021 Employee Stock Purchase Plan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2021 Employee Stock Purchase Plan, or the ESPP, was adopted by the Board on October 7, 2021, approved by the Company’s stockholders on October 22, 2021 and became effective on November 1, 2021. A total of 335,217</w:t>
      </w:r>
      <w:r>
        <w:rPr>
          <w:rFonts w:ascii="Times New Roman" w:hAnsi="Times New Roman"/>
          <w:color w:val="000000"/>
          <w:sz w:val="20"/>
        </w:rPr>
        <w:t xml:space="preserve"> </w:t>
      </w:r>
      <w:r>
        <w:rPr>
          <w:rFonts w:ascii="Arial" w:hAnsi="Arial"/>
          <w:color w:val="000000"/>
          <w:sz w:val="20"/>
        </w:rPr>
        <w:t>shares of common stock were initially reserved for issuance under this plan, which increased on January 1, 2022 and will continue to increase each January 1 thereafter through January 1, 2031, by the least of (i) 335,217</w:t>
      </w:r>
      <w:r>
        <w:rPr>
          <w:rFonts w:ascii="Times New Roman" w:hAnsi="Times New Roman"/>
          <w:color w:val="000000"/>
          <w:sz w:val="20"/>
        </w:rPr>
        <w:t xml:space="preserve"> </w:t>
      </w:r>
      <w:r>
        <w:rPr>
          <w:rFonts w:ascii="Arial" w:hAnsi="Arial"/>
          <w:color w:val="000000"/>
          <w:sz w:val="20"/>
        </w:rPr>
        <w:t>shares of common stock, (ii) 1% of the outstanding number of shares of common stock on the immediately preceding December 31 or (iii) such lesser number of shares of common stock as determined by the administrator of the ESPP. On January 1, 2025, the shares reserved for issuance were increased to 1,593,596</w:t>
      </w:r>
      <w:r>
        <w:rPr>
          <w:rFonts w:ascii="Times New Roman" w:hAnsi="Times New Roman"/>
          <w:color w:val="000000"/>
          <w:sz w:val="20"/>
        </w:rPr>
        <w:t xml:space="preserve"> </w:t>
      </w:r>
      <w:r>
        <w:rPr>
          <w:rFonts w:ascii="Arial" w:hAnsi="Arial"/>
          <w:color w:val="000000"/>
          <w:sz w:val="20"/>
        </w:rPr>
        <w:t>shares. The purchase price of the shares under the ESPP is at 85% of the lower of the fair market value of the Company’s common stock on the first trading day of the offering period or on the purchase date. As of March 31, 2025, 1,578,333</w:t>
      </w:r>
      <w:r>
        <w:rPr>
          <w:rFonts w:ascii="Times New Roman" w:hAnsi="Times New Roman"/>
          <w:color w:val="000000"/>
          <w:sz w:val="20"/>
        </w:rPr>
        <w:t xml:space="preserve"> </w:t>
      </w:r>
      <w:r>
        <w:rPr>
          <w:rFonts w:ascii="Arial" w:hAnsi="Arial"/>
          <w:color w:val="000000"/>
          <w:sz w:val="20"/>
        </w:rPr>
        <w:t>shares were available to be issued under the ESPP. The Company recognized $0.02</w:t>
      </w:r>
      <w:r>
        <w:rPr>
          <w:rFonts w:ascii="Times New Roman" w:hAnsi="Times New Roman"/>
          <w:color w:val="000000"/>
          <w:sz w:val="20"/>
        </w:rPr>
        <w:t xml:space="preserve"> </w:t>
      </w:r>
      <w:r>
        <w:rPr>
          <w:rFonts w:ascii="Arial" w:hAnsi="Arial"/>
          <w:color w:val="000000"/>
          <w:sz w:val="20"/>
        </w:rPr>
        <w:t>million and $0.03</w:t>
      </w:r>
      <w:r>
        <w:rPr>
          <w:rFonts w:ascii="Times New Roman" w:hAnsi="Times New Roman"/>
          <w:color w:val="000000"/>
          <w:sz w:val="20"/>
        </w:rPr>
        <w:t xml:space="preserve"> </w:t>
      </w:r>
      <w:r>
        <w:rPr>
          <w:rFonts w:ascii="Arial" w:hAnsi="Arial"/>
          <w:color w:val="000000"/>
          <w:sz w:val="20"/>
        </w:rPr>
        <w:t>million in stock-based compensation expense related to the ESPP for the three months ended March 31, 2025 and 2024, respectively.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Stock Options</w:t>
      </w:r>
    </w:p>
    <w:p>
      <w:pPr>
        <w:pStyle w:val="TextBody"/>
        <w:bidi w:val="0"/>
        <w:spacing w:before="240" w:after="283"/>
        <w:jc w:val="both"/>
        <w:rPr>
          <w:rFonts w:ascii="Times New Roman" w:hAnsi="Times New Roman"/>
          <w:sz w:val="20"/>
        </w:rPr>
      </w:pPr>
      <w:r>
        <w:rPr>
          <w:rFonts w:ascii="Arial" w:hAnsi="Arial"/>
          <w:color w:val="000000"/>
          <w:sz w:val="20"/>
        </w:rPr>
        <w:t>The Board is authorized to administer the 2021 Plan. In accordance with the provisions of the 2021 Plan, the Board determines the terms of Aura options and other awards issued pursuant thereto, including the following: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which employees, directors and consultants shall be granted awards;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number of shares of common stock subject to options and other awards;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exercise price of each option, which generally shall not be less than fair market value of the common stock on the date of grant;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termination or cancellation provisions applicable to options;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terms and conditions of other awards, including conditions for repurchase, termination or cancellation, issue price and repurchase price;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all other terms and conditions upon which each award may be granted in accordance with the 2021 Plan. </w:t>
      </w:r>
    </w:p>
    <w:p>
      <w:pPr>
        <w:pStyle w:val="TextBody"/>
        <w:bidi w:val="0"/>
        <w:spacing w:before="240" w:after="283"/>
        <w:jc w:val="both"/>
        <w:rPr>
          <w:rFonts w:ascii="Times New Roman" w:hAnsi="Times New Roman"/>
          <w:sz w:val="20"/>
        </w:rPr>
      </w:pPr>
      <w:r>
        <w:rPr>
          <w:rFonts w:ascii="Arial" w:hAnsi="Arial"/>
          <w:color w:val="000000"/>
          <w:sz w:val="20"/>
        </w:rPr>
        <w:t>In addition, the Board may award restricted shares of common stock and restricted stock units to participants subject to such conditions and restrictions as it may determine. The Board or any committee to which the Board delegates authority may, with the consent of the affected plan participants, re-price or otherwise amend outstanding awards consistent with the terms of the 2021 Plan.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following table summarizes stock option activity under the 2018 Plan and 2021 Plan for the three months ended March 31, 2025:</w:t>
      </w:r>
      <w:r>
        <w:rPr>
          <w:rFonts w:ascii="Times New Roman" w:hAnsi="Times New Roman"/>
          <w:color w:val="000000"/>
          <w:sz w:val="20"/>
        </w:rPr>
        <w:t xml:space="preserve"> </w:t>
      </w:r>
    </w:p>
    <w:tbl>
      <w:tblPr>
        <w:tblW w:w="9573" w:type="dxa"/>
        <w:jc w:val="left"/>
        <w:tblInd w:w="0" w:type="dxa"/>
        <w:tblLayout w:type="fixed"/>
        <w:tblCellMar>
          <w:top w:w="28" w:type="dxa"/>
          <w:left w:w="28" w:type="dxa"/>
          <w:bottom w:w="28" w:type="dxa"/>
          <w:right w:w="28" w:type="dxa"/>
        </w:tblCellMar>
      </w:tblPr>
      <w:tblGrid>
        <w:gridCol w:w="3151"/>
        <w:gridCol w:w="146"/>
        <w:gridCol w:w="146"/>
        <w:gridCol w:w="961"/>
        <w:gridCol w:w="166"/>
        <w:gridCol w:w="146"/>
        <w:gridCol w:w="315"/>
        <w:gridCol w:w="721"/>
        <w:gridCol w:w="146"/>
        <w:gridCol w:w="146"/>
        <w:gridCol w:w="272"/>
        <w:gridCol w:w="899"/>
        <w:gridCol w:w="146"/>
        <w:gridCol w:w="146"/>
        <w:gridCol w:w="496"/>
        <w:gridCol w:w="1379"/>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Remaining</w:t>
              <w:br/>
              <w:t>Contractual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Aggregate 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5,522,353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1,057,410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Cancelled/Forfeited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6,575,452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Exercisable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3,641,859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The weighted-average grant date fair value of stock options granted during the three months ended March 31, 2025 and 2024 was $5.88</w:t>
      </w:r>
      <w:r>
        <w:rPr>
          <w:rFonts w:ascii="Times New Roman" w:hAnsi="Times New Roman"/>
          <w:color w:val="000000"/>
          <w:sz w:val="20"/>
        </w:rPr>
        <w:t xml:space="preserve"> </w:t>
      </w:r>
      <w:r>
        <w:rPr>
          <w:rFonts w:ascii="Arial" w:hAnsi="Arial"/>
          <w:color w:val="000000"/>
          <w:sz w:val="20"/>
        </w:rPr>
        <w:t>and $5.90</w:t>
      </w:r>
      <w:r>
        <w:rPr>
          <w:rFonts w:ascii="Times New Roman" w:hAnsi="Times New Roman"/>
          <w:color w:val="000000"/>
          <w:sz w:val="20"/>
        </w:rPr>
        <w:t xml:space="preserve"> </w:t>
      </w:r>
      <w:r>
        <w:rPr>
          <w:rFonts w:ascii="Arial" w:hAnsi="Arial"/>
          <w:color w:val="000000"/>
          <w:sz w:val="20"/>
        </w:rPr>
        <w:t>per share, respectively. The fair value of options vested during the three months ended March 31, 2025 and 2024 was $2.6</w:t>
      </w:r>
      <w:r>
        <w:rPr>
          <w:rFonts w:ascii="Times New Roman" w:hAnsi="Times New Roman"/>
          <w:color w:val="000000"/>
          <w:sz w:val="20"/>
        </w:rPr>
        <w:t xml:space="preserve"> </w:t>
      </w:r>
      <w:r>
        <w:rPr>
          <w:rFonts w:ascii="Arial" w:hAnsi="Arial"/>
          <w:color w:val="000000"/>
          <w:sz w:val="20"/>
        </w:rPr>
        <w:t>million and $2.2</w:t>
      </w:r>
      <w:r>
        <w:rPr>
          <w:rFonts w:ascii="Times New Roman" w:hAnsi="Times New Roman"/>
          <w:color w:val="000000"/>
          <w:sz w:val="20"/>
        </w:rPr>
        <w:t xml:space="preserve"> </w:t>
      </w:r>
      <w:r>
        <w:rPr>
          <w:rFonts w:ascii="Arial" w:hAnsi="Arial"/>
          <w:color w:val="000000"/>
          <w:sz w:val="20"/>
        </w:rPr>
        <w:t>million, respectively. The total intrinsic value of options exercised was $0</w:t>
      </w:r>
      <w:r>
        <w:rPr>
          <w:rFonts w:ascii="Times New Roman" w:hAnsi="Times New Roman"/>
          <w:color w:val="000000"/>
          <w:sz w:val="20"/>
        </w:rPr>
        <w:t xml:space="preserve"> </w:t>
      </w:r>
      <w:r>
        <w:rPr>
          <w:rFonts w:ascii="Arial" w:hAnsi="Arial"/>
          <w:color w:val="000000"/>
          <w:sz w:val="20"/>
        </w:rPr>
        <w:t>and $0.3</w:t>
      </w:r>
      <w:r>
        <w:rPr>
          <w:rFonts w:ascii="Times New Roman" w:hAnsi="Times New Roman"/>
          <w:color w:val="000000"/>
          <w:sz w:val="20"/>
        </w:rPr>
        <w:t xml:space="preserve"> </w:t>
      </w:r>
      <w:r>
        <w:rPr>
          <w:rFonts w:ascii="Arial" w:hAnsi="Arial"/>
          <w:color w:val="000000"/>
          <w:sz w:val="20"/>
        </w:rPr>
        <w:t>million for the three months ended March 31, 2025 and 2024, respectively.</w:t>
      </w:r>
    </w:p>
    <w:p>
      <w:pPr>
        <w:pStyle w:val="TextBody"/>
        <w:bidi w:val="0"/>
        <w:spacing w:before="240" w:after="283"/>
        <w:jc w:val="both"/>
        <w:rPr>
          <w:rFonts w:ascii="Times New Roman" w:hAnsi="Times New Roman"/>
          <w:sz w:val="20"/>
        </w:rPr>
      </w:pPr>
      <w:r>
        <w:rPr>
          <w:rFonts w:ascii="Arial" w:hAnsi="Arial"/>
          <w:color w:val="000000"/>
          <w:sz w:val="20"/>
        </w:rPr>
        <w:t>The fair value of the stock options issued for the three months ended March 31, 2025 and 2024 was measured with the following weighted-average assumptions:</w:t>
      </w:r>
      <w:r>
        <w:rPr>
          <w:rFonts w:ascii="Times New Roman" w:hAnsi="Times New Roman"/>
          <w:color w:val="000000"/>
          <w:sz w:val="20"/>
        </w:rPr>
        <w:t xml:space="preserve"> </w:t>
      </w:r>
    </w:p>
    <w:tbl>
      <w:tblPr>
        <w:tblW w:w="6427" w:type="dxa"/>
        <w:jc w:val="left"/>
        <w:tblInd w:w="0" w:type="dxa"/>
        <w:tblLayout w:type="fixed"/>
        <w:tblCellMar>
          <w:top w:w="28" w:type="dxa"/>
          <w:left w:w="28" w:type="dxa"/>
          <w:bottom w:w="28" w:type="dxa"/>
          <w:right w:w="28" w:type="dxa"/>
        </w:tblCellMar>
      </w:tblPr>
      <w:tblGrid>
        <w:gridCol w:w="3766"/>
        <w:gridCol w:w="146"/>
        <w:gridCol w:w="157"/>
        <w:gridCol w:w="630"/>
        <w:gridCol w:w="307"/>
        <w:gridCol w:w="157"/>
        <w:gridCol w:w="157"/>
        <w:gridCol w:w="630"/>
        <w:gridCol w:w="286"/>
        <w:gridCol w:w="1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March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6.06</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 of the underlying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90.89</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88.50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Arial" w:hAnsi="Arial"/>
          <w:b/>
          <w:i/>
          <w:color w:val="000000"/>
          <w:sz w:val="20"/>
        </w:rPr>
      </w:pPr>
      <w:r>
        <w:rPr>
          <w:rFonts w:ascii="Arial" w:hAnsi="Arial"/>
          <w:b/>
          <w:i/>
          <w:color w:val="000000"/>
          <w:sz w:val="20"/>
        </w:rPr>
        <w:t>Restricted Stock Units</w:t>
      </w:r>
    </w:p>
    <w:p>
      <w:pPr>
        <w:pStyle w:val="TextBody"/>
        <w:bidi w:val="0"/>
        <w:jc w:val="both"/>
        <w:rPr>
          <w:rFonts w:ascii="Arial" w:hAnsi="Arial"/>
          <w:color w:val="000000"/>
          <w:sz w:val="20"/>
        </w:rPr>
      </w:pPr>
      <w:r>
        <w:rPr>
          <w:rFonts w:ascii="Arial" w:hAnsi="Arial"/>
          <w:color w:val="000000"/>
          <w:sz w:val="20"/>
        </w:rPr>
        <w:t>The Company has granted restricted stock units with service-based vesting conditions. Unvested restricted stock units may not be sold or transferred by the holder.</w:t>
      </w:r>
    </w:p>
    <w:p>
      <w:pPr>
        <w:pStyle w:val="TextBody"/>
        <w:bidi w:val="0"/>
        <w:jc w:val="both"/>
        <w:rPr>
          <w:rFonts w:ascii="Arial" w:hAnsi="Arial"/>
          <w:color w:val="000000"/>
          <w:sz w:val="20"/>
        </w:rPr>
      </w:pPr>
      <w:r>
        <w:rPr>
          <w:rFonts w:ascii="Arial" w:hAnsi="Arial"/>
          <w:color w:val="000000"/>
          <w:sz w:val="20"/>
        </w:rPr>
        <w:t>A summary of the restricted stock units activity during the three months ended March 31, 2025 is as follows:</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820" w:type="dxa"/>
        <w:jc w:val="left"/>
        <w:tblInd w:w="0" w:type="dxa"/>
        <w:tblLayout w:type="fixed"/>
        <w:tblCellMar>
          <w:top w:w="28" w:type="dxa"/>
          <w:left w:w="28" w:type="dxa"/>
          <w:bottom w:w="28" w:type="dxa"/>
          <w:right w:w="28" w:type="dxa"/>
        </w:tblCellMar>
      </w:tblPr>
      <w:tblGrid>
        <w:gridCol w:w="2926"/>
        <w:gridCol w:w="146"/>
        <w:gridCol w:w="285"/>
        <w:gridCol w:w="1875"/>
        <w:gridCol w:w="166"/>
        <w:gridCol w:w="146"/>
        <w:gridCol w:w="634"/>
        <w:gridCol w:w="1451"/>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1,589,042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1,378,662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2,751,873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sz w:val="20"/>
        </w:rPr>
      </w:pPr>
      <w:r>
        <w:rPr>
          <w:rFonts w:ascii="Arial" w:hAnsi="Arial"/>
          <w:color w:val="000000"/>
          <w:sz w:val="20"/>
        </w:rPr>
        <w:t>As a result of the 2021 Plan, the Company granted restricted stock units which vest in increments of 25% annually over a period of four years. For the three months ended March 31, 2025, 211,770</w:t>
      </w:r>
      <w:r>
        <w:rPr>
          <w:rFonts w:ascii="Times New Roman" w:hAnsi="Times New Roman"/>
          <w:color w:val="000000"/>
          <w:sz w:val="20"/>
        </w:rPr>
        <w:t xml:space="preserve"> </w:t>
      </w:r>
      <w:r>
        <w:rPr>
          <w:rFonts w:ascii="Arial" w:hAnsi="Arial"/>
          <w:color w:val="000000"/>
          <w:sz w:val="20"/>
        </w:rPr>
        <w:t>restricted stock units vested with a fair value of $1.8</w:t>
      </w:r>
      <w:r>
        <w:rPr>
          <w:rFonts w:ascii="Times New Roman" w:hAnsi="Times New Roman"/>
          <w:color w:val="000000"/>
          <w:sz w:val="20"/>
        </w:rPr>
        <w:t xml:space="preserve"> </w:t>
      </w:r>
      <w:r>
        <w:rPr>
          <w:rFonts w:ascii="Arial" w:hAnsi="Arial"/>
          <w:color w:val="000000"/>
          <w:sz w:val="20"/>
        </w:rPr>
        <w:t>million.</w:t>
      </w:r>
    </w:p>
    <w:p>
      <w:pPr>
        <w:pStyle w:val="TextBody"/>
        <w:bidi w:val="0"/>
        <w:jc w:val="left"/>
        <w:rPr/>
      </w:pPr>
      <w:r>
        <w:rPr/>
        <w:t> </w:t>
      </w:r>
    </w:p>
    <w:p>
      <w:pPr>
        <w:pStyle w:val="TextBody"/>
        <w:bidi w:val="0"/>
        <w:jc w:val="both"/>
        <w:rPr>
          <w:rFonts w:ascii="Arial" w:hAnsi="Arial"/>
          <w:b/>
          <w:i/>
          <w:color w:val="000000"/>
          <w:sz w:val="20"/>
        </w:rPr>
      </w:pPr>
      <w:r>
        <w:rPr>
          <w:rFonts w:ascii="Arial" w:hAnsi="Arial"/>
          <w:b/>
          <w:i/>
          <w:color w:val="000000"/>
          <w:sz w:val="20"/>
        </w:rPr>
        <w:t>Stock-Based Compensation Expense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Company recorded stock-based compensation expense as follows (in thousands):</w:t>
      </w:r>
      <w:r>
        <w:rPr>
          <w:rFonts w:ascii="Times New Roman" w:hAnsi="Times New Roman"/>
          <w:color w:val="000000"/>
          <w:sz w:val="20"/>
        </w:rPr>
        <w:t xml:space="preserve"> </w:t>
      </w:r>
    </w:p>
    <w:tbl>
      <w:tblPr>
        <w:tblW w:w="5158" w:type="dxa"/>
        <w:jc w:val="left"/>
        <w:tblInd w:w="0" w:type="dxa"/>
        <w:tblLayout w:type="fixed"/>
        <w:tblCellMar>
          <w:top w:w="28" w:type="dxa"/>
          <w:left w:w="28" w:type="dxa"/>
          <w:bottom w:w="28" w:type="dxa"/>
          <w:right w:w="28" w:type="dxa"/>
        </w:tblCellMar>
      </w:tblPr>
      <w:tblGrid>
        <w:gridCol w:w="2491"/>
        <w:gridCol w:w="146"/>
        <w:gridCol w:w="228"/>
        <w:gridCol w:w="634"/>
        <w:gridCol w:w="157"/>
        <w:gridCol w:w="157"/>
        <w:gridCol w:w="228"/>
        <w:gridCol w:w="634"/>
        <w:gridCol w:w="146"/>
        <w:gridCol w:w="146"/>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1,599</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3,514</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As of March 31, 2025, there was $17.4</w:t>
      </w:r>
      <w:r>
        <w:rPr>
          <w:rFonts w:ascii="Times New Roman" w:hAnsi="Times New Roman"/>
          <w:color w:val="000000"/>
          <w:sz w:val="20"/>
        </w:rPr>
        <w:t xml:space="preserve"> </w:t>
      </w:r>
      <w:r>
        <w:rPr>
          <w:rFonts w:ascii="Arial" w:hAnsi="Arial"/>
          <w:color w:val="000000"/>
          <w:sz w:val="20"/>
        </w:rPr>
        <w:t>million of unrecognized compensation expense related to stock options, which is expected to be recognized over a weighted-average period of 2.9</w:t>
      </w:r>
      <w:r>
        <w:rPr>
          <w:rFonts w:ascii="Times New Roman" w:hAnsi="Times New Roman"/>
          <w:color w:val="000000"/>
          <w:sz w:val="20"/>
        </w:rPr>
        <w:t xml:space="preserve"> </w:t>
      </w:r>
      <w:r>
        <w:rPr>
          <w:rFonts w:ascii="Arial" w:hAnsi="Arial"/>
          <w:color w:val="000000"/>
          <w:sz w:val="20"/>
        </w:rPr>
        <w:t>years.</w:t>
      </w:r>
    </w:p>
    <w:p>
      <w:pPr>
        <w:pStyle w:val="TextBody"/>
        <w:bidi w:val="0"/>
        <w:jc w:val="both"/>
        <w:rPr>
          <w:rFonts w:ascii="Times New Roman" w:hAnsi="Times New Roman"/>
          <w:sz w:val="20"/>
        </w:rPr>
      </w:pPr>
      <w:r>
        <w:rPr>
          <w:rFonts w:ascii="Arial" w:hAnsi="Arial"/>
          <w:color w:val="000000"/>
          <w:sz w:val="20"/>
        </w:rPr>
        <w:t>As of March 31, 2025, there was $20.3</w:t>
      </w:r>
      <w:r>
        <w:rPr>
          <w:rFonts w:ascii="Times New Roman" w:hAnsi="Times New Roman"/>
          <w:color w:val="000000"/>
          <w:sz w:val="20"/>
        </w:rPr>
        <w:t xml:space="preserve"> </w:t>
      </w:r>
      <w:r>
        <w:rPr>
          <w:rFonts w:ascii="Arial" w:hAnsi="Arial"/>
          <w:color w:val="000000"/>
          <w:sz w:val="20"/>
        </w:rPr>
        <w:t>million of unrecognized compensation expense related to restricted stock units, which is expected to be recognized over a weighted-average period of 3.2</w:t>
      </w:r>
      <w:r>
        <w:rPr>
          <w:rFonts w:ascii="Times New Roman" w:hAnsi="Times New Roman"/>
          <w:color w:val="000000"/>
          <w:sz w:val="20"/>
        </w:rPr>
        <w:t xml:space="preserve"> </w:t>
      </w:r>
      <w:r>
        <w:rPr>
          <w:rFonts w:ascii="Arial" w:hAnsi="Arial"/>
          <w:color w:val="000000"/>
          <w:sz w:val="20"/>
        </w:rPr>
        <w:t>years.</w:t>
      </w:r>
    </w:p>
    <w:p>
      <w:pPr>
        <w:pStyle w:val="TextBody"/>
        <w:bidi w:val="0"/>
        <w:spacing w:before="240" w:after="283"/>
        <w:jc w:val="left"/>
        <w:rPr>
          <w:rFonts w:ascii="Arial" w:hAnsi="Arial"/>
          <w:b/>
          <w:color w:val="000000"/>
          <w:sz w:val="20"/>
        </w:rPr>
      </w:pPr>
      <w:r>
        <w:rPr>
          <w:rFonts w:ascii="Arial" w:hAnsi="Arial"/>
          <w:b/>
          <w:color w:val="000000"/>
          <w:sz w:val="20"/>
        </w:rPr>
        <w:t>10. Common Stock Warrants</w:t>
      </w:r>
    </w:p>
    <w:p>
      <w:pPr>
        <w:pStyle w:val="TextBody"/>
        <w:bidi w:val="0"/>
        <w:spacing w:before="80" w:after="283"/>
        <w:jc w:val="both"/>
        <w:rPr>
          <w:rFonts w:ascii="Times New Roman" w:hAnsi="Times New Roman"/>
          <w:sz w:val="20"/>
        </w:rPr>
      </w:pPr>
      <w:r>
        <w:rPr>
          <w:rFonts w:ascii="Arial" w:hAnsi="Arial"/>
          <w:color w:val="000000"/>
          <w:sz w:val="20"/>
        </w:rPr>
        <w:t>In February 2015 and May 2015, the Company issued warrants to purchase 1,650,098</w:t>
      </w:r>
      <w:r>
        <w:rPr>
          <w:rFonts w:ascii="Times New Roman" w:hAnsi="Times New Roman"/>
          <w:color w:val="000000"/>
          <w:sz w:val="20"/>
        </w:rPr>
        <w:t xml:space="preserve"> </w:t>
      </w:r>
      <w:r>
        <w:rPr>
          <w:rFonts w:ascii="Arial" w:hAnsi="Arial"/>
          <w:color w:val="000000"/>
          <w:sz w:val="20"/>
        </w:rPr>
        <w:t>and 887,536</w:t>
      </w:r>
      <w:r>
        <w:rPr>
          <w:rFonts w:ascii="Times New Roman" w:hAnsi="Times New Roman"/>
          <w:color w:val="000000"/>
          <w:sz w:val="20"/>
        </w:rPr>
        <w:t xml:space="preserve"> </w:t>
      </w:r>
      <w:r>
        <w:rPr>
          <w:rFonts w:ascii="Arial" w:hAnsi="Arial"/>
          <w:color w:val="000000"/>
          <w:sz w:val="20"/>
        </w:rPr>
        <w:t>shares of Series B convertible preferred stock, respectively, at an exercise price of $1.24235</w:t>
      </w:r>
      <w:r>
        <w:rPr>
          <w:rFonts w:ascii="Times New Roman" w:hAnsi="Times New Roman"/>
          <w:color w:val="000000"/>
          <w:sz w:val="20"/>
        </w:rPr>
        <w:t xml:space="preserve"> </w:t>
      </w:r>
      <w:r>
        <w:rPr>
          <w:rFonts w:ascii="Arial" w:hAnsi="Arial"/>
          <w:color w:val="000000"/>
          <w:sz w:val="20"/>
        </w:rPr>
        <w:t xml:space="preserve">per share (the </w:t>
      </w:r>
      <w:r>
        <w:rPr>
          <w:rFonts w:ascii="Times New Roman" w:hAnsi="Times New Roman"/>
          <w:color w:val="000000"/>
          <w:sz w:val="20"/>
        </w:rPr>
        <w:t>“</w:t>
      </w:r>
      <w:r>
        <w:rPr>
          <w:rFonts w:ascii="Arial" w:hAnsi="Arial"/>
          <w:color w:val="000000"/>
          <w:sz w:val="20"/>
        </w:rPr>
        <w:t>Series B Warrants”). Each Series B Warrant was immediately exercisable and expires ten years</w:t>
      </w:r>
      <w:r>
        <w:rPr>
          <w:rFonts w:ascii="Times New Roman" w:hAnsi="Times New Roman"/>
          <w:color w:val="000000"/>
          <w:sz w:val="20"/>
        </w:rPr>
        <w:t xml:space="preserve"> </w:t>
      </w:r>
      <w:r>
        <w:rPr>
          <w:rFonts w:ascii="Arial" w:hAnsi="Arial"/>
          <w:color w:val="000000"/>
          <w:sz w:val="20"/>
        </w:rPr>
        <w:t>from the original date of issuance. Pursuant to FASB ASC Topic 480, Distinguishing Liabilities from Equity, the Series B Warrants were classified as a liability and were re-measured to fair value at each balance sheet date. A total of 173,827</w:t>
      </w:r>
      <w:r>
        <w:rPr>
          <w:rFonts w:ascii="Times New Roman" w:hAnsi="Times New Roman"/>
          <w:color w:val="000000"/>
          <w:sz w:val="20"/>
        </w:rPr>
        <w:t xml:space="preserve"> </w:t>
      </w:r>
      <w:r>
        <w:rPr>
          <w:rFonts w:ascii="Arial" w:hAnsi="Arial"/>
          <w:color w:val="000000"/>
          <w:sz w:val="20"/>
        </w:rPr>
        <w:t>of the Series B Warrants were outstanding and were converted into warrants to purchase 12,686</w:t>
      </w:r>
      <w:r>
        <w:rPr>
          <w:rFonts w:ascii="Times New Roman" w:hAnsi="Times New Roman"/>
          <w:color w:val="000000"/>
          <w:sz w:val="20"/>
        </w:rPr>
        <w:t xml:space="preserve"> </w:t>
      </w:r>
      <w:r>
        <w:rPr>
          <w:rFonts w:ascii="Arial" w:hAnsi="Arial"/>
          <w:color w:val="000000"/>
          <w:sz w:val="20"/>
        </w:rPr>
        <w:t>shares of common stock with an exercise price of $17.03</w:t>
      </w:r>
      <w:r>
        <w:rPr>
          <w:rFonts w:ascii="Times New Roman" w:hAnsi="Times New Roman"/>
          <w:color w:val="000000"/>
          <w:sz w:val="20"/>
        </w:rPr>
        <w:t xml:space="preserve"> </w:t>
      </w:r>
      <w:r>
        <w:rPr>
          <w:rFonts w:ascii="Arial" w:hAnsi="Arial"/>
          <w:color w:val="000000"/>
          <w:sz w:val="20"/>
        </w:rPr>
        <w:t>upon the completion of the IPO in November 2021. As a result, the 12,686</w:t>
      </w:r>
      <w:r>
        <w:rPr>
          <w:rFonts w:ascii="Times New Roman" w:hAnsi="Times New Roman"/>
          <w:color w:val="000000"/>
          <w:sz w:val="20"/>
        </w:rPr>
        <w:t xml:space="preserve"> </w:t>
      </w:r>
      <w:r>
        <w:rPr>
          <w:rFonts w:ascii="Arial" w:hAnsi="Arial"/>
          <w:color w:val="000000"/>
          <w:sz w:val="20"/>
        </w:rPr>
        <w:t>common stock warrants were converted into equity instruments, of which 5,021</w:t>
      </w:r>
      <w:r>
        <w:rPr>
          <w:rFonts w:ascii="Times New Roman" w:hAnsi="Times New Roman"/>
          <w:color w:val="000000"/>
          <w:sz w:val="20"/>
        </w:rPr>
        <w:t xml:space="preserve"> </w:t>
      </w:r>
      <w:r>
        <w:rPr>
          <w:rFonts w:ascii="Arial" w:hAnsi="Arial"/>
          <w:color w:val="000000"/>
          <w:sz w:val="20"/>
        </w:rPr>
        <w:t>common stock warrants remain outstanding as of March 31, 2025. During the three months ended March 31, 2025, 7,665</w:t>
      </w:r>
      <w:r>
        <w:rPr>
          <w:rFonts w:ascii="Times New Roman" w:hAnsi="Times New Roman"/>
          <w:color w:val="000000"/>
          <w:sz w:val="20"/>
        </w:rPr>
        <w:t xml:space="preserve"> </w:t>
      </w:r>
      <w:r>
        <w:rPr>
          <w:rFonts w:ascii="Arial" w:hAnsi="Arial"/>
          <w:color w:val="000000"/>
          <w:sz w:val="20"/>
        </w:rPr>
        <w:t>common stock warrants expired.</w:t>
      </w:r>
    </w:p>
    <w:p>
      <w:pPr>
        <w:pStyle w:val="TextBody"/>
        <w:bidi w:val="0"/>
        <w:spacing w:before="240" w:after="283"/>
        <w:jc w:val="left"/>
        <w:rPr>
          <w:rFonts w:ascii="Arial" w:hAnsi="Arial"/>
          <w:b/>
          <w:color w:val="000000"/>
          <w:sz w:val="20"/>
        </w:rPr>
      </w:pPr>
      <w:r>
        <w:rPr>
          <w:rFonts w:ascii="Arial" w:hAnsi="Arial"/>
          <w:b/>
          <w:color w:val="000000"/>
          <w:sz w:val="20"/>
        </w:rPr>
        <w:t>11. Compensation</w:t>
      </w:r>
    </w:p>
    <w:p>
      <w:pPr>
        <w:pStyle w:val="TextBody"/>
        <w:bidi w:val="0"/>
        <w:spacing w:before="80" w:after="283"/>
        <w:jc w:val="both"/>
        <w:rPr>
          <w:rFonts w:ascii="Times New Roman" w:hAnsi="Times New Roman"/>
          <w:sz w:val="20"/>
        </w:rPr>
      </w:pPr>
      <w:r>
        <w:rPr>
          <w:rFonts w:ascii="Arial" w:hAnsi="Arial"/>
          <w:color w:val="000000"/>
          <w:sz w:val="20"/>
        </w:rPr>
        <w:t>In January 2012, the Company adopted the Aura Biosciences 401(k) Profit Sharing Plan and Trust (the “401(k) Plan”) for its employees, which is designed to be qualified under Section 401(k) of the Internal Revenue Code. Eligible employees are permitted to contribute to the 401(k) Plan within statutory and 401(k) Plan limits. The Company makes matching contributions of 100% of the first 6% of employee contributions. The Company made matching contributions of $0.3</w:t>
      </w:r>
      <w:r>
        <w:rPr>
          <w:rFonts w:ascii="Times New Roman" w:hAnsi="Times New Roman"/>
          <w:color w:val="000000"/>
          <w:sz w:val="20"/>
        </w:rPr>
        <w:t xml:space="preserve"> </w:t>
      </w:r>
      <w:r>
        <w:rPr>
          <w:rFonts w:ascii="Arial" w:hAnsi="Arial"/>
          <w:color w:val="000000"/>
          <w:sz w:val="20"/>
        </w:rPr>
        <w:t>million and $0.2</w:t>
      </w:r>
      <w:r>
        <w:rPr>
          <w:rFonts w:ascii="Times New Roman" w:hAnsi="Times New Roman"/>
          <w:color w:val="000000"/>
          <w:sz w:val="20"/>
        </w:rPr>
        <w:t xml:space="preserve"> </w:t>
      </w:r>
      <w:r>
        <w:rPr>
          <w:rFonts w:ascii="Arial" w:hAnsi="Arial"/>
          <w:color w:val="000000"/>
          <w:sz w:val="20"/>
        </w:rPr>
        <w:t>million for the three months ended March 31, 2025 and 2024, respectively.</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12. Commitments and Contingencies</w:t>
      </w:r>
    </w:p>
    <w:p>
      <w:pPr>
        <w:pStyle w:val="TextBody"/>
        <w:bidi w:val="0"/>
        <w:spacing w:before="80" w:after="283"/>
        <w:jc w:val="left"/>
        <w:rPr>
          <w:rFonts w:ascii="Times New Roman" w:hAnsi="Times New Roman"/>
          <w:sz w:val="20"/>
        </w:rPr>
      </w:pPr>
      <w:r>
        <w:rPr>
          <w:rFonts w:ascii="Arial" w:hAnsi="Arial"/>
          <w:b/>
          <w:i/>
          <w:color w:val="000000"/>
          <w:sz w:val="20"/>
        </w:rPr>
        <w:t>Lease Commitments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Company has historically entered into lease arrangements for its facilities. The Company has one</w:t>
      </w:r>
      <w:r>
        <w:rPr>
          <w:rFonts w:ascii="Times New Roman" w:hAnsi="Times New Roman"/>
          <w:color w:val="000000"/>
          <w:sz w:val="20"/>
        </w:rPr>
        <w:t xml:space="preserve"> </w:t>
      </w:r>
      <w:r>
        <w:rPr>
          <w:rFonts w:ascii="Arial" w:hAnsi="Arial"/>
          <w:color w:val="000000"/>
          <w:sz w:val="20"/>
        </w:rPr>
        <w:t>operating lease for its office and laboratory facility with required future minimum payments as of March 31, 2025.</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On May 16, 2022, the Company entered into an office and laboratory lease in Boston, Massachusetts with an initial 10-year term and one renewal option to extend the lease for an additional seven years. The lease commenced on August 1, 2022, and estimated payments due under the initial term total $35.2</w:t>
      </w:r>
      <w:r>
        <w:rPr>
          <w:rFonts w:ascii="Times New Roman" w:hAnsi="Times New Roman"/>
          <w:color w:val="000000"/>
          <w:sz w:val="20"/>
        </w:rPr>
        <w:t xml:space="preserve"> </w:t>
      </w:r>
      <w:r>
        <w:rPr>
          <w:rFonts w:ascii="Arial" w:hAnsi="Arial"/>
          <w:color w:val="000000"/>
          <w:sz w:val="20"/>
        </w:rPr>
        <w:t>million. The lease requires a letter of credit totaling $0.8</w:t>
      </w:r>
      <w:r>
        <w:rPr>
          <w:rFonts w:ascii="Times New Roman" w:hAnsi="Times New Roman"/>
          <w:color w:val="000000"/>
          <w:sz w:val="20"/>
        </w:rPr>
        <w:t xml:space="preserve"> </w:t>
      </w:r>
      <w:r>
        <w:rPr>
          <w:rFonts w:ascii="Arial" w:hAnsi="Arial"/>
          <w:color w:val="000000"/>
          <w:sz w:val="20"/>
        </w:rPr>
        <w:t>million which is classified as long-term restricted cash and deposits on the unaudited condensed consolidated balance sheets. The lease also provided for the landlord to reimburse the Company up to $0.5</w:t>
      </w:r>
      <w:r>
        <w:rPr>
          <w:rFonts w:ascii="Times New Roman" w:hAnsi="Times New Roman"/>
          <w:color w:val="000000"/>
          <w:sz w:val="20"/>
        </w:rPr>
        <w:t xml:space="preserve"> </w:t>
      </w:r>
      <w:r>
        <w:rPr>
          <w:rFonts w:ascii="Arial" w:hAnsi="Arial"/>
          <w:color w:val="000000"/>
          <w:sz w:val="20"/>
        </w:rPr>
        <w:t>million for certain costs related to expansion of the laboratory space. As of March 31, 2025, the Company has completed the expansion and has incurred and been fully reimbursed for $0.5</w:t>
      </w:r>
      <w:r>
        <w:rPr>
          <w:rFonts w:ascii="Times New Roman" w:hAnsi="Times New Roman"/>
          <w:color w:val="000000"/>
          <w:sz w:val="20"/>
        </w:rPr>
        <w:t xml:space="preserve"> </w:t>
      </w:r>
      <w:r>
        <w:rPr>
          <w:rFonts w:ascii="Arial" w:hAnsi="Arial"/>
          <w:color w:val="000000"/>
          <w:sz w:val="20"/>
        </w:rPr>
        <w:t>million of expenses.</w:t>
      </w:r>
    </w:p>
    <w:p>
      <w:pPr>
        <w:pStyle w:val="TextBody"/>
        <w:bidi w:val="0"/>
        <w:spacing w:before="240" w:after="283"/>
        <w:jc w:val="both"/>
        <w:rPr>
          <w:rFonts w:ascii="Arial" w:hAnsi="Arial"/>
          <w:color w:val="000000"/>
          <w:sz w:val="20"/>
        </w:rPr>
      </w:pPr>
      <w:r>
        <w:rPr>
          <w:rFonts w:ascii="Arial" w:hAnsi="Arial"/>
          <w:color w:val="000000"/>
          <w:sz w:val="20"/>
        </w:rPr>
        <w:t>The following table contains a summary of the lease costs recognized under ASC 842 and other information pertaining to the Company’s leases for the three months ended March 31, 2025 and 2024 (in thousands):</w:t>
      </w:r>
    </w:p>
    <w:tbl>
      <w:tblPr>
        <w:tblW w:w="4547" w:type="dxa"/>
        <w:jc w:val="left"/>
        <w:tblInd w:w="0" w:type="dxa"/>
        <w:tblLayout w:type="fixed"/>
        <w:tblCellMar>
          <w:top w:w="28" w:type="dxa"/>
          <w:left w:w="28" w:type="dxa"/>
          <w:bottom w:w="28" w:type="dxa"/>
          <w:right w:w="28" w:type="dxa"/>
        </w:tblCellMar>
      </w:tblPr>
      <w:tblGrid>
        <w:gridCol w:w="2026"/>
        <w:gridCol w:w="146"/>
        <w:gridCol w:w="228"/>
        <w:gridCol w:w="634"/>
        <w:gridCol w:w="157"/>
        <w:gridCol w:w="157"/>
        <w:gridCol w:w="228"/>
        <w:gridCol w:w="634"/>
        <w:gridCol w:w="146"/>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1,136</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64"/>
        <w:gridCol w:w="146"/>
        <w:gridCol w:w="146"/>
        <w:gridCol w:w="146"/>
        <w:gridCol w:w="146"/>
        <w:gridCol w:w="211"/>
        <w:gridCol w:w="586"/>
        <w:gridCol w:w="286"/>
        <w:gridCol w:w="146"/>
        <w:gridCol w:w="211"/>
        <w:gridCol w:w="586"/>
        <w:gridCol w:w="331"/>
      </w:tblGrid>
      <w:tr>
        <w:trPr/>
        <w:tc>
          <w:tcPr>
            <w:tcW w:w="7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7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paid for amounts included in the measurement of lease liabilities—operating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remaining lease term—operating leases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discount rate—operating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following table reconciles the future minimum commitments to the Company’s operating lease liabilities at March 31, 2025 (in thousands):</w:t>
      </w:r>
    </w:p>
    <w:tbl>
      <w:tblPr>
        <w:tblW w:w="8207" w:type="dxa"/>
        <w:jc w:val="left"/>
        <w:tblInd w:w="0" w:type="dxa"/>
        <w:tblLayout w:type="fixed"/>
        <w:tblCellMar>
          <w:top w:w="28" w:type="dxa"/>
          <w:left w:w="28" w:type="dxa"/>
          <w:bottom w:w="28" w:type="dxa"/>
          <w:right w:w="28" w:type="dxa"/>
        </w:tblCellMar>
      </w:tblPr>
      <w:tblGrid>
        <w:gridCol w:w="3526"/>
        <w:gridCol w:w="1042"/>
        <w:gridCol w:w="3428"/>
        <w:gridCol w:w="211"/>
      </w:tblGrid>
      <w:tr>
        <w:trPr/>
        <w:tc>
          <w:tcPr>
            <w:tcW w:w="352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3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Operating lease payments as of March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2025</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payments</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interest</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liabilities at March 31, 2025</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current portion of lease liabilities</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liabilities, net of current portion</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15,272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License Agreements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Company has entered into the following key agreements that relate to the core technology under development: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Rakuten License and Supply Agreement</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In May 2024, the Company received notice from LI-COR, Inc., or LI-COR, that as of April 16, 2024, LI-COR assigned, and Rakuten Medical, Inc., or Rakuten, assumed, the 2014 Exclusive Agreement and the 2014 Non-Exclusive Agreement (each described below), each originally entered into by and between the Company and LI-COR. The 2014 Exclusive Agreement and 2014 Non-Exclusive Agreement were not otherwise modified by this assignment and assumption and remain in effect.</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Arial" w:hAnsi="Arial"/>
          <w:color w:val="000000"/>
          <w:sz w:val="20"/>
          <w:u w:val="single"/>
        </w:rPr>
      </w:pPr>
      <w:r>
        <w:rPr>
          <w:rFonts w:ascii="Arial" w:hAnsi="Arial"/>
          <w:color w:val="000000"/>
          <w:sz w:val="20"/>
          <w:u w:val="single"/>
        </w:rPr>
        <w:t>2014 Exclusive Agreement</w:t>
      </w:r>
    </w:p>
    <w:p>
      <w:pPr>
        <w:pStyle w:val="TextBody"/>
        <w:bidi w:val="0"/>
        <w:spacing w:before="80" w:after="283"/>
        <w:jc w:val="both"/>
        <w:rPr>
          <w:rFonts w:ascii="Times New Roman" w:hAnsi="Times New Roman"/>
          <w:sz w:val="20"/>
        </w:rPr>
      </w:pPr>
      <w:r>
        <w:rPr>
          <w:rFonts w:ascii="Arial" w:hAnsi="Arial"/>
          <w:color w:val="000000"/>
          <w:sz w:val="20"/>
        </w:rPr>
        <w:t>In January 2014, the Company entered into an Exclusive License and Supply Agreement, or the 2014 Exclusive Agreement, with LI-COR for the license of IRDye 700DC and related licensed patent (now expired) for the treatment and diagnosis of ocular cancers in humans, as amended in January 2016, July 2017, April 2018 and April 2019. The 2014 Exclusive Agreement required a one-time upfront license issue fee of $0.1</w:t>
      </w:r>
      <w:r>
        <w:rPr>
          <w:rFonts w:ascii="Times New Roman" w:hAnsi="Times New Roman"/>
          <w:color w:val="000000"/>
          <w:sz w:val="20"/>
        </w:rPr>
        <w:t xml:space="preserve"> </w:t>
      </w:r>
      <w:r>
        <w:rPr>
          <w:rFonts w:ascii="Arial" w:hAnsi="Arial"/>
          <w:color w:val="000000"/>
          <w:sz w:val="20"/>
        </w:rPr>
        <w:t>million and aggregate milestone payments of up to $0.2</w:t>
      </w:r>
      <w:r>
        <w:rPr>
          <w:rFonts w:ascii="Times New Roman" w:hAnsi="Times New Roman"/>
          <w:color w:val="000000"/>
          <w:sz w:val="20"/>
        </w:rPr>
        <w:t xml:space="preserve"> </w:t>
      </w:r>
      <w:r>
        <w:rPr>
          <w:rFonts w:ascii="Arial" w:hAnsi="Arial"/>
          <w:color w:val="000000"/>
          <w:sz w:val="20"/>
        </w:rPr>
        <w:t>million upon certain regulatory and development milestones. The Company is also required to pay Rakuten low-single digit royalties on net sales. The term of the 2014 Exclusive Agreement expires on a country-by-country basis, until the longer of (i) ten years</w:t>
      </w:r>
      <w:r>
        <w:rPr>
          <w:rFonts w:ascii="Times New Roman" w:hAnsi="Times New Roman"/>
          <w:color w:val="000000"/>
          <w:sz w:val="20"/>
        </w:rPr>
        <w:t xml:space="preserve"> </w:t>
      </w:r>
      <w:r>
        <w:rPr>
          <w:rFonts w:ascii="Arial" w:hAnsi="Arial"/>
          <w:color w:val="000000"/>
          <w:sz w:val="20"/>
        </w:rPr>
        <w:t>from the first commercial sale of a licensed product in such country and (ii) the last to expire valid claim in such country.</w:t>
      </w:r>
    </w:p>
    <w:p>
      <w:pPr>
        <w:pStyle w:val="TextBody"/>
        <w:bidi w:val="0"/>
        <w:spacing w:before="80" w:after="283"/>
        <w:jc w:val="both"/>
        <w:rPr>
          <w:rFonts w:ascii="Times New Roman" w:hAnsi="Times New Roman"/>
          <w:sz w:val="20"/>
        </w:rPr>
      </w:pPr>
      <w:r>
        <w:rPr>
          <w:rFonts w:ascii="Arial" w:hAnsi="Arial"/>
          <w:color w:val="000000"/>
          <w:sz w:val="20"/>
        </w:rPr>
        <w:t>The Company recognized no</w:t>
      </w:r>
      <w:r>
        <w:rPr>
          <w:rFonts w:ascii="Times New Roman" w:hAnsi="Times New Roman"/>
          <w:color w:val="000000"/>
          <w:sz w:val="20"/>
        </w:rPr>
        <w:t xml:space="preserve"> </w:t>
      </w:r>
      <w:r>
        <w:rPr>
          <w:rFonts w:ascii="Arial" w:hAnsi="Arial"/>
          <w:color w:val="000000"/>
          <w:sz w:val="20"/>
        </w:rPr>
        <w:t>expenses related to this agreement and related amendments for the three months ended March 31, 2025 and 2024, respectively.</w:t>
      </w:r>
    </w:p>
    <w:p>
      <w:pPr>
        <w:pStyle w:val="TextBody"/>
        <w:bidi w:val="0"/>
        <w:spacing w:before="240" w:after="283"/>
        <w:jc w:val="both"/>
        <w:rPr>
          <w:rFonts w:ascii="Times New Roman" w:hAnsi="Times New Roman"/>
          <w:sz w:val="20"/>
        </w:rPr>
      </w:pPr>
      <w:r>
        <w:rPr>
          <w:rFonts w:ascii="Arial" w:hAnsi="Arial"/>
          <w:color w:val="000000"/>
          <w:sz w:val="20"/>
          <w:u w:val="single"/>
        </w:rPr>
        <w:t>2014 Non-Exclusive Agreement</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In December 2014, the Company entered into a Non-Exclusive License Agreement, or the 2014 Non-Exclusive Agreement, with LI-COR for the supply of IRDye 700DX to the Company for the treatment and diagnosis of non-ocular solid tumor cancers in humans. Under the 2014 Non-Exclusive Agreement, the Company paid a license issue fee of $0.03</w:t>
      </w:r>
      <w:r>
        <w:rPr>
          <w:rFonts w:ascii="Times New Roman" w:hAnsi="Times New Roman"/>
          <w:color w:val="000000"/>
          <w:sz w:val="20"/>
        </w:rPr>
        <w:t xml:space="preserve"> </w:t>
      </w:r>
      <w:r>
        <w:rPr>
          <w:rFonts w:ascii="Arial" w:hAnsi="Arial"/>
          <w:color w:val="000000"/>
          <w:sz w:val="20"/>
        </w:rPr>
        <w:t>million on the effective date. The Company must also pay Rakuten a non-refundable, non-creditable fee of $0.03</w:t>
      </w:r>
      <w:r>
        <w:rPr>
          <w:rFonts w:ascii="Times New Roman" w:hAnsi="Times New Roman"/>
          <w:color w:val="000000"/>
          <w:sz w:val="20"/>
        </w:rPr>
        <w:t xml:space="preserve"> </w:t>
      </w:r>
      <w:r>
        <w:rPr>
          <w:rFonts w:ascii="Arial" w:hAnsi="Arial"/>
          <w:color w:val="000000"/>
          <w:sz w:val="20"/>
        </w:rPr>
        <w:t>million per each licensed product upon pre-IND designation, as defined of such licensed product, aggregate milestone payments of up to $0.3</w:t>
      </w:r>
      <w:r>
        <w:rPr>
          <w:rFonts w:ascii="Times New Roman" w:hAnsi="Times New Roman"/>
          <w:color w:val="000000"/>
          <w:sz w:val="20"/>
        </w:rPr>
        <w:t xml:space="preserve"> </w:t>
      </w:r>
      <w:r>
        <w:rPr>
          <w:rFonts w:ascii="Arial" w:hAnsi="Arial"/>
          <w:color w:val="000000"/>
          <w:sz w:val="20"/>
        </w:rPr>
        <w:t>million upon certain regulatory and development milestones; and during the term, the Company must pay Rakuten a low-single digit percentage royalty on net sales. Rakuten receives 10% of all sublicensee income within 30 days of the Company’s receipt from the sublicensee. The 2014 Non-Exclusive Agreement also required the Company to make certain payments upon the achievement of specified development and commercial milestones of up to $0.4</w:t>
      </w:r>
      <w:r>
        <w:rPr>
          <w:rFonts w:ascii="Times New Roman" w:hAnsi="Times New Roman"/>
          <w:color w:val="000000"/>
          <w:sz w:val="20"/>
        </w:rPr>
        <w:t xml:space="preserve"> </w:t>
      </w:r>
      <w:r>
        <w:rPr>
          <w:rFonts w:ascii="Arial" w:hAnsi="Arial"/>
          <w:color w:val="000000"/>
          <w:sz w:val="20"/>
        </w:rPr>
        <w:t>million in aggregate. During the three months ended March 31, 2025 and 2024, the Company recognized</w:t>
      </w:r>
      <w:r>
        <w:rPr>
          <w:rFonts w:ascii="Times New Roman" w:hAnsi="Times New Roman"/>
          <w:color w:val="000000"/>
          <w:sz w:val="20"/>
        </w:rPr>
        <w:t xml:space="preserve"> </w:t>
      </w: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milestones related to this agreement.</w:t>
      </w:r>
    </w:p>
    <w:p>
      <w:pPr>
        <w:pStyle w:val="TextBody"/>
        <w:bidi w:val="0"/>
        <w:spacing w:before="240" w:after="283"/>
        <w:jc w:val="left"/>
        <w:rPr>
          <w:rFonts w:ascii="Arial" w:hAnsi="Arial"/>
          <w:i/>
          <w:color w:val="000000"/>
          <w:sz w:val="20"/>
        </w:rPr>
      </w:pPr>
      <w:r>
        <w:rPr>
          <w:rFonts w:ascii="Arial" w:hAnsi="Arial"/>
          <w:i/>
          <w:color w:val="000000"/>
          <w:sz w:val="20"/>
        </w:rPr>
        <w:t>Life Technologies Corporation License Agreements</w:t>
      </w:r>
    </w:p>
    <w:p>
      <w:pPr>
        <w:pStyle w:val="TextBody"/>
        <w:bidi w:val="0"/>
        <w:spacing w:before="80" w:after="283"/>
        <w:jc w:val="both"/>
        <w:rPr>
          <w:rFonts w:ascii="Times New Roman" w:hAnsi="Times New Roman"/>
          <w:sz w:val="20"/>
        </w:rPr>
      </w:pPr>
      <w:r>
        <w:rPr>
          <w:rFonts w:ascii="Arial" w:hAnsi="Arial"/>
          <w:color w:val="000000"/>
          <w:sz w:val="20"/>
        </w:rPr>
        <w:t>In December 2014, the Company entered into a non-exclusive, perpetual license agreement with Life Technologies Corporation, or the Life Technologies, which allows for five</w:t>
      </w:r>
      <w:r>
        <w:rPr>
          <w:rFonts w:ascii="Times New Roman" w:hAnsi="Times New Roman"/>
          <w:color w:val="000000"/>
          <w:sz w:val="20"/>
        </w:rPr>
        <w:t xml:space="preserve"> </w:t>
      </w:r>
      <w:r>
        <w:rPr>
          <w:rFonts w:ascii="Arial" w:hAnsi="Arial"/>
          <w:color w:val="000000"/>
          <w:sz w:val="20"/>
        </w:rPr>
        <w:t>licensed products. Under this agreement the Company is required to pay an initial license fee of $0.1</w:t>
      </w:r>
      <w:r>
        <w:rPr>
          <w:rFonts w:ascii="Times New Roman" w:hAnsi="Times New Roman"/>
          <w:color w:val="000000"/>
          <w:sz w:val="20"/>
        </w:rPr>
        <w:t xml:space="preserve"> </w:t>
      </w:r>
      <w:r>
        <w:rPr>
          <w:rFonts w:ascii="Arial" w:hAnsi="Arial"/>
          <w:color w:val="000000"/>
          <w:sz w:val="20"/>
        </w:rPr>
        <w:t>million for each product. An annual development fee of $0.1</w:t>
      </w:r>
      <w:r>
        <w:rPr>
          <w:rFonts w:ascii="Times New Roman" w:hAnsi="Times New Roman"/>
          <w:color w:val="000000"/>
          <w:sz w:val="20"/>
        </w:rPr>
        <w:t xml:space="preserve"> </w:t>
      </w:r>
      <w:r>
        <w:rPr>
          <w:rFonts w:ascii="Arial" w:hAnsi="Arial"/>
          <w:color w:val="000000"/>
          <w:sz w:val="20"/>
        </w:rPr>
        <w:t>million is due within a year from payment of the initial license fee and due annually or earlier of (i) payment of a commercialization fee or (ii) all development work is terminated. The commercialization fee is a one-time, non-refundable, non-creditable fee of $0.3</w:t>
      </w:r>
      <w:r>
        <w:rPr>
          <w:rFonts w:ascii="Times New Roman" w:hAnsi="Times New Roman"/>
          <w:color w:val="000000"/>
          <w:sz w:val="20"/>
        </w:rPr>
        <w:t xml:space="preserve"> </w:t>
      </w:r>
      <w:r>
        <w:rPr>
          <w:rFonts w:ascii="Arial" w:hAnsi="Arial"/>
          <w:color w:val="000000"/>
          <w:sz w:val="20"/>
        </w:rPr>
        <w:t>million due upon receipt of approval of a licensed product. In the event of a change of control, there will be a change of control fee of $0.2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January 2022, the Company entered into the First Amendment to the non-exclusive, perpetual license agreement with Life Technologies for use of the license in an additional indication. The cost of this amendment was a one-time fee of $0.05</w:t>
      </w:r>
      <w:r>
        <w:rPr>
          <w:rFonts w:ascii="Times New Roman" w:hAnsi="Times New Roman"/>
          <w:color w:val="000000"/>
          <w:sz w:val="20"/>
        </w:rPr>
        <w:t xml:space="preserve"> </w:t>
      </w:r>
      <w:r>
        <w:rPr>
          <w:rFonts w:ascii="Arial" w:hAnsi="Arial"/>
          <w:color w:val="000000"/>
          <w:sz w:val="20"/>
        </w:rPr>
        <w:t>million. During the three months ended March 31, 2025 and 2024, the Company recognized</w:t>
      </w:r>
      <w:r>
        <w:rPr>
          <w:rFonts w:ascii="Times New Roman" w:hAnsi="Times New Roman"/>
          <w:color w:val="000000"/>
          <w:sz w:val="20"/>
        </w:rPr>
        <w:t xml:space="preserve"> </w:t>
      </w: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expenses related to this agreement.</w:t>
      </w:r>
    </w:p>
    <w:p>
      <w:pPr>
        <w:pStyle w:val="TextBody"/>
        <w:bidi w:val="0"/>
        <w:spacing w:before="240" w:after="283"/>
        <w:jc w:val="both"/>
        <w:rPr>
          <w:rFonts w:ascii="Times New Roman" w:hAnsi="Times New Roman"/>
          <w:sz w:val="20"/>
        </w:rPr>
      </w:pPr>
      <w:r>
        <w:rPr>
          <w:rFonts w:ascii="Arial" w:hAnsi="Arial"/>
          <w:color w:val="000000"/>
          <w:sz w:val="20"/>
        </w:rPr>
        <w:t>Effective in September 2022, the Company entered into a new non-exclusive, perpetual license agreement with Life Technologies for licensed products. Under this agreement, the Company is required to pay an initial license fee of $0.4</w:t>
      </w:r>
      <w:r>
        <w:rPr>
          <w:rFonts w:ascii="Times New Roman" w:hAnsi="Times New Roman"/>
          <w:color w:val="000000"/>
          <w:sz w:val="20"/>
        </w:rPr>
        <w:t xml:space="preserve"> </w:t>
      </w:r>
      <w:r>
        <w:rPr>
          <w:rFonts w:ascii="Arial" w:hAnsi="Arial"/>
          <w:color w:val="000000"/>
          <w:sz w:val="20"/>
        </w:rPr>
        <w:t>million for the first licensed product and $0.5</w:t>
      </w:r>
      <w:r>
        <w:rPr>
          <w:rFonts w:ascii="Times New Roman" w:hAnsi="Times New Roman"/>
          <w:color w:val="000000"/>
          <w:sz w:val="20"/>
        </w:rPr>
        <w:t xml:space="preserve"> </w:t>
      </w:r>
      <w:r>
        <w:rPr>
          <w:rFonts w:ascii="Arial" w:hAnsi="Arial"/>
          <w:color w:val="000000"/>
          <w:sz w:val="20"/>
        </w:rPr>
        <w:t>million for each additional licensed product. In addition, the agreement allows the Company the right to sublicense which would lead to a $0.2</w:t>
      </w:r>
      <w:r>
        <w:rPr>
          <w:rFonts w:ascii="Times New Roman" w:hAnsi="Times New Roman"/>
          <w:color w:val="000000"/>
          <w:sz w:val="20"/>
        </w:rPr>
        <w:t xml:space="preserve"> </w:t>
      </w:r>
      <w:r>
        <w:rPr>
          <w:rFonts w:ascii="Arial" w:hAnsi="Arial"/>
          <w:color w:val="000000"/>
          <w:sz w:val="20"/>
        </w:rPr>
        <w:t>million payment for each sublicense per licensed product and a $0.03</w:t>
      </w:r>
      <w:r>
        <w:rPr>
          <w:rFonts w:ascii="Times New Roman" w:hAnsi="Times New Roman"/>
          <w:color w:val="000000"/>
          <w:sz w:val="20"/>
        </w:rPr>
        <w:t xml:space="preserve"> </w:t>
      </w:r>
      <w:r>
        <w:rPr>
          <w:rFonts w:ascii="Arial" w:hAnsi="Arial"/>
          <w:color w:val="000000"/>
          <w:sz w:val="20"/>
        </w:rPr>
        <w:t>million payment for use of the cell line document package. In the event of a change of control, there will be a change of control fee of $0.5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During the three months ended March 31, 2025 and 2024, the Company recognized no</w:t>
      </w:r>
      <w:r>
        <w:rPr>
          <w:rFonts w:ascii="Times New Roman" w:hAnsi="Times New Roman"/>
          <w:color w:val="000000"/>
          <w:sz w:val="20"/>
        </w:rPr>
        <w:t xml:space="preserve"> </w:t>
      </w:r>
      <w:r>
        <w:rPr>
          <w:rFonts w:ascii="Arial" w:hAnsi="Arial"/>
          <w:color w:val="000000"/>
          <w:sz w:val="20"/>
        </w:rPr>
        <w:t>expenses related to this agreement.</w:t>
      </w:r>
    </w:p>
    <w:p>
      <w:pPr>
        <w:pStyle w:val="TextBody"/>
        <w:bidi w:val="0"/>
        <w:spacing w:before="240" w:after="283"/>
        <w:jc w:val="both"/>
        <w:rPr>
          <w:rFonts w:ascii="Times New Roman" w:hAnsi="Times New Roman"/>
          <w:sz w:val="20"/>
        </w:rPr>
      </w:pPr>
      <w:r>
        <w:rPr>
          <w:rFonts w:ascii="Arial" w:hAnsi="Arial"/>
          <w:i/>
          <w:color w:val="000000"/>
          <w:sz w:val="20"/>
        </w:rPr>
        <w:t>National Institute of Health (NIH)-Collaboration Research and Development Agreement</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In July 2011, the Company entered into a Collaboration Research and Development Agreement, or CRADA, with Dr. John Schiller at the NIH, for a period of two years</w:t>
      </w:r>
      <w:r>
        <w:rPr>
          <w:rFonts w:ascii="Times New Roman" w:hAnsi="Times New Roman"/>
          <w:color w:val="000000"/>
          <w:sz w:val="20"/>
        </w:rPr>
        <w:t xml:space="preserve"> </w:t>
      </w:r>
      <w:r>
        <w:rPr>
          <w:rFonts w:ascii="Arial" w:hAnsi="Arial"/>
          <w:color w:val="000000"/>
          <w:sz w:val="20"/>
        </w:rPr>
        <w:t>with the rights to an exclusive license to all technology generated within the collaboration. Under this agreement, the Company is required to make annual payments of $0.03</w:t>
      </w:r>
      <w:r>
        <w:rPr>
          <w:rFonts w:ascii="Times New Roman" w:hAnsi="Times New Roman"/>
          <w:color w:val="000000"/>
          <w:sz w:val="20"/>
        </w:rPr>
        <w:t xml:space="preserve"> </w:t>
      </w:r>
      <w:r>
        <w:rPr>
          <w:rFonts w:ascii="Arial" w:hAnsi="Arial"/>
          <w:color w:val="000000"/>
          <w:sz w:val="20"/>
        </w:rPr>
        <w:t>million to fund the research activities, the first payment of which was paid within 30</w:t>
      </w:r>
      <w:r>
        <w:rPr>
          <w:rFonts w:ascii="Times New Roman" w:hAnsi="Times New Roman"/>
          <w:color w:val="000000"/>
          <w:sz w:val="20"/>
        </w:rPr>
        <w:t xml:space="preserve"> </w:t>
      </w:r>
      <w:r>
        <w:rPr>
          <w:rFonts w:ascii="Arial" w:hAnsi="Arial"/>
          <w:color w:val="000000"/>
          <w:sz w:val="20"/>
        </w:rPr>
        <w:t>days of the effective date. Subsequent payments are due within 30</w:t>
      </w:r>
      <w:r>
        <w:rPr>
          <w:rFonts w:ascii="Times New Roman" w:hAnsi="Times New Roman"/>
          <w:color w:val="000000"/>
          <w:sz w:val="20"/>
        </w:rPr>
        <w:t xml:space="preserve"> </w:t>
      </w:r>
      <w:r>
        <w:rPr>
          <w:rFonts w:ascii="Arial" w:hAnsi="Arial"/>
          <w:color w:val="000000"/>
          <w:sz w:val="20"/>
        </w:rPr>
        <w:t>days of the anniversary of the effective date. This agreement was previously amended in 2012, 2013, 2014, 2015, 2016, 2018, 2020, and 2022. During the three months ended March 31, 2025 and 2024, the Company paid no</w:t>
      </w:r>
      <w:r>
        <w:rPr>
          <w:rFonts w:ascii="Times New Roman" w:hAnsi="Times New Roman"/>
          <w:color w:val="000000"/>
          <w:sz w:val="20"/>
        </w:rPr>
        <w:t xml:space="preserve"> </w:t>
      </w:r>
      <w:r>
        <w:rPr>
          <w:rFonts w:ascii="Arial" w:hAnsi="Arial"/>
          <w:color w:val="000000"/>
          <w:sz w:val="20"/>
        </w:rPr>
        <w:t>research collaboration fees related to this agreement.</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color w:val="000000"/>
          <w:sz w:val="20"/>
        </w:rPr>
        <w:t>A ninth amendment was effective in September 2024, requiring payment of $0.06</w:t>
      </w:r>
      <w:r>
        <w:rPr>
          <w:rFonts w:ascii="Times New Roman" w:hAnsi="Times New Roman"/>
          <w:color w:val="000000"/>
          <w:sz w:val="20"/>
        </w:rPr>
        <w:t xml:space="preserve"> </w:t>
      </w:r>
      <w:r>
        <w:rPr>
          <w:rFonts w:ascii="Arial" w:hAnsi="Arial"/>
          <w:color w:val="000000"/>
          <w:sz w:val="20"/>
        </w:rPr>
        <w:t>million within 30 days of November 30, 2024, and payment of another $0.05</w:t>
      </w:r>
      <w:r>
        <w:rPr>
          <w:rFonts w:ascii="Times New Roman" w:hAnsi="Times New Roman"/>
          <w:color w:val="000000"/>
          <w:sz w:val="20"/>
        </w:rPr>
        <w:t xml:space="preserve"> </w:t>
      </w:r>
      <w:r>
        <w:rPr>
          <w:rFonts w:ascii="Arial" w:hAnsi="Arial"/>
          <w:color w:val="000000"/>
          <w:sz w:val="20"/>
        </w:rPr>
        <w:t>million within 30 days of September 30, 2025. This ninth amendment extended the term of the CRADA to September 30, 2026. During the three months ended March 31, 2025 and 2024, the Company recognized no expenses related to this agreement.</w:t>
      </w:r>
    </w:p>
    <w:p>
      <w:pPr>
        <w:pStyle w:val="TextBody"/>
        <w:bidi w:val="0"/>
        <w:spacing w:before="240" w:after="283"/>
        <w:jc w:val="both"/>
        <w:rPr>
          <w:rFonts w:ascii="Times New Roman" w:hAnsi="Times New Roman"/>
          <w:sz w:val="20"/>
        </w:rPr>
      </w:pPr>
      <w:r>
        <w:rPr>
          <w:rFonts w:ascii="Arial" w:hAnsi="Arial"/>
          <w:i/>
          <w:color w:val="000000"/>
          <w:sz w:val="20"/>
        </w:rPr>
        <w:t>National Institute of Health (NIH)-Exclusive Patent License Agreement</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In September 2013, the Company entered into an exclusive patent license agreement, or the NIH Exclusive License Agreement, with the NIH, that required the Company to pay a license issue royalty of $0.1</w:t>
      </w:r>
      <w:r>
        <w:rPr>
          <w:rFonts w:ascii="Times New Roman" w:hAnsi="Times New Roman"/>
          <w:color w:val="000000"/>
          <w:sz w:val="20"/>
        </w:rPr>
        <w:t xml:space="preserve"> </w:t>
      </w:r>
      <w:r>
        <w:rPr>
          <w:rFonts w:ascii="Arial" w:hAnsi="Arial"/>
          <w:color w:val="000000"/>
          <w:sz w:val="20"/>
        </w:rPr>
        <w:t>million and reimburse the NIH for any patent expenses incurred. Under the agreement, the Company is required to make low single-digit percentage royalty payments based on specified levels of annual net sales of licensed products subject to certain specified reductions. The Company is required to make development and regulatory milestone payments of up to $0.7</w:t>
      </w:r>
      <w:r>
        <w:rPr>
          <w:rFonts w:ascii="Times New Roman" w:hAnsi="Times New Roman"/>
          <w:color w:val="000000"/>
          <w:sz w:val="20"/>
        </w:rPr>
        <w:t xml:space="preserve"> </w:t>
      </w:r>
      <w:r>
        <w:rPr>
          <w:rFonts w:ascii="Arial" w:hAnsi="Arial"/>
          <w:color w:val="000000"/>
          <w:sz w:val="20"/>
        </w:rPr>
        <w:t>million in aggregate and sales milestone payments up to $0.6</w:t>
      </w:r>
      <w:r>
        <w:rPr>
          <w:rFonts w:ascii="Times New Roman" w:hAnsi="Times New Roman"/>
          <w:color w:val="000000"/>
          <w:sz w:val="20"/>
        </w:rPr>
        <w:t xml:space="preserve"> </w:t>
      </w:r>
      <w:r>
        <w:rPr>
          <w:rFonts w:ascii="Arial" w:hAnsi="Arial"/>
          <w:color w:val="000000"/>
          <w:sz w:val="20"/>
        </w:rPr>
        <w:t>million in the aggregate. The Company is also required to pay the NIH a mid-single to low teen-digit percentage of any sublicensing revenue the Company receives. Additionally, the Company’s payment obligations to the NIH are subject to an annual minimum royalty payment of low five figures. The Company did not recognize</w:t>
      </w:r>
      <w:r>
        <w:rPr>
          <w:rFonts w:ascii="Times New Roman" w:hAnsi="Times New Roman"/>
          <w:color w:val="000000"/>
          <w:sz w:val="20"/>
        </w:rPr>
        <w:t xml:space="preserve"> </w:t>
      </w:r>
      <w:r>
        <w:rPr>
          <w:rFonts w:ascii="Arial" w:hAnsi="Arial"/>
          <w:color w:val="000000"/>
          <w:sz w:val="20"/>
        </w:rPr>
        <w:t>any patent licensing fees for the three months ended March 31, 2025 and 2024.</w:t>
      </w:r>
    </w:p>
    <w:p>
      <w:pPr>
        <w:pStyle w:val="TextBody"/>
        <w:bidi w:val="0"/>
        <w:spacing w:before="240" w:after="283"/>
        <w:jc w:val="both"/>
        <w:rPr>
          <w:rFonts w:ascii="Times New Roman" w:hAnsi="Times New Roman"/>
          <w:sz w:val="20"/>
        </w:rPr>
      </w:pPr>
      <w:r>
        <w:rPr>
          <w:rFonts w:ascii="Arial" w:hAnsi="Arial"/>
          <w:color w:val="000000"/>
          <w:sz w:val="20"/>
        </w:rPr>
        <w:t>In 2015, 2018 and 2019, the Company amended its exclusive patent license to include updates on the status of the commercial development and update/expand the list of licensed patents and patent applications. Each of those amendments required a $0.03</w:t>
      </w:r>
      <w:r>
        <w:rPr>
          <w:rFonts w:ascii="Times New Roman" w:hAnsi="Times New Roman"/>
          <w:color w:val="000000"/>
          <w:sz w:val="20"/>
        </w:rPr>
        <w:t xml:space="preserve"> </w:t>
      </w:r>
      <w:r>
        <w:rPr>
          <w:rFonts w:ascii="Arial" w:hAnsi="Arial"/>
          <w:color w:val="000000"/>
          <w:sz w:val="20"/>
        </w:rPr>
        <w:t>million payment that the Company paid.</w:t>
      </w:r>
    </w:p>
    <w:p>
      <w:pPr>
        <w:pStyle w:val="TextBody"/>
        <w:bidi w:val="0"/>
        <w:spacing w:before="240" w:after="283"/>
        <w:jc w:val="left"/>
        <w:rPr>
          <w:rFonts w:ascii="Arial" w:hAnsi="Arial"/>
          <w:i/>
          <w:color w:val="000000"/>
          <w:sz w:val="20"/>
        </w:rPr>
      </w:pPr>
      <w:r>
        <w:rPr>
          <w:rFonts w:ascii="Arial" w:hAnsi="Arial"/>
          <w:i/>
          <w:color w:val="000000"/>
          <w:sz w:val="20"/>
        </w:rPr>
        <w:t>Inserm-Transfert License Agreement</w:t>
      </w:r>
    </w:p>
    <w:p>
      <w:pPr>
        <w:pStyle w:val="TextBody"/>
        <w:bidi w:val="0"/>
        <w:spacing w:before="80" w:after="283"/>
        <w:jc w:val="both"/>
        <w:rPr>
          <w:rFonts w:ascii="Times New Roman" w:hAnsi="Times New Roman"/>
          <w:sz w:val="20"/>
        </w:rPr>
      </w:pPr>
      <w:r>
        <w:rPr>
          <w:rFonts w:ascii="Arial" w:hAnsi="Arial"/>
          <w:color w:val="000000"/>
          <w:sz w:val="20"/>
        </w:rPr>
        <w:t>In November 2009, the Company entered into an exclusive, royalty-bearing patent license agreement with Inserm-Transfert of France. The agreement expires on a country by country basis based on the last to expire any patent encompassed within the scope of the patent rights or 10</w:t>
      </w:r>
      <w:r>
        <w:rPr>
          <w:rFonts w:ascii="Times New Roman" w:hAnsi="Times New Roman"/>
          <w:color w:val="000000"/>
          <w:sz w:val="20"/>
        </w:rPr>
        <w:t xml:space="preserve"> </w:t>
      </w:r>
      <w:r>
        <w:rPr>
          <w:rFonts w:ascii="Arial" w:hAnsi="Arial"/>
          <w:color w:val="000000"/>
          <w:sz w:val="20"/>
        </w:rPr>
        <w:t>years from the date of the first commercial sales by the Company, whichever is later. The IND filing milestone of €0.01</w:t>
      </w:r>
      <w:r>
        <w:rPr>
          <w:rFonts w:ascii="Times New Roman" w:hAnsi="Times New Roman"/>
          <w:color w:val="000000"/>
          <w:sz w:val="20"/>
        </w:rPr>
        <w:t xml:space="preserve"> </w:t>
      </w:r>
      <w:r>
        <w:rPr>
          <w:rFonts w:ascii="Arial" w:hAnsi="Arial"/>
          <w:color w:val="000000"/>
          <w:sz w:val="20"/>
        </w:rPr>
        <w:t>million was accrued in 2016 and paid in 2017 by the Company. The milestones for the successful Phase I, II and III clinical trials are based on receiving a final report and achieving the primary endpoints defined in that trial; the Phase I and Phase II milestones have been achieved as of March 31, 2025. Upon the sublicense by the Company of a product for which royalties are payable under the agreement, low- to mid-single-digit royalty payments would be due by the Company. The non-milestone payments in this agreement are subject to an anti-stacking clause. The Company did not incur any expenses related to milestones in the three months ended March 31, 2025 and 2024.</w:t>
      </w:r>
    </w:p>
    <w:p>
      <w:pPr>
        <w:pStyle w:val="TextBody"/>
        <w:bidi w:val="0"/>
        <w:spacing w:before="240" w:after="283"/>
        <w:jc w:val="left"/>
        <w:rPr>
          <w:rFonts w:ascii="Arial" w:hAnsi="Arial"/>
          <w:i/>
          <w:color w:val="000000"/>
          <w:sz w:val="20"/>
        </w:rPr>
      </w:pPr>
      <w:r>
        <w:rPr>
          <w:rFonts w:ascii="Arial" w:hAnsi="Arial"/>
          <w:i/>
          <w:color w:val="000000"/>
          <w:sz w:val="20"/>
        </w:rPr>
        <w:t>Clearside License Agreement</w:t>
      </w:r>
    </w:p>
    <w:p>
      <w:pPr>
        <w:pStyle w:val="TextBody"/>
        <w:bidi w:val="0"/>
        <w:spacing w:before="80" w:after="283"/>
        <w:jc w:val="both"/>
        <w:rPr>
          <w:rFonts w:ascii="Times New Roman" w:hAnsi="Times New Roman"/>
          <w:sz w:val="20"/>
        </w:rPr>
      </w:pPr>
      <w:r>
        <w:rPr>
          <w:rFonts w:ascii="Arial" w:hAnsi="Arial"/>
          <w:color w:val="000000"/>
          <w:sz w:val="20"/>
        </w:rPr>
        <w:t>In July 2019, the Company entered into an exclusive license agreement, or the Clearside License Agreement, with Clearside Biomedical, Inc., or Clearside, for the license of Clearside’s Suprachoroidal Microneedle Technology for use in the treatment of indeterminate lesions and choroidal tumors. Upon execution of the Clearside License Agreement, the Company paid Clearside an upfront payment of $0.1</w:t>
      </w:r>
      <w:r>
        <w:rPr>
          <w:rFonts w:ascii="Times New Roman" w:hAnsi="Times New Roman"/>
          <w:color w:val="000000"/>
          <w:sz w:val="20"/>
        </w:rPr>
        <w:t xml:space="preserve"> </w:t>
      </w:r>
      <w:r>
        <w:rPr>
          <w:rFonts w:ascii="Arial" w:hAnsi="Arial"/>
          <w:color w:val="000000"/>
          <w:sz w:val="20"/>
        </w:rPr>
        <w:t>million which was expensed as incurred. Under the Clearside License Agreement, the Company is required to pay milestones up to $21.0</w:t>
      </w:r>
      <w:r>
        <w:rPr>
          <w:rFonts w:ascii="Times New Roman" w:hAnsi="Times New Roman"/>
          <w:color w:val="000000"/>
          <w:sz w:val="20"/>
        </w:rPr>
        <w:t xml:space="preserve"> </w:t>
      </w:r>
      <w:r>
        <w:rPr>
          <w:rFonts w:ascii="Arial" w:hAnsi="Arial"/>
          <w:color w:val="000000"/>
          <w:sz w:val="20"/>
        </w:rPr>
        <w:t>million in the aggregate upon the achievement of specified regulatory and development milestones, and upon the achievement of certain commercial sales milestones. The Company is also required to pay low to mid-single digit royalties on net sales. If the Company sublicenses a product for which royalties are payable, then the Company is required to pay the greater of 20% received or low single digit royalties on net sales.</w:t>
      </w:r>
    </w:p>
    <w:p>
      <w:pPr>
        <w:pStyle w:val="TextBody"/>
        <w:bidi w:val="0"/>
        <w:spacing w:before="240" w:after="283"/>
        <w:jc w:val="both"/>
        <w:rPr>
          <w:rFonts w:ascii="Times New Roman" w:hAnsi="Times New Roman"/>
          <w:sz w:val="20"/>
        </w:rPr>
      </w:pPr>
      <w:r>
        <w:rPr>
          <w:rFonts w:ascii="Arial" w:hAnsi="Arial"/>
          <w:color w:val="000000"/>
          <w:sz w:val="20"/>
        </w:rPr>
        <w:t>The Clearside License Agreement expires on a country-by-country basis upon the later of the last to expire patent or ten years</w:t>
      </w:r>
      <w:r>
        <w:rPr>
          <w:rFonts w:ascii="Times New Roman" w:hAnsi="Times New Roman"/>
          <w:color w:val="000000"/>
          <w:sz w:val="20"/>
        </w:rPr>
        <w:t xml:space="preserve"> </w:t>
      </w:r>
      <w:r>
        <w:rPr>
          <w:rFonts w:ascii="Arial" w:hAnsi="Arial"/>
          <w:color w:val="000000"/>
          <w:sz w:val="20"/>
        </w:rPr>
        <w:t>from the date of the first commercial sale of a product.</w:t>
      </w:r>
    </w:p>
    <w:p>
      <w:pPr>
        <w:pStyle w:val="TextBody"/>
        <w:bidi w:val="0"/>
        <w:spacing w:before="240" w:after="283"/>
        <w:jc w:val="both"/>
        <w:rPr>
          <w:rFonts w:ascii="Times New Roman" w:hAnsi="Times New Roman"/>
          <w:sz w:val="20"/>
        </w:rPr>
      </w:pPr>
      <w:r>
        <w:rPr>
          <w:rFonts w:ascii="Arial" w:hAnsi="Arial"/>
          <w:color w:val="000000"/>
          <w:sz w:val="20"/>
        </w:rPr>
        <w:t>The Company did not recognize</w:t>
      </w:r>
      <w:r>
        <w:rPr>
          <w:rFonts w:ascii="Times New Roman" w:hAnsi="Times New Roman"/>
          <w:color w:val="000000"/>
          <w:sz w:val="20"/>
        </w:rPr>
        <w:t xml:space="preserve"> </w:t>
      </w:r>
      <w:r>
        <w:rPr>
          <w:rFonts w:ascii="Arial" w:hAnsi="Arial"/>
          <w:color w:val="000000"/>
          <w:sz w:val="20"/>
        </w:rPr>
        <w:t>any expenses related to this agreement and related amendments for the three months ended March 31, 2025 and 2024.</w:t>
      </w:r>
    </w:p>
    <w:p>
      <w:pPr>
        <w:pStyle w:val="TextBody"/>
        <w:bidi w:val="0"/>
        <w:spacing w:before="240" w:after="283"/>
        <w:jc w:val="left"/>
        <w:rPr>
          <w:rFonts w:ascii="Arial" w:hAnsi="Arial"/>
          <w:b/>
          <w:color w:val="000000"/>
          <w:sz w:val="20"/>
        </w:rPr>
      </w:pPr>
      <w:r>
        <w:rPr>
          <w:rFonts w:ascii="Arial" w:hAnsi="Arial"/>
          <w:b/>
          <w:color w:val="000000"/>
          <w:sz w:val="20"/>
        </w:rPr>
        <w:t>13. Net Loss Per Share</w:t>
      </w:r>
    </w:p>
    <w:p>
      <w:pPr>
        <w:pStyle w:val="TextBody"/>
        <w:bidi w:val="0"/>
        <w:spacing w:before="80" w:after="283"/>
        <w:jc w:val="both"/>
        <w:rPr>
          <w:rFonts w:ascii="Times New Roman" w:hAnsi="Times New Roman"/>
          <w:sz w:val="20"/>
        </w:rPr>
      </w:pPr>
      <w:r>
        <w:rPr>
          <w:rFonts w:ascii="Arial" w:hAnsi="Arial"/>
          <w:color w:val="000000"/>
          <w:sz w:val="20"/>
        </w:rPr>
        <w:t>Basic net loss per share is calculated by dividing the net loss attributable to common stockholders by the weighted average number of shares of common stock outstanding during the period, without consideration for potentially dilutive securities. Diluted net loss per share is the same as basic net loss per share for the periods presented since the effects of potentially dilutive securities are antidilutive given the net loss of the Company.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Company has calculated basic and diluted net loss per share for the three months ended March 31, 2025 and 2024 as follows (in thousands, except share and per share data):</w:t>
      </w:r>
      <w:r>
        <w:rPr>
          <w:rFonts w:ascii="Times New Roman" w:hAnsi="Times New Roman"/>
          <w:color w:val="000000"/>
          <w:sz w:val="20"/>
        </w:rPr>
        <w:t xml:space="preserve"> </w:t>
      </w:r>
    </w:p>
    <w:tbl>
      <w:tblPr>
        <w:tblW w:w="8740" w:type="dxa"/>
        <w:jc w:val="left"/>
        <w:tblInd w:w="0" w:type="dxa"/>
        <w:tblLayout w:type="fixed"/>
        <w:tblCellMar>
          <w:top w:w="28" w:type="dxa"/>
          <w:left w:w="28" w:type="dxa"/>
          <w:bottom w:w="28" w:type="dxa"/>
          <w:right w:w="28" w:type="dxa"/>
        </w:tblCellMar>
      </w:tblPr>
      <w:tblGrid>
        <w:gridCol w:w="5431"/>
        <w:gridCol w:w="146"/>
        <w:gridCol w:w="211"/>
        <w:gridCol w:w="1036"/>
        <w:gridCol w:w="166"/>
        <w:gridCol w:w="146"/>
        <w:gridCol w:w="211"/>
        <w:gridCol w:w="1036"/>
        <w:gridCol w:w="166"/>
        <w:gridCol w:w="191"/>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common stock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50,126,148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49,451,943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common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The following potentially dilutive securities were excluded from the computation of the diluted net loss per share for the periods presented because their effect would have been antidilutive:</w:t>
      </w:r>
      <w:r>
        <w:rPr>
          <w:rFonts w:ascii="Times New Roman" w:hAnsi="Times New Roman"/>
          <w:color w:val="000000"/>
          <w:sz w:val="20"/>
        </w:rPr>
        <w:t xml:space="preserve"> </w:t>
      </w:r>
    </w:p>
    <w:tbl>
      <w:tblPr>
        <w:tblW w:w="7419" w:type="dxa"/>
        <w:jc w:val="left"/>
        <w:tblInd w:w="0" w:type="dxa"/>
        <w:tblLayout w:type="fixed"/>
        <w:tblCellMar>
          <w:top w:w="28" w:type="dxa"/>
          <w:left w:w="28" w:type="dxa"/>
          <w:bottom w:w="28" w:type="dxa"/>
          <w:right w:w="28" w:type="dxa"/>
        </w:tblCellMar>
      </w:tblPr>
      <w:tblGrid>
        <w:gridCol w:w="4576"/>
        <w:gridCol w:w="146"/>
        <w:gridCol w:w="146"/>
        <w:gridCol w:w="961"/>
        <w:gridCol w:w="146"/>
        <w:gridCol w:w="146"/>
        <w:gridCol w:w="146"/>
        <w:gridCol w:w="961"/>
        <w:gridCol w:w="1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6,575,452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5,956,888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stock units that vest into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2,751,873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1,690,542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12,686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potential dilutive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9,332,346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7,660,116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14. Income Taxes</w:t>
      </w:r>
    </w:p>
    <w:p>
      <w:pPr>
        <w:pStyle w:val="TextBody"/>
        <w:bidi w:val="0"/>
        <w:spacing w:before="80" w:after="283"/>
        <w:jc w:val="both"/>
        <w:rPr>
          <w:rFonts w:ascii="Times New Roman" w:hAnsi="Times New Roman"/>
          <w:sz w:val="20"/>
        </w:rPr>
      </w:pPr>
      <w:r>
        <w:rPr>
          <w:rFonts w:ascii="Arial" w:hAnsi="Arial"/>
          <w:color w:val="000000"/>
          <w:sz w:val="20"/>
        </w:rPr>
        <w:t>For the three months ended March 31, 2025 and 2024, the Company recorded an income tax provision of $0.02</w:t>
      </w:r>
      <w:r>
        <w:rPr>
          <w:rFonts w:ascii="Times New Roman" w:hAnsi="Times New Roman"/>
          <w:color w:val="000000"/>
          <w:sz w:val="20"/>
        </w:rPr>
        <w:t xml:space="preserve"> </w:t>
      </w:r>
      <w:r>
        <w:rPr>
          <w:rFonts w:ascii="Arial" w:hAnsi="Arial"/>
          <w:color w:val="000000"/>
          <w:sz w:val="20"/>
        </w:rPr>
        <w:t>million and $0.05</w:t>
      </w:r>
      <w:r>
        <w:rPr>
          <w:rFonts w:ascii="Times New Roman" w:hAnsi="Times New Roman"/>
          <w:color w:val="000000"/>
          <w:sz w:val="20"/>
        </w:rPr>
        <w:t xml:space="preserve"> </w:t>
      </w:r>
      <w:r>
        <w:rPr>
          <w:rFonts w:ascii="Arial" w:hAnsi="Arial"/>
          <w:color w:val="000000"/>
          <w:sz w:val="20"/>
        </w:rPr>
        <w:t>million, respectively, resulting in an effective tax rate of 0.1%</w:t>
      </w:r>
      <w:r>
        <w:rPr>
          <w:rFonts w:ascii="Times New Roman" w:hAnsi="Times New Roman"/>
          <w:color w:val="000000"/>
          <w:sz w:val="20"/>
        </w:rPr>
        <w:t xml:space="preserve"> </w:t>
      </w:r>
      <w:r>
        <w:rPr>
          <w:rFonts w:ascii="Arial" w:hAnsi="Arial"/>
          <w:color w:val="000000"/>
          <w:sz w:val="20"/>
        </w:rPr>
        <w:t>in each period. The income tax provision for the three months ended March 31, 2025 is attributable to state and foreign income taxes. The difference in the statutory rate and the effective tax rate is primarily the result of the valuation allowance recorded on all deferred tax assets.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Due to the Company’s history of losses since inception, there is not enough positive evidence at this time to support a position that the Company will generate future income of a sufficient amount and nature to utilize the benefits of its net deferred tax assets. Accordingly, the deferred tax assets have been reduced by a full valuation allowance, since the Company does not currently believe that realization of its deferred tax assets is more likely than not.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of March 31, 2025, the Company had no</w:t>
      </w:r>
      <w:r>
        <w:rPr>
          <w:rFonts w:ascii="Times New Roman" w:hAnsi="Times New Roman"/>
          <w:color w:val="000000"/>
          <w:sz w:val="20"/>
        </w:rPr>
        <w:t xml:space="preserve"> </w:t>
      </w:r>
      <w:r>
        <w:rPr>
          <w:rFonts w:ascii="Arial" w:hAnsi="Arial"/>
          <w:color w:val="000000"/>
          <w:sz w:val="20"/>
        </w:rPr>
        <w:t>unrecognized income tax benefits that would reduce the Company’s effective tax rate if recognized.</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15. Segment Reporting</w:t>
      </w:r>
    </w:p>
    <w:p>
      <w:pPr>
        <w:pStyle w:val="TextBody"/>
        <w:bidi w:val="0"/>
        <w:spacing w:before="80" w:after="283"/>
        <w:jc w:val="both"/>
        <w:rPr>
          <w:rFonts w:ascii="Times New Roman" w:hAnsi="Times New Roman"/>
          <w:sz w:val="20"/>
        </w:rPr>
      </w:pPr>
      <w:r>
        <w:rPr>
          <w:rFonts w:ascii="Arial" w:hAnsi="Arial"/>
          <w:color w:val="000000"/>
          <w:sz w:val="20"/>
        </w:rPr>
        <w:t>Segment reporting is prepared on the same basis that the Company's Chief Executive Officer, who is its chief operating decision maker, or CODM, manages the business and makes operating decisions to allocate resources across departments and functions in line with the Company's strategic goals. The Company operates in one</w:t>
      </w:r>
      <w:r>
        <w:rPr>
          <w:rFonts w:ascii="Times New Roman" w:hAnsi="Times New Roman"/>
          <w:color w:val="000000"/>
          <w:sz w:val="20"/>
        </w:rPr>
        <w:t xml:space="preserve"> </w:t>
      </w:r>
      <w:r>
        <w:rPr>
          <w:rFonts w:ascii="Arial" w:hAnsi="Arial"/>
          <w:color w:val="000000"/>
          <w:sz w:val="20"/>
        </w:rPr>
        <w:t>reportable segment which includes all activities related to the research and development of oncology targeted therapies for a range of cancer indications with high unmet medical need. The CODM assesses performance and allocates resources based on comparing actual consolidated net loss to the budget. The measure of segment assets used in determining how to manage and allocate resources is reported within the Company's unaudited condensed consolidated balance sheets as cash and cash equivalents and marketable securities.</w:t>
      </w:r>
    </w:p>
    <w:p>
      <w:pPr>
        <w:pStyle w:val="TextBody"/>
        <w:bidi w:val="0"/>
        <w:spacing w:before="80" w:after="283"/>
        <w:jc w:val="both"/>
        <w:rPr>
          <w:rFonts w:ascii="Times New Roman" w:hAnsi="Times New Roman"/>
          <w:sz w:val="20"/>
        </w:rPr>
      </w:pPr>
      <w:r>
        <w:rPr>
          <w:rFonts w:ascii="Arial" w:hAnsi="Arial"/>
          <w:color w:val="000000"/>
          <w:sz w:val="20"/>
        </w:rPr>
        <w:t>As a single reportable segment entity, the Company’s segment performance measure is consolidated net loss.</w:t>
      </w:r>
      <w:r>
        <w:rPr>
          <w:rFonts w:ascii="Times New Roman" w:hAnsi="Times New Roman"/>
          <w:color w:val="000000"/>
          <w:sz w:val="20"/>
        </w:rPr>
        <w:t xml:space="preserve"> </w:t>
      </w:r>
      <w:r>
        <w:rPr>
          <w:rFonts w:ascii="Arial" w:hAnsi="Arial"/>
          <w:color w:val="000000"/>
          <w:sz w:val="20"/>
        </w:rPr>
        <w:t>Significant segment expenses are presented below.</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314" w:type="dxa"/>
        <w:jc w:val="left"/>
        <w:tblInd w:w="0" w:type="dxa"/>
        <w:tblLayout w:type="fixed"/>
        <w:tblCellMar>
          <w:top w:w="28" w:type="dxa"/>
          <w:left w:w="28" w:type="dxa"/>
          <w:bottom w:w="28" w:type="dxa"/>
          <w:right w:w="28" w:type="dxa"/>
        </w:tblCellMar>
      </w:tblPr>
      <w:tblGrid>
        <w:gridCol w:w="4181"/>
        <w:gridCol w:w="146"/>
        <w:gridCol w:w="211"/>
        <w:gridCol w:w="751"/>
        <w:gridCol w:w="166"/>
        <w:gridCol w:w="146"/>
        <w:gridCol w:w="211"/>
        <w:gridCol w:w="751"/>
        <w:gridCol w:w="751"/>
      </w:tblGrid>
      <w:tr>
        <w:trPr/>
        <w:tc>
          <w:tcPr>
            <w:tcW w:w="4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March 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41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Clinical, Preclinical, and R&amp;D Operations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(11,499</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Chemistry, Manufacturing, and Controls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(5,553</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General and Administrative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(5,261</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Other Segment Items </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2,607</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18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(19,706</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rFonts w:ascii="Arial" w:hAnsi="Arial"/>
          <w:color w:val="000000"/>
          <w:sz w:val="15"/>
        </w:rPr>
      </w:pPr>
      <w:r>
        <w:rPr>
          <w:rFonts w:ascii="Arial" w:hAnsi="Arial"/>
          <w:color w:val="000000"/>
          <w:sz w:val="15"/>
        </w:rPr>
        <w:t>(1) Includes depreciation expense directly allocated to respective activities.</w:t>
      </w:r>
    </w:p>
    <w:p>
      <w:pPr>
        <w:pStyle w:val="TextBody"/>
        <w:bidi w:val="0"/>
        <w:jc w:val="both"/>
        <w:rPr>
          <w:rFonts w:ascii="Arial" w:hAnsi="Arial"/>
          <w:color w:val="000000"/>
          <w:sz w:val="15"/>
        </w:rPr>
      </w:pPr>
      <w:r>
        <w:rPr>
          <w:rFonts w:ascii="Arial" w:hAnsi="Arial"/>
          <w:color w:val="000000"/>
          <w:sz w:val="15"/>
        </w:rPr>
        <w:t>(2) Other segment items primarily include interest income, realized gains and losses, and income taxes.</w:t>
      </w:r>
    </w:p>
    <w:p>
      <w:pPr>
        <w:pStyle w:val="TextBody"/>
        <w:bidi w:val="0"/>
        <w:spacing w:before="240" w:after="283"/>
        <w:jc w:val="left"/>
        <w:rPr>
          <w:rFonts w:ascii="Arial" w:hAnsi="Arial"/>
          <w:b/>
          <w:color w:val="000000"/>
          <w:sz w:val="20"/>
        </w:rPr>
      </w:pPr>
      <w:r>
        <w:rPr>
          <w:rFonts w:ascii="Arial" w:hAnsi="Arial"/>
          <w:b/>
          <w:color w:val="000000"/>
          <w:sz w:val="20"/>
        </w:rPr>
        <w:t>16. Subsequent Events</w:t>
      </w:r>
    </w:p>
    <w:p>
      <w:pPr>
        <w:pStyle w:val="TextBody"/>
        <w:bidi w:val="0"/>
        <w:spacing w:before="80" w:after="283"/>
        <w:jc w:val="both"/>
        <w:rPr>
          <w:rFonts w:ascii="Arial" w:hAnsi="Arial"/>
          <w:color w:val="000000"/>
          <w:sz w:val="20"/>
        </w:rPr>
      </w:pPr>
      <w:r>
        <w:rPr>
          <w:rFonts w:ascii="Arial" w:hAnsi="Arial"/>
          <w:color w:val="000000"/>
          <w:sz w:val="20"/>
        </w:rPr>
        <w:t>Subsequent events have been evaluated through the date of filing of the unaudited condensed consolidated financial statements. The Company has identified no subsequent events that require disclosure.</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10" w:name="item_2_management_discussion_analysis"/>
      <w:bookmarkEnd w:id="10"/>
      <w:r>
        <w:rPr>
          <w:rFonts w:ascii="Arial" w:hAnsi="Arial"/>
          <w:b/>
          <w:color w:val="000000"/>
          <w:sz w:val="20"/>
        </w:rPr>
        <w:t>Item 2. Management’s Discussion and Analysis of Financial Condition and Results of Operations.</w:t>
      </w:r>
    </w:p>
    <w:p>
      <w:pPr>
        <w:pStyle w:val="TextBody"/>
        <w:bidi w:val="0"/>
        <w:jc w:val="left"/>
        <w:rPr/>
      </w:pPr>
      <w:r>
        <w:rPr/>
        <w:t> </w:t>
      </w:r>
    </w:p>
    <w:p>
      <w:pPr>
        <w:pStyle w:val="TextBody"/>
        <w:bidi w:val="0"/>
        <w:jc w:val="both"/>
        <w:rPr>
          <w:rFonts w:ascii="Arial" w:hAnsi="Arial"/>
          <w:i/>
          <w:color w:val="000000"/>
          <w:sz w:val="20"/>
        </w:rPr>
      </w:pPr>
      <w:r>
        <w:rPr>
          <w:rFonts w:ascii="Arial" w:hAnsi="Arial"/>
          <w:i/>
          <w:color w:val="000000"/>
          <w:sz w:val="20"/>
        </w:rPr>
        <w:t>The following discussion and analysis should be read in conjunction with the unaudited condensed consolidated financial statements and related notes included elsewhere in this Quarterly Report. This discussion and analysis and other parts of this Quarterly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titled “Special Note Regarding Forward-Looking Statements.”</w:t>
      </w:r>
    </w:p>
    <w:p>
      <w:pPr>
        <w:pStyle w:val="TextBody"/>
        <w:bidi w:val="0"/>
        <w:spacing w:before="240" w:after="283"/>
        <w:jc w:val="left"/>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a clinical-stage biotechnology company developing precision therapies to treat solid tumors designed to preserve organ function. Our lead candidate bel-sar is in late-stage clinical development for the treatment of patients with primary choroidal melanoma and is also in clinical development for other ocular oncology indications and bladder cancer.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There is significant unmet need for novel treatments for patients with choroidal melanoma, given the limitations of the current standard of care, or SoC, and patient reluctance to undergo radiotherapy in the form of either plaque brachytherapy or proton beam therapy, both highly-invasive therapies that result in significant vision loss, and potential legal blindness in the treated eye. Enucleation, or surgical removal of the affected eye, is another treatment option for patients with choroidal melanoma, in which patients lose all vision without the possibility of vision restoration. We are evaluating the safety and efficacy of bel-sar as a potential vision-sparing therapy in our ongoing global Phase 3 CoMpass trial for the first-line treatment of adult patients with small choroidal melanoma and indeterminate lesions, or early-stage choroidal melanoma. We believe enrollment for this Phase 3 trial may be completed as early as the end of 2025. Moreover, we intend to assess the safety and efficacy of bel-sar in treating a range of other solid tumors, beginning with metastases of the choroid and bladder cancer where bel-sar is in clinical development. We believe bel-sar, if approved, has the potential to change the current treatment paradigm for patients with ocular and urologic cancers and other solid tumors.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Bel-sar has shown clinical benefit and has been generally well-tolerated in clinical trials to date. In a Phase 2 study (ClinicalTrials.gov ID: NCT04417530) evaluating suprachoroidal administration of bel-sar for the first-line treatment of early-stage choroidal melanoma, patients were closely monitored over a twelve-month follow-up period to assess tumor control, visual acuity preservation, and tumor growth rate. A total of 22 patients were enrolled in the study. Bel-sar achieved an 80% tumor control rate (n=8/10) among Phase 3-eligible patients who received the therapeutic regimen, with complete cessation of growth following treatment among responders (post-treatment average growth rate of 0.011 mm/yr among responders compared to 0.351 mm/yr prior to study entry; p&lt;0.0001). Visual acuity preservation was achieved in 90% of these ten patients. Importantly, 80% of these ten patients were at high risk for vision loss with tumors close to the fovea or optic disc, highlighting the potential for vision preservation with this novel class of drugs. The safety profile of bel-sar was highly favorable in all participants regardless of dose. We believe the Phase 2 results are a significant achievement considering the typically poor prognosis associated with choroidal melanoma, a rare and life-threatening ocular cancer, where there are no approved vision-preserving therapies to 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believe bel-sar has the possibility to transform the field of ocular oncology beyond choroidal melanoma and we plan to expand clinical development in two additional indications: metastases to the choroid and cancers of the ocular surface. Bel-sar has the potential to treat a wide variety of tumor types that metastasize from several primary tumors. We have initiated a Phase 2 clinical trial in metastases to the choroid from breast and lung cancer and have activated sites with patients in prescreening in the United States. We are currently implementing a protocol amendment for the Phase 2 trial to broaden the inclusion criteria beyond breast and lung cancer to include all metastases from different solid tumors as a basket study approach. In addition to advancing bel-sar in metastases to the choroid, we believe this approach will provide clinical insights into multiple tumor types that could be impacted by bel-sar. We expect initial data from this trial in 2025. We also continue to advance pre-clinical activities in cancers of the ocular surface, which has an incidence rate of 35,000 patients a year in the United States and Europe. We plan to initiate a Phase 1 trial in cancers of the ocular surface in 2025.</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VDCs are a novel class of drugs with a dual mechanism of action that promote cancer cell death by both the delivery of the cytotoxic payload to generate acute necrosis and activation of a secondary immune mediated response. Bel-sar, our lead VDC candidate, consists of modified capsid proteins of the human papilloma virus, or HPV, conjugated to hundreds of light-activated molecules.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Light activation of bel-sar is designed to result in precise tumor cell killing with minimal damage to surrounding healthy tissues. In the absence of bel-sar activation or binding to the tumor cell membrane, there is no cytotoxic effect. Multiple light activations, following a single dose of bel-sar, increase antitumor activity because of the reoxygenation of the tumor and the photostability of bel-sar. Finally, acute necrosis triggers immunogenic cell death leading to the generation of an adaptive, long-term antitumor immune response. The tumor targeting specificity of VDCs is driven by the selective binding of the VLPs to a subset of modified tumor associated glycosaminoglycans, or GAGs, that are part of the heparan sulphate chain of heparan sulfate proteoglycans or HSPGs, expressed on the tumor cell membrane. This targeting mechanism enables the delivery of multiple types of cytotoxic payloads directly to a wide range of solid tumors.</w:t>
      </w:r>
    </w:p>
    <w:p>
      <w:pPr>
        <w:pStyle w:val="TextBody"/>
        <w:bidi w:val="0"/>
        <w:spacing w:before="240" w:after="283"/>
        <w:jc w:val="both"/>
        <w:rPr>
          <w:rFonts w:ascii="Arial" w:hAnsi="Arial"/>
          <w:color w:val="000000"/>
          <w:sz w:val="20"/>
        </w:rPr>
      </w:pPr>
      <w:r>
        <w:rPr>
          <w:rFonts w:ascii="Arial" w:hAnsi="Arial"/>
          <w:color w:val="000000"/>
          <w:sz w:val="20"/>
        </w:rPr>
        <w:t>Beyond ocular cancers, bel-sar is in early-stage clinical development in bladder cancer. Bladder cancer is the ninth most common cancer worldwide and it is diagnosed early as non-muscle invasive bladder cancer, or NMIBC, with a prevalence of approximately 80,000 cases per year in the United States. Despite the early diagnosis, patients with NMIBC have a high risk of recurrence and progression with current SoC treatments. In March 2025, we announced positive data from our Phase 1 trial in NMIBC (ClinicalTrials.gov ID: NCT05483868) and, based on these positive data, we are advancing the development of bel-sar in NMIBC. The ongoing Phase 1b/2 trial will evaluate additional doses and cycles of bel-sar in approximately 26 intermediate and high-risk patients. The trial will evaluate two approaches: an immune ablative design and a multimodal neoadjuvant design. In the immune ablative approach, bel-sar will be administered in two cycles without the need for a transurethral resection of the bladder tumor, or TURBT. In the multimodal neoadjuvant cohorts, bel-sar will be administered in two cycles ahead of TURBT. For both approaches, the patients will be monitored for response assessments and reoccurrence at 3, 6, 9, and 12 months. The endpoints of this trial include multiple efficacy assessments, such as complete response rate at 3 months and durability of response up to 12 months in the immune ablative cohorts and recurrence-free survival in the neoadjuvant cohorts. The patients will also be monitored for safety. We have enrolled the first patient in this ongoing trial and expect initial data at 3 months by year-end 2025.</w:t>
      </w:r>
    </w:p>
    <w:p>
      <w:pPr>
        <w:pStyle w:val="TextBody"/>
        <w:bidi w:val="0"/>
        <w:spacing w:before="240" w:after="283"/>
        <w:jc w:val="both"/>
        <w:rPr>
          <w:rFonts w:ascii="Times New Roman" w:hAnsi="Times New Roman"/>
          <w:sz w:val="20"/>
        </w:rPr>
      </w:pPr>
      <w:r>
        <w:rPr>
          <w:rFonts w:ascii="Arial" w:hAnsi="Arial"/>
          <w:color w:val="000000"/>
          <w:sz w:val="20"/>
        </w:rPr>
        <w:t>We were incorporated as a Delaware corporation in 2009, and our headquarters are located in Boston, Massachusetts. Since our inception, we have focused our efforts on identifying and developing potential product candidates, conducting preclinical studies and clinical trials, organizing and staffing our company, business planning, establishing our intellectual property portfolio, raising capital, conducting discovery, research and development activities and providing general and administrative support for these operations. We do not have any product candidates approved for sale and have not generated any revenue to date. We have funded our operations primarily through the sale of convertible preferred stock, common stock, and warrants. From inception through March 31, 2025, we have raised an aggregate of approximately $420.0 million of gross proceeds primarily from private placements of our equity and convertible preferred stock as well as through the issuance of our common stock. On November 9, 2023, we issued and sold 11,000,000 shares of common stock at a price to the public of $9.00 per share for aggregate gross proceeds of $99.0 million, or the 2023 Follow-On Offering. We received approximately $92.6 million in net proceeds from the 2023 Follow-On Offering after deducting underwriting discounts and commissions and offering expenses. On December 5, 2022, we issued and sold 7,705,000 shares of common stock, including the full exercise of the underwriters’ option to purchase additional shares at a price to the public of $12.00 per share, for aggregate gross proceeds of $92.5 million, or the 2022 Follow-On Offering. We received approximately $86.7 million in net proceeds from the 2022 Follow-On Offering after deducting underwriting discounts, commissions and offering expenses. On November 1, 2022, we filed a shelf registration statement on Form S-3, or the 2022 Shelf, with the Securities and Exchange Commission, or the SEC, in relation to the registration of up to an aggregate offering price of $250.0 million of common stock, preferred stock, debt securities, warrants and units or any combination thereof. We also simultaneously entered into an Open Market Sale Agreement</w:t>
      </w:r>
      <w:r>
        <w:rPr>
          <w:rFonts w:ascii="Arial" w:hAnsi="Arial"/>
          <w:color w:val="000000"/>
          <w:sz w:val="13"/>
        </w:rPr>
        <w:t>SM</w:t>
      </w:r>
      <w:r>
        <w:rPr>
          <w:rFonts w:ascii="Arial" w:hAnsi="Arial"/>
          <w:color w:val="000000"/>
          <w:sz w:val="20"/>
        </w:rPr>
        <w:t>, or the Sales Agreement, with Jefferies LLC, or the Sales Agent, to provide for the offering, issuance and sale by us of up to an aggregate of $75.0 million of its common stock from time to time in “at-the-market” offerings, or the ATM, under the 2022 Shelf and subject to the limitations thereof. In connection with the 2023 Follow-On Offering, on November 6, 2023, we delivered written notice to Jefferies that we were suspending and terminating the prospectus related to the shares issuable in the ATM pursuant to the terms of the Sales Agreement.</w:t>
      </w:r>
      <w:r>
        <w:rPr>
          <w:rFonts w:ascii="Times New Roman" w:hAnsi="Times New Roman"/>
          <w:color w:val="000000"/>
          <w:sz w:val="20"/>
        </w:rPr>
        <w:t xml:space="preserve"> </w:t>
      </w:r>
      <w:r>
        <w:rPr>
          <w:rFonts w:ascii="Arial" w:hAnsi="Arial"/>
          <w:color w:val="000000"/>
          <w:sz w:val="20"/>
        </w:rPr>
        <w:t>During the year ended December 31, 2023, we issued a total of 261,807 shares of common stock at an average price of $12.49 for aggregate gross proceeds of $3.3 million under the ATM. On March 27, 2024, we filed a new shelf registration statement on Form S-3, or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We did not issue any shares of common stock during the three months ended March 31, 2025 under the ATM.</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have incurred significant operating losses in every year since our inception in 2009 and have not generated any revenue. We expect to continue to incur significant expenses and operating losses for the foreseeable future. Our ability to generate product revenue sufficient to achieve profitability will depend on the successful development and commercialization of one or more of our product candidates. Our net losses were $27.5 million and $19.7 million for the three months ended March 31, 2025 and 2024, respectively. As of March 31, 2025, we had an accumulated deficit of $401.7 million. In addition, our losses from operations may fluctuate significantly from quarter-to-quarter and year-to-year, depending on the timing of our clinical trials and our expenditures on other research and development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anticipate that our expenses and capital requirements will increase substantially in connection with our ongoing activities, particularly as we advance the preclinical studies and clinical trials of our product candidates. In addition, we incur additional costs associated with operating as a public company. We expect that our expenses and capital requirements will increase substantially if and as we:</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conduct our current and future clinical trials of bel-sar;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progress the preclinical and clinical development of new indications;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establish our manufacturing capability, including developing our contract development and manufacturing relationships;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seek to identify and develop additional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seek regulatory approval of our current and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expand our operational, financial, and management systems and increase personnel, including personnel to support our preclinical and clinical development, manufacturing and commercialization efforts;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maintain, expand and protect our intellectual property portfolio;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incur additional legal, accounting, or other expenses in operating our business, including the additional costs associated with operating as a public company. </w:t>
      </w:r>
    </w:p>
    <w:p>
      <w:pPr>
        <w:pStyle w:val="TextBody"/>
        <w:bidi w:val="0"/>
        <w:spacing w:before="240" w:after="283"/>
        <w:jc w:val="both"/>
        <w:rPr>
          <w:rFonts w:ascii="Times New Roman" w:hAnsi="Times New Roman"/>
          <w:sz w:val="20"/>
        </w:rPr>
      </w:pPr>
      <w:r>
        <w:rPr>
          <w:rFonts w:ascii="Arial" w:hAnsi="Arial"/>
          <w:color w:val="000000"/>
          <w:sz w:val="20"/>
        </w:rPr>
        <w:t>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collaborations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will not generate revenue from product sales unless and until we successfully complete clinical development and obtain marketing approval for our product candidates. The lengthy process of securing marketing approvals for new drugs requires the expenditure of substantial resources. Any delay or failure to obtain regulatory approvals would materially adversely affect the development efforts of our product candidates and our business overall. 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 xml:space="preserve">As of March 31, 2025, we had cash and cash equivalents and marketable securities of $128.0 million. We believe that our existing cash and cash equivalents and marketable securities will enable us to fund our operating expenses and capital expenditure requirements into the second half of 2026. We have based this estimate on assumptions that may prove to be wrong, and we could exhaust our available capital resources sooner than we expect. See </w:t>
      </w:r>
      <w:r>
        <w:rPr>
          <w:rFonts w:ascii="Times New Roman" w:hAnsi="Times New Roman"/>
          <w:color w:val="000000"/>
          <w:sz w:val="20"/>
        </w:rPr>
        <w:t>“</w:t>
      </w:r>
      <w:r>
        <w:rPr>
          <w:rFonts w:ascii="Arial" w:hAnsi="Arial"/>
          <w:i/>
          <w:color w:val="000000"/>
          <w:sz w:val="20"/>
        </w:rPr>
        <w:t>Liquidity and Capital Resources</w:t>
      </w:r>
      <w:r>
        <w:rPr>
          <w:rFonts w:ascii="Times New Roman" w:hAnsi="Times New Roman"/>
          <w:color w:val="000000"/>
          <w:sz w:val="20"/>
        </w:rPr>
        <w:t xml:space="preserve">” </w:t>
      </w:r>
      <w:r>
        <w:rPr>
          <w:rFonts w:ascii="Arial" w:hAnsi="Arial"/>
          <w:color w:val="000000"/>
          <w:sz w:val="20"/>
        </w:rPr>
        <w:t>below.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Components of Our Results of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Revenue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 We cannot predict if, and when, or to what extent, we will generate revenue from the commercialization and sale of our product candidates. We may never succeed in obtaining regulatory approval for any of our product candidates.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Operating Expenses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i/>
          <w:color w:val="000000"/>
          <w:sz w:val="20"/>
        </w:rPr>
        <w:t>Research and Development Expenses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Research and development expenses consist primarily of costs incurred for our research activities, including our discovery efforts and the development of our bel-sar program, and include:</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employee-related expenses, including salaries, benefits and stock-based compensation expense for employees engaged in research and development functions;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fees paid to consultants for services directly related to our product development and regulatory efforts;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expenses associated with conducting preclinical studies and clinical trials performed by ourselves, outside vendors or academic collaborators;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expenses incurred under agreements with contract research organizations, or CROs, as well as consultants that conduct and provide supplies for our preclinical studies and clinical trials;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 of manufacturing bel-sar, including the potential cost of CDMOs that manufacture product for use in our preclinical studies and clinical trials and perform analytical testing, scale-up and other services in connection with our development activities;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costs associated with preclinical activities and clinical development activities;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costs associated with our intellectual property portfolio;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costs related to compliance with regulatory requirements;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allocated expenses for utilities and other facility-related costs. </w:t>
      </w:r>
    </w:p>
    <w:p>
      <w:pPr>
        <w:pStyle w:val="TextBody"/>
        <w:bidi w:val="0"/>
        <w:spacing w:before="240" w:after="283"/>
        <w:jc w:val="both"/>
        <w:rPr>
          <w:rFonts w:ascii="Times New Roman" w:hAnsi="Times New Roman"/>
          <w:sz w:val="20"/>
        </w:rPr>
      </w:pPr>
      <w:r>
        <w:rPr>
          <w:rFonts w:ascii="Arial" w:hAnsi="Arial"/>
          <w:color w:val="000000"/>
          <w:sz w:val="20"/>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We allocate our direct external research and development costs across the entire bel-sar program. Preclinical expenses consist of external research and development costs associated with activities to support our current and future clinical programs, but are not allocated by specific indications due to the overlap of the potential benefit of those efforts across the entire bel-sar program.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Research and development activities are central to our business. We expect that our research and development expenses will increase for the foreseeable future as we continue clinical development for bel-sar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General and Administrative Expenses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and facility-related expenses, which include allocated expenses for rent and maintenance of facilities and other operating costs not included in research and development.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expect that our general and administrative expenses will increase in the near-term as we continue to build a team to support our administrative, accounting and finance, communications, legal and business development efforts. We expect to incur increased expenses associated with our growth, including costs of accounting, audit, legal, regulatory and tax compliance services; director and officer insurance costs; and investor and public relations costs.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Other Income (Expense)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other income (expense) consists of accretion, interest income and realized gains and losses on marketable securities, interest income on our invested cash balances, and gains and losses on disposals of equipment.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i/>
          <w:color w:val="000000"/>
          <w:sz w:val="20"/>
        </w:rPr>
        <w:t>Income Tax Provision, Net</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For the year ended December 31, 2024, we recorded a $0.1 million income tax provision related to current state and foreign income taxes. Since our inception, we have not recorded any U.S. federal or state tax benefits for our net operating loss carryforwards or research and development tax credits due to the realizability of future taxable income to utilize these tax attributes. As of December 31, 2024, we had accumulated federal, state, and foreign net operating loss carryforwards of approximately $209.8 million, $183.6 million, and $0.7 million, respectively, which may be available to offset future taxable income before applicable expiration periods. As of December 31, 2024, we had federal and state research and development credit carryforwards of $11.3 million and $2.9 million, respectively, which may be available to offset future income tax liabilities before applicable expiration periods. We have recorded a full valuation allowance against the tax benefits, as the determination of the realization of the deferred tax assets was not determined to be more likely than not.</w:t>
      </w:r>
    </w:p>
    <w:p>
      <w:pPr>
        <w:pStyle w:val="TextBody"/>
        <w:bidi w:val="0"/>
        <w:spacing w:before="240" w:after="283"/>
        <w:jc w:val="both"/>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Comparison of the Three Months Ended March 31, 2025 and 2024</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The following table summarizes our results of operations for the three months ended March 31, 2025 and 2024:</w:t>
      </w:r>
    </w:p>
    <w:tbl>
      <w:tblPr>
        <w:tblW w:w="9983" w:type="dxa"/>
        <w:jc w:val="left"/>
        <w:tblInd w:w="0" w:type="dxa"/>
        <w:tblLayout w:type="fixed"/>
        <w:tblCellMar>
          <w:top w:w="28" w:type="dxa"/>
          <w:left w:w="28" w:type="dxa"/>
          <w:bottom w:w="28" w:type="dxa"/>
          <w:right w:w="28" w:type="dxa"/>
        </w:tblCellMar>
      </w:tblPr>
      <w:tblGrid>
        <w:gridCol w:w="5681"/>
        <w:gridCol w:w="146"/>
        <w:gridCol w:w="211"/>
        <w:gridCol w:w="751"/>
        <w:gridCol w:w="166"/>
        <w:gridCol w:w="146"/>
        <w:gridCol w:w="211"/>
        <w:gridCol w:w="751"/>
        <w:gridCol w:w="166"/>
        <w:gridCol w:w="146"/>
        <w:gridCol w:w="211"/>
        <w:gridCol w:w="646"/>
        <w:gridCol w:w="751"/>
      </w:tblGrid>
      <w:tr>
        <w:trPr/>
        <w:tc>
          <w:tcPr>
            <w:tcW w:w="5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6,291</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431</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6,722</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(6,722</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 including amortization and accretion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(1,091</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(1,083</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(7,805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provision,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(7,777</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40" w:after="283"/>
        <w:jc w:val="left"/>
        <w:rPr>
          <w:rFonts w:ascii="Times New Roman" w:hAnsi="Times New Roman"/>
          <w:sz w:val="20"/>
        </w:rPr>
      </w:pPr>
      <w:r>
        <w:rPr>
          <w:rFonts w:ascii="Arial" w:hAnsi="Arial"/>
          <w:i/>
          <w:color w:val="000000"/>
          <w:sz w:val="20"/>
        </w:rPr>
        <w:t>Research and Development Expenses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following table summarizes our research and development expenses for the three months ended March 31, 2025 and 2024:</w:t>
      </w:r>
      <w:r>
        <w:rPr>
          <w:rFonts w:ascii="Times New Roman" w:hAnsi="Times New Roman"/>
          <w:color w:val="000000"/>
          <w:sz w:val="20"/>
        </w:rPr>
        <w:t xml:space="preserve"> </w:t>
      </w:r>
    </w:p>
    <w:tbl>
      <w:tblPr>
        <w:tblW w:w="8487" w:type="dxa"/>
        <w:jc w:val="left"/>
        <w:tblInd w:w="0" w:type="dxa"/>
        <w:tblLayout w:type="fixed"/>
        <w:tblCellMar>
          <w:top w:w="28" w:type="dxa"/>
          <w:left w:w="28" w:type="dxa"/>
          <w:bottom w:w="28" w:type="dxa"/>
          <w:right w:w="28" w:type="dxa"/>
        </w:tblCellMar>
      </w:tblPr>
      <w:tblGrid>
        <w:gridCol w:w="4371"/>
        <w:gridCol w:w="146"/>
        <w:gridCol w:w="211"/>
        <w:gridCol w:w="691"/>
        <w:gridCol w:w="146"/>
        <w:gridCol w:w="146"/>
        <w:gridCol w:w="211"/>
        <w:gridCol w:w="691"/>
        <w:gridCol w:w="146"/>
        <w:gridCol w:w="146"/>
        <w:gridCol w:w="214"/>
        <w:gridCol w:w="597"/>
        <w:gridCol w:w="771"/>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Preclinical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Clinical trials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4,681</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Manufacturing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1,448</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Personnel/overhead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6,291</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Research and development expenses increased to $23.3 million for the three months ended March 31, 2025 from $17.1 million for the three months ended March 31, 2024, primarily due to ongoing clinical and CRO costs associated with the progression of our global Phase 3 trial of bel-sar in early-stage choroidal melanoma and manufacturing and development costs for bel-sar.</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i/>
          <w:color w:val="000000"/>
          <w:sz w:val="20"/>
        </w:rPr>
        <w:t>General and Administrative Expenses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General and administrative expenses increased to $5.7 million for the three months ended March 31, 2025 from $5.3 million for the three months ended March 31, 2024, primarily driven by higher personnel expenses related to the growth of our company.</w:t>
      </w:r>
    </w:p>
    <w:p>
      <w:pPr>
        <w:pStyle w:val="TextBody"/>
        <w:bidi w:val="0"/>
        <w:spacing w:before="80" w:after="283"/>
        <w:jc w:val="both"/>
        <w:rPr/>
      </w:pPr>
      <w:r>
        <w:rPr/>
        <w:t> </w:t>
      </w:r>
    </w:p>
    <w:p>
      <w:pPr>
        <w:pStyle w:val="TextBody"/>
        <w:bidi w:val="0"/>
        <w:spacing w:before="240" w:after="283"/>
        <w:jc w:val="both"/>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To date we have funded our operations primarily through the sale of convertible preferred stock, warrants and common stock. Through March 31, 2025, we have raised an aggregate of approximately $420.0 million of gross proceeds primarily from private placements of our equity and convertible preferred stock and warrants, as well as through the issuance of our common stock. On November 9, 2023, we issued and sold 11,000,000 shares of common stock at a price to the public of $9.00 per share for aggregate gross proceeds of $99.0 million in the 2023 Follow-On Offering. We received approximately $92.6 million in net proceeds from the 2023 Follow-On Offering after deducting underwriting discounts and commissions and offering expenses. On December 5, 2022, we issued and sold 7,705,000 shares of common stock, including the full exercise of the underwriters’ option to purchase additional shares at a price to the public of $12.00 per share for aggregate gross proceeds of $92.5 million in the 2022 Follow-On Offering. We received approximately $86.7 million in net proceeds from the 2022 Follow-On Offering after deducting underwriting discounts, commissions and offering expenses. On November 1, 2022, we filed the 2022 Shelf with the SEC in relation to the registration of up to an aggregate offering price of $250.0 million of common stock, preferred stock, debt securities, warrants and units or any combination thereof. We also simultaneously entered into the Sales Agreement with the Sales Agent to provide for the offering, issuance and sale by us of up to an aggregate of $75.0 million of our common stock from time to time in the ATM under the 2022 Shelf and subject to the limitations thereof.</w:t>
      </w:r>
      <w:r>
        <w:rPr>
          <w:rFonts w:ascii="Times New Roman" w:hAnsi="Times New Roman"/>
          <w:color w:val="000000"/>
          <w:sz w:val="20"/>
        </w:rPr>
        <w:t xml:space="preserve"> </w:t>
      </w:r>
      <w:r>
        <w:rPr>
          <w:rFonts w:ascii="Arial" w:hAnsi="Arial"/>
          <w:color w:val="000000"/>
          <w:sz w:val="20"/>
        </w:rPr>
        <w:t>In connection with the 2023 Follow-On Offering, on November 6, 2023, we delivered written notice to Jefferies that we were suspending and terminating the prospectus related to the shares issuable in the ATM pursuant to the terms of the Sales Agreement. During the year ended December 31, 2023, we issued a total of 261,807 shares of common stock at an average price of $12.49 for aggregate gross proceeds of $3.3 million under the ATM. On March 27, 2024, we filed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We did not issue any shares of common stock during the three months ended March 31, 2025 under the ATM.</w:t>
      </w:r>
    </w:p>
    <w:p>
      <w:pPr>
        <w:pStyle w:val="TextBody"/>
        <w:bidi w:val="0"/>
        <w:spacing w:before="240" w:after="283"/>
        <w:jc w:val="both"/>
        <w:rPr>
          <w:rFonts w:ascii="Times New Roman" w:hAnsi="Times New Roman"/>
          <w:sz w:val="20"/>
        </w:rPr>
      </w:pPr>
      <w:r>
        <w:rPr>
          <w:rFonts w:ascii="Arial" w:hAnsi="Arial"/>
          <w:b/>
          <w:i/>
          <w:color w:val="000000"/>
          <w:sz w:val="20"/>
        </w:rPr>
        <w:t>Cash Flows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following table summarizes our cash flows for each of the periods presented:</w:t>
      </w:r>
      <w:r>
        <w:rPr>
          <w:rFonts w:ascii="Times New Roman" w:hAnsi="Times New Roman"/>
          <w:color w:val="000000"/>
          <w:sz w:val="20"/>
        </w:rPr>
        <w:t xml:space="preserve"> </w:t>
      </w:r>
    </w:p>
    <w:tbl>
      <w:tblPr>
        <w:tblW w:w="8849" w:type="dxa"/>
        <w:jc w:val="left"/>
        <w:tblInd w:w="0" w:type="dxa"/>
        <w:tblLayout w:type="fixed"/>
        <w:tblCellMar>
          <w:top w:w="28" w:type="dxa"/>
          <w:left w:w="28" w:type="dxa"/>
          <w:bottom w:w="28" w:type="dxa"/>
          <w:right w:w="28" w:type="dxa"/>
        </w:tblCellMar>
      </w:tblPr>
      <w:tblGrid>
        <w:gridCol w:w="6256"/>
        <w:gridCol w:w="146"/>
        <w:gridCol w:w="211"/>
        <w:gridCol w:w="751"/>
        <w:gridCol w:w="166"/>
        <w:gridCol w:w="146"/>
        <w:gridCol w:w="211"/>
        <w:gridCol w:w="751"/>
        <w:gridCol w:w="211"/>
      </w:tblGrid>
      <w:tr>
        <w:trPr/>
        <w:tc>
          <w:tcPr>
            <w:tcW w:w="6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Arial" w:hAnsi="Arial"/>
          <w:i/>
          <w:color w:val="000000"/>
          <w:sz w:val="20"/>
        </w:rPr>
        <w:t>Operating Activities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During the three months ended March 31, 2025, net cash used in operating activities was $23.4 million primarily due to our net loss of $27.5 million and a decrease in accrued expenses related to timing of vendor invoicing and payments, partially offset by stock-based compensation expense and a decrease in prepaid expenses related to work completed for CRO activities associated with our global Phase 3 trial of bel-sar in early-stage choroidal melanoma.</w:t>
      </w:r>
    </w:p>
    <w:p>
      <w:pPr>
        <w:pStyle w:val="TextBody"/>
        <w:bidi w:val="0"/>
        <w:spacing w:before="240" w:after="283"/>
        <w:jc w:val="both"/>
        <w:rPr>
          <w:rFonts w:ascii="Arial" w:hAnsi="Arial"/>
          <w:color w:val="000000"/>
          <w:sz w:val="20"/>
        </w:rPr>
      </w:pPr>
      <w:r>
        <w:rPr>
          <w:rFonts w:ascii="Arial" w:hAnsi="Arial"/>
          <w:color w:val="000000"/>
          <w:sz w:val="20"/>
        </w:rPr>
        <w:t>During the three months ended March 31, 2024, net cash used in operating activities was $24.5 million, primarily due to our net loss of $19.7 million and a decrease in accrued expenses and other current liabilities related to timing of vendor invoicing and payments and a decrease in prepaid expenses related to CRO costs associated with the start of our global Phase 3 trial of bel-sar in early-stage choroidal melanoma, partially offset by an increase in stock-based compensation expense.</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i/>
          <w:color w:val="000000"/>
          <w:sz w:val="20"/>
        </w:rPr>
        <w:t>Investing Activities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Net cash provided by investing activities during the three months ended March 31, 2025 was $29.8 million primarily due to maturities of marketable securities partially offset by purchases of property and equipment.</w:t>
      </w:r>
    </w:p>
    <w:p>
      <w:pPr>
        <w:pStyle w:val="TextBody"/>
        <w:bidi w:val="0"/>
        <w:spacing w:before="240" w:after="283"/>
        <w:jc w:val="both"/>
        <w:rPr>
          <w:rFonts w:ascii="Arial" w:hAnsi="Arial"/>
          <w:color w:val="000000"/>
          <w:sz w:val="20"/>
        </w:rPr>
      </w:pPr>
      <w:r>
        <w:rPr>
          <w:rFonts w:ascii="Arial" w:hAnsi="Arial"/>
          <w:color w:val="000000"/>
          <w:sz w:val="20"/>
        </w:rPr>
        <w:t>Net cash provided by investing activities during the three months ended March 31, 2024 was $9.4 million primarily due to proceeds from sale of marketable securities partially offset by purchases of marketable securities and property and equipment.</w:t>
      </w:r>
    </w:p>
    <w:p>
      <w:pPr>
        <w:pStyle w:val="TextBody"/>
        <w:bidi w:val="0"/>
        <w:spacing w:before="240" w:after="283"/>
        <w:jc w:val="both"/>
        <w:rPr>
          <w:rFonts w:ascii="Times New Roman" w:hAnsi="Times New Roman"/>
          <w:sz w:val="20"/>
        </w:rPr>
      </w:pPr>
      <w:r>
        <w:rPr>
          <w:rFonts w:ascii="Arial" w:hAnsi="Arial"/>
          <w:i/>
          <w:color w:val="000000"/>
          <w:sz w:val="20"/>
        </w:rPr>
        <w:t>Financing Activities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During the three months ended March 31, 2025, net cash provided by financing activities was $0.1 million from proceeds from issuance of common stock under the ESPP.</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During the three months ended March 31, 2024, net cash provided by financing activities was $0.3 million from proceeds from stock options exercises and issuance of common stock under the ESPP.</w:t>
      </w:r>
    </w:p>
    <w:p>
      <w:pPr>
        <w:pStyle w:val="TextBody"/>
        <w:bidi w:val="0"/>
        <w:spacing w:before="240" w:after="283"/>
        <w:jc w:val="both"/>
        <w:rPr>
          <w:rFonts w:ascii="Times New Roman" w:hAnsi="Times New Roman"/>
          <w:sz w:val="20"/>
        </w:rPr>
      </w:pPr>
      <w:r>
        <w:rPr>
          <w:rFonts w:ascii="Arial" w:hAnsi="Arial"/>
          <w:b/>
          <w:i/>
          <w:color w:val="000000"/>
          <w:sz w:val="20"/>
        </w:rPr>
        <w:t>Funding Requirements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plan of operation is to continue implementing our business strategy, continue research and development of bel-sar and any other product candidates we may acquire or develop and continue to expand our research pipeline and our internal research and development capabilities. We expect our expenses to increase substantially in connection with our ongoing activities, particularly as we advance the preclinical activities and clinical trials of our current and future product candidates. In addition,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terminate our research and development programs or future commercialization efforts. Our future capital requirements will depend on many factors,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scope, timing, progress, costs, and results of discovery, preclinical development, and clinical trials for our current and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number of clinical trials required for regulatory approval of our current and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costs, timing, and outcome of regulatory review of any of our current and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 of manufacturing clinical and commercial supplies of our current and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costs and timing of future commercialization activities, including manufacturing, marketing, sales, and distribution, for any of our product candidates for which we receive marketing approval;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revenue, if any, received from commercial sales of our product candidates for which we receive marketing approval;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expenses to attract, hire and retain, skilled personnel;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costs of operating as a public company;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if our product candidates are approved, our ability to establish a commercially viable pricing structure and obtain approval for coverage and adequate reimbursement from third-party and government payors;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effect of competing technological and market developments;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extent to which we acquire or invest in businesses, products, and technologies; and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unfavorable global economic conditions, which may exacerbate the magnitude of the factors discussed above. </w:t>
      </w:r>
    </w:p>
    <w:p>
      <w:pPr>
        <w:pStyle w:val="TextBody"/>
        <w:bidi w:val="0"/>
        <w:spacing w:before="240" w:after="283"/>
        <w:jc w:val="both"/>
        <w:rPr>
          <w:rFonts w:ascii="Times New Roman" w:hAnsi="Times New Roman"/>
          <w:sz w:val="20"/>
        </w:rPr>
      </w:pPr>
      <w:r>
        <w:rPr>
          <w:rFonts w:ascii="Arial" w:hAnsi="Arial"/>
          <w:color w:val="000000"/>
          <w:sz w:val="20"/>
        </w:rPr>
        <w:t>A change in the outcome of any of these variables with respect to the development of a product candidate could mean a significant change in the costs and timing associated with the development of that product candidate. As of March 31, 2025, we had cash, cash equivalents, and marketable securities of $128.0 million. Based on our research and development plans, we believe that our existing cash, cash equivalents, and marketable securities will be sufficient to fund our operations into the second half of 2026. We have based this estimate on assumptions that may prove to be wrong, and we could exhaust our available capital resources sooner than we expect.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Until such time as we can generate significant revenue from product sales, if ever, we expect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preferred stock, it may result in dilution to our existing stockholders. Debt financing or preferred equity financing, if available, may result in increased fixed payment obligations, and the existence of securities with rights that may be senior to those of our common stock. If we incur indebtedness, we could become subject to covenants that would restrict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and the recent disruptions to, and volatility in, the credit and financial markets in the United States and worldwide.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Material Cash Requirements</w:t>
      </w:r>
    </w:p>
    <w:p>
      <w:pPr>
        <w:pStyle w:val="TextBody"/>
        <w:bidi w:val="0"/>
        <w:spacing w:before="80" w:after="283"/>
        <w:jc w:val="both"/>
        <w:rPr>
          <w:rFonts w:ascii="Arial" w:hAnsi="Arial"/>
          <w:color w:val="000000"/>
          <w:sz w:val="20"/>
        </w:rPr>
      </w:pPr>
      <w:r>
        <w:rPr>
          <w:rFonts w:ascii="Arial" w:hAnsi="Arial"/>
          <w:color w:val="000000"/>
          <w:sz w:val="20"/>
        </w:rPr>
        <w:t>The following table summarizes our contractual obligations and commitments as of March 31, 2025.</w:t>
      </w:r>
    </w:p>
    <w:tbl>
      <w:tblPr>
        <w:tblW w:w="10022" w:type="dxa"/>
        <w:jc w:val="left"/>
        <w:tblInd w:w="0" w:type="dxa"/>
        <w:tblLayout w:type="fixed"/>
        <w:tblCellMar>
          <w:top w:w="28" w:type="dxa"/>
          <w:left w:w="28" w:type="dxa"/>
          <w:bottom w:w="28" w:type="dxa"/>
          <w:right w:w="28" w:type="dxa"/>
        </w:tblCellMar>
      </w:tblPr>
      <w:tblGrid>
        <w:gridCol w:w="3016"/>
        <w:gridCol w:w="146"/>
        <w:gridCol w:w="211"/>
        <w:gridCol w:w="146"/>
        <w:gridCol w:w="691"/>
        <w:gridCol w:w="146"/>
        <w:gridCol w:w="146"/>
        <w:gridCol w:w="211"/>
        <w:gridCol w:w="200"/>
        <w:gridCol w:w="805"/>
        <w:gridCol w:w="146"/>
        <w:gridCol w:w="146"/>
        <w:gridCol w:w="211"/>
        <w:gridCol w:w="146"/>
        <w:gridCol w:w="691"/>
        <w:gridCol w:w="146"/>
        <w:gridCol w:w="146"/>
        <w:gridCol w:w="211"/>
        <w:gridCol w:w="146"/>
        <w:gridCol w:w="586"/>
        <w:gridCol w:w="146"/>
        <w:gridCol w:w="146"/>
        <w:gridCol w:w="211"/>
        <w:gridCol w:w="206"/>
        <w:gridCol w:w="829"/>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8"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 to 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3 to 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More than</w:t>
              <w:br/>
              <w:t>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8"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commitments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5,307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both"/>
        <w:rPr>
          <w:rFonts w:ascii="Arial" w:hAnsi="Arial"/>
          <w:color w:val="000000"/>
          <w:sz w:val="20"/>
        </w:rPr>
      </w:pPr>
      <w:r>
        <w:rPr>
          <w:rFonts w:ascii="Arial" w:hAnsi="Arial"/>
          <w:color w:val="000000"/>
          <w:sz w:val="20"/>
        </w:rPr>
        <w:t>(1)</w:t>
      </w:r>
    </w:p>
    <w:p>
      <w:pPr>
        <w:pStyle w:val="TextBody"/>
        <w:bidi w:val="0"/>
        <w:spacing w:before="60" w:after="283"/>
        <w:jc w:val="both"/>
        <w:rPr>
          <w:rFonts w:ascii="Arial" w:hAnsi="Arial"/>
          <w:color w:val="000000"/>
          <w:sz w:val="20"/>
        </w:rPr>
      </w:pPr>
      <w:r>
        <w:rPr>
          <w:rFonts w:ascii="Arial" w:hAnsi="Arial"/>
          <w:color w:val="000000"/>
          <w:sz w:val="20"/>
        </w:rPr>
        <w:t xml:space="preserve">Amounts in the table above reflect payments due for our lease of office and lab space in Boston, MA, that expires in August 2032. </w:t>
      </w:r>
    </w:p>
    <w:p>
      <w:pPr>
        <w:pStyle w:val="TextBody"/>
        <w:bidi w:val="0"/>
        <w:spacing w:before="240" w:after="283"/>
        <w:jc w:val="both"/>
        <w:rPr>
          <w:rFonts w:ascii="Arial" w:hAnsi="Arial"/>
          <w:color w:val="000000"/>
          <w:sz w:val="20"/>
        </w:rPr>
      </w:pPr>
      <w:r>
        <w:rPr>
          <w:rFonts w:ascii="Arial" w:hAnsi="Arial"/>
          <w:color w:val="000000"/>
          <w:sz w:val="20"/>
        </w:rPr>
        <w:t>On May 16, 2022, we entered into an office and laboratory lease in Boston, MA with an initial 10-year term and one renewal option to extend the lease for an additional seven years. The lease commenced on August 1, 2022.</w:t>
      </w:r>
    </w:p>
    <w:p>
      <w:pPr>
        <w:pStyle w:val="TextBody"/>
        <w:bidi w:val="0"/>
        <w:spacing w:before="240" w:after="283"/>
        <w:jc w:val="both"/>
        <w:rPr>
          <w:rFonts w:ascii="Times New Roman" w:hAnsi="Times New Roman"/>
          <w:sz w:val="20"/>
        </w:rPr>
      </w:pPr>
      <w:r>
        <w:rPr>
          <w:rFonts w:ascii="Arial" w:hAnsi="Arial"/>
          <w:color w:val="000000"/>
          <w:sz w:val="20"/>
        </w:rPr>
        <w:t>Except as disclosed in the table above, we have no long-term debt or finance leases and no material non-cancelable purchase commitments with service providers, as we have generally contracted on a cancelable, purchase-order basis. We enter into contracts in the normal course of business with equipment and reagent vendors, CROs, CDMOs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We have also acquired exclusive and non-exclusive rights to use, research, develop and offer for sale certain products and patents under license agreements. The license agreements obligate us to make payments to the licensors for license fees, milestones, license maintenance fees and royalties. These payments are not included in the preceding table as the amount and timing of such payments are not known.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Our management’s discussion and analysis of financial condition and results of operations is based on our unaudited condensed consolidated financial statements, which have been prepared in accordance with U.S. generally accepted accounting principles. The preparation of our unaudited condensed consolidated financial statements and related disclosures requires us to make estimates and assumptions that affect the reported amounts of assets and liabilities, costs and expenses and the disclosure of contingent assets and liabilities in our unaudited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three months ended March 31, 2025, there were no material changes to our critical accounting policies from those described in the section titled “Management’s Discussion and Analysis of Financial Condition and Operations” included in our Annual Report on Form 10-K for the year ended December 31, 2024, as filed with the SEC.</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Recent Accounting Pronouncements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We assessed the recent accounting pronouncements for the three months ended March 31, 2025, and determined no pronouncements have material impact to the unaudited condensed consolidated financial statements.</w:t>
      </w:r>
    </w:p>
    <w:p>
      <w:pPr>
        <w:pStyle w:val="TextBody"/>
        <w:bidi w:val="0"/>
        <w:spacing w:before="240" w:after="283"/>
        <w:jc w:val="both"/>
        <w:rPr>
          <w:rFonts w:ascii="Times New Roman" w:hAnsi="Times New Roman"/>
          <w:sz w:val="20"/>
        </w:rPr>
      </w:pPr>
      <w:r>
        <w:rPr>
          <w:rFonts w:ascii="Arial" w:hAnsi="Arial"/>
          <w:b/>
          <w:color w:val="000000"/>
          <w:sz w:val="20"/>
        </w:rPr>
        <w:t>Emerging Growth Company and Smaller Reporting Company Status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The Jumpstart Our Business Startups Act of 2012, or the JOBS Act, permits that an “emerging growth company” may take advantage of the extended transition period to comply with new or revised accounting standards applicable to public companies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 The JOBS Act also exempts us from having to provide an auditor attestation of internal control over financial reporting under Sarbanes-Oxley Act Section 404(b).</w:t>
      </w:r>
    </w:p>
    <w:p>
      <w:pPr>
        <w:pStyle w:val="TextBody"/>
        <w:bidi w:val="0"/>
        <w:spacing w:before="80" w:after="283"/>
        <w:jc w:val="both"/>
        <w:rPr>
          <w:rFonts w:ascii="Arial" w:hAnsi="Arial"/>
          <w:color w:val="000000"/>
          <w:sz w:val="20"/>
        </w:rPr>
      </w:pPr>
      <w:r>
        <w:rPr>
          <w:rFonts w:ascii="Arial" w:hAnsi="Arial"/>
          <w:color w:val="000000"/>
          <w:sz w:val="20"/>
        </w:rPr>
        <w:t>We will remain an “emerging growth company” until the earliest of: the last day of the fiscal year in which we have more than $1.235 billion in annual revenue; the date we qualify as a “large accelerated filer,” with at least $700.0 million of equity securities held by non-affiliates; the issuance, in any three-year period, by us of more than $1.0 billion in non-convertible debt securities; or the last day of the fiscal year ending after the fifth anniversary of our initial public offering, or IPO.</w:t>
      </w:r>
    </w:p>
    <w:p>
      <w:pPr>
        <w:pStyle w:val="TextBody"/>
        <w:bidi w:val="0"/>
        <w:spacing w:before="80" w:after="283"/>
        <w:jc w:val="both"/>
        <w:rPr>
          <w:rFonts w:ascii="Times New Roman" w:hAnsi="Times New Roman"/>
          <w:sz w:val="20"/>
        </w:rPr>
      </w:pPr>
      <w:r>
        <w:rPr>
          <w:rFonts w:ascii="Arial" w:hAnsi="Arial"/>
          <w:color w:val="000000"/>
          <w:sz w:val="2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If we are a smaller reporting company at the time we cease to be an emerging growth company, we may continue to rely on exemptions from certain disclosure requirements that are available to smaller reporting companies. Specifically, as a smaller reporting company we will not be required to obtain a separate attestation of internal control over financial reporting from an outside auditor.</w:t>
      </w:r>
    </w:p>
    <w:p>
      <w:pPr>
        <w:pStyle w:val="TextBody"/>
        <w:bidi w:val="0"/>
        <w:spacing w:before="240" w:after="283"/>
        <w:jc w:val="both"/>
        <w:rPr>
          <w:rFonts w:ascii="Arial" w:hAnsi="Arial"/>
          <w:b/>
          <w:color w:val="000000"/>
          <w:sz w:val="20"/>
        </w:rPr>
      </w:pPr>
      <w:bookmarkStart w:id="11" w:name="item_3_quantitative_qualitative_disclosu"/>
      <w:bookmarkEnd w:id="11"/>
      <w:r>
        <w:rPr>
          <w:rFonts w:ascii="Arial" w:hAnsi="Arial"/>
          <w:b/>
          <w:color w:val="000000"/>
          <w:sz w:val="20"/>
        </w:rPr>
        <w:t>Item 3. Quantitative and Qualitative Disclosures About Market Risk.</w:t>
      </w:r>
    </w:p>
    <w:p>
      <w:pPr>
        <w:pStyle w:val="TextBody"/>
        <w:bidi w:val="0"/>
        <w:spacing w:before="80" w:after="283"/>
        <w:jc w:val="both"/>
        <w:rPr>
          <w:rFonts w:ascii="Times New Roman" w:hAnsi="Times New Roman"/>
          <w:sz w:val="20"/>
        </w:rPr>
      </w:pPr>
      <w:r>
        <w:rPr>
          <w:rFonts w:ascii="Arial" w:hAnsi="Arial"/>
          <w:color w:val="000000"/>
          <w:sz w:val="20"/>
        </w:rPr>
        <w:t>We are a smaller reporting company as defined by Rule 12b-2 of the Exchange Act and are not required to provide the information under this item.</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bookmarkStart w:id="12" w:name="item_4_controls_and_procedures"/>
      <w:bookmarkEnd w:id="12"/>
      <w:r>
        <w:rPr>
          <w:rFonts w:ascii="Arial" w:hAnsi="Arial"/>
          <w:b/>
          <w:color w:val="000000"/>
          <w:sz w:val="20"/>
        </w:rPr>
        <w:t>Item 4. Controls and Procedures.</w:t>
      </w:r>
    </w:p>
    <w:p>
      <w:pPr>
        <w:pStyle w:val="TextBody"/>
        <w:bidi w:val="0"/>
        <w:spacing w:before="80" w:after="283"/>
        <w:jc w:val="both"/>
        <w:rPr>
          <w:rFonts w:ascii="Arial" w:hAnsi="Arial"/>
          <w:i/>
          <w:color w:val="000000"/>
          <w:sz w:val="20"/>
        </w:rPr>
      </w:pPr>
      <w:r>
        <w:rPr>
          <w:rFonts w:ascii="Arial" w:hAnsi="Arial"/>
          <w:i/>
          <w:color w:val="000000"/>
          <w:sz w:val="20"/>
        </w:rPr>
        <w:t>Disclosure Controls and Procedures</w:t>
      </w:r>
    </w:p>
    <w:p>
      <w:pPr>
        <w:pStyle w:val="TextBody"/>
        <w:bidi w:val="0"/>
        <w:spacing w:before="80" w:after="283"/>
        <w:jc w:val="both"/>
        <w:rPr>
          <w:rFonts w:ascii="Arial" w:hAnsi="Arial"/>
          <w:color w:val="000000"/>
          <w:sz w:val="20"/>
        </w:rPr>
      </w:pPr>
      <w:r>
        <w:rPr>
          <w:rFonts w:ascii="Arial" w:hAnsi="Arial"/>
          <w:color w:val="000000"/>
          <w:sz w:val="20"/>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 desired control objectives and our management necessarily applies its judgment in evaluating the cost-benefit relationship of possible controls and procedures.</w:t>
      </w:r>
    </w:p>
    <w:p>
      <w:pPr>
        <w:pStyle w:val="TextBody"/>
        <w:bidi w:val="0"/>
        <w:spacing w:before="240" w:after="283"/>
        <w:jc w:val="both"/>
        <w:rPr>
          <w:rFonts w:ascii="Arial" w:hAnsi="Arial"/>
          <w:color w:val="000000"/>
          <w:sz w:val="20"/>
        </w:rPr>
      </w:pPr>
      <w:r>
        <w:rPr>
          <w:rFonts w:ascii="Arial" w:hAnsi="Arial"/>
          <w:color w:val="000000"/>
          <w:sz w:val="20"/>
        </w:rPr>
        <w:t>Our management, with the participation of our Chief Executive Officer and Chief Financial and Business Officer, has evaluated the effectiveness of our disclosure controls and procedures (as defined in Rules 13a-15(e) and 15d-15(e) under the Exchange Act), as of the end of the period covered by this Quarterly Report. Based on such evaluation, our Chief Executive Officer and Chief Financial and Business Officer have concluded that as of March 31, 2025, our disclosure controls and procedures were effective to provide reasonable assurance that the information required to be disclosed by us in this Quarterly Report was (a) reported within the time periods specified by the SEC rules and regulations, and (b) communicated to our management, including our Chief Executive Officer and Chief Financial and Business Officer, to allow timely decisions regarding any required disclosure.</w:t>
      </w:r>
    </w:p>
    <w:p>
      <w:pPr>
        <w:pStyle w:val="TextBody"/>
        <w:bidi w:val="0"/>
        <w:jc w:val="both"/>
        <w:rPr/>
      </w:pPr>
      <w:r>
        <w:rPr/>
        <w:t> </w:t>
      </w:r>
    </w:p>
    <w:p>
      <w:pPr>
        <w:pStyle w:val="TextBody"/>
        <w:bidi w:val="0"/>
        <w:spacing w:before="40" w:after="283"/>
        <w:jc w:val="both"/>
        <w:rPr>
          <w:rFonts w:ascii="Arial" w:hAnsi="Arial"/>
          <w:i/>
          <w:color w:val="000000"/>
          <w:sz w:val="20"/>
        </w:rPr>
      </w:pPr>
      <w:r>
        <w:rPr>
          <w:rFonts w:ascii="Arial" w:hAnsi="Arial"/>
          <w:i/>
          <w:color w:val="000000"/>
          <w:sz w:val="20"/>
        </w:rPr>
        <w:t>Changes in Internal Control over Financial Reporting</w:t>
      </w:r>
    </w:p>
    <w:p>
      <w:pPr>
        <w:pStyle w:val="TextBody"/>
        <w:bidi w:val="0"/>
        <w:spacing w:before="80" w:after="283"/>
        <w:jc w:val="both"/>
        <w:rPr>
          <w:rFonts w:ascii="Arial" w:hAnsi="Arial"/>
          <w:color w:val="000000"/>
          <w:sz w:val="20"/>
        </w:rPr>
      </w:pPr>
      <w:r>
        <w:rPr>
          <w:rFonts w:ascii="Arial" w:hAnsi="Arial"/>
          <w:color w:val="000000"/>
          <w:sz w:val="20"/>
        </w:rPr>
        <w:t>There was no change in our internal control over financial reporting identified in connection with the evaluation required by Rule 13a-15(d) and 15d-15(d) of the Exchange Act that occurred during the period covered by this Quarterly Report that has materially affected, or is reasonably likely to materially affect, our internal control over financial reporting.</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13" w:name="part_ii_other_information"/>
      <w:bookmarkEnd w:id="13"/>
      <w:r>
        <w:rPr>
          <w:rFonts w:ascii="Arial" w:hAnsi="Arial"/>
          <w:b/>
          <w:color w:val="000000"/>
          <w:sz w:val="20"/>
        </w:rPr>
        <w:t>PART II—OTHER INFORMATION</w:t>
      </w:r>
    </w:p>
    <w:p>
      <w:pPr>
        <w:pStyle w:val="TextBody"/>
        <w:bidi w:val="0"/>
        <w:spacing w:before="240" w:after="283"/>
        <w:jc w:val="both"/>
        <w:rPr>
          <w:rFonts w:ascii="Arial" w:hAnsi="Arial"/>
          <w:b/>
          <w:color w:val="000000"/>
          <w:sz w:val="20"/>
        </w:rPr>
      </w:pPr>
      <w:bookmarkStart w:id="14" w:name="item_1_legal_proceedings"/>
      <w:bookmarkEnd w:id="14"/>
      <w:r>
        <w:rPr>
          <w:rFonts w:ascii="Arial" w:hAnsi="Arial"/>
          <w:b/>
          <w:color w:val="000000"/>
          <w:sz w:val="20"/>
        </w:rPr>
        <w:t>Item 1. Legal Proceedings.</w:t>
      </w:r>
    </w:p>
    <w:p>
      <w:pPr>
        <w:pStyle w:val="TextBody"/>
        <w:bidi w:val="0"/>
        <w:spacing w:before="80" w:after="283"/>
        <w:jc w:val="both"/>
        <w:rPr>
          <w:rFonts w:ascii="Arial" w:hAnsi="Arial"/>
          <w:color w:val="000000"/>
          <w:sz w:val="20"/>
        </w:rPr>
      </w:pPr>
      <w:r>
        <w:rPr>
          <w:rFonts w:ascii="Arial" w:hAnsi="Arial"/>
          <w:color w:val="000000"/>
          <w:sz w:val="20"/>
        </w:rPr>
        <w:t>From time to time, we may become subject to various legal proceedings and claims that arise in the ordinary course of our business activities. Although the results of litigation and claims cannot be predicted with certainty, as of March 31, 2025,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pStyle w:val="TextBody"/>
        <w:bidi w:val="0"/>
        <w:spacing w:before="240" w:after="283"/>
        <w:jc w:val="both"/>
        <w:rPr>
          <w:rFonts w:ascii="Arial" w:hAnsi="Arial"/>
          <w:b/>
          <w:color w:val="000000"/>
          <w:sz w:val="20"/>
        </w:rPr>
      </w:pPr>
      <w:bookmarkStart w:id="15" w:name="item_1a_risk_factors"/>
      <w:bookmarkEnd w:id="15"/>
      <w:r>
        <w:rPr>
          <w:rFonts w:ascii="Arial" w:hAnsi="Arial"/>
          <w:b/>
          <w:color w:val="000000"/>
          <w:sz w:val="20"/>
        </w:rPr>
        <w:t>Item 1A. Risk Factors.</w:t>
      </w:r>
    </w:p>
    <w:p>
      <w:pPr>
        <w:pStyle w:val="TextBody"/>
        <w:bidi w:val="0"/>
        <w:spacing w:before="80" w:after="283"/>
        <w:jc w:val="both"/>
        <w:rPr>
          <w:rFonts w:ascii="Times New Roman" w:hAnsi="Times New Roman"/>
          <w:sz w:val="20"/>
        </w:rPr>
      </w:pPr>
      <w:r>
        <w:rPr>
          <w:rFonts w:ascii="Arial" w:hAnsi="Arial"/>
          <w:i/>
          <w:color w:val="000000"/>
          <w:sz w:val="20"/>
        </w:rPr>
        <w:t>Investing in our common stock involves a high degree of risk. You should carefully read and consider all of the risks described below, as well as the other information in this Quarterly Report, including our unaudited condensed consolidated financial statements and related notes thereto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Our Financial Position, and Additional Capital Needs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We have incurred significant net losses since our inception and anticipate that we will continue to incur losses for the foreseeable future.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Investment in biotechnology product development is highly speculative because it entails substantial upfront capital expenditures and significant risk that a product candidate will fail to gain regulatory approval or fail to become commercially viable. Our net losses were $27.5 million and $19.7 million for the three months ended March 31, 2025 and 2024, respectively. As of March 31, 2025, we had an accumulated deficit of $401.7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as we continue clinical development for bel-sar and continue to discover and develop additional product candidates. In addition, if we obtain regulatory approval for our product candidates, we will incur significant sales, marketing and manufacturing expenses. We incur costs, and will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To date, we have not generated any revenue from any product sales. Our ability to become profitable depends upon our ability to generate revenue. We have no products approved for commercial sale and, therefore, have never generated any revenue from product sales, and we do not expect to in the foreseeable future. Further, we do not anticipate generating any revenue from product sales until after we have received marketing approval for the commercial sale of a product candidate, if ever. Our ability to generate revenue and achieve profitability depends significantly on our success in achieving a number of goals,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initiating and completing research regarding, and preclinical and clinical development of, bel-sar in primary choroidal melanoma and additional oncology indications, including metastases to the choroid and bladder cancer as well as any other research programs from our VDC technology platform and any future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obtaining marketing approval for bel-sar and any future product candidates for which we complete clinical trials;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transferring our manufacturing process to, and developing and maintaining it with, a CDMO for bel-sar and any future product candidates, including establishing and maintaining commercially viable supply and manufacturing relationships with third parties;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launching and commercializing bel-sar and any future product candidates for which we obtain marketing approvals, either directly or with a collaborator or distributor;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obtaining market acceptance of bel-sar and any future product candidates as viable treatment options;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addressing any competing technological and market developments;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identifying, assessing, acquiring and developing new product candidates from our VDC technology platform;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negotiating favorable terms in any collaboration, licensing, or other arrangements into which we may enter;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obtaining, maintaining, protecting, and expanding our portfolio of intellectual property rights, including patents, trade secrets, and know-how; and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attracting, hiring, and retaining qualified personnel. </w:t>
      </w:r>
    </w:p>
    <w:p>
      <w:pPr>
        <w:pStyle w:val="TextBody"/>
        <w:bidi w:val="0"/>
        <w:spacing w:before="240" w:after="283"/>
        <w:jc w:val="both"/>
        <w:rPr>
          <w:rFonts w:ascii="Times New Roman" w:hAnsi="Times New Roman"/>
          <w:sz w:val="20"/>
        </w:rPr>
      </w:pPr>
      <w:r>
        <w:rPr>
          <w:rFonts w:ascii="Arial" w:hAnsi="Arial"/>
          <w:color w:val="000000"/>
          <w:sz w:val="20"/>
        </w:rPr>
        <w:t>Even if bel-sar or any future product candidates that we develop are approved for commercial sale, we anticipate incurring significant costs associated with commercializing any such product candidate.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are successful in obtaining regulatory approvals to market bel-sar or any future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 number of our addressable patients is not as significant as we estimate, the indication approved by regulatory authorities is narrower than we expect, the labels for bel-sar and any future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will require substantial additional capital to finance our operations. If we are unable to raise such capital when needed, or on acceptable terms, we may be forced to delay, reduce or terminate one or more of our research and development programs, future commercialization efforts, product development or other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Since our inception, we have used substantial amounts of cash to fund our operations, and our expenses will increase substantially in the foreseeable future in connection with our ongoing activities, particularly as we continue the research and development of, initiate and complete clinical trials of, and seek marketing approval for bel-sar. Identifying and developing pharmaceutical products, including conducting preclinical studies and clinical trials, is a very time-consuming, expensive and uncertain process that takes years to complete. Even if one or more of bel-sar or any future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nonclinical studies in addition to those that we are currently conducting or anticipate. Other unanticipated costs may also arise. Because the design and outcome of our current and planned clinical trials are highly uncertain, we cannot reasonably estimate the actual amount of resources and funding that will be necessary to successfully complete the development and commercialization of bel-sar or any future product candidates that we develop. We also expect to incur additional costs associated with operating as a public company. Accordingly, we will need to obtain substantial additional funding in order to continue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Based on our current operating plan, we believe that our existing cash and cash equivalents and marketable securities will be sufficient to fund our operating expenses and capital expenditures into the second half of 2026. Advancing the development of bel-sar and other research programs will require a significant amount of capital. Our existing cash and cash equivalents will not be sufficient to fund bel-sar through regulatory approval, and we anticipate needing to raise additional capital to complete the development and commercialization of bel-sar. Our estimate as to how long we expect our existing cash and cash equivalents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Adequate additional financing may not be available to us on acceptable terms, or at all. Any additional fundraising efforts may divert our management from their day-to-day activities, which may adversely affect our ability to develop and commercialize product candidates. Disruptions in financial markets due to unfavorable global economic conditions and inflationary pressures may make equity and debt financings more difficult to obtain and may have a material adverse effect on our ability to meet our fundraising needs. To the extent that we raise additional capital through the sale of equity or convertible preferred stock,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commercialize bel-sar if and when approved and develop our product candidates.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failure to raise capital as and when needed or on acceptable terms would have a negative impact on our financial condition and our ability to pursue our business strategy, and we may have to delay, reduce the scope of, suspend or eliminate one or more of our clinical trials, research and development programs, future commercialization efforts or other operations.</w:t>
      </w:r>
    </w:p>
    <w:p>
      <w:pPr>
        <w:pStyle w:val="TextBody"/>
        <w:bidi w:val="0"/>
        <w:spacing w:before="240" w:after="283"/>
        <w:jc w:val="both"/>
        <w:rPr>
          <w:rFonts w:ascii="Arial" w:hAnsi="Arial"/>
          <w:b/>
          <w:i/>
          <w:color w:val="000000"/>
          <w:sz w:val="20"/>
        </w:rPr>
      </w:pPr>
      <w:r>
        <w:rPr>
          <w:rFonts w:ascii="Arial" w:hAnsi="Arial"/>
          <w:b/>
          <w:i/>
          <w:color w:val="000000"/>
          <w:sz w:val="20"/>
        </w:rPr>
        <w:t>Recent volatility in capital markets may affect our ability to access new capital through sales of shares of our common stock or issuance of indebtedness.</w:t>
      </w:r>
    </w:p>
    <w:p>
      <w:pPr>
        <w:pStyle w:val="TextBody"/>
        <w:bidi w:val="0"/>
        <w:spacing w:before="80" w:after="283"/>
        <w:jc w:val="both"/>
        <w:rPr>
          <w:rFonts w:ascii="Times New Roman" w:hAnsi="Times New Roman"/>
          <w:sz w:val="20"/>
        </w:rPr>
      </w:pPr>
      <w:r>
        <w:rPr>
          <w:rFonts w:ascii="Arial" w:hAnsi="Arial"/>
          <w:color w:val="000000"/>
          <w:sz w:val="20"/>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finance unanticipated working capital requirements;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develop or enhance our technological infrastructure and our existing solutions;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pursue acquisitions or other strategic relationships; and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respond to competitive pressures.</w:t>
      </w:r>
    </w:p>
    <w:p>
      <w:pPr>
        <w:pStyle w:val="TextBody"/>
        <w:bidi w:val="0"/>
        <w:spacing w:before="240" w:after="283"/>
        <w:jc w:val="both"/>
        <w:rPr>
          <w:rFonts w:ascii="Arial" w:hAnsi="Arial"/>
          <w:color w:val="000000"/>
          <w:sz w:val="20"/>
        </w:rPr>
      </w:pPr>
      <w:r>
        <w:rPr>
          <w:rFonts w:ascii="Arial" w:hAnsi="Arial"/>
          <w:color w:val="000000"/>
          <w:sz w:val="20"/>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businesses.</w:t>
      </w:r>
    </w:p>
    <w:p>
      <w:pPr>
        <w:pStyle w:val="TextBody"/>
        <w:bidi w:val="0"/>
        <w:spacing w:before="240" w:after="283"/>
        <w:jc w:val="both"/>
        <w:rPr>
          <w:rFonts w:ascii="Times New Roman" w:hAnsi="Times New Roman"/>
          <w:sz w:val="20"/>
        </w:rPr>
      </w:pPr>
      <w:r>
        <w:rPr>
          <w:rFonts w:ascii="Arial" w:hAnsi="Arial"/>
          <w:b/>
          <w:i/>
          <w:color w:val="000000"/>
          <w:sz w:val="20"/>
        </w:rPr>
        <w:t>Raising additional capital may cause dilution to our existing stockholders, restrict our operations or require us to relinquish proprietary rights to our technologies or product candidates.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existing stockholder ownership interest will be diluted. In addition, any debt financing may subject us to fixed payment obligations and covenants limiting or restricting our ability to take specific actions, such as incurring additional debt, making capital expenditures or declaring dividends. Such restrictions could adversely impact our ability to conduct our operations and execute our business plan.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commercial or development partners for our lead products or any future product candidate at an earlier stage than otherwise would be desirable or relinquish our rights to product candidates or technologies that we otherwise would seek to develop or commercialize ourselves.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ability to generate revenue and achieve profitability depends significantly on our ability to achieve our objectives relating to the discovery, development, regulatory approval and commercialization of our product candidates.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rely on our team’s expertise in drug discovery, translational research and patient-driven precision medicine to develop our product candidates. Our business depends significantly on the success of this engine and the development and commercialization of the product candidates that we discover with this engine. We have no products approved for commercial sale and do not anticipate generating any revenue from product sales in the near term, if ever. Our ability to generate revenue and achieve profitability depends significantly on our ability to achieve several objectives,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successful and timely completion of preclinical and clinical development of bel-sar in small choroidal melanoma and indeterminate lesions and additional oncology indications, including but not limited to metastases to the choroid and bladder cancer, other research programs from our VDC technology platform, and any other future programs;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establishing and maintaining relationships with CROs and clinical sites for the clinical development of bel-sar, other research programs from our VDC technology platform, and any other future programs;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timely receipt of marketing approvals from applicable regulatory authorities for any product candidates for which we successfully complete clinical development;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transferring our manufacturing process to, and developing or maintaining it with, a CDMO including obtaining finished products that are appropriately packaged for sale;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establishing and maintaining commercially viable supply and manufacturing relationships with third parties that can provide adequate, in both amount and quality, products and services to support clinical development and meet the market demand for our product candidates, if approved;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successful commercial launch following any marketing approval, including the development of a commercial infrastructure, whether in-house or with one or more collaborators;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continued acceptable safety profile following any marketing approval of our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commercial acceptance of our product candidates by patients, the medical community and third-party payors;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satisfying any required post-marketing approval commitments to applicable regulatory authorities;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identifying, assessing and developing new product candidates from our VDC technology platform;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obtaining, maintaining and expanding patent protection, trade secret protection and regulatory exclusivity, both in the United States and internationally;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defending against third-party interference or infringement claims, if any;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entering into, on favorable terms, any collaboration, licensing or other arrangements that may be necessary or desirable to develop, manufacture or commercialize our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obtaining coverage and adequate reimbursement by third-party payors for our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addressing any competing therapies and technological and market developments;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attracting, hiring and retaining qualified personnel. </w:t>
      </w:r>
    </w:p>
    <w:p>
      <w:pPr>
        <w:pStyle w:val="TextBody"/>
        <w:bidi w:val="0"/>
        <w:spacing w:before="240" w:after="283"/>
        <w:jc w:val="both"/>
        <w:rPr>
          <w:rFonts w:ascii="Times New Roman" w:hAnsi="Times New Roman"/>
          <w:sz w:val="20"/>
        </w:rPr>
      </w:pPr>
      <w:r>
        <w:rPr>
          <w:rFonts w:ascii="Arial" w:hAnsi="Arial"/>
          <w:color w:val="000000"/>
          <w:sz w:val="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Risks Related to the Discovery and Development of our Product Candidates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We are heavily dependent on the success of bel-sar, our only product candidate to date.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currently have no products that are approved for commercial sale and may never be able to develop marketable products. We expect that a substantial portion of our efforts and expenditures over the next several years will be devoted to development of bel-sar in multiple oncology indications, which is currently our only product candidate. Accordingly, our business currently depends heavily on the successful development, regulatory approval, and commercialization of bel-sar. We can provide no assurance that bel-sar will receive regulatory approval or be successfully commercialized even if we receive regulatory approval. If we were required to discontinue development of bel-sar or if bel-sar does not receive regulatory approval or fails to achieve significant market acceptance, we would be delayed by many years in our ability to achieve profitability, if ever.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research, testing, manufacturing, safety, efficacy, recordkeeping, labeling, approval, licensure, sale, marketing, advertising, promotion and distribution of bel-sar is, and will remain, subject to comprehensive regulation by the FDA and foreign regulatory authorities. Failure to obtain regulatory approval for bel-sar in the United States, Europe and other major markets around the world will prevent us from commercializing and marketing bel-sar in such jurisdictions.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Even if we were to successfully obtain approval from the FDA and foreign regulatory authorities for bel-sar, any approval might contain significant limitations related to use, including limitations on the stage or type of cancer bel-sar is approved to treat, as well as restrictions for specified age groups, warnings, precautions or contraindications, or requirement for a risk evaluation and mitigation strategy, or REMS. Any such limitations or restrictions could similarly impact any supplemental marketing approvals we may obtain for bel-sar. Furthermore, even if we obtain regulatory approval for bel-sar, we will still need to develop a commercial infrastructure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bel-sar, we may not be able to generate sufficient revenue to continue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We have not received approval to market any of our product candidates from regulatory authorities in any jurisdiction and it is possible that none of our product candidates or any product candidates we may seek to develop in the future will ever obtain regulatory approval. We utilize third-party CROs and/or regulatory consultants to assist us in the regulatory approval process globally and expect to continue to do so in the future.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and clinical sites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Premarket Approval, or PMA, or biologics license application, or BLA,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Because the activity of bel-sar in ocular melanoma requires a drug delivery device and activation by a laser, the regulatory complexity of the product candidate is greater than for products that do not utilize a device, which creates uncertainties in the requirements for regulatory approval. Our product candidates could be delayed in receiving, or fail to receive, regulatory approval for many reasons, including the following:</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FDA or comparable foreign regulatory authorities may disagree with the design or implementation of our clinical trials; </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be unable to demonstrate to the satisfaction of the FDA or comparable foreign regulatory authorities that a product candidate is safe and effective for its proposed indication;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results of clinical trials may not meet the level of statistical significance required by the FDA or comparable foreign regulatory authorities for approval;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be unable to demonstrate that a product candidate’s clinical and other benefits outweigh its safety risks;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FDA or comparable foreign regulatory authorities may disagree with our interpretation of data from preclinical studies or clinical trials;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data collected from clinical trials of our product candidates may not be sufficient to support the submission of an BLA or other submission or to obtain regulatory approval in the United States or elsewhere;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FDA or comparable foreign regulatory authorities may fail to approve our manufacturing processes or facilities or those of third-party manufacturers with which we contract for clinical and commercial supplies;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approval policies or regulations of the FDA or comparable foreign regulatory authorities may significantly change in a manner rendering our clinical data insufficient for approval. </w:t>
      </w:r>
    </w:p>
    <w:p>
      <w:pPr>
        <w:pStyle w:val="TextBody"/>
        <w:bidi w:val="0"/>
        <w:spacing w:before="240" w:after="283"/>
        <w:jc w:val="both"/>
        <w:rPr>
          <w:rFonts w:ascii="Times New Roman" w:hAnsi="Times New Roman"/>
          <w:sz w:val="20"/>
        </w:rPr>
      </w:pPr>
      <w:r>
        <w:rPr>
          <w:rFonts w:ascii="Arial" w:hAnsi="Arial"/>
          <w:color w:val="000000"/>
          <w:sz w:val="20"/>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novel VDC product candidates are based on a technology that we are in the process of developing. We expect the novel nature of such product candidates to create further challenges in obtaining regulatory approval. As a result, our ability to develop product candidates and obtain regulatory approval may be significantly impacted.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 based on the completed clinical trials. Additionally, the conduct of Advisory Committee meetings may be disrupted or delayed and the impact that may have on the overall timing of regulatory approvals is uncertain.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experience delays in obtaining approval or if we fail to obtain approval of our product candidates, the commercial prospects for our product candidates may be harmed and our ability to generate revenues will be materially impaired.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have initiated but not yet completed a pivotal clinical trial nor have we commercialized any pharmaceutical products, which may make it difficult to evaluate our future prospects.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will need to successfully complete pivotal clinical trials in order to obtain the approval of the FDA, the EMA, or other regulatory agencies to market bel-sar or any future product candidate. Carrying out later-stage clinical trials is a complicated process. Our operations to date have been limited to financing and staffing our company, developing our technology and conducting preclinical research and Phase 1 and Phase 2 clinical trials for our product candidates, primarily related to our bel-sar program in small choroidal melanoma and indeterminate lesions. Although we have an ongoing global Phase 3 trial in small choroidal melanomas and indeterminate lesions, we have not yet demonstrated an ability to successfully complete pivotal clinical trials, obtain marketing approvals, manufacture a commercial-scale product or arrange for a third party to do so on our behalf, or conduct sales and marketing activities necessary for successful product commercialization. In order to complete later stage or pivotal trials, we are expanding our clinical operations, CMC and regulatory capabilities, and we may be unable to recruit and train qualified personnel or sign a contract with a global clinical research organization to conduct such trials on our behalf. Consequently, we may be unable to successfully and efficiently design, execute and complete necessary clinical trials in a way that leads to approval of bel-sar or future product candidates. We may require more time to enroll patients and incur greater costs than our competitors and may not succeed in obtaining global regulatory approvals of product candidates that we develop. Furthermore, we may conduct a pivotal trial based on an adaptive design, which could increase the time spent on or costs associated with this trial. We have transferred our manufacturing process to our intended external CDMO commercial manufacturer, but transfers to additional CDMOs may occur in the future. Further, some modifications to our manufacturing process may be needed to ensure manufacturability and ability to scale-up the process to commercial batch sizes and to meet worldwide regulatory standards for commercial manufacture. We intend to perform an analytical comparability assessment between the current clinical process and the intended commercial process, however, if this analytical process comparability assessment is unsuccessful, clinical comparability or other studies may be required, which may result in delayed regulatory approval. We do not anticipate a change in formulation. However, failure to commence or complete, or delays in, our planned clinical trials, could prevent us from or delay us in commercializing our product candidates.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fail to develop additional product candidates, or obtain additional indications of our first product candidate, our commercial opportunity could be limited.</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expect to focus our resources on the development of bel-sar in the near term. Developing, obtaining marketing approval for, and commercializing any future product candidates will require substantial additional funding and will be subject to the risks of failure inherent in drug product development. We cannot assure you that we will be able to successfully advance any future product candidates through the development process.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Even if we obtain approval from the FDA or comparable foreign regulatory authorities to market any future product candidates for any indication,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Bel-sar is a biologic that requires the use of multiple medical devices, which may result in additional regulatory risks.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Bel-sar is a novel biologic for which the intended use in ocular oncology requires delivery to the suprachoroidal space, or SCS, and activation by a laser. For ocular oncology indications, we use Clearside Biomedical Inc.’s SCS Microinjector®, or the SCS Microinjector, to deliver bel-sar into the SCS. In the United States, we plan to submit a single BLA for the review and approval of this combination of bel-sar with the SCS Microinjector and the laser(s) in our initial target indication of small choroidal melanoma and indeterminate lesions, but subsequent indications and delivery systems may require different or additional applications for marketing authorization. The SCS Microinjector was approved by FDA in October 2021 as a constituent of the drug/device combination product XIPERE® (triamcinolone acetonide injectable suspension). There may be additional regulatory risks for biologic-device combination products. We may experience delays in obtaining regulatory approval of bel-sar given the increased complexity of the review process when approval of the product and a medical device is sought under a single BLA. In the United States, each component of a combination product is subject to the requirements established by the FDA for that type of component, whether a drug, biologic or device. Devices are subject to the FDA design control device requirements which comprise among other things, design verification, design validation, and testing to assess performance, cleaning, and robustness. In the European Union, or EU, medical devices must be authorized under the EU’s Medical Devices Regulation, which requires compliance with the general safety and performance requirements set forth in such legislation. Delays in or failure of the studies conducted by us, or failure of our company, our collaborators, if any, or our third-party providers or suppliers to maintain compliance with regulatory requirements could result in increased development costs, delays in or failure to obtain regulatory approval, and associated delays in bel-sar reaching the market.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Changes in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As product candidates proceed through preclinical studies to late-stage clinical trials towards potential approval and commercialization, it is common that various aspects of the development program, such as manufacturing methods and formulation, may be altered along the way in an effort to optimize processes and results. Such changes to a product candidate carry the risk that they will not achieve the intended objectives of optimizing the performance of the candidate.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experience delays or difficulties in the enrollment of patients in clinical trials, our receipt of necessary regulatory approvals could be delayed or prevented.</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For example, the EMA required additional testing to support drug substance characterization which led to a later than anticipated authorization to commence enrolling patients in our Phase 3 clinical trial under the EU Clinical Trial Regulation process.</w:t>
      </w:r>
    </w:p>
    <w:p>
      <w:pPr>
        <w:pStyle w:val="TextBody"/>
        <w:bidi w:val="0"/>
        <w:spacing w:before="240" w:after="283"/>
        <w:jc w:val="both"/>
        <w:rPr>
          <w:rFonts w:ascii="Times New Roman" w:hAnsi="Times New Roman"/>
          <w:sz w:val="20"/>
        </w:rPr>
      </w:pPr>
      <w:r>
        <w:rPr>
          <w:rFonts w:ascii="Arial" w:hAnsi="Arial"/>
          <w:color w:val="000000"/>
          <w:sz w:val="20"/>
        </w:rPr>
        <w:t>In addition, our competitors may in the future commence clinical trials for product candidates that treat the same indications as our product candidates, and patients who would otherwise be eligible for our clinical trials may choose instead to enroll in clinical trials of our competitors.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 Our lead indication of early-stage choroidal melanoma is a rare disease and as such clinical trial recruitment estimates may be inaccurate and such recruitment may take longer than expected.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Patient enrollment may be affected by other factors,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severity of the disease under investigation;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clinicians’ and patients’ awareness of, and perceptions as to the potential advantages and risks of bel-sar in relation to other available therapies, including any new drugs that may be approved for the indications we are investigating;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efforts to obtain and maintain patient consents and facilitate timely enrollment in clinical trials;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ability to monitor patients adequately during and after treatment; </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risk that patients enrolled in clinical trials will drop out of the clinical trials before clinical trial completion;</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competing studies or trials with similar eligibility criteria;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ability to recruit clinical trial investigators with the appropriate competencies and experience;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reporting of the preliminary results of any of our clinical trials;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factors we may not be able to control that may limit patients, principal investigators or staff or clinical site availability. </w:t>
      </w:r>
    </w:p>
    <w:p>
      <w:pPr>
        <w:pStyle w:val="TextBody"/>
        <w:bidi w:val="0"/>
        <w:spacing w:before="240" w:after="283"/>
        <w:jc w:val="both"/>
        <w:rPr>
          <w:rFonts w:ascii="Times New Roman" w:hAnsi="Times New Roman"/>
          <w:sz w:val="20"/>
        </w:rPr>
      </w:pPr>
      <w:r>
        <w:rPr>
          <w:rFonts w:ascii="Arial" w:hAnsi="Arial"/>
          <w:b/>
          <w:i/>
          <w:color w:val="000000"/>
          <w:sz w:val="20"/>
        </w:rPr>
        <w:t>We are conducting a clinical trial outside the United States, and we may in the future conduct additional clinical trials for current or future product candidates outside the United States, and the FDA and comparable foreign regulatory authorities may not accept data from such trials.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currently conducting a Phase 3 clinical trial and have, or anticipate to have, sites in the United States as well as in some or all of the following countries, among others: Ireland, the UK, Canada, Australia, Austria, Italy, Greece, South Korea, Israel, Germany, France, Spain, Denmark, Sweden, Belgium, Finland, and the Czech Republic. We also may in the future choose to conduct one or more additional clinical trials outside the United States, including in Europe. The acceptance of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the U.S. medical practice;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Even if we receive marketing approval for our current or future product candidates in the United States, we may never receive regulatory approval to market our current or future product candidates outside of the United States.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plan to seek regulatory approval of our current or future product candidates outside of the United States. Obtaining and maintaining regulatory approval of our product candidates in one jurisdiction does not guarantee that we will be able to obtain or maintain regulatory approval in any other jurisdiction.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For example, even if the FDA grants marketing approval of a product candidate, we may not obtain approvals in other jurisdictions, and comparable regulatory authorities in foreign jurisdictions must also approve the manufacturing, marketing and promotion and reimbursement of the product candidate in those countries. However, a failure or delay in obtaining marketing approval in one jurisdiction may have a negative effect on the regulatory approval process in others. Approval procedures vary among countries and can involve additional product candidate testing and administrative review periods different from those in the United States. The time required to obtain approvals in other countries might differ substantially from that required to obtain the FDA approval. The marketing approval processes in other countries generally implicate all of the risks detailed above regarding the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regulatory requirements in international markets or fail to receive applicable marketing approvals, it would reduce the size of our potential market, which could have a material adverse impact on our business, results of operations and prospects.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The results of preclinical studies and early clinical trials may not be predictive of future results.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outcome of preclinical testing and early clinical trials may not be predictive of the success of later clinical trials. Bel-sar and any other product candidates we may develop may fail to show the desired safety and efficacy in clinical development despite positive results in preclinical studies or having successfully advanced through initial clinical trials. For example, bel-sar may not be effective at slowing or arresting tumor growth or may not preserve visual acuity in later stage trials. Even if bel-sar successfully slows or completely arrests tumor growth, this may not result in a reduction in the risk of metastasis. Additionally, any positive results generated in our ongoing clinical trials and preclinical studies would not ensure that we will achieve similar results in larger, pivotal clinical trials or in clinical trials of bel-sar in broader patient populations.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product candidate to demonstrate safety and efficacy in any clinical trial could negatively impact the perception of that product candidate in other indications or patient populations or any other product candidates then under development and/or cause the FDA or other regulatory authorities to require additional testing before approving such product candidate or any other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Interim, “top-line,” and preliminary or early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From time to time, we may publicly disclose preliminary, early,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early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interim data and final data could materially affect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Further, additional disclosure of interim data by us or by our potential competitors in the future could result in volatility in the price of our common stock.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materially affect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Additionally, we may continue to utilize “open-label” trial designs or open-label extensions to our clinical trials in the future.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or extension may not be predictive of future clinical trial results with bel-sar or any future product candidates when studied in a controlled environment with a placebo or active control.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Bel-sar or any future product candidates may cause or reveal significant adverse events, toxicities or other undesirable side effects which may delay or prevent marketing approval.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Adverse events or other undesirable side effects caused by or associated with treatment by bel-sar or our future product candidates could cause us or regulatory authorities to interrupt, delay or halt clinical trials and could result in a more restrictive label or the delay or denial of regulatory approval by the FDA, the EMA or other comparable foreign regulatory authorities. Although bel-sar has been evaluated in clinical trials, unexpected side effects may still arise in our ongoing or any future clinical trials. These side effects have included pigmentary changes around the tumor margin and vision loss.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pivotal clinical trials or, in some cases, after they are made available to patients on a commercial scale after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regulatory authorities may withdraw approvals of such product or require additional warnings on the label;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additional clinical trials or post-approval studies;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be required to create a REMS plan, which could include a medication guide outlining the risks of such side effects for distribution to patients, a communication plan for healthcare providers, and/or other elements to assure safe use;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regulatory authorities may require additional warnings or limitations in the labeling, such as a contraindication, limitation of use, or a boxed warning, or issue safety alerts, Dear Healthcare Provider letters, press releases or other communications containing warnings or other safety information about the product;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be subject to regulatory investigations and government enforcement actions;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reputation may suffer. </w:t>
      </w:r>
    </w:p>
    <w:p>
      <w:pPr>
        <w:pStyle w:val="TextBody"/>
        <w:bidi w:val="0"/>
        <w:spacing w:before="240" w:after="283"/>
        <w:jc w:val="both"/>
        <w:rPr>
          <w:rFonts w:ascii="Times New Roman" w:hAnsi="Times New Roman"/>
          <w:sz w:val="20"/>
        </w:rPr>
      </w:pPr>
      <w:r>
        <w:rPr>
          <w:rFonts w:ascii="Arial" w:hAnsi="Arial"/>
          <w:color w:val="000000"/>
          <w:sz w:val="20"/>
        </w:rPr>
        <w:t>Moreover, if bel-sar or any of our future product candidates is associated with undesirable or unexpected side effects in clinical trials,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even if it is approved.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Any of these events could prevent us from achieving or maintaining market acceptance of the particular product candidate, if approved, and could materially affect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may incur additional costs or experience delays in initiating or completing, or ultimately be unable to complete, the development and commercialization of our product candidates.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patients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receive feedback from regulatory authorities that require us to modify the design or implementation of our preclinical studies or clinical trials or to delay or terminate a clinical trial;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regulators or institutional review board, or IRBs, or ethics committees may delay or may not authorize us or our investigators to commence a clinical trial or conduct a clinical trial at a prospective trial site;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experience delays in reaching, or fail to reach, agreement on acceptable terms with prospective trial sites and prospective CROs, the terms of which can be subject to extensive negotiation and may vary significantly among different CROs and trial sites;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preclinical studies or clinical trials of our product candidates may not produce differentiated or clinically significant results across tumor types or indications;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 of clinical trials of our product candidates may be greater than we anticipate;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supply or quality of our product candidates or other materials necessary to conduct clinical trials of our product candidates may be insufficient or inadequate;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regulators may revise the requirements for approving our product candidates, or such requirements may not be as we anticipate. </w:t>
      </w:r>
    </w:p>
    <w:p>
      <w:pPr>
        <w:pStyle w:val="TextBody"/>
        <w:bidi w:val="0"/>
        <w:spacing w:before="240" w:after="283"/>
        <w:jc w:val="both"/>
        <w:rPr>
          <w:rFonts w:ascii="Times New Roman" w:hAnsi="Times New Roman"/>
          <w:sz w:val="20"/>
        </w:rPr>
      </w:pPr>
      <w:r>
        <w:rPr>
          <w:rFonts w:ascii="Arial" w:hAnsi="Arial"/>
          <w:color w:val="000000"/>
          <w:sz w:val="20"/>
        </w:rPr>
        <w:t>We could encounter delays if a clinical trial is suspended or terminated by us, by the IRBs of the institutions at which such trials are being conducted, by the Data Safety Monitoring Board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Moreover, principal investigators for our trials involving bel-sar or any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Even if we receive regulatory approval for any of our product candidates, we will be subject to ongoing regulatory obligations and continued regulatory review, which may result in significant additional expenses. Additionally, our product candidates, if approved, could be subject to post-marketing commitments/requirements, marketing and labeling restrictions, and even recall or market withdrawal if unanticipated safety issues are discovered following approval. In addition, we may be subject to penalties or other enforcement action if we fail to comply with regulatory requirements.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compliance with applicable product tracking and tracing requirements, as well as continued compliance with current Good Manufacturing Practices, or cGMPs, and GCPs for any clinical trials that we conduct post-approval. Additionally, under the Food and Drug Omnibus Reform Act of 2022, or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restrictions on the marketing or manufacturing of the product, withdrawal of the product from the market, or voluntary or mandatory product recalls;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manufacturing delays and supply disruptions where regulatory inspections identify observations of noncompliance requiring remediation;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revisions to the labeling, including limitation on approved uses or the inclusion of additional warnings, contraindications or other safety information, including boxed warnings;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imposition of a REMS which may include distribution or use restrictions;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requirements to conduct additional post-market clinical trials to assess the safety of the product;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clinical trial holds;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fines, warning letters or other regulatory enforcement action;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refusal by the FDA to approve pending applications or supplements to approved applications filed by us or suspension or revocation of approvals;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product seizure or detention, or refusal to permit the import or export of products;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injunctions or the imposition of civil or criminal penalties. </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Additionally, 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In particular, a product may not be promoted for uses that are not approved by the FDA or such other regulatory agencies as reflected in the product’s approved labeling. If we do not market our medicines for their approved indications, we may be subject to enforcement action for off-label marketing by the FDA and other federal and state enforcement agencies, including the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FDA’s and other regulatory authorities’ policies and interpretations may change and additional government regulations may be enacted that could prevent, limit or delay regulatory approval of our product candidates. If we are slow or unable to adapt to changes in existing requirements or the adoption of new requirements, interpretations or policies, or if we are not able to maintain regulatory compliance, we may lose any regulatory approval that we may have obtained, which would adversely affect our business, prospects and ability to achieve or sustain profitability. Moreover,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w:t>
      </w:r>
    </w:p>
    <w:p>
      <w:pPr>
        <w:pStyle w:val="TextBody"/>
        <w:bidi w:val="0"/>
        <w:spacing w:before="240" w:after="283"/>
        <w:jc w:val="both"/>
        <w:rPr>
          <w:rFonts w:ascii="Times New Roman" w:hAnsi="Times New Roman"/>
          <w:sz w:val="20"/>
        </w:rPr>
      </w:pPr>
      <w:r>
        <w:rPr>
          <w:rFonts w:ascii="Arial" w:hAnsi="Arial"/>
          <w:b/>
          <w:i/>
          <w:color w:val="000000"/>
          <w:sz w:val="20"/>
        </w:rPr>
        <w:t>We may be unable to obtain ODD for additional indications, or to maintain the benefits associated with orphan drug status, including market exclusivity, which may cause our revenue, if any, to be reduced.</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ODD must be requested before submitting an NDA or BLA. In the United States, ODD entitles a party to financial incentives such as opportunities for grant funding towards clinical trial costs, tax advantages and user-fee waivers. After the FDA grants ODD, the generic identity of the drug and its potential orphan use are disclosed publicly by the FDA. ODD does not convey any advantage in, or shorten the duration of, the regulatory review and approval process.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a product that has ODD subsequently receives the first FDA approval for a particular active ingredient for the disease for which it has such designation, the product is entitled to orphan product exclusivity, which means that the FDA may not approve any other applications to market the same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our current product candidates and any future product candidates receive orphan exclusivity, the FDA can still approve other drugs that have a different active ingredient for use in treating the same indication or disease. Furthermore, the FDA can waive orphan exclusivity if we are unable to manufacture sufficient supply of our product.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obtained orphan designation for bel-sar for the treatment of uveal melanoma from the FDA and EMA, and we may seek additional ODDs for bel-sar or some or all of our future product candidates in orphan indications in which there is a medically plausible basis for the use of these products. Even if we obtain ODD, exclusive marketing rights in the United States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Similarly, in the EU, the European Commission grants an orphan designation in respect of a product after receiving the opinion of the EMA’s Committee for Orphan Medicinal Products on a designation application. Orphan designation in the EU is granted to products where the sponsor can establish that (1) such product is intended for the diagnosis, prevention or treatment of a life-threatening or chronically debilitating condition; (2) either (i) such condition affects no more than five in 10,000 persons in the EU when the application is made; or (ii) without incentives, it is unlikely that the marketing of the product would generate sufficient return in the EU to justify the necessary investment in its development; and (3) there exists no satisfactory method of diagnosis, prevention or treatment of such condition that has been authorized in the EU, or if such a method exists, the product in question would be of significant benefit to those affected by that condition. In the EU, orphan designation entitles a party to a number of incentives, such as protocol assistance and scientific advice specifically for designated orphan medicines, and potential fee reductions depending on the status of the sponsor. Generally, if a product with an orphan designation subsequently receives the first marketing approval for the indication for which it has such designation, the product is entitled to a ten-year period of marketing exclusivity, which precludes the EMA from approving another marketing authorization application for a similar medicinal product in the same indication for that time period, except in limited circumstances. The EU exclusivity period can be reduced to six years if, at the end of the fifth year, a product no longer meets the criteria for orphan designation or if the product is sufficiently profitable such that market exclusivity is no longer justified. The European Commission introduced a legislative proposal in April 2023 that, if implemented, could reduce the current ten-year marketing exclusivity period in the EU for certain orphan medicines.</w:t>
      </w:r>
    </w:p>
    <w:p>
      <w:pPr>
        <w:pStyle w:val="TextBody"/>
        <w:bidi w:val="0"/>
        <w:spacing w:before="240" w:after="283"/>
        <w:jc w:val="both"/>
        <w:rPr>
          <w:rFonts w:ascii="Times New Roman" w:hAnsi="Times New Roman"/>
          <w:sz w:val="20"/>
        </w:rPr>
      </w:pPr>
      <w:r>
        <w:rPr>
          <w:rFonts w:ascii="Arial" w:hAnsi="Arial"/>
          <w:b/>
          <w:i/>
          <w:color w:val="000000"/>
          <w:sz w:val="20"/>
        </w:rPr>
        <w:t>A breakthrough therapy designation or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may seek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obtained Fast Track designation for bel-sar for the treatment of choroidal melanoma, for the treatment of metastases to the choroid and for the treatment of NMIBC, and we may seek additional Fast Track designation for other product candidates we may develop.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Accelerated approval by the FDA, even if granted for bel-sar or any other future product candidates, may not lead to a faster development or regulatory review or approval process and it does not increase the likelihood that our product candidates will receive regulatory approval.</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or biologic receiving accelerated approval perform adequate and well-controlled post-marketing clinical trials, and the FDA is permitted to require, as appropriate, that such studies be underway prior to approval or within a specified 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The FDA’s agreement to a Special Protocol Assessment, or SPA, with respect to the study design of our global Phase 3 trial of bel-sar for the treatment of early-stage choroidal melanoma does not guarantee any particular outcome from regulatory review, including ultimate approval, and may not lead to a successful review or approval process.</w:t>
      </w:r>
    </w:p>
    <w:p>
      <w:pPr>
        <w:pStyle w:val="TextBody"/>
        <w:bidi w:val="0"/>
        <w:spacing w:before="80" w:after="283"/>
        <w:jc w:val="both"/>
        <w:rPr>
          <w:rFonts w:ascii="Arial" w:hAnsi="Arial"/>
          <w:color w:val="000000"/>
          <w:sz w:val="20"/>
        </w:rPr>
      </w:pPr>
      <w:r>
        <w:rPr>
          <w:rFonts w:ascii="Arial" w:hAnsi="Arial"/>
          <w:color w:val="000000"/>
          <w:sz w:val="20"/>
        </w:rPr>
        <w:t>We obtained agreement from the FDA on the design and planned analysis of our global Phase 3 trial of bel-sar for the treatment of early-stage choroidal melanoma through an SPA. An SPA agreement documents FDA’s agreement that the design and planned analysis of a study can adequately address objectives in support of a regulatory submission. However, final determinations for marketing application approval are made after complete review of a marketing application and are based on the entire data in the application.</w:t>
      </w:r>
    </w:p>
    <w:p>
      <w:pPr>
        <w:pStyle w:val="TextBody"/>
        <w:bidi w:val="0"/>
        <w:spacing w:before="240" w:after="283"/>
        <w:jc w:val="both"/>
        <w:rPr>
          <w:rFonts w:ascii="Arial" w:hAnsi="Arial"/>
          <w:color w:val="000000"/>
          <w:sz w:val="20"/>
        </w:rPr>
      </w:pPr>
      <w:r>
        <w:rPr>
          <w:rFonts w:ascii="Arial" w:hAnsi="Arial"/>
          <w:color w:val="000000"/>
          <w:sz w:val="20"/>
        </w:rPr>
        <w:t>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The FDA ultimately assesses whether specific elements of the protocol design of the trial, such as entry criteria, dose selection, endpoints and/or planned analyses, are acceptable to support a regulatory submission.</w:t>
      </w:r>
    </w:p>
    <w:p>
      <w:pPr>
        <w:pStyle w:val="TextBody"/>
        <w:bidi w:val="0"/>
        <w:spacing w:before="240" w:after="283"/>
        <w:jc w:val="both"/>
        <w:rPr>
          <w:rFonts w:ascii="Times New Roman" w:hAnsi="Times New Roman"/>
          <w:sz w:val="20"/>
        </w:rPr>
      </w:pPr>
      <w:r>
        <w:rPr>
          <w:rFonts w:ascii="Arial" w:hAnsi="Arial"/>
          <w:color w:val="000000"/>
          <w:sz w:val="20"/>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addition, even after an SPA agreement is finalized, the SPA agreement may be modified, and such modification will be deemed binding by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w:t>
      </w:r>
    </w:p>
    <w:p>
      <w:pPr>
        <w:pStyle w:val="TextBody"/>
        <w:bidi w:val="0"/>
        <w:spacing w:before="240" w:after="283"/>
        <w:jc w:val="both"/>
        <w:rPr>
          <w:rFonts w:ascii="Arial" w:hAnsi="Arial"/>
          <w:color w:val="000000"/>
          <w:sz w:val="20"/>
        </w:rPr>
      </w:pPr>
      <w:r>
        <w:rPr>
          <w:rFonts w:ascii="Arial" w:hAnsi="Arial"/>
          <w:color w:val="000000"/>
          <w:sz w:val="20"/>
        </w:rPr>
        <w:t>Moreover, if the FDA revokes or alters its agreement under the SPA, or interprets the data collected from the clinical trial differently than we do, the FDA may not deem the data sufficient to support an application for regulatory approval of bel-sar for the treatment of small choroidal melanoma and indeterminate lesions.</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Risks Related to Our Reliance on Third Parties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We rely on third parties to conduct our clinical trials and some aspects of our research and preclinical testing, and expect to continue to do so,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currently rely and expect to continue to rely on third parties, such as CROs, clinical data management organizations, central reading centers, medical institutions and clinical investigators, to conduct some aspects of our research, preclinical testing and clinical trials. We are using a clinical CRO for the pivotal trial for bel-sar for the treatment of early-stage choroidal melanoma. Any of these third parties may terminate their engagements with us or be unable to fulfill their contractual obligations. If we need to enter into alternative arrangements, our product development activities would be delayed.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as well as the applicable legal, regulatory and scientific standards.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are also required to register ongoing clinical trials and to post the results of completed clinical trials on a government-sponsored database within certain timeframes. Failure to do so can result in fines, adverse publicity and civil and criminal sanctions. Due to the rarity of ocular melanomas, we may engage clinical trial sites that have little experience in the conduct of clinical trials under GCPs. Even though we train the clinical trial sites, monitor the activities, and perform quality audits to assess and ensure compliance, we cannot ensure such compliance.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Furthermore, these third parties may also have relationships with other entities, some of which may be our competitors, for whom they may also be conducting clinical trials or other biological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currently rely on third-party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We currently do not have any manufacturing facilities and have no plans to build our own clinical or commercial scale manufacturing capabilities. Instead, we expect to rely on third parties for the manufacture of our product candidates and related raw materials for future preclinical and clinical development, as well as for commercial manufacture if any of our product candidates receive marketing approval. We are currently reliant on a single source for each of our regulatory starting materials, drug substance and drug product manufacturing for bel-sar.</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or our third-party suppliers or manufacturers may encounter shortages in the raw materials or active pharmaceutical ingredient, or API, necessary to produce bel-sar and future product candidates we may develop in the quantities needed for our clinical trials or, if bel-sar or any future product candidates we may develop are approved, in sufficient quantities for commercialization or to meet an increase in demand, as a result of capacity constraints or delays or disruptions in the market for the raw materials or APIs, including shortages caused by the purchase of such raw materials or API, by our competitors or others. Even if raw materials or API are available, we may be unable to obtain sufficient quantities at an acceptable cost or quality. The failure by us or our third-party suppliers or manufacturers to obtain the raw materials or API necessary to manufacture sufficient quantities of bel-sar or any future product candidates we may develop could delay, prevent or impair our development efforts and may have a material adverse effect on our business. To date, we have only encountered minor delays in our manufacturing process due to a supply chain constraint with one of our vendors.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Reliance on third-party manufacturers may expose us to different risks than if we were to manufacture clinical or commercial supply of our product candidates ourselves. The facilities used by third-party manufacturers to manufacture bel-sar or any future product candidates must be authorized by the FDA pursuant to inspections that will be conducted after we submit a BLA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Some of our contract manufacturers may not have produced a commercially-approved product and, therefore, may not have obtained the requisite FDA approvals to do so.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Finding new CDMOs or third-party suppliers involves additional cost and requires our management’s time and focus. In addition, there is typically a transition period when a new CDMO commences work. Although we generally have not, and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 Additionally, any changes implemented by a new CDMO could delay completion of clinical trials, require the conduct of bridging clinical trials or studies, require the repetition of one or more clinical trials, increase clinical trial costs, delay approval of bel-sar and future product candidates and jeopardize our ability to commence product sales and generate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part of their manufacture of our product candidates, our CDMOs and third-party suppliers are expected to comply with and respect the intellectual property and proprietary rights of others. If a CDMO or third-party supplier fails to acquire the proper licenses or otherwise infringes, misappropriates or otherwise violates the intellectual property or proprietary rights of others in the course of providing services to us, we may have to find alternative CDMOs or third-party suppliers or defend against applicable claims, either of which would significantly impact our ability to develop, obtain regulatory approval for or commercialize our product candidates, if approved.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Even if we are able to establish agreements with third-party manufacturers, reliance on third-party manufacturers entails additional risks,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failure of third-party manufacturers to comply with regulatory requirements and maintain quality assurance;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breach of the manufacturing agreement by the third-party manufacturers;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failure to manufacture our product according to our specifications;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lack of qualified backup suppliers for those components or materials that are currently purchased from a sole or single source supplier;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failure to manufacture our product according to our schedule or at all; </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production difficulties caused by unforeseen events that may delay the availability of one or more of the necessary raw materials or delay the manufacture of bel-sar or any future product candidates for use in clinical trials or for commercial supply;</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supply or service disruptions or increased costs that are beyond our control;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misappropriation of our proprietary information, including our trade secrets and know-how;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termination or nonrenewal of the agreement by the third party at a time that is costly or inconvenient for us. </w:t>
      </w:r>
    </w:p>
    <w:p>
      <w:pPr>
        <w:pStyle w:val="TextBody"/>
        <w:bidi w:val="0"/>
        <w:spacing w:before="240" w:after="283"/>
        <w:jc w:val="both"/>
        <w:rPr>
          <w:rFonts w:ascii="Times New Roman" w:hAnsi="Times New Roman"/>
          <w:sz w:val="20"/>
        </w:rPr>
      </w:pPr>
      <w:r>
        <w:rPr>
          <w:rFonts w:ascii="Arial" w:hAnsi="Arial"/>
          <w:color w:val="000000"/>
          <w:sz w:val="20"/>
        </w:rPr>
        <w:t>Bel-sar and any other product candidates that we may develop may compete with other product candidates and products for access to manufacturing facilities.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current third-party manufacturers cannot perform as agreed, we may be required to replace such manufacturers and we may be unable to replace them on a timely basis or on terms acceptable to us. Our current and anticipated future dependence upon others for the manufacture of bel-sar or any other future product candidates or products may adversely affect our future profit margins and our ability to commercialize any products that receive marketing approval on a timely and competitive basis.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Commercialization</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If bel-sar or any future product candidates do not achieve broad market acceptance, the revenue that we generate from their sales may be limited, and we may never become profitable.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have never commercialized a product candidate for any indication. Even if bel-sar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bel-sar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VDCs is unsafe, whether related to our or our competitors’ products, our products may not be accepted by the general public or the medical community. In addition, training clinicians to properly use bel-sar or any future product candidate that requires a similar laser and microinjector may create reluctance by clinicians to adopt our products, potentially adversely affecting our future sales and marketing efforts. Furthermore, such training increases our costs to generate sales associated with any such product. Future adverse events in targeted oncology or the biopharmaceutical industry could also result in greater governmental regulation, stricter labeling requirements and potential regulatory delays in the testing or approvals of our product candidates.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Efforts to educate the medical community and third-party payors on the benefits of bel-sar and any future product candidates may require significant resources and may not be successful. If bel-sar or any future product candidates are approved but do not achieve an adequate level of market acceptance, we could be prevented from or significantly delayed in achieving profitability. The degree of market acceptance of any of bel-sar and any future product candidates will depend on a number of factors,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efficacy of bel-sar and our VLP technology, and any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prevalence and severity of adverse events associated with bel-sar and any future product candidates or those products with which they may be co-administered;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clinical indications for which bel-sar are approved and the approved claims that we may make for the products;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limitations or warnings contained in the product’s FDA-approved labeling or those of comparable foreign regulatory authorities, including potential limitations or warnings for bel-sar and any future product candidates that may be more restrictive than other competitive products;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changes in the SoC for the targeted indications for bel-sar and any future product candidates, which could reduce the marketing impact of any claims that we could make following FDA approval or approval by comparable foreign regulatory authorities, if obtained; </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relative convenience and ease of administration of bel-sar and any future product candidates and any products with which they are co-administered;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 of treatment compared with the economic and clinical benefit of alternative treatments or therapies;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availability of adequate coverage or reimbursement by third-party payors, including government healthcare programs such as Medicare and Medicaid and other healthcare payors;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price concessions required by third-party payors to obtain coverage;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perception of physicians, patients, third-party payors and others in the medical community of the relative safety, efficacy, convenience, effect on quality of life and cost effectiveness of bel-sar compared to those of other available treatments;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willingness of patients to pay out-of-pocket in the absence of adequate coverage and reimbursement;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extent and strength of our marketing and distribution of bel-sar and any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safety, efficacy, and other potential advantages over, and availability of, alternative treatments already used or that may later be approved;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distribution and use restrictions imposed by the FDA or comparable foreign regulatory authorities with respect to bel-sar and any future product candidates or to which we agree as part of a REMS or voluntary risk management plan;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timing of market introduction of bel-sar and any future product candidates, as well as competitive products;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to offer bel-sar and any future product candidates for sale at competitive prices;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willingness of the target patient population to try new therapies and of physicians to prescribe these therapies;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extent and strength of our third-party manufacturer and supplier support;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publicity concerning our bel-sar or competing products and treatments;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actions of companies that market any products with which bel-sar and any future product candidates may be co-administered;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approval of other new products;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adverse publicity about bel-sar and any future product candidates or any products with which they are co-administered, or favorable publicity about competitive products;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potential product liability claims. </w:t>
      </w:r>
    </w:p>
    <w:p>
      <w:pPr>
        <w:pStyle w:val="TextBody"/>
        <w:bidi w:val="0"/>
        <w:spacing w:before="240" w:after="283"/>
        <w:jc w:val="both"/>
        <w:rPr>
          <w:rFonts w:ascii="Times New Roman" w:hAnsi="Times New Roman"/>
          <w:sz w:val="20"/>
        </w:rPr>
      </w:pPr>
      <w:r>
        <w:rPr>
          <w:rFonts w:ascii="Arial" w:hAnsi="Arial"/>
          <w:b/>
          <w:i/>
          <w:color w:val="000000"/>
          <w:sz w:val="20"/>
        </w:rPr>
        <w:t>We currently have no marketing and sales organization and have no experience in marketing products. If we are unable to establish marketing and sales capabilities or enter into agreements with third parties to market and sell our product candidates, we may not be able to generate product revenue.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have never commercialized a product candidate and we currently have no sales, marketing or distribution capabilities and have no experience in marketing products. Our operations to date have been limited to organizing and staffing our company, business planning, raising capital, acquiring the rights to our product candidate and undertaking preclinical studies and clinical trials of our product candidate.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We may not be successful in transitioning from a company with a development focus to a company capable of supporting commercial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to establishing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Further, if we enter into arrangements with third parties to perform sales and marketing services, our product revenues, if any, may be lower than if we were to market and sell any products that we develop ourselves.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Furthermore, developing a sales and marketing organization requires significant investment, is time-consuming and could delay the launch of our product candidate. We may not be able to build an effective sales and marketing organization in the United States, the EU or other key global markets. If we are unable to build our own distribution and marketing capabilities or to find suitable partners for the commercialization of our product candidate, we may have difficulties generating revenue from them.</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There can be no assurance that we will be able to develop in-house sales and distribution capabilities or establish or maintain relationships with third-party collaborators to commercialize any product in the United States or overseas.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face competition, which may result in others discovering, developing or commercializing drugs before or more successfully than we do.</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The biopharmaceutical industry is characterized by intense competition and rapid innovation. While we are not aware of anyone currently developing a treatment for early-stage choroidal melanoma, in the future our competitors may be able to develop other compounds or drugs that are able to achieve similar or better results than us. There are multiple companies that have drugs in clinical development for the treatment of NMIBC, such as Johnson &amp; Johnson, UroGen Pharma Ltd., CG Oncology, Inc., ImmunityBio, Inc. and Ferring Pharmaceuticals. Our potential competitors include major multinational pharmaceutical companies, established biotechnology companies, specialty pharmaceutical companies and universities and other research institutions. Many of our potential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collaboration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which may reduce or eliminate our commercial opportunity. We believe the key competitive factors that will affect the development and commercial success of our product candidates are efficacy, safety, tolerability, reliability, convenience of use, price and reimbursement.</w:t>
      </w:r>
    </w:p>
    <w:p>
      <w:pPr>
        <w:pStyle w:val="TextBody"/>
        <w:bidi w:val="0"/>
        <w:spacing w:before="240" w:after="283"/>
        <w:jc w:val="both"/>
        <w:rPr>
          <w:rFonts w:ascii="Times New Roman" w:hAnsi="Times New Roman"/>
          <w:sz w:val="20"/>
        </w:rPr>
      </w:pPr>
      <w:r>
        <w:rPr>
          <w:rFonts w:ascii="Arial" w:hAnsi="Arial"/>
          <w:color w:val="000000"/>
          <w:sz w:val="20"/>
        </w:rPr>
        <w:t>Even if we obtain regulatory approval of our product candidates, the availability and price of our potential future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For additional information regarding our competition, see the section of our Annual Report on Form 10-K for the year ended December 31, 2024 titled “Business—Competition.”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Even if we are able to commercialize any product candidates, such products may become subject to unfavorable pricing regulations, third-party reimbursement practices or healthcare reform initiatives, which would harm our business.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For more information, see the section of our Annual Report on Form 10-K for the year ended December 31, 2024 titled “Business—Government Regulation—Coverage and Reimbursement.”</w:t>
      </w:r>
    </w:p>
    <w:p>
      <w:pPr>
        <w:pStyle w:val="TextBody"/>
        <w:bidi w:val="0"/>
        <w:spacing w:before="240" w:after="283"/>
        <w:jc w:val="both"/>
        <w:rPr>
          <w:rFonts w:ascii="Times New Roman" w:hAnsi="Times New Roman"/>
          <w:sz w:val="20"/>
        </w:rPr>
      </w:pPr>
      <w:r>
        <w:rPr>
          <w:rFonts w:ascii="Arial" w:hAnsi="Arial"/>
          <w:color w:val="000000"/>
          <w:sz w:val="20"/>
        </w:rPr>
        <w:t>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incidence and prevalence for target patient populations of bel-sar and any future product candidates has not been established with precision. Bel-sar is a VDC product candidate being developed for the first line treatment of early-stage choroidal melanoma. Our projections of both the number of people who have choroidal melanoma, as well as additional ocular oncology and bladder cancer indications, are based on our estimates.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total addressable market opportunity will ultimately depend upon, among other things, the patient criteria included in the final label, the indications for which bel-sar is approved for sale, acceptance by the medical community and patient access, product pricing and reimbursement. The number of patients with choroidal melanoma, metastases to the choroid, and bladder cancer for which bel-sar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Bel-sar is our only product candidate and therefore our business is dependent on the market opportunity for our product.</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pStyle w:val="TextBody"/>
        <w:bidi w:val="0"/>
        <w:spacing w:before="80" w:after="283"/>
        <w:jc w:val="both"/>
        <w:rPr>
          <w:rFonts w:ascii="Arial" w:hAnsi="Arial"/>
          <w:color w:val="000000"/>
          <w:sz w:val="20"/>
        </w:rPr>
      </w:pPr>
      <w:r>
        <w:rPr>
          <w:rFonts w:ascii="Arial" w:hAnsi="Arial"/>
          <w:color w:val="000000"/>
          <w:sz w:val="20"/>
        </w:rPr>
        <w:t>Our business operations and current and future arrangements with investigators, healthcare professionals, consultants, third-party payors, patient organizations and customers, may expose us to broadly applicable fraud and abuse and other healthcare laws. These laws may constrain the business or financial arrangements and relationships through which we conduct our operations, including how we research, market, sell and distribute our product candidates, if approved. For more information, see the section of our Annual Report on Form 10-K for the year ended December 31, 2024 titled “Business—Government Regulation—Health Care Laws and Regulations.”</w:t>
      </w:r>
    </w:p>
    <w:p>
      <w:pPr>
        <w:pStyle w:val="TextBody"/>
        <w:bidi w:val="0"/>
        <w:spacing w:before="240" w:after="283"/>
        <w:jc w:val="both"/>
        <w:rPr>
          <w:rFonts w:ascii="Times New Roman" w:hAnsi="Times New Roman"/>
          <w:sz w:val="20"/>
        </w:rPr>
      </w:pPr>
      <w:r>
        <w:rPr>
          <w:rFonts w:ascii="Arial" w:hAnsi="Arial"/>
          <w:color w:val="000000"/>
          <w:sz w:val="20"/>
        </w:rPr>
        <w:t>Additionally, we are subject to state and foreign equivalents of each of the healthcare laws and regulations described above, among others, some of which may be broader in scope and may apply regardless of the payor. Many states in the United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General Data Protection Regulation, or GDPR, also govern the privacy and security of health information in some circumstances, many of which differ from each other in significant ways and often are not preempted by the Health Insurance Portability and Accountability Act, or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scope and enforcement of each of these laws is uncertain and subject to rapid change in the current environment of healthcare reform, especially in light of the lack of applicable precedent and regulations. Federal and state enforcement bodies have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Current and future healthcare legislative reform measures may have a material adverse effect on our business and results of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United States and many foreign jurisdictions have enacted and/or proposed legislative and regulatory changes affecting the healthcare system that could prevent or delay regulatory approval of our current or future product candidates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 the section of our Annual Report on Form 10-K for the year ended December 31, 2024 titled “Business—Government Regulation—Health Care Reform &amp; Legislative Updates.”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the United States, there have been, and continue to be, a significant number of legislative initiatives to contain healthcare costs. The United States has also sought to implement legislation at the state level, and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demand for our current or future product candidates, if we obtain regulatory approval;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to set a price that we believe is fair for our products;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to obtain coverage and reimbursement approval for a product;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to generate revenue and achieve or maintain profitability;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level of taxes that we are required to pay; and </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availability of capital. </w:t>
      </w:r>
    </w:p>
    <w:p>
      <w:pPr>
        <w:pStyle w:val="TextBody"/>
        <w:bidi w:val="0"/>
        <w:spacing w:before="240" w:after="283"/>
        <w:jc w:val="both"/>
        <w:rPr>
          <w:rFonts w:ascii="Times New Roman" w:hAnsi="Times New Roman"/>
          <w:sz w:val="20"/>
        </w:rPr>
      </w:pPr>
      <w:r>
        <w:rPr>
          <w:rFonts w:ascii="Arial" w:hAnsi="Arial"/>
          <w:color w:val="000000"/>
          <w:sz w:val="20"/>
        </w:rPr>
        <w:t>Any reduction in reimbursement from Medicare or other government programs may result in a similar reduction in payments from private payors, which may adversely affect our future profitability.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Our Intellectual Property</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Our ability to compete may decline if we do not adequately protect our proprietary rights, and our proprietary rights do not necessarily address all potential threats to our competitive advantage.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commercial success depends upon obtaining and maintaining proprietary rights to our intellectual property estate, including rights relating to our technology platform using HPV-derived VLPs to target tumors and VDCs like bel-sar, as well as successfully defending these rights against third-party challenges and successfully enforcing these rights to prevent third-party infringement. We will only be able to protect bel-sar or a future product candidate derived from our platform from unauthorized use by third parties to the extent that valid and enforceable patents cover it. Our ability to maintain patent protection for bel-sar or a future product candidate is uncertain due to a number of factors, including that:</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others may design around our patent claims to produce competitive technologies, products or methods that fall outside of the scope of our patents;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we may not obtain patent protection in all jurisdictions that may eventually provide us a significant business opportunity; and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any patents issued to us may be successfully challenged by third parties. </w:t>
      </w:r>
    </w:p>
    <w:p>
      <w:pPr>
        <w:pStyle w:val="TextBody"/>
        <w:bidi w:val="0"/>
        <w:spacing w:before="240" w:after="283"/>
        <w:jc w:val="both"/>
        <w:rPr>
          <w:rFonts w:ascii="Times New Roman" w:hAnsi="Times New Roman"/>
          <w:sz w:val="20"/>
        </w:rPr>
      </w:pPr>
      <w:r>
        <w:rPr>
          <w:rFonts w:ascii="Arial" w:hAnsi="Arial"/>
          <w:color w:val="000000"/>
          <w:sz w:val="20"/>
        </w:rPr>
        <w:t>Even with our patents covering bel-sar, we may still not be able to make use or sell bel-sar or a future product candidate because of the patent rights of others. Others may have filed patent applications covering compositions, products or methods that are similar or identical to ours, which could materially affect our ability to successfully commercialize bel-sar or a future product candidate.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it is filed. Various extensions may be available; however, the life of a patent, and the protection it affords, is limited.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Obtaining and maintaining a patent portfolio entails significant expense, including periodic maintenance fees, renewal fees, annuity fees and various other governmental fees on patents and patent applications. These expenditures can be at numerous stages of prosecuting patent applications and over the lifetime of maintaining and enforcing issued patents. We may or may not choose to pursue or maintain protection for particular intellectual property in our portfolio. If we choose to forgo patent protection or to allow a patent application or patent to lapse purposefully or inadvertently, our competitive position could suffer. Furthermore, we employ reputable law firms and other professionals to help us comply with the various procedural, documentary, fee payment and other similar provisions we are subject to and, in many cases, an inadvertent lapse can be cured by payment of a late fee or by other means in accordance with the applicable rules. There are situations, however, in which failure to make certain payments or noncompliance with certain requirements in the patent process can result in abandonment or lapse of a patent or patent application, resulting in partial or complete loss of patent rights in the relevant jurisdiction. In such an event, our competitors might be able to enter the market, which would have a material adverse effect on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Legal action that may be required to enforce our patent rights can be expensive and may involve the diversion of significant management time. There can be no assurance that we will have sufficient financial or other resources to file and pursue infringement claims, which typically last for years before they are concluded. In addition, these legal actions could be unsuccessful and result in the invalidation of our patents, a finding that they are unenforceable or a requirement that we enter into a licensing agreement with or pay monies to a third party for use of technology covered by our patents. We may or may not choose to pursue litigation or other actions against those that have infringed on our patents, or have used them without authorization, due to the associated expense and time commitment of monitoring these activities. If we fail to successfully protect or enforce our intellectual property rights, our competitive position could suffer, which could harm our results of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may need to license intellectual property from third parties, and such licenses may not be available or may not be available on commercially reasonable terms.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 third party may hold intellectual property rights, including patent rights, that are important or necessary to the development of bel-sar or any future product candidates. It may be necessary for us to use the patented or proprietary technology of third parties to commercialize bel-sar or any future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growth of our business may depend in part on our ability to acquire, in-license or use third-party proprietary rights. We may be unable to acquire or in-license any such proprietary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rely on intellectual property licensed from third parties. We face risks with respect to such reliance, including the risk that,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a party to a number of intellectual property license agreements that are important to our business. Our existing license agreements impose on us various diligence, milestone payment, royalty and other obligations. If we fail to comply with any of our obligations under these agreements, or we are subject to a bankruptcy, our licensors may have the right to terminate the license, in which event we would not be able to market any products covered by the license.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Disputes may also arise between us and our licensors regarding intellectual property subject to a license agreement,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scope of rights granted and related obligations under the license agreement and other interpretation-related issues;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licensor’s right to license or sublicense patent and other rights to us, and whether and the extent to which the right is retained by a third party;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whether and the extent to which our technology infringes on intellectual property of the licensor that is not subject to the licensing agreement;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right to sublicense patent and other rights to third parties under collaborative development relationships;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diligence obligations with respect to the use of the licensed technology in relation to our development and commercialization of bel-sar or any future product candidates, and what activities satisfy those diligence obligations;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ownership of inventions and know-how resulting from the joint creation or use of intellectual property by our licensors and us. </w:t>
      </w:r>
    </w:p>
    <w:p>
      <w:pPr>
        <w:pStyle w:val="TextBody"/>
        <w:bidi w:val="0"/>
        <w:spacing w:before="240" w:after="283"/>
        <w:jc w:val="both"/>
        <w:rPr>
          <w:rFonts w:ascii="Times New Roman" w:hAnsi="Times New Roman"/>
          <w:sz w:val="20"/>
        </w:rPr>
      </w:pPr>
      <w:r>
        <w:rPr>
          <w:rFonts w:ascii="Arial" w:hAnsi="Arial"/>
          <w:color w:val="000000"/>
          <w:sz w:val="20"/>
        </w:rPr>
        <w:t>If disputes over intellectual property that we have licensed prevent or impair our ability to maintain our current licensing arrangements on acceptable terms, we may be unable to successfully develop and commercialize the affected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disputes may arise regarding the payment of the royalties due to licensors in connection with our exploitation of the rights we license from them. Licensors may contest the basis of royalties we retained and claim that we are obligated to make payments under a broader basis. Such disputes may be costly to resolve and may divert management’s attention away from day-to-day activities. In addition to the costs of any litigation we may face, any legal action against us could increase our payment obligations under the respective agreement and require us to pay interest and potentially damages to such licensors. If disputes over intellectual property that we have licensed from third parties prevent or impair our ability to maintain our licensing arrangements on acceptable terms, we or our collaborators may be unable to successfully manufacture and commercialize bel-sar or a future product candidate.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If we fail to comply with our obligations under the license agreements, our licensors may have the right to terminate these agreements, in which event we might not be able to manufacture or market bel-sar or a future product candidate.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do not obtain patent term extension in the United States under the Hatch-Waxman Act and in foreign countries under similar legislation with respect to bel-sar or a future product candidate, thereby potentially extending the term of marketing exclusivity for such product, our business may be harmed.</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the FDA marketing approval of our product candidates, one or more of our owned, co-owned, or in-licensed U.S. patents may be eligible for limited patent term extension under the Drug Price Competition and Patent Term Restoration Act of 1984, or the Hatch-Waxman Act. The Hatch-Waxman Act permits a patent restoration term of up to five years as compensation for patent term lost during product development and the FDA regulatory review process. The Hatch-Waxman Act allows a maximum of one patent to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In the EU, bel-sar or a future product candidate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pStyle w:val="TextBody"/>
        <w:bidi w:val="0"/>
        <w:spacing w:before="240" w:after="283"/>
        <w:jc w:val="both"/>
        <w:rPr>
          <w:rFonts w:ascii="Times New Roman" w:hAnsi="Times New Roman"/>
          <w:sz w:val="20"/>
        </w:rPr>
      </w:pPr>
      <w:r>
        <w:rPr>
          <w:rFonts w:ascii="Arial" w:hAnsi="Arial"/>
          <w:b/>
          <w:i/>
          <w:color w:val="000000"/>
          <w:sz w:val="20"/>
        </w:rPr>
        <w:t>Patents and patent applications involve highly complex legal and factual questions, which, if determined adversely to us, could negatively impact our patent position.</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 xml:space="preserve">The patent positions of biopharmaceutical and biotechnology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U.S. Patent and Trademark Office, or the USPTO, and its foreign counterparts are sometimes uncertain and could change in the future. Consequently, the issuance and scope of patents cannot be predicted with certainty. Patents, if issued, may be challenged, invalidated or circumvented. The U.S. patents and patent applications may also be subject to interference or derivation proceedings, and the U.S. patents may be subject to reexamination proceedings, post-grant review and/or </w:t>
      </w:r>
      <w:r>
        <w:rPr>
          <w:rFonts w:ascii="Arial" w:hAnsi="Arial"/>
          <w:i/>
          <w:color w:val="000000"/>
          <w:sz w:val="20"/>
        </w:rPr>
        <w:t>inter partes</w:t>
      </w:r>
      <w:r>
        <w:rPr>
          <w:rFonts w:ascii="Times New Roman" w:hAnsi="Times New Roman"/>
          <w:color w:val="000000"/>
          <w:sz w:val="20"/>
        </w:rPr>
        <w:t xml:space="preserve"> </w:t>
      </w:r>
      <w:r>
        <w:rPr>
          <w:rFonts w:ascii="Arial" w:hAnsi="Arial"/>
          <w:color w:val="000000"/>
          <w:sz w:val="20"/>
        </w:rPr>
        <w:t xml:space="preserve">review in the USPTO. 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 interference, derivation, reexamination, post-grant review, </w:t>
      </w:r>
      <w:r>
        <w:rPr>
          <w:rFonts w:ascii="Arial" w:hAnsi="Arial"/>
          <w:i/>
          <w:color w:val="000000"/>
          <w:sz w:val="20"/>
        </w:rPr>
        <w:t xml:space="preserve">inter partes </w:t>
      </w:r>
      <w:r>
        <w:rPr>
          <w:rFonts w:ascii="Arial" w:hAnsi="Arial"/>
          <w:color w:val="000000"/>
          <w:sz w:val="20"/>
        </w:rPr>
        <w:t>review and opposition proceedings may be costly. Accordingly, rights under any issued patents may not provide us with sufficient protection against competitive products or processes.</w:t>
      </w:r>
    </w:p>
    <w:p>
      <w:pPr>
        <w:pStyle w:val="TextBody"/>
        <w:bidi w:val="0"/>
        <w:spacing w:before="240" w:after="283"/>
        <w:jc w:val="both"/>
        <w:rPr>
          <w:rFonts w:ascii="Times New Roman" w:hAnsi="Times New Roman"/>
          <w:sz w:val="20"/>
        </w:rPr>
      </w:pPr>
      <w:r>
        <w:rPr>
          <w:rFonts w:ascii="Arial" w:hAnsi="Arial"/>
          <w:color w:val="000000"/>
          <w:sz w:val="20"/>
        </w:rPr>
        <w:t>Furthermore, even if not challenged, our patents and patent applications may not prevent others from designing their products to avoid being covered by our claims. If the breadth or strength of protection provided by the patent applications we hold with respect to bel-sar or a future product candidate is threatened, it could dissuade companies from collaborating with us to develop, and could threaten our or their ability to successfully commercialize, bel-sar or a future product candidate.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changes in, or different interpretations of, patent laws in the United States and other countries may permit others to use our discoveries or to develop and commercialize our technology without providing any compensation to us and may limit the scope of patent protection that we are able to obtain. The laws of some countries do not protect intellectual property rights to the same extent as the U.S. laws, and those countries may lack adequate rules and procedures for defending our intellectual property rights.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product candidates, prohibit our use of proprietary technology or sale of potential products or put our patents and other proprietary rights at risk.</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 xml:space="preserve">Our commercial success depends upon our ability to develop, manufacture, market and sell bel-sar or a future product candidate without alleged or actual infringement, misappropriation or other violation of the patents and proprietary rights of third parties. Litigation relating to infringement or misappropriation of patent and other intellectual property rights in the biotechnology industry is common, including patent infringement lawsuits, interferences, oppositions, reexamination proceedings, post-grant review, and/or </w:t>
      </w:r>
      <w:r>
        <w:rPr>
          <w:rFonts w:ascii="Arial" w:hAnsi="Arial"/>
          <w:i/>
          <w:color w:val="000000"/>
          <w:sz w:val="20"/>
        </w:rPr>
        <w:t>inter partes</w:t>
      </w:r>
      <w:r>
        <w:rPr>
          <w:rFonts w:ascii="Times New Roman" w:hAnsi="Times New Roman"/>
          <w:color w:val="000000"/>
          <w:sz w:val="20"/>
        </w:rPr>
        <w:t xml:space="preserve"> </w:t>
      </w:r>
      <w:r>
        <w:rPr>
          <w:rFonts w:ascii="Arial" w:hAnsi="Arial"/>
          <w:color w:val="000000"/>
          <w:sz w:val="20"/>
        </w:rPr>
        <w:t>review before the USPTO and corresponding international patent offices. 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 As a result of any patent infringement claims, or in order to avoid any potential infringement claims, we may choose to seek, or be required to seek, a license from the third-party, which may require payment of substantial royalties or fees, or require us to grant a cross-license under our intellectual property rights.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could be prevented from commercializing bel-sar or a future product candidate, or forced to modify bel-sar or a future product candidate, or to cease some aspect of our business operations, which could harm our business significantly. We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 if a patent infringement suit is brought against us or our third-party service providers, our development, manufacturing or sales activities relating to bel-sar or a future product candidate that is the subject of the suit may be delayed or terminated. In addition, defending such claims may cause us to incur substantial expenses and, if successful, could cause us to pay substantial damages if we are found to be infringing a third-party’s patent rights. These damages potentially could include increased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In addition, if the breadth or strength of protection provided by the patents and patent applications we own or in-license is threatened, it could dissuade companies from collaborating with us to license, develop or commercialize current or future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our ability to further develop or commercialize bel-sar or a future product candidate unless we obtain a license under the applicable patents, or until such patents expire or are finally determined to be invalid or unenforceable.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or one of our licensors were to initiate legal proceedings against a third party to enforce a patent covering our technology or a product candidate, the defendant could counterclaim that our patent is invalid or unenforceable. In patent litigation in the United States and Europe, defendant counterclaims alleging invalidity or unenforceability are common. Grounds for a validity challenge could be an alleged failure to meet any of several statutory requirements, for example, lack of novelty, obviousness or non-enablement.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of the patent protection on bel-sar or a future product candidate.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will not seek to protect our intellectual property rights in all jurisdictions throughout the world, and we may not be able to adequately enforce our intellectual property rights even in the jurisdictions where we seek protection.</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Filing, prosecuting and defending patents on bel-sar or a future product candidate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w:t>
      </w:r>
    </w:p>
    <w:p>
      <w:pPr>
        <w:pStyle w:val="TextBody"/>
        <w:bidi w:val="0"/>
        <w:spacing w:before="240" w:after="283"/>
        <w:jc w:val="both"/>
        <w:rPr>
          <w:rFonts w:ascii="Times New Roman" w:hAnsi="Times New Roman"/>
          <w:sz w:val="20"/>
        </w:rPr>
      </w:pPr>
      <w:r>
        <w:rPr>
          <w:rFonts w:ascii="Arial" w:hAnsi="Arial"/>
          <w:color w:val="000000"/>
          <w:sz w:val="20"/>
        </w:rPr>
        <w:t>We have and have applied for patents in those countries where we intend to make, have made, use, offer for sale or sell products and where we assess the risk of infringement to justify the cost of seeking patent protection. Competitors may use our technologies in jurisdictions where we do not pursue and obtain patent protection to develop their own products and may export otherwise infringing products to territories where we have patent protection, but where our ability to enforce our patent rights is not as strong as in the United States. These products may compete with any products that we may develop, and our patents or other intellectual property rights may not be effective or sufficient to prevent such competition.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laws of some other countries do not protect intellectual property rights to the same extent as the laws of the United States. For example, European patent law restricts the patentability of methods of treatment of the human body more than U.S. law does. Patent protection must ultimately be sought on a country-by-country basis, which is an expensive and time-consuming process with uncertain outcomes. Accordingly, we chose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or biotechnologies. As a result, many companies have encountered significant difficulties in protecting and defending intellectual property rights in certain jurisdictions outside the United States. Such issues may make it difficult for us to stop the infringement of our patents, if obtained, or the misappropriation of our other intellectual property rights.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Furthermore, proceedings to enforce our patent rights in foreign jurisdictions could result in substantial costs and divert our efforts and attention from other aspects of our business, subject our patents to the risk of being invalidated or interpreted narrowly, subject our patent applications to the risk of not issuing or provoke 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 Accordingly, our efforts to enforce our intellectual property rights around the world may be inadequate to obtain a significant commercial advantage from the intellectual property that we develop or license.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or our licensors are unable to protect the confidentiality of the proprietary information related to our product or process, our business and competitive position would be harmed.</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and our licensors rely on confidentiality agreements to protect unpatented know-how, technology and other proprietary information related to our product and process, to maintain our competitive position. For example, our licensor Rakuten (previously LI-COR) maintains its manufacture of IRDye 700DX</w:t>
      </w:r>
      <w:r>
        <w:rPr>
          <w:rFonts w:ascii="Arial" w:hAnsi="Arial"/>
          <w:color w:val="000000"/>
          <w:sz w:val="13"/>
        </w:rPr>
        <w:t xml:space="preserve">® </w:t>
      </w:r>
      <w:r>
        <w:rPr>
          <w:rFonts w:ascii="Arial" w:hAnsi="Arial"/>
          <w:color w:val="000000"/>
          <w:sz w:val="20"/>
        </w:rPr>
        <w:t>dye molecules (used in bel-sar) as a trade secret. Trade secrets and know-how can be difficult to protect. In particular, the trade secrets and know-how in connection with our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are unwilling to protect trade secrets.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may be subject to claims that third parties have an ownership interest in our trade secrets. For example, we may have disputes arise from conflicting obligations of our employees, consultants or others who are involved in developing bel-sar.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materially adverse effect on our business. Even if we are successful in defending against such claims, litigation could result in substantial costs and be a distraction to our management and other employees.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or subject to unauthorized access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cybersecurity incident or breach. In addition, our confidential information may otherwise become known or be independently discovered by competitors, in which case we would have no right to prevent them, or those to whom they communicate it, from using that technology or information to compete with us, which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our Business and Industry</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If we lose key management personnel, or if we fail to recruit additional highly skilled personnel, our ability to pursue our business strategy will be impaired, could result in loss of markets or market share and could make us less competitive.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ability to compete in the highly competitive biopharmaceutical industries depends upon our ability to attract, manage, motivate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for these individuals could harm our business.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Competition for skilled personnel in our industry is intense and may limit our ability to hire and retain highly qualified personnel on acceptable terms, in a timely manner or at all. In particular, we have experienced a very competitive hiring environment in the Boston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restricted stock awards and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our organization.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Changes in funding, leadership, personnel, policies or priorities of, or other disruptions at federal governmental agencies, including from government shut downs or layoffs of federal agency employees or other disruptions to these agencies’ operations, funding or staffing, could hinder their ability to hire and retain key leadership and other personnel, prevent, delay, or hinder the research, development or commercialization of new products and services or otherwise prevent those agencies from performing normal business functions on which the operation of our business may rely, which could negatively impact our business.</w:t>
      </w:r>
    </w:p>
    <w:p>
      <w:pPr>
        <w:pStyle w:val="TextBody"/>
        <w:bidi w:val="0"/>
        <w:spacing w:before="80" w:after="283"/>
        <w:jc w:val="both"/>
        <w:rPr>
          <w:rFonts w:ascii="Arial" w:hAnsi="Arial"/>
          <w:color w:val="000000"/>
          <w:sz w:val="20"/>
        </w:rPr>
      </w:pPr>
      <w:r>
        <w:rPr>
          <w:rFonts w:ascii="Arial" w:hAnsi="Arial"/>
          <w:color w:val="000000"/>
          <w:sz w:val="20"/>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Currently, federal agencies in the United States are operating under a continuing resolution that is set to expire on September 30, 2025.</w:t>
      </w:r>
    </w:p>
    <w:p>
      <w:pPr>
        <w:pStyle w:val="TextBody"/>
        <w:bidi w:val="0"/>
        <w:spacing w:before="80" w:after="283"/>
        <w:jc w:val="both"/>
        <w:rPr>
          <w:rFonts w:ascii="Arial" w:hAnsi="Arial"/>
          <w:color w:val="000000"/>
          <w:sz w:val="20"/>
        </w:rPr>
      </w:pPr>
      <w:r>
        <w:rPr>
          <w:rFonts w:ascii="Arial" w:hAnsi="Arial"/>
          <w:color w:val="000000"/>
          <w:sz w:val="20"/>
        </w:rPr>
        <w:t>Disruptions in staffing, funding or operations at the FDA, SEC, NIH, USPTO and other government agencies, including substantial leadership departures, personnel cuts, and changes and/or additional policies or regulations relating to federal agencies as a result of the new U.S. presidential administration, may also prevent, delay or hinder the research, development or commercialization of new products, including review and/or approval of new products by necessary government agencies, any of which would adversely affect our business. Changes and cuts in FDA staffing also could result in delays in the FDA’s responsiveness or in its ability to review IND submissions or applications, issue regulations or guidance, or implement or enforce regulatory requirements in a timely fashion or at all.</w:t>
      </w:r>
    </w:p>
    <w:p>
      <w:pPr>
        <w:pStyle w:val="TextBody"/>
        <w:bidi w:val="0"/>
        <w:spacing w:before="80" w:after="283"/>
        <w:jc w:val="both"/>
        <w:rPr>
          <w:rFonts w:ascii="Arial" w:hAnsi="Arial"/>
          <w:color w:val="000000"/>
          <w:sz w:val="20"/>
        </w:rPr>
      </w:pPr>
      <w:r>
        <w:rPr>
          <w:rFonts w:ascii="Arial" w:hAnsi="Arial"/>
          <w:color w:val="000000"/>
          <w:sz w:val="20"/>
        </w:rPr>
        <w:t>In addition, over the last several years, the U.S. government has shut down at times and certain federal agencies, such as the FDA, have had to furlough critical employees and stop critical activities. If a prolonged government shutdown occurs, including as a result of reaching the debt ceiling, it could significantly impact the ability of federal agencies to perform normal business functions on which the operation of our business may rely, including the FDA’s ability to timely review and process our regulatory submissions, any of which could have a material adverse effect on our business. Further, future government shutdowns or other disruption of the operations of federal agencies could impact our ability to access the public markets and obtain necessary capital in order to properly capitalize and continue our operations.</w:t>
      </w:r>
    </w:p>
    <w:p>
      <w:pPr>
        <w:pStyle w:val="TextBody"/>
        <w:bidi w:val="0"/>
        <w:spacing w:before="240" w:after="283"/>
        <w:jc w:val="both"/>
        <w:rPr>
          <w:rFonts w:ascii="Times New Roman" w:hAnsi="Times New Roman"/>
          <w:sz w:val="20"/>
        </w:rPr>
      </w:pPr>
      <w:r>
        <w:rPr>
          <w:rFonts w:ascii="Arial" w:hAnsi="Arial"/>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Changes in tax laws or in their implementation or interpretation may adversely affect us or our investors.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The rules dealing with the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 For example, under Section 174 of the Code, in taxable years beginning after December 31, 2021, expenses that are incurred for research and development in the United States will be capitalized and amortized, which may have an adverse effect on our cash flow.</w:t>
      </w:r>
    </w:p>
    <w:p>
      <w:pPr>
        <w:pStyle w:val="TextBody"/>
        <w:bidi w:val="0"/>
        <w:spacing w:before="240" w:after="283"/>
        <w:jc w:val="both"/>
        <w:rPr>
          <w:rFonts w:ascii="Times New Roman" w:hAnsi="Times New Roman"/>
          <w:sz w:val="20"/>
        </w:rPr>
      </w:pPr>
      <w:r>
        <w:rPr>
          <w:rFonts w:ascii="Arial" w:hAnsi="Arial"/>
          <w:color w:val="000000"/>
          <w:sz w:val="20"/>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Our internal information technology systems, or those of our third-party CROs, contractors, consultants or others who process sensitive information on our behalf, may fail or suffer cybersecurity incidents or breaches, loss or leakage of data and other compromises, any of which could result in a material disruption of our product candidates’ development programs, compromise sensitive information related to our business or prevent us from accessing such information, expose us to liability or otherwise adversely affect our business.</w:t>
      </w:r>
    </w:p>
    <w:p>
      <w:pPr>
        <w:pStyle w:val="TextBody"/>
        <w:bidi w:val="0"/>
        <w:spacing w:before="80" w:after="283"/>
        <w:jc w:val="both"/>
        <w:rPr>
          <w:rFonts w:ascii="Times New Roman" w:hAnsi="Times New Roman"/>
          <w:sz w:val="20"/>
        </w:rPr>
      </w:pPr>
      <w:r>
        <w:rPr>
          <w:rFonts w:ascii="Arial" w:hAnsi="Arial"/>
          <w:color w:val="000000"/>
          <w:sz w:val="20"/>
        </w:rPr>
        <w:t>In the ordinary course of our business, we may collect, store and transmit confidential information, including intellectual property, proprietary business information and personal information (including health information). We have established safeguards to do so in a secure manner in an effort to maintain the confidentiality, integrity and availability of such information. We also have outsourced certain of our operations to third parties, and as a result, we manage a number of third parties who have access to our information. Despite the implementation of security measures, our internal computer systems and infrastructure, and those of our CROs and other third parties on which we rely, are vulnerable to damage from computer viruses, unauthorized access and misuse, cyberattacks by sophisticated nation-state and nation-state supported actors or by malicious third parties (including the deployment of harmful malware (such as malicious code, viruses and worms), natural disasters, global pandemics, fire, terrorism, war and telecommunication and electrical failures, fraudulent activity, as well as cybersecurity incidents or breaches from inadvertent or intentional actions (such as error or theft) by our employees, contractors, consultants, business partners, and/or other third parties, phishing attacks, ransomware, denial-of-service attacks, social engineering schemes (including phishing attacks) and other means that affect service reliability and threaten the confidentiality, integrity and availability of information), which may compromise our system infrastructure as well as lead to unauthorized access, disclosure, misuse or acquisition of information. We, and our service providers, have from time to time and may in the future continue to experience threats and cybersecurity incidents relating to our and our third-party vendors' information systems. Cyberattacks generally are increasing in their frequency, sophistication and intensity. The techniques used to sabotage or to obtain unauthorized access to our information technology systems or those upon whom we rely on to process our information change frequently, and we may be unable to anticipate such techniques or implement adequate preventative measures or to stop or to adequately address cybersecurity incidents or breaches in all instances. The recovery systems, security protocols, network protection mechanisms and other security measures that we have integrated into our information technology systems, which are designed to protect against, detect and minimize cybersecurity incidents or breaches, may not be adequate to prevent or detect or adequately address service interruption, system failure or data loss.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Significant disruptions of our information technology systems or cybersecurity incidents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including health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Further, as a result of increased hybrid work, a significant number of our employees and partners are working remotely, which increases the risk of a cybersecurity incident or breach or other data and cybersecurity issues. To the extent that any disruption or cybersecurity incident or breach results in a loss of, or damage to, our data or applications, or inappropriate disclosure or misuse of or access to confidential or proprietary information, we could incur liability and the further development of our future product candidates could be delayed.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also be required to comply with laws, regulations, rules, industry standards, and other legal obligations that require us to maintain the security of personal data. We may also have contractual and other legal obligations to notify collaborators, our clinical trial participants, or other relevant stakeholders of cybersecurity incidents and breaches. Failure to prevent or mitigate cyberattacks could result in unauthorized access to data, including personal data. Most jurisdictions have enacted laws requiring companies to notify individuals, regulatory authorities, and others of cybersecurity incidents or breaches involving certain types of data. Such disclosures are costly, could lead to negative publicity, may cause our collaborators or other relevant stakeholders to lose confidence in the effectiveness of our security measures and require us to expend significant capital and other resources to respond to and/or alleviate problems caused by the actual or perceived cybersecurity incident or breach. In addition, the costs to respond to a cybersecurity event or to mitigate any identified security vulnerabilities could be significant, including costs for remediating the effects of such an event, paying a ransom, restoring data from backups, and conducting data analysis to determine what data may have been affected by the cybersecurity incident or breach. In addition, our efforts to contain or remediate a cybersecurity incident or any vulnerability exploited to cause an incident may be unsuccessful, and efforts and any related failures to contain or remediate them could result in interruptions, delays, harm to our reputation, and increases to our insurance coverage.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In addition, litigation resulting from cybersecurity incidents or breaches may adversely affect our business. Unauthorized access to our information technology systems or infrastructure could result in litigation with our collaborators, our clinical trial participants,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in response to such litigation, which could have an adverse effect on our business. If a cybersecurity incident or breach were to occur and the confidentiality, integrity or availability of our data or the data of our collaborators were disrupted, we could incur significant liability, which could negatively affect our business and damage our reputation.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Furthermore, we may not have adequate insurance coverage or otherwise protect us from, or adequately mitigate, liabilities or damages.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are, or may become, subject to stringent and changing privacy and information security laws, regulations, standards, policies and contractual obligations related to data privacy and security. Our actual or perceived failure to comply with such data privacy and security obligations could lead to government enforcement actions (which could include civil or criminal fines or penalties), a disruption of our clinical trials or commercialization of our products, private litigation, changes to our business practices, increased costs of operations, and adverse publicity that could otherwise negatively affect our operating results and business. Compliance or the failure to comply with such obligations could increase the costs of our products, could limit their use or adoption, and could otherwise negatively affect our operating results and business.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Regulation of data (including personal and clinical trial data) is evolving, as federal, state, and foreign governments continue to adopt new, or modify existing, laws and regulations addressing data privacy and security, and the collection, processing, storage, transfer, and use of data.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collaborators’ ability to offer our products in certain locations, cause regulators to reject, limit or disrupt our clinical trial activities, result in increased expenses, reduce overall demand for our products, and make it more difficult to meet expectations of relevant stakeholders.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and any potential collaborators may be subject to federal, state and foreign data protection laws and regulations including, without limitation, laws that regulate personal data such as health data. For example, in the United States, numerous federal and state laws and regulations, including federal health information privacy laws, state personal information laws (e.g., the California Consumer Privacy Act of 2018, or CCPA), state data breach notification laws, state health information privacy laws and federal and state consumer protection laws and regulations (e.g., Section 5 of the Federal Trade Commission Act), govern the collection, use, disclosure and protection of health-related and other personal data. These laws and regulations could apply to our operations, the operations of our collaborators, or other relevant stakeholders upon whom we depend. In addition, we may obtain personal data (including health information) from third parties (including research institutions from which we obtain clinical trial data) that are subject to privacy and security requirements under HIPAA, as amended by the Health Information Technology for Economic and Clinical Health Act. Depending on the facts and circumstances, we could be subject to significant penalties if we violate HIPAA. Additionally, we could be subject to criminal penalties if we knowingly obtain, use, or disclose individually identifiable health information maintained by a HIPAA-covered entity in a manner that is not authorized or permitted by HIPAA.</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At the state level, the CCPA established a comprehensive privacy framework for covered businesses by creating an expanded definition of personal information, providing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The law also provides California residents with the ability to limit use of certain sensitive information, establishes restrictions on the retention of personal data, and established a new state regulatory agency, the California Privacy Protection Agency, to implement and enforce the legislation. Although there are limited exemptions for protected health information covered under HIPAA and clinical trial data, the CCPA may increase our compliance costs and potential liability.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Similar comprehensive consumer privacy laws have been passed in numerous other states and a number of other states have proposed new privacy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 In addition, laws in all 50 U.S. states require businesses to provide notice to individuals if certain of their personal information has been disclosed as a result of a qualifying data breach or cybersecurity incident. There are also states that are specifically regulating health information. For example, Washington state recently enacted a health privacy law that will regulate the collection and sharing of health information, and the law also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is discussion in the U.S. Congress of a new comprehensive federal data privacy law to which we may likely become subject, if enacted. These laws demonstrate our vulnerability to the evolving regulatory environment related to personal data. As we expand our operations, these and similar laws may increase our compliance costs and potential liability.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Foreign data protection laws, such as, without limitation, the EU GDPR, the EU member state implementing legislation, and the UK GDPR, may also apply to health-related and other personal data that we process, including, without limitation, personal data relating to clinical trial participants. The GDPR imposes strict obligations on the ability to process health-related and other personal data, including in relation to security (which requires the adoption of administrative, physical and technical safeguards designed to protect such information), collection, use and transfer of personal data. These obligations include, without limitation, several transparency requirements relating to communications with data subjects regarding the processing of their personal data, ensuring an appropriate legal basis or conditions applies to the processing of personal data, limitations on the retention of personal data, increased requirements pertaining to health data, notification of data processing obligations or security incidents to the competent national data protection authorities and/or data subjects, the security and confidentiality of the personal data, various rights that data subjects may exercise with respect to their personal data, and strict rules and restrictions on the international transfer of personal data.</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GDPR imposes strict rules on the transfer of personal data out of the EEA and UK to other regions outside the EEA/UK, or third countries, that have not been deemed to offer “adequate” privacy protections by the competent data protection authorities, including the United States in certain circumstances, unless a derogation exists or adequate international transfer safeguards (for example, the European Commission approved Standard Contractual Clauses, or the EU SCCs, and the UK International Data Transfer Agreement/Addendum, or the UK IDTA) are put in place. Where relying on the EU SCCs or UK IDTA for data transfers, we may also be required to carry out transfer impact assessments on the transfers made pursuant to the EU SCCs and UK IDTA, on a case-by-case basis, to ensure the law in the recipient country provides “essentially equivalent” protections to safeguard the transferred personal data as provided in the EEA and UK, and may be required to adopt supplementary measures if this standard is not met. Further, the EU and United States have adopted its adequacy decision for the EU-U.S. Data Privacy Framework, or the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us needing to make strategic considerations around where EEA and UK personal data is located and which service providers we can utilize for the processing of EEA and UK personal data. Any inability to process or transfer personal data from the EEA to the United States in compliance with data protection laws may impede our ability to conduct trials and may adversely affect our business and financial position.</w:t>
      </w:r>
    </w:p>
    <w:p>
      <w:pPr>
        <w:pStyle w:val="TextBody"/>
        <w:bidi w:val="0"/>
        <w:spacing w:before="240" w:after="283"/>
        <w:jc w:val="both"/>
        <w:rPr>
          <w:rFonts w:ascii="Arial" w:hAnsi="Arial"/>
          <w:color w:val="000000"/>
          <w:sz w:val="20"/>
        </w:rPr>
      </w:pPr>
      <w:r>
        <w:rPr>
          <w:rFonts w:ascii="Arial" w:hAnsi="Arial"/>
          <w:color w:val="000000"/>
          <w:sz w:val="20"/>
        </w:rPr>
        <w:t>Although the UK is regarded as one of the third countries under the EU GDPR, the European Commission has adopted an adequacy decision in favor of the UK, enabling data transfers from EEA member states to the UK without additional safeguards. The UK government has confirmed that personal data transfers from the UK to the EEA remain free flowing. The UK Government has introduced a Data (Use and Access)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In addition, EEA Member States have adopted national laws to implement the GDPR that may partially deviate from the GDPR. Further, the competent authorities in the EEA Member States interpret GDPR obligations slightly differently from country to country (particularly in relation to the processing of health data) and therefore we do not expect to operate in a uniform legal landscape in the EEA. The potential of the respective provisions and enforcement of the EU GDPR and UK GDPR further diverging in the future creates additional regulatory challenges and uncertainties for us.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pStyle w:val="TextBody"/>
        <w:bidi w:val="0"/>
        <w:spacing w:before="240" w:after="283"/>
        <w:jc w:val="both"/>
        <w:rPr>
          <w:rFonts w:ascii="Times New Roman" w:hAnsi="Times New Roman"/>
          <w:sz w:val="20"/>
        </w:rPr>
      </w:pPr>
      <w:r>
        <w:rPr>
          <w:rFonts w:ascii="Arial" w:hAnsi="Arial"/>
          <w:color w:val="000000"/>
          <w:sz w:val="20"/>
        </w:rPr>
        <w:t>The increase of foreign privacy and security legal frameworks with which we must comply, increases our compliance burdens and exposure to substantial fines and penalties for non-compliance. For example, under the GDPR, entities that violate the GDPR can face fines of up to the greater of 20 million euros (£17.5 million under UK GDPR) or 4% of their worldwide annual turnover, or revenue. Additionally, regulators could prohibit our use of personal data subject to the GDPR. The GDPR also confers a private right of action on data subjects and consumer associations to lodge complaints with supervisory authorities, seek judicial remedies, and obtain compensation for damages resulting from infringement of the GDPR. The GDPR has increased our responsibility and potential liability in relation to personal data that we process, requiring us to put in place additional mechanisms to comply with the GDPR and other foreign data protection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also publish privacy policies and other documentation regarding our collection, processing, use and disclosure of personal data and/or other confidential information. Although we endeavor to comply with our published policies and documentation, we may at times fail to do so or may be perceived to have failed to do so. Moreover, despite our efforts, we may not be successful in achieving compliance if our employees or contractors fail to comply with our published policies and documentation. Such failures can subject us to potential foreign, local, state and federal action if they are found to be deceptive, unfair, or misrepresentative of our actual practices.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Additionally in the EU, the NIS 2 Directive (NIS 2) is replacing the cybersecurity legal framework under the current NIS framework, aiming to ensure a high level of cybersecurity in the region. NIS 2 brings new medium and large organizations providing services in the EU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greater oversight. The majority of obligations will come into force when national legislation implementing NIS 2 becomes effective in the relevant EU Member State. EU Member States had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until 17 October 2024 to transpose NIS 2 into national legislation, although many countries have still not completed the transposition. As such, the cybersecurity regulatory landscape in the EU is currently fragmented and uncertain. To the extent we are subject to NIS 2, we will require additional investment of our resources in compliance programs and will potentially come under greater regulatory scrutiny. Under NIS 2 companies may be subject to administrative fines of up to the higher amount of €10 million or 2% of worldwide turnover.</w:t>
      </w:r>
    </w:p>
    <w:p>
      <w:pPr>
        <w:pStyle w:val="TextBody"/>
        <w:bidi w:val="0"/>
        <w:spacing w:before="240" w:after="283"/>
        <w:jc w:val="both"/>
        <w:rPr>
          <w:rFonts w:ascii="Arial" w:hAnsi="Arial"/>
          <w:color w:val="000000"/>
          <w:sz w:val="20"/>
        </w:rPr>
      </w:pPr>
      <w:r>
        <w:rPr>
          <w:rFonts w:ascii="Arial" w:hAnsi="Arial"/>
          <w:color w:val="000000"/>
          <w:sz w:val="20"/>
        </w:rPr>
        <w:t>Regulators and legislators in the United States are increasingly scrutinizing and restricting certain personal data transfers and transactions involving foreign countries. For example, Executive Order 14117 of February 28, 2024, Preventing Access to Americans’ Bulk Sensitive Personal Data and United States Government-Related Data by Countries of Concern as implemented by Department of Justice regulations issued in December 2024,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pStyle w:val="TextBody"/>
        <w:bidi w:val="0"/>
        <w:spacing w:before="240" w:after="283"/>
        <w:jc w:val="both"/>
        <w:rPr>
          <w:rFonts w:ascii="Arial" w:hAnsi="Arial"/>
          <w:color w:val="000000"/>
          <w:sz w:val="20"/>
        </w:rPr>
      </w:pPr>
      <w:r>
        <w:rPr>
          <w:rFonts w:ascii="Arial" w:hAnsi="Arial"/>
          <w:color w:val="000000"/>
          <w:sz w:val="20"/>
        </w:rPr>
        <w:t>Compliance with U.S. federal and state as well as foreign data protection laws and regulations could require us to take on more onerous obligations in our contracts, restrict our ability to collect, use and disclose data, or in some cases, impact our ability to operate in certain jurisdictions.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Failure, or perceived failure, to comply with federal, state and foreign data protection laws and regulations could result in government enforcement actions (which could include civil or criminal penalties, fines or penalties), private litigation, a diversion of management attention, adverse publicity and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cybersecurity incidents or data breaches. Moreover, clinical trial participants or patients about whom we or our collaborators obtain information, as well as the providers who share this information with us, may limit our ability to use and disclose the information. Claims that we have violated individuals’ privacy rights, failed to comply with data protection laws, contracts or privacy notices or breached other obligations, even if we are not found liable, could be expensive and time consuming to defend and could result in adverse publicity that could harm our business. Compliance with data protection laws may be time consuming, require additional resources and could result in increased expenses, reduce overall demand for our products and make it more difficult to meet expectations of or commitments to our relevant stakeholders. Any of the foregoing could have a material adverse effect on our business, financial condition, results of operations and prospects.</w:t>
      </w:r>
    </w:p>
    <w:p>
      <w:pPr>
        <w:pStyle w:val="TextBody"/>
        <w:bidi w:val="0"/>
        <w:spacing w:before="240" w:after="283"/>
        <w:jc w:val="both"/>
        <w:rPr>
          <w:rFonts w:ascii="Arial" w:hAnsi="Arial"/>
          <w:b/>
          <w:i/>
          <w:color w:val="000000"/>
          <w:sz w:val="20"/>
        </w:rPr>
      </w:pPr>
      <w:r>
        <w:rPr>
          <w:rFonts w:ascii="Arial" w:hAnsi="Arial"/>
          <w:b/>
          <w:i/>
          <w:color w:val="000000"/>
          <w:sz w:val="20"/>
        </w:rPr>
        <w:t>Artificial intelligence presents risks and challenges that can impact our business including by posing security risks to our confidential information, proprietary information, and personal data.</w:t>
      </w:r>
    </w:p>
    <w:p>
      <w:pPr>
        <w:pStyle w:val="TextBody"/>
        <w:bidi w:val="0"/>
        <w:spacing w:before="80" w:after="283"/>
        <w:jc w:val="both"/>
        <w:rPr>
          <w:rFonts w:ascii="Times New Roman" w:hAnsi="Times New Roman"/>
          <w:sz w:val="20"/>
        </w:rPr>
      </w:pPr>
      <w:r>
        <w:rPr>
          <w:rFonts w:ascii="Arial" w:hAnsi="Arial"/>
          <w:color w:val="000000"/>
          <w:sz w:val="20"/>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integrate generative artificial intelligence tools into our systems for specific use cases reviewed by legal and information security. In addition,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We also expect to see increasing government and supranational regulation related to artificial intelligence use and ethics, which may also significantly increase the burden and cost of research, development and compliance in this area. For example, the EU’s Artificial Intelligence Act, or the AI Act, the world’s first comprehensive AI law, is entered into force in Spring 2024 and, with some exceptions, become effective 24 months thereafter. This legislation imposes significant obligations on providers and deployers of high risk artificial intelligence systems, and encourages providers and deployers of artificial intelligence systems to account for EU ethical principles in their development and use of these systems.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Likewise, in the United States, several states, including Colorado and California, passed laws that will take effect in 2026, to regulate various uses of artificial intelligence, including to make consequential decisions. In addition, various federal regulators have issued guidance and focused enforcement efforts on the use of AI in regulated sectors. The FDA, for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Arial" w:hAnsi="Arial"/>
          <w:color w:val="000000"/>
          <w:sz w:val="20"/>
        </w:rPr>
      </w:pPr>
      <w:r>
        <w:rPr>
          <w:rFonts w:ascii="Arial" w:hAnsi="Arial"/>
          <w:color w:val="000000"/>
          <w:sz w:val="20"/>
        </w:rPr>
        <w:t>example, issued guidance on the use of artificial intelligence in medical devices, requiring detailed risk management and review processes to obtain approvals. If we develop or use AI systems governed by these laws or regulations,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pStyle w:val="TextBody"/>
        <w:bidi w:val="0"/>
        <w:spacing w:before="240" w:after="283"/>
        <w:jc w:val="both"/>
        <w:rPr>
          <w:rFonts w:ascii="Times New Roman" w:hAnsi="Times New Roman"/>
          <w:sz w:val="20"/>
        </w:rPr>
      </w:pPr>
      <w:r>
        <w:rPr>
          <w:rFonts w:ascii="Arial" w:hAnsi="Arial"/>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operations, and those of our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Any future acquisitions, in-licensing or strategic partnerships may increase our capital requirements, dilute our stockholders, divert our management’s attention, cause us to incur debt or assume contingent liabilities and subject us to other risks.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increased operating expenses and cash requirements;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assumption of indebtedness or contingent liabilities;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issuance of our equity securities which would result in dilution to our stockholders;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assimilation of operations, intellectual property, products and product candidates of an acquired company, including difficulties associated with integrating new personnel;</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diversion of our management’s attention from our existing product candidates and initiatives in pursuing such an acquisition or strategic partnership;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spend substantial operational, financial and management resources in integrating new businesses, technologies and products;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retention of key employees, the loss of key personnel, and uncertainties in our ability to maintain key business relationships;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risks and uncertainties associated with the other party to such a transaction, including the prospects of that party and their existing products or product candidates and regulatory approvals;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inability to generate revenue from acquired intellectual property, technology and/or products sufficient to meet our objectives or even to offset the associated transaction and maintenance costs. </w:t>
      </w:r>
    </w:p>
    <w:p>
      <w:pPr>
        <w:pStyle w:val="TextBody"/>
        <w:bidi w:val="0"/>
        <w:spacing w:before="240" w:after="283"/>
        <w:jc w:val="both"/>
        <w:rPr>
          <w:rFonts w:ascii="Times New Roman" w:hAnsi="Times New Roman"/>
          <w:sz w:val="20"/>
        </w:rPr>
      </w:pPr>
      <w:r>
        <w:rPr>
          <w:rFonts w:ascii="Arial" w:hAnsi="Arial"/>
          <w:color w:val="000000"/>
          <w:sz w:val="20"/>
        </w:rPr>
        <w:t>In addition, if we undertake such a transaction, we may incur large one-time expenses and acquire intangible assets that could result in significant future amortization expense.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or the third parties upon whom we depend on may be adversely affected by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color w:val="000000"/>
          <w:sz w:val="20"/>
        </w:rPr>
        <w:t>business. For example, following Hurricane Maria, shortages in production and delays in a number of medical supplies produced in Puerto Rico resulted, and any similar interruption due to a natural disaster affecting us or any of our third-party manufacturers could materially delay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expect to significantly expand our organization, including building sales and marketing capability and creating additional infrastructure to support our operations as a public company,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Product liability lawsuits against us could cause us to incur substantial liabilities and could limit commercialization of any current or future product candidates that we may develop.</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will face an inherent risk of product liability exposure related to the testing of our current or future product candidates in human clinical trials and will face an even greater risk if we commercially sell any current or future product candidates that we may develop. Claims could also be asserted under the state consumer production acts. If we cannot successfully defend ourselves against claims that our current or future product candidates caused injuries, we could incur substantial liabilities. Regardless of merit or eventual outcome, liability claims may result in:</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decreased demand for any current or future product candidates that we may develop;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injury to our reputation and significant negative media attention;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withdrawal of clinical trial participants;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significant costs to defend the related litigation;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diversion of management’s time and resources;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substantial monetary awards to trial participants or patients;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product recalls, withdrawals or labeling, marketing or promotional restrictions;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loss of revenue;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decline in our stock price;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inability to commercialize any current or future product candidates that we may develop. </w:t>
      </w:r>
    </w:p>
    <w:p>
      <w:pPr>
        <w:pStyle w:val="TextBody"/>
        <w:bidi w:val="0"/>
        <w:spacing w:before="240" w:after="283"/>
        <w:jc w:val="both"/>
        <w:rPr>
          <w:rFonts w:ascii="Times New Roman" w:hAnsi="Times New Roman"/>
          <w:sz w:val="20"/>
        </w:rPr>
      </w:pPr>
      <w:r>
        <w:rPr>
          <w:rFonts w:ascii="Arial" w:hAnsi="Arial"/>
          <w:color w:val="000000"/>
          <w:sz w:val="20"/>
        </w:rPr>
        <w:t>While we maintain product liability insurance, we anticipate that we will need to increase our insurance coverage as we conduct additional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employees and independent contractors, including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the U.S. federal and state fraud and abuse laws, data privacy and security laws and other similar non-United States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color w:val="000000"/>
          <w:sz w:val="20"/>
        </w:rPr>
        <w:t>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United States federal healthcare programs or healthcare programs in other jurisdictions, integrity oversight and reporting obligations to resolve allegations of non-compliance, imprisonment, other sanctions, contractual damages, reputational harm, diminished profits and future earnings and curtailment of our operations, any of which could adversely affect our ability to operate our business and our results of operations.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Risks Related to Our Common Stock</w:t>
      </w:r>
    </w:p>
    <w:p>
      <w:pPr>
        <w:pStyle w:val="TextBody"/>
        <w:bidi w:val="0"/>
        <w:spacing w:before="80" w:after="283"/>
        <w:jc w:val="both"/>
        <w:rPr>
          <w:rFonts w:ascii="Times New Roman" w:hAnsi="Times New Roman"/>
          <w:sz w:val="20"/>
        </w:rPr>
      </w:pPr>
      <w:r>
        <w:rPr>
          <w:rFonts w:ascii="Arial" w:hAnsi="Arial"/>
          <w:b/>
          <w:i/>
          <w:color w:val="000000"/>
          <w:sz w:val="20"/>
        </w:rPr>
        <w:t>If securities or industry analysts do not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trading market for our common stock will depend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principal stockholders and management own a significant percentage of our stock and will be able to exert significant influence over matters subject to stockholder approval.</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Based on the beneficial ownership of our common stock as of March 31, 2025, our executive officers, directors, holders of 5% or more of our capital stock and their respective affiliates beneficially owned approximately 52.8% of our outstanding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Under Section 382 of the Internal Revenue Code of 1986, as amended, or the Code, if a corporation undergoes an “ownership change” (generally defined as a greater than 50 percentage point change (by value) in the ownership of its equity over a three year period), the corporation’s ability to use its pre-change net operating loss, or NOL, carryforwards and certain other pre-change tax attributes to offset its post-change income may be limited. We may have experienced such ownership changes in the past, and we may experience ownership changes in the future as a result of subsequent shifts in our stock ownership, some of which are outside our control. Our gross operating losses and tax credits may also be impaired or restricted under state law. As of December 31, 2024, we had federal gross operating loss carryforwards of approximately $209.8 million, state gross operating loss carryforwards of $183.6 million, and foreign gross operating loss carryforwards of $0.7 million. Furthermore, our ability to utilize our NOLs or credits is conditioned upon our attaining profitability and generating the U.S. federal and state taxable income. As a result, the amount of the gross operating loss and tax credit carryforwards presented in our financial statements could be limited and may expire unutilized. Under current law, unused U.S. federal gross operating loss carryforwards generated in taxable years beginning after December 31, 2017 are not subject to expiration and may be carried forward indefinitely. For taxable years beginning after December 31, 2020, however, the deductibility of such U.S. federal NOLs is limited to 80% of our taxable income in such taxable years.</w:t>
      </w:r>
    </w:p>
    <w:p>
      <w:pPr>
        <w:pStyle w:val="TextBody"/>
        <w:bidi w:val="0"/>
        <w:spacing w:before="240" w:after="283"/>
        <w:jc w:val="both"/>
        <w:rPr>
          <w:rFonts w:ascii="Arial" w:hAnsi="Arial"/>
          <w:b/>
          <w:i/>
          <w:color w:val="000000"/>
          <w:sz w:val="20"/>
        </w:rPr>
      </w:pPr>
      <w:r>
        <w:rPr>
          <w:rFonts w:ascii="Arial" w:hAnsi="Arial"/>
          <w:b/>
          <w:i/>
          <w:color w:val="000000"/>
          <w:sz w:val="20"/>
        </w:rPr>
        <w:t>Because we do not anticipate paying any cash dividends on our capital stock in the foreseeable future, capital appreciation, if any, will be your sole source of gain.</w:t>
      </w:r>
    </w:p>
    <w:p>
      <w:pPr>
        <w:pStyle w:val="TextBody"/>
        <w:bidi w:val="0"/>
        <w:spacing w:before="80" w:after="283"/>
        <w:jc w:val="both"/>
        <w:rPr>
          <w:rFonts w:ascii="Times New Roman" w:hAnsi="Times New Roman"/>
          <w:sz w:val="20"/>
        </w:rPr>
      </w:pPr>
      <w:r>
        <w:rPr>
          <w:rFonts w:ascii="Arial" w:hAnsi="Arial"/>
          <w:color w:val="000000"/>
          <w:sz w:val="20"/>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quarterly operating results may fluctuate significantly or may fall below the expectations of investors or securities analysts, each of which may cause our stock price to fluctuate or decline.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expect our operating results to be subject to quarterly fluctuations. Our net loss and other operating results will be affected by numerous factors,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variations in the level of expense related to the ongoing development of bel-sar or future development programs;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results of clinical trials, or the addition or termination of clinical trials or funding support by us, or existing or future collaborators or licensing partners;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execution of any additional collaboration, licensing or similar arrangements, and the timing of payments we may make or receive under existing or future arrangements or the termination or modification of any such existing or future arrangements;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any intellectual property infringement lawsuit or opposition, interference or cancellation proceeding in which we may become involved;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additions and departures of key personnel;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strategic decisions by us or our competitors, such as acquisitions, divestitures, spin-offs, joint ventures, strategic investments or changes in business strategy;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if any of our product candidates receives regulatory approval, the terms of such approval and market acceptance and demand for such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regulatory developments affecting our product candidates or those of our competitors;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changes in general market and economic conditions, including inflationary pressures. </w:t>
      </w:r>
    </w:p>
    <w:p>
      <w:pPr>
        <w:pStyle w:val="TextBody"/>
        <w:bidi w:val="0"/>
        <w:spacing w:before="240" w:after="283"/>
        <w:jc w:val="both"/>
        <w:rPr>
          <w:rFonts w:ascii="Times New Roman" w:hAnsi="Times New Roman"/>
          <w:sz w:val="20"/>
        </w:rPr>
      </w:pPr>
      <w:r>
        <w:rPr>
          <w:rFonts w:ascii="Arial" w:hAnsi="Arial"/>
          <w:color w:val="000000"/>
          <w:sz w:val="20"/>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amended and restated bylaws designate specific courts as the exclusive forum for certain litigation that may be initiated by our stockholders, which could limit our stockholders’ ability to obtain a favorable judicial forum for disputes with us.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Pursuant to our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our amended and restated certificate of incorporation or our amended and amended and restated bylaws (including the interpretation, validity or enforceability thereof) or (iv) any action asserting a claim that is governed by the internal affairs doctrine, or the Delaware Forum Provision. The Delaware Forum Provision will not apply to any causes of action arising under the Securities Act or the Exchange Act. Our amended and restated bylaws will further provide that unless we consent in writing to the selection of an alternative forum, the federal district courts of the United States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Delaware Forum Provision and the Federal Forum Provision in our amended and restated bylaws may impose additional litigation costs on stockholders in pursuing any such claims. Additionally, these forum selection clauses in our amended and restated bylaws may limit our stockholders’ ability to bring a claim in a judicial forum that they find favorable for disputes with us or our directors, officers or employees, which may discourage the filing of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Anti-takeover provisions in our amended and restated certificate of incorporation and amended and restated bylaws and under Delaware law could make an acquisition of us, which may be beneficial to our stockholders, more difficult and may prevent attempts by our stockholders to replace or remove our current management and, therefore, decrease the trading price of our common stock.</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tenth amended and restated certificate of incorporation and amended and restated bylaws contain provisions that could delay or prevent a change of control of our company or changes in our board of directors, or Board, that our stockholders might consider favorable. Some of these provisions include:</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Board divided into three classes serving staggered three-year terms, such that not all members of the Board will be elected at one time;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prohibition on stockholder action through written consent, which requires that all stockholder actions be taken at a meeting of our stockholders;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requirement that special meetings of the stockholders may be called only by the Board acting pursuant to a resolution approved by the affirmative vote of a majority of the directors then in office, and special meetings of stockholders may not be called by any other person or persons;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advance notice requirements for stockholder proposals and nominations for election to our Board;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requirement that no member of our Board may be removed from office by our stockholders except for cause and, in addition to any other vote required by law, upon the approval of not less than two-thirds (2/3) of all outstanding shares of our voting stock then entitled to vote in the election of directors;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authority of the Board to issue preferred stock on terms determined by the Board without stockholder approval, which preferred stock may include rights superior to the rights of the holders of common stock. </w:t>
      </w:r>
    </w:p>
    <w:p>
      <w:pPr>
        <w:pStyle w:val="TextBody"/>
        <w:bidi w:val="0"/>
        <w:spacing w:before="240" w:after="283"/>
        <w:jc w:val="both"/>
        <w:rPr>
          <w:rFonts w:ascii="Arial" w:hAnsi="Arial"/>
          <w:color w:val="000000"/>
          <w:sz w:val="20"/>
        </w:rPr>
      </w:pPr>
      <w:r>
        <w:rPr>
          <w:rFonts w:ascii="Arial" w:hAnsi="Arial"/>
          <w:color w:val="000000"/>
          <w:sz w:val="20"/>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tenth amended and restated certificate of incorporation and amended and restated bylaws could make it more difficult for stockholders or potential acquirers to obtain control of our Board or initiate actions that are opposed by the then-current Board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could cause the market price of our common stock to decline.</w:t>
      </w:r>
    </w:p>
    <w:p>
      <w:pPr>
        <w:pStyle w:val="TextBody"/>
        <w:bidi w:val="0"/>
        <w:spacing w:before="240" w:after="283"/>
        <w:jc w:val="both"/>
        <w:rPr>
          <w:rFonts w:ascii="Arial" w:hAnsi="Arial"/>
          <w:b/>
          <w:i/>
          <w:color w:val="000000"/>
          <w:sz w:val="20"/>
        </w:rPr>
      </w:pPr>
      <w:r>
        <w:rPr>
          <w:rFonts w:ascii="Arial" w:hAnsi="Arial"/>
          <w:b/>
          <w:i/>
          <w:color w:val="000000"/>
          <w:sz w:val="20"/>
        </w:rPr>
        <w:t>Future sales and issuances of our common stock or rights to acquire shares of our common stock, could result in additional dilution to the ownership of our stockholders and cause the market price of our common stock to decline significantly.</w:t>
      </w:r>
    </w:p>
    <w:p>
      <w:pPr>
        <w:pStyle w:val="TextBody"/>
        <w:bidi w:val="0"/>
        <w:spacing w:before="80" w:after="283"/>
        <w:jc w:val="both"/>
        <w:rPr>
          <w:rFonts w:ascii="Times New Roman" w:hAnsi="Times New Roman"/>
          <w:sz w:val="20"/>
        </w:rPr>
      </w:pPr>
      <w:r>
        <w:rPr>
          <w:rFonts w:ascii="Arial" w:hAnsi="Arial"/>
          <w:color w:val="000000"/>
          <w:sz w:val="20"/>
        </w:rPr>
        <w:t>We will need additional capital in the future to continue our planned operations. To the extent we raise additional capital by issuing equity securities, our stockholders may experience substantial dilution. We may sell common stock,</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Arial" w:hAnsi="Arial"/>
          <w:color w:val="000000"/>
          <w:sz w:val="20"/>
        </w:rPr>
      </w:pPr>
      <w:r>
        <w:rPr>
          <w:rFonts w:ascii="Arial" w:hAnsi="Arial"/>
          <w:color w:val="000000"/>
          <w:sz w:val="20"/>
        </w:rPr>
        <w:t>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be granted rights superior to our existing stockholders. In March 2024, we filed a registration statement on Form S-3 relating to the registration of our common stock, preferred stock, debt securities, warrants and units or any combination thereof. Concurrently with the filing of such registration statement, we filed an “at-the-market” offering prospectus supplement, which provides for the offering, issuance and sale by us of shares of our common stock from time to time for aggregate gross proceeds of up to $75 million in sales deemed to be “at-the-market offerings” as defined by the Securities Act. Any sale or issuance of securities pursuant to this registration statement or otherwise may result in dilution to our stockholders and may cause the market price of our stock to decline. Furthermore, new investors purchasing securities that we may issue and sell in the future could obtain rights superior to the rights of our existing stockholders.</w:t>
      </w:r>
    </w:p>
    <w:p>
      <w:pPr>
        <w:pStyle w:val="TextBody"/>
        <w:bidi w:val="0"/>
        <w:spacing w:before="240" w:after="283"/>
        <w:jc w:val="both"/>
        <w:rPr>
          <w:rFonts w:ascii="Arial" w:hAnsi="Arial"/>
          <w:color w:val="000000"/>
          <w:sz w:val="20"/>
        </w:rPr>
      </w:pPr>
      <w:r>
        <w:rPr>
          <w:rFonts w:ascii="Arial" w:hAnsi="Arial"/>
          <w:color w:val="000000"/>
          <w:sz w:val="20"/>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March 31, 2025, we have 50,225,312 shares of common stock outstanding. Significant portions of these shares are held by a small number of stockholders, including persons who were our stockholders prior to our IPO. Sales by our stockholders of a substantial number of shares, or the expectation that such sales may occur, could significantly reduce the market price of our common stock. Moreover, certain shares of our common stock have rights, subject to conditions, to require us to file registration statements covering their shares or to include their shares in registration statements that we may file for ourselves or other stockholders. We have also registered or intend to register all shares of common stock that we may issue under our equity compensation plans or that are issuable upon exercise of outstanding options. These shares can be freely sold in the public market upon issuance and once vested, subject to volume limitations applicable to affiliates. In addition, our directors, executive officers and certain affiliates may establish programmed selling plans under Rule 10b5-1 of the Exchange Act for the purpose of effecting sales of our common stock. If any of these events cause a large number of our shares to be sold, or if it is perceived that they will be sold, in the public market, the market price of our common stock could decline.</w:t>
      </w:r>
    </w:p>
    <w:p>
      <w:pPr>
        <w:pStyle w:val="TextBody"/>
        <w:bidi w:val="0"/>
        <w:spacing w:before="240" w:after="283"/>
        <w:jc w:val="both"/>
        <w:rPr>
          <w:rFonts w:ascii="Times New Roman" w:hAnsi="Times New Roman"/>
          <w:sz w:val="20"/>
        </w:rPr>
      </w:pPr>
      <w:r>
        <w:rPr>
          <w:rFonts w:ascii="Arial" w:hAnsi="Arial"/>
          <w:b/>
          <w:color w:val="000000"/>
          <w:sz w:val="20"/>
        </w:rPr>
        <w:t>General Risk Factors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Among other matters, the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Adverse developments affecting the financial services industry, such as actual events or concerns involving liquidity, defaults or non-performance by financial institutions or transactional counterparties, could adversely affect our company’s current and projected business operations and its financial condition and results of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Federal Reserve Board will provide access to uninsured funds in the future in the event of the closure of other banks or financial institutions, or that they would do so in a timely fashion.</w:t>
      </w:r>
    </w:p>
    <w:p>
      <w:pPr>
        <w:pStyle w:val="TextBody"/>
        <w:bidi w:val="0"/>
        <w:spacing w:before="240" w:after="283"/>
        <w:jc w:val="both"/>
        <w:rPr>
          <w:rFonts w:ascii="Arial" w:hAnsi="Arial"/>
          <w:color w:val="000000"/>
          <w:sz w:val="20"/>
        </w:rPr>
      </w:pPr>
      <w:r>
        <w:rPr>
          <w:rFonts w:ascii="Arial" w:hAnsi="Arial"/>
          <w:color w:val="000000"/>
          <w:sz w:val="20"/>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our company,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before="240" w:after="283"/>
        <w:jc w:val="both"/>
        <w:rPr>
          <w:rFonts w:ascii="Arial" w:hAnsi="Arial"/>
          <w:color w:val="000000"/>
          <w:sz w:val="20"/>
        </w:rPr>
      </w:pPr>
      <w:r>
        <w:rPr>
          <w:rFonts w:ascii="Arial" w:hAnsi="Arial"/>
          <w:color w:val="000000"/>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delayed access to deposits or other financial assets or the uninsured loss of deposits or other financial assets;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loss of access to revolving existing credit facilities or other working capital sources and/or the inability to refund, roll over or extend the maturity of, or enter into new credit facilities or other working capital resources;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potential or actual breach of contractual obligations that require us to maintain letters of credit or other credit support arrangements;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potential or actual breach of financial covenants in our credit agreements or credit arrangements;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potential or actual cross-defaults in other credit agreements, credit arrangements or operating or financing agreements; or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termination of cash management arrangements and/or delays in accessing or actual loss of funds subject to cash management arrangements.</w:t>
      </w:r>
    </w:p>
    <w:p>
      <w:pPr>
        <w:pStyle w:val="TextBody"/>
        <w:bidi w:val="0"/>
        <w:spacing w:before="240" w:after="283"/>
        <w:jc w:val="both"/>
        <w:rPr>
          <w:rFonts w:ascii="Arial" w:hAnsi="Arial"/>
          <w:color w:val="000000"/>
          <w:sz w:val="20"/>
        </w:rPr>
      </w:pPr>
      <w:r>
        <w:rPr>
          <w:rFonts w:ascii="Arial" w:hAnsi="Arial"/>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240" w:after="283"/>
        <w:jc w:val="both"/>
        <w:rPr>
          <w:rFonts w:ascii="Arial" w:hAnsi="Arial"/>
          <w:color w:val="000000"/>
          <w:sz w:val="20"/>
        </w:rPr>
      </w:pPr>
      <w:r>
        <w:rPr>
          <w:rFonts w:ascii="Arial" w:hAnsi="Arial"/>
          <w:color w:val="000000"/>
          <w:sz w:val="20"/>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our company,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material adverse impacts on our business.</w:t>
      </w:r>
    </w:p>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Our employees, independent contractors, consultants, academic collaborators, partners and vendors may engage in misconduct or other improper activities, including noncompliance with regulatory standards and requirements.</w:t>
      </w:r>
    </w:p>
    <w:p>
      <w:pPr>
        <w:pStyle w:val="TextBody"/>
        <w:bidi w:val="0"/>
        <w:spacing w:before="80" w:after="283"/>
        <w:jc w:val="both"/>
        <w:rPr>
          <w:rFonts w:ascii="Times New Roman" w:hAnsi="Times New Roman"/>
          <w:sz w:val="20"/>
        </w:rPr>
      </w:pPr>
      <w:r>
        <w:rPr>
          <w:rFonts w:ascii="Arial" w:hAnsi="Arial"/>
          <w:color w:val="000000"/>
          <w:sz w:val="20"/>
        </w:rPr>
        <w:t>We are exposed to the risk of employee fraud or other illegal activity by our employees, independent contractors, consultants, academic collaborators, partners and vendors. Misconduct by these parties could include intentional, reckless and/or negligent conduct that fails to comply with the laws of the FDA, the EMA and comparable foreign regulatory authorities, provide true, complete and accurate information to the FDA, the EMA and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the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We have adopted a code of business conduct and ethics, but it is not always possible to identify and deter misconduct by our employees, independent contractors, consultants, academic collaborators, partners and vendors, and the precautions we take to detect and prevent such activities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independent auditor attestation requirements of Section 404 of the Sarbanes-Oxley Act of 2002, as amended, or Section 404, (2) reduced disclosure obligations regarding executive compensation in our periodic reports and proxy statements and (3)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periodic reports.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will remain an “emerging growth company” until the earlier of (i) the last day of the fiscal year (a) following the fifth anniversary of the closing of our IPO, (b) in which we have total annual gross revenue of at least $1.235 billion or (c) in which we are deemed to be a “large accelerated filer,” which requires the market value of our common stock that is held by non-affiliates to exceed $700.0 million as of the prior June 30, and (ii) the date on which we have issued more than $1.0 billion in non-convertible debt during the prior three-year period.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Even after we no longer qualify as an “emerging growth company,” we may still qualify as a “smaller reporting company,” which would allow us to take advantage of many of the same exemptions from disclosure requirements, including not being required to comply with the independent auditor attestation requirements of Section 404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until (i) the market value of our stock held by non-affiliates is less than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The market price of our stock may be volatile, and you could lose all or part of your investment.</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trading price of our common stock is highly volatile and subject to wide fluctuations in response to various factors, some of which we cannot control. As a result of this volatility, you may not be able to sell your common stock at or above the price you paid for your common stock. The market price for our common stock may be influenced by many factors, including the other risks described in the section of this Quarterly Report titled “Risk Factors” and the following: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results of preclinical studies and results or enrollment of clinical trials of bel-sar or our future product candidates, or those of our potential future competitors or our existing or future collaborators;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regulatory or legal developments in the United States and other countries, especially changes in laws or regulations applicable to our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success of future competitive products or technologies;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introductions and announcements of new products by us, our future commercialization partners, or our competitors, and the timing of these introductions or announcements;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actions taken by regulatory agencies with respect to our products, clinical trials, manufacturing process or sales and marketing terms;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actual or anticipated variations in our financial results or those of companies that are perceived to be similar to us;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success of our efforts to acquire or in-license additional technologies, products or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developments concerning any future collaborations, including but not limited to those with our sources of manufacturing supply and our commercialization partners;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market conditions in the pharmaceutical and biotechnology sectors;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announcements by us or our competitors of significant acquisitions, strategic collaborations, joint ventures or capital commitments;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developments or disputes concerning patents or other proprietary rights, including patents, litigation matters and our ability to obtain patent protection for bel-sar or our future product candidates and products;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or inability to raise additional capital and the terms on which we raise it;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recruitment or departure of key personnel;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changes in the structure of healthcare payment systems;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actual or anticipated changes in earnings estimates or changes in stock market analyst recommendations regarding our common stock, other comparable companies or our industry generally;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failure or the failure of our competitors to meet analysts’ projections or guidance that we or our competitors may give to the market;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fluctuations in the valuation of companies perceived by investors to be comparable to us;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announcement and expectation of additional financing efforts;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speculation in the press or investment community;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trading volume of our common stock;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sales of our common stock by us or our stockholders;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concentrated ownership of our common stock;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changes in accounting principles;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natural disasters, pandemics and other calamities;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acts of war or periods of widespread civil unrest, including the increasingly volatile global economic conditions resulting from the Russia-Ukraine conflict and the conflict in the Middle East; and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general economic, industry, and market conditions, including inflationary pressures. </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have incurred and will continue to incur increased costs as a result of operating as a public company, and our management devotes substantial time to compliance initiatives.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As a public company, and particularly after we are no longer an “emerging growth company,” we will incur significant legal, accounting and other expenses that we did not incur as a private company. In addition, the Sarbanes-Oxley Act of 2002, the Dodd-Frank Wall Street Reform and Consumer Protection Act and rules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In addition, for as long as we are a “smaller reporting company” with less than $100 million in annual revenue, we would be exempt from the requirement to obtain an external audit on the effectiveness of internal control over financial reporting provided in Section 404(b) of the of the Sarbanes-Oxley Act of 2002.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subject to the periodic reporting requirements of the Exchange Act. We have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However, any disclosure controls and procedures or internal controls and procedures, no matter how well-conceived and operated, can provide only reasonable, not absolute, assurance that the objectives of the control system will be met. These inherent limitations include the realities that judgments in decision-making can be faulty, and that breakdowns can occur because of simple error or mistake. Additionally, controls can be circumvented by the individual acts of some persons,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240" w:after="283"/>
        <w:jc w:val="both"/>
        <w:rPr>
          <w:rFonts w:ascii="Arial" w:hAnsi="Arial"/>
          <w:b/>
          <w:i/>
          <w:color w:val="000000"/>
          <w:sz w:val="20"/>
        </w:rPr>
      </w:pPr>
      <w:r>
        <w:rPr>
          <w:rFonts w:ascii="Arial" w:hAnsi="Arial"/>
          <w:b/>
          <w:i/>
          <w:color w:val="000000"/>
          <w:sz w:val="20"/>
        </w:rPr>
        <w:t>Global economic uncertainty and unfavorable global economic conditions caused by political instability, changes in trade agreements and conflicts, such as the Russia-Ukraine conflict and the conflict in the Middle East, could adversely affect our business, financial condition, results of operations or prospects.</w:t>
      </w:r>
    </w:p>
    <w:p>
      <w:pPr>
        <w:pStyle w:val="TextBody"/>
        <w:bidi w:val="0"/>
        <w:spacing w:before="80" w:after="283"/>
        <w:jc w:val="both"/>
        <w:rPr>
          <w:rFonts w:ascii="Arial" w:hAnsi="Arial"/>
          <w:color w:val="000000"/>
          <w:sz w:val="20"/>
        </w:rPr>
      </w:pPr>
      <w:r>
        <w:rPr>
          <w:rFonts w:ascii="Arial" w:hAnsi="Arial"/>
          <w:color w:val="000000"/>
          <w:sz w:val="20"/>
        </w:rPr>
        <w:t>Our business, financial condition, results of operations or prospects could be adversely affected by unstable economic and political conditions within the United States and foreign jurisdictions, including as a result of an economic downturn and geopolitical events, such as changes in U.S. federal policy that affect the geopolitical landscape. Changes to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For example, during the prior Trump administration, increased tariffs were implemented on goods imported into the United States, particularly from China, Canada, and Mexico. Additionally, on April 2, 2025, the United States imposed substantial tariffs on most countries throughout the world. The Trump administration has threatened to continue to broadly impose tariffs, which could lead to corresponding punitive actions by countries with which the United States trades. Historically, tariffs have led to increased trade and political tensions, between not only the United States and China, but also between the United States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pStyle w:val="TextBody"/>
        <w:bidi w:val="0"/>
        <w:spacing w:before="80" w:after="283"/>
        <w:jc w:val="both"/>
        <w:rPr>
          <w:rFonts w:ascii="Arial" w:hAnsi="Arial"/>
          <w:color w:val="000000"/>
          <w:sz w:val="20"/>
        </w:rPr>
      </w:pPr>
      <w:r>
        <w:rPr>
          <w:rFonts w:ascii="Arial" w:hAnsi="Arial"/>
          <w:color w:val="000000"/>
          <w:sz w:val="20"/>
        </w:rPr>
        <w:t>In addition, the current military conflict between Russia and Ukraine and the armed conflict in Israel and the Gaza Strip could disrupt or otherwise adversely impact our operations and those of third parties upon which we rely. Related sanctions, export controls or other actions that may be initiated by nations including the United States, the EU or Russia (e.g., potential cyberattacks, disruption of energy flows, etc.), which could adversely affect our business and/or our supply chain, our CROs, CDMOs and other third parties with which we conduct business. A severe or prolonged economic downturn or political unrest could result in a variety of risks to our business, including but not limited to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political and economic climate and financial market conditions could adversely impact our business.</w:t>
      </w:r>
    </w:p>
    <w:p>
      <w:pPr>
        <w:pStyle w:val="TextBody"/>
        <w:bidi w:val="0"/>
        <w:spacing w:before="240" w:after="283"/>
        <w:jc w:val="both"/>
        <w:rPr>
          <w:rFonts w:ascii="Arial" w:hAnsi="Arial"/>
          <w:b/>
          <w:color w:val="000000"/>
          <w:sz w:val="20"/>
        </w:rPr>
      </w:pPr>
      <w:bookmarkStart w:id="16" w:name="item_2_unregistered_sales"/>
      <w:bookmarkEnd w:id="16"/>
      <w:r>
        <w:rPr>
          <w:rFonts w:ascii="Arial" w:hAnsi="Arial"/>
          <w:b/>
          <w:color w:val="000000"/>
          <w:sz w:val="20"/>
        </w:rPr>
        <w:t>Item 2. Unregistered Sales of Equity Securities and Use of Proceeds.</w:t>
      </w:r>
    </w:p>
    <w:p>
      <w:pPr>
        <w:pStyle w:val="TextBody"/>
        <w:bidi w:val="0"/>
        <w:spacing w:before="80" w:after="283"/>
        <w:jc w:val="both"/>
        <w:rPr>
          <w:rFonts w:ascii="Arial" w:hAnsi="Arial"/>
          <w:b/>
          <w:color w:val="000000"/>
          <w:sz w:val="20"/>
        </w:rPr>
      </w:pPr>
      <w:r>
        <w:rPr>
          <w:rFonts w:ascii="Arial" w:hAnsi="Arial"/>
          <w:b/>
          <w:color w:val="000000"/>
          <w:sz w:val="20"/>
        </w:rPr>
        <w:t>(a) Recent Sales of Unregistered Equity Securities</w:t>
      </w:r>
    </w:p>
    <w:p>
      <w:pPr>
        <w:pStyle w:val="TextBody"/>
        <w:bidi w:val="0"/>
        <w:spacing w:before="80" w:after="283"/>
        <w:jc w:val="both"/>
        <w:rPr>
          <w:rFonts w:ascii="Arial" w:hAnsi="Arial"/>
          <w:color w:val="000000"/>
          <w:sz w:val="20"/>
        </w:rPr>
      </w:pPr>
      <w:r>
        <w:rPr>
          <w:rFonts w:ascii="Arial" w:hAnsi="Arial"/>
          <w:color w:val="000000"/>
          <w:sz w:val="20"/>
        </w:rPr>
        <w:t>None.</w:t>
      </w:r>
    </w:p>
    <w:p>
      <w:pPr>
        <w:pStyle w:val="TextBody"/>
        <w:bidi w:val="0"/>
        <w:spacing w:before="240" w:after="283"/>
        <w:jc w:val="both"/>
        <w:rPr>
          <w:rFonts w:ascii="Arial" w:hAnsi="Arial"/>
          <w:b/>
          <w:color w:val="000000"/>
          <w:sz w:val="20"/>
        </w:rPr>
      </w:pPr>
      <w:r>
        <w:rPr>
          <w:rFonts w:ascii="Arial" w:hAnsi="Arial"/>
          <w:b/>
          <w:color w:val="000000"/>
          <w:sz w:val="20"/>
        </w:rPr>
        <w:t>(b) Use of Proceeds from the Initial Public Offering of Common Stock</w:t>
      </w:r>
    </w:p>
    <w:p>
      <w:pPr>
        <w:pStyle w:val="TextBody"/>
        <w:bidi w:val="0"/>
        <w:spacing w:before="80" w:after="283"/>
        <w:jc w:val="both"/>
        <w:rPr>
          <w:rFonts w:ascii="Arial" w:hAnsi="Arial"/>
          <w:color w:val="000000"/>
          <w:sz w:val="20"/>
        </w:rPr>
      </w:pPr>
      <w:r>
        <w:rPr>
          <w:rFonts w:ascii="Arial" w:hAnsi="Arial"/>
          <w:color w:val="000000"/>
          <w:sz w:val="20"/>
        </w:rPr>
        <w:t>None.</w:t>
      </w:r>
    </w:p>
    <w:p>
      <w:pPr>
        <w:pStyle w:val="TextBody"/>
        <w:bidi w:val="0"/>
        <w:spacing w:before="240" w:after="283"/>
        <w:jc w:val="both"/>
        <w:rPr>
          <w:rFonts w:ascii="Arial" w:hAnsi="Arial"/>
          <w:b/>
          <w:color w:val="000000"/>
          <w:sz w:val="20"/>
        </w:rPr>
      </w:pPr>
      <w:r>
        <w:rPr>
          <w:rFonts w:ascii="Arial" w:hAnsi="Arial"/>
          <w:b/>
          <w:color w:val="000000"/>
          <w:sz w:val="20"/>
        </w:rPr>
        <w:t>(c) Issuer Purchases of Equity Securities</w:t>
      </w:r>
    </w:p>
    <w:p>
      <w:pPr>
        <w:pStyle w:val="TextBody"/>
        <w:bidi w:val="0"/>
        <w:spacing w:before="80" w:after="283"/>
        <w:jc w:val="both"/>
        <w:rPr>
          <w:rFonts w:ascii="Arial" w:hAnsi="Arial"/>
          <w:color w:val="000000"/>
          <w:sz w:val="20"/>
        </w:rPr>
      </w:pPr>
      <w:r>
        <w:rPr>
          <w:rFonts w:ascii="Arial" w:hAnsi="Arial"/>
          <w:color w:val="000000"/>
          <w:sz w:val="20"/>
        </w:rPr>
        <w:t>None.</w:t>
      </w:r>
    </w:p>
    <w:p>
      <w:pPr>
        <w:pStyle w:val="TextBody"/>
        <w:bidi w:val="0"/>
        <w:spacing w:before="240" w:after="283"/>
        <w:jc w:val="both"/>
        <w:rPr>
          <w:rFonts w:ascii="Arial" w:hAnsi="Arial"/>
          <w:b/>
          <w:color w:val="000000"/>
          <w:sz w:val="20"/>
        </w:rPr>
      </w:pPr>
      <w:bookmarkStart w:id="17" w:name="item_3_defaults_upon_senior_securities"/>
      <w:bookmarkEnd w:id="17"/>
      <w:r>
        <w:rPr>
          <w:rFonts w:ascii="Arial" w:hAnsi="Arial"/>
          <w:b/>
          <w:color w:val="000000"/>
          <w:sz w:val="20"/>
        </w:rPr>
        <w:t>Item 3. Defaults Upon Senior Securities.</w:t>
      </w:r>
    </w:p>
    <w:p>
      <w:pPr>
        <w:pStyle w:val="TextBody"/>
        <w:bidi w:val="0"/>
        <w:spacing w:before="80" w:after="283"/>
        <w:jc w:val="both"/>
        <w:rPr>
          <w:rFonts w:ascii="Arial" w:hAnsi="Arial"/>
          <w:color w:val="000000"/>
          <w:sz w:val="20"/>
        </w:rPr>
      </w:pPr>
      <w:r>
        <w:rPr>
          <w:rFonts w:ascii="Arial" w:hAnsi="Arial"/>
          <w:color w:val="000000"/>
          <w:sz w:val="20"/>
        </w:rPr>
        <w:t>Not applicable.</w:t>
      </w:r>
    </w:p>
    <w:p>
      <w:pPr>
        <w:pStyle w:val="TextBody"/>
        <w:bidi w:val="0"/>
        <w:spacing w:before="240" w:after="283"/>
        <w:jc w:val="both"/>
        <w:rPr>
          <w:rFonts w:ascii="Arial" w:hAnsi="Arial"/>
          <w:b/>
          <w:color w:val="000000"/>
          <w:sz w:val="20"/>
        </w:rPr>
      </w:pPr>
      <w:bookmarkStart w:id="18" w:name="item_4_mine_safety_disclosures"/>
      <w:bookmarkEnd w:id="18"/>
      <w:r>
        <w:rPr>
          <w:rFonts w:ascii="Arial" w:hAnsi="Arial"/>
          <w:b/>
          <w:color w:val="000000"/>
          <w:sz w:val="20"/>
        </w:rPr>
        <w:t>Item 4. Mine Safety Disclosures.</w:t>
      </w:r>
    </w:p>
    <w:p>
      <w:pPr>
        <w:pStyle w:val="TextBody"/>
        <w:bidi w:val="0"/>
        <w:spacing w:before="80" w:after="283"/>
        <w:jc w:val="both"/>
        <w:rPr>
          <w:rFonts w:ascii="Arial" w:hAnsi="Arial"/>
          <w:color w:val="000000"/>
          <w:sz w:val="20"/>
        </w:rPr>
      </w:pPr>
      <w:r>
        <w:rPr>
          <w:rFonts w:ascii="Arial" w:hAnsi="Arial"/>
          <w:color w:val="000000"/>
          <w:sz w:val="20"/>
        </w:rPr>
        <w:t>Not applicable.</w:t>
      </w:r>
    </w:p>
    <w:p>
      <w:pPr>
        <w:pStyle w:val="TextBody"/>
        <w:bidi w:val="0"/>
        <w:spacing w:before="240" w:after="283"/>
        <w:jc w:val="both"/>
        <w:rPr>
          <w:rFonts w:ascii="Arial" w:hAnsi="Arial"/>
          <w:b/>
          <w:color w:val="000000"/>
          <w:sz w:val="20"/>
        </w:rPr>
      </w:pPr>
      <w:bookmarkStart w:id="19" w:name="item_5_other_information"/>
      <w:bookmarkEnd w:id="19"/>
      <w:r>
        <w:rPr>
          <w:rFonts w:ascii="Arial" w:hAnsi="Arial"/>
          <w:b/>
          <w:color w:val="000000"/>
          <w:sz w:val="20"/>
        </w:rPr>
        <w:t>Item 5. Other Information.</w:t>
      </w:r>
    </w:p>
    <w:p>
      <w:pPr>
        <w:pStyle w:val="TextBody"/>
        <w:bidi w:val="0"/>
        <w:spacing w:before="80" w:after="283"/>
        <w:jc w:val="both"/>
        <w:rPr>
          <w:rFonts w:ascii="Times New Roman" w:hAnsi="Times New Roman"/>
          <w:sz w:val="20"/>
        </w:rPr>
      </w:pPr>
      <w:r>
        <w:rPr>
          <w:rFonts w:ascii="Arial" w:hAnsi="Arial"/>
          <w:b/>
          <w:color w:val="000000"/>
          <w:sz w:val="20"/>
        </w:rPr>
        <w:t>(c) Insider Trading Arrangements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color w:val="000000"/>
          <w:sz w:val="20"/>
        </w:rPr>
        <w:t>None of our directors or officers, as defined in Rule 16a-1(f) under the Securities Act,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a non-Rule 10b5-1 trading arrangement, as defined in Item 408(c) of Regulation S-K, during the quarter ended March 31, 2025.</w:t>
      </w:r>
    </w:p>
    <w:p>
      <w:pPr>
        <w:pStyle w:val="TextBody"/>
        <w:bidi w:val="0"/>
        <w:spacing w:before="24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20" w:name="item_6_exhibits"/>
      <w:bookmarkEnd w:id="20"/>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7"/>
        <w:gridCol w:w="146"/>
        <w:gridCol w:w="9262"/>
      </w:tblGrid>
      <w:tr>
        <w:trPr/>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2" w:type="dxa"/>
            <w:tcBorders/>
            <w:vAlign w:val="center"/>
          </w:tcPr>
          <w:p>
            <w:pPr>
              <w:pStyle w:val="TableContents"/>
              <w:bidi w:val="0"/>
              <w:spacing w:before="0" w:after="283"/>
              <w:jc w:val="left"/>
              <w:rPr>
                <w:sz w:val="4"/>
                <w:szCs w:val="4"/>
              </w:rPr>
            </w:pPr>
            <w:r>
              <w:rPr>
                <w:sz w:val="4"/>
                <w:szCs w:val="4"/>
              </w:rPr>
            </w:r>
          </w:p>
        </w:tc>
      </w:tr>
      <w:tr>
        <w:trPr/>
        <w:tc>
          <w:tcPr>
            <w:tcW w:w="797"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6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20"/>
                  <w:u w:val="single"/>
                </w:rPr>
                <w:t>Tenth Amended and Restated Certificate of Incorporation of the Registrant, as currently in effect, as amended by the Certificate of Amendment, dated June 20, 2024 (incorporated by reference to Exhibit 3.1 of the Registrant’s Quarterly Report on Form 10-Q (File No. 001-40971) filed on August 8, 2024).</w:t>
              </w:r>
            </w:hyperlink>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Amended and Restated Bylaws of the Registrant, as currently in effect (incorporated by reference to Exhibit 3.2 of the Registrant’s Annual Report on Form 10-K (File No. 001-40971) filed on March 23, 2022).</w:t>
              </w:r>
            </w:hyperlink>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Fifth Amended and Restated Investors’ Rights Agreement (incorporated by reference to Exhibit 4.2 to the Registrant’s Registration Statement on Form S-1, as amended (File No. 333-260156) filed on October 8, 2021)</w:t>
              </w:r>
            </w:hyperlink>
            <w:r>
              <w:rPr>
                <w:rFonts w:ascii="Arial" w:hAnsi="Arial"/>
                <w:color w:val="000000"/>
                <w:sz w:val="20"/>
              </w:rPr>
              <w:t>.</w:t>
            </w:r>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ra-ex10_1.htm">
              <w:r>
                <w:rPr>
                  <w:rStyle w:val="InternetLink"/>
                  <w:rFonts w:ascii="Arial" w:hAnsi="Arial"/>
                  <w:color w:val="0000FF"/>
                  <w:sz w:val="20"/>
                  <w:u w:val="single"/>
                </w:rPr>
                <w:t>Employment Offer Letter, dated May 9, 2025, by and between Anthony Gibney and the Registrant.</w:t>
              </w:r>
            </w:hyperlink>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ra-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ra-ex31_2.htm">
              <w:r>
                <w:rPr>
                  <w:rStyle w:val="InternetLink"/>
                  <w:rFonts w:ascii="Arial" w:hAnsi="Arial"/>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ra-ex32_1.htm">
              <w:r>
                <w:rPr>
                  <w:rStyle w:val="InternetLink"/>
                  <w:rFonts w:ascii="Arial" w:hAnsi="Arial"/>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XBRL tags are embedded within the Inline XBRL document.</w:t>
            </w:r>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60" w:after="283"/>
        <w:jc w:val="both"/>
        <w:rPr>
          <w:rFonts w:ascii="Arial" w:hAnsi="Arial"/>
          <w:color w:val="000000"/>
          <w:sz w:val="20"/>
        </w:rPr>
      </w:pPr>
      <w:r>
        <w:rPr>
          <w:rFonts w:ascii="Arial" w:hAnsi="Arial"/>
          <w:color w:val="000000"/>
          <w:sz w:val="20"/>
        </w:rPr>
        <w:t>* Filed herewith.</w:t>
      </w:r>
    </w:p>
    <w:p>
      <w:pPr>
        <w:pStyle w:val="TextBody"/>
        <w:bidi w:val="0"/>
        <w:spacing w:before="60" w:after="283"/>
        <w:jc w:val="both"/>
        <w:rPr>
          <w:rFonts w:ascii="Arial" w:hAnsi="Arial"/>
          <w:color w:val="000000"/>
          <w:sz w:val="20"/>
        </w:rPr>
      </w:pPr>
      <w:r>
        <w:rPr>
          <w:rFonts w:ascii="Arial" w:hAnsi="Arial"/>
          <w:color w:val="000000"/>
          <w:sz w:val="20"/>
        </w:rPr>
        <w:t> Indicates a management contract or any compensatory plan, contract or arrangement.</w:t>
      </w:r>
    </w:p>
    <w:p>
      <w:pPr>
        <w:pStyle w:val="TextBody"/>
        <w:bidi w:val="0"/>
        <w:spacing w:before="60" w:after="283"/>
        <w:jc w:val="both"/>
        <w:rPr>
          <w:rFonts w:ascii="Arial" w:hAnsi="Arial"/>
          <w:color w:val="000000"/>
          <w:sz w:val="20"/>
        </w:rPr>
      </w:pPr>
      <w:r>
        <w:rPr>
          <w:rFonts w:ascii="Arial" w:hAnsi="Arial"/>
          <w:color w:val="000000"/>
          <w:sz w:val="20"/>
        </w:rPr>
        <w:t>^ Certain information in this document (indicated by asterisks) has been excluded pursuant to Regulation S-K, Item 601(a)(6).</w:t>
      </w:r>
    </w:p>
    <w:p>
      <w:pPr>
        <w:pStyle w:val="TextBody"/>
        <w:bidi w:val="0"/>
        <w:spacing w:before="60" w:after="283"/>
        <w:jc w:val="both"/>
        <w:rPr>
          <w:rFonts w:ascii="Arial" w:hAnsi="Arial"/>
          <w:color w:val="000000"/>
          <w:sz w:val="20"/>
        </w:rPr>
      </w:pPr>
      <w:r>
        <w:rPr>
          <w:rFonts w:ascii="Arial" w:hAnsi="Arial"/>
          <w:color w:val="000000"/>
          <w:sz w:val="20"/>
        </w:rPr>
        <w:t># 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as amended, except as shall be expressly set forth by specific reference in such filing.</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1" w:name="signatures"/>
      <w:bookmarkEnd w:id="21"/>
      <w:r>
        <w:rPr>
          <w:rFonts w:ascii="Arial" w:hAnsi="Arial"/>
          <w:b/>
          <w:color w:val="000000"/>
          <w:sz w:val="20"/>
        </w:rPr>
        <w:t>SIGNATURES</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1831"/>
        <w:gridCol w:w="146"/>
        <w:gridCol w:w="406"/>
        <w:gridCol w:w="36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Aura Biosciences, Inc.</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6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Elisabet de los Pinos</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Elisabet de los Pinos</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President and Chief Executive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Executive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Anthony Gibney</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Anthony Gibney</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Financial and Business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Financial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Amy Elazzouzi</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Amy Elazzouzi</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Senior Vice President, Finance</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b/>
                <w:color w:val="000000"/>
                <w:sz w:val="20"/>
              </w:rPr>
              <w:t>(Principal Accounting Officer)</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2" w:name="aura-ex10_1.htm"/>
      <w:bookmarkStart w:id="23" w:name="ksauraex10_1"/>
      <w:bookmarkEnd w:id="22"/>
      <w:bookmarkEnd w:id="23"/>
      <w:r>
        <w:rPr>
          <w:rFonts w:ascii="Arial" w:hAnsi="Arial"/>
          <w:b/>
          <w:color w:val="000000"/>
          <w:sz w:val="20"/>
        </w:rPr>
        <w:t>Exhibit 10.1</w:t>
      </w:r>
      <w:r>
        <w:br w:type="page"/>
      </w:r>
    </w:p>
    <w:p>
      <w:pPr>
        <w:pStyle w:val="TextBody"/>
        <w:bidi w:val="0"/>
        <w:spacing w:before="0" w:after="240"/>
        <w:jc w:val="right"/>
        <w:rPr/>
      </w:pPr>
      <w:r>
        <w:rPr/>
        <w:drawing>
          <wp:inline distT="0" distB="0" distL="0" distR="0">
            <wp:extent cx="164782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1647825" cy="438150"/>
                    </a:xfrm>
                    <a:prstGeom prst="rect">
                      <a:avLst/>
                    </a:prstGeom>
                  </pic:spPr>
                </pic:pic>
              </a:graphicData>
            </a:graphic>
          </wp:inline>
        </w:drawing>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May 9, 2025</w:t>
      </w:r>
    </w:p>
    <w:p>
      <w:pPr>
        <w:pStyle w:val="TextBody"/>
        <w:bidi w:val="0"/>
        <w:jc w:val="both"/>
        <w:rPr>
          <w:rFonts w:ascii="Times New Roman" w:hAnsi="Times New Roman"/>
          <w:color w:val="000000"/>
          <w:sz w:val="24"/>
        </w:rPr>
      </w:pPr>
      <w:r>
        <w:rPr>
          <w:rFonts w:ascii="Times New Roman" w:hAnsi="Times New Roman"/>
          <w:color w:val="000000"/>
          <w:sz w:val="24"/>
        </w:rPr>
        <w:t>Anthony Gibney</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 Amended and Restated Offer of Employment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Dear Tony,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Following up on our discussions, the following represents our offer regarding your employment by Aura Biosciences, Inc. (the “Company”) as a full-time, “at will” employee. This letter agreement is referred to herein as this “Agreement”. This offer and the terms of your employment with the Company (including compensation, benefits and equity awards) are subject to and conditioned upon the approval of the Company’s Board of Directors (the “Board”) in all respects.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Your title and position will be Chief Financial and Business Officer and will report to the Company’s Chief Executive Officer. As a full-time employee of the Company, you will be expected to devote your full-time business time and energies to the business and affairs of the Company, provided that you may manage your personal financial affairs, engage in civic and charitable activities and serve as a director on the boards of directors on which you serve as of the date hereof and which you have previously disclosed to the Company’s Chief Legal Officer in writing, provided such activities do not, individually or collectively, interfere with the performance of your duties hereunder or otherwise conflict with or violate the terms of this Agreement, any other agreement between you and the Company or the Company’s Code of Business Conduct and Ethics.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b/>
          <w:color w:val="000000"/>
          <w:sz w:val="24"/>
        </w:rPr>
        <w:t xml:space="preserve">Salary and Expenses: </w:t>
      </w:r>
      <w:r>
        <w:rPr>
          <w:rFonts w:ascii="Times New Roman" w:hAnsi="Times New Roman"/>
          <w:color w:val="000000"/>
          <w:sz w:val="24"/>
        </w:rPr>
        <w:t xml:space="preserve">Your compensation will be a starting salary of five hundred twenty-five thousand ($525,000) Dollars per annum subject to any Company discretionary increase (the “Base Salary”), which will be paid semimonthly or in accordance with the Company’s normal payroll practices in effect from time to time. In accordance with Company policies and procedures, you will be reimbursed for all reasonable out-of-pocket expenses incurred by you on behalf of the Company, in accordance with Company policy.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b/>
          <w:color w:val="000000"/>
          <w:sz w:val="24"/>
        </w:rPr>
        <w:t>Bonus:</w:t>
      </w:r>
      <w:r>
        <w:rPr>
          <w:color w:val="000000"/>
        </w:rPr>
        <w:t xml:space="preserve"> </w:t>
      </w:r>
      <w:r>
        <w:rPr>
          <w:rFonts w:ascii="Times New Roman" w:hAnsi="Times New Roman"/>
          <w:color w:val="000000"/>
          <w:sz w:val="24"/>
        </w:rPr>
        <w:t>You will be eligible to receive an annual bonus targeted at forty-five percent (45%) of your Base Salary based on the performance of the Company and consistent with the terms of the Company’s Senior Executive Cash Incentive Bonus Plan (the “Bonus”). The amount of the Bonus, if any, will be at the sole discretion of the Company. You must be employed on the date that the Bonus is paid to be eligible to receive the Bonus. Your Bonus will be paid no later than March 15 of the following calendar year. For 2025, your bonus will not be prorated based on your Start Date (as defined below).</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b/>
          <w:color w:val="000000"/>
          <w:sz w:val="24"/>
        </w:rPr>
        <w:t xml:space="preserve">Equity: </w:t>
      </w:r>
      <w:r>
        <w:rPr>
          <w:rFonts w:ascii="Times New Roman" w:hAnsi="Times New Roman"/>
          <w:color w:val="000000"/>
          <w:sz w:val="24"/>
        </w:rPr>
        <w:t>You will be granted the following, subject to the approval of the Board not to be unreasonably withheld: a stock option to purchase two hundred and fifty thousand (250,000) shares of the Company’s common stock with an exercise price equal to the fair market value on the date of grant, as determined by the Board (the “Option Award”), and one hundred fifty thousand (150,000) restricted stock units (“RSUs”) for shares of the Company’s common stock. Both grants will be subject to the Company’s 2021 Equity Incentive Plan, as amended (the “2021 Plan”), and the forms of award agreements thereunder. The exercise price of the Option Award and the vesting terms of the Option Award and RSUs will be outlined in the applicable equity agreements. You will be eligible for annual equity grants for years after 2025, subject to the approval of the Company’s Board of Directors. Any such grant will be subject to vesting and other terms in accordance with a grant agreement and the 2021 Plan (or any future Company equity plan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b/>
          <w:color w:val="000000"/>
          <w:sz w:val="24"/>
        </w:rPr>
        <w:t>Benefits</w:t>
      </w:r>
      <w:r>
        <w:rPr>
          <w:rFonts w:ascii="Times New Roman" w:hAnsi="Times New Roman"/>
          <w:color w:val="000000"/>
          <w:sz w:val="24"/>
        </w:rPr>
        <w:t xml:space="preserve">: As a full-time employee, and for so long as you meet the eligibility requirements of such insurance, you will be entitled to health insurance benefits currently available (currently healthcare, dental and vision) for which you are eligible, and you may elect to cover your spouse and immediate family. During 2025, there is no employee contribution to premiums, but this is subject to change. We also offer a 401(k) retirement plan for which you will be eligible to participate approximately three months after the Start Date, and the Company currently matches up to six percent (6%), subject to applicable limitations. Further, you will be entitled to four (4) weeks of paid vacation, pro-rated on an annual basis. The Company retains the right to change, add or cease any particular benefit. Please note that your participation in any benefit plans, policies or practices of the Company is subject to meeting the eligibility requirements thereof, which may include a minimum duration of employment or number of hours of service, and the Company’s benefit programs are subject to change by the Company in its discretion.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b/>
          <w:color w:val="000000"/>
          <w:sz w:val="24"/>
        </w:rPr>
        <w:t>Restrictive Covenants Agreement; Indemnification Agreement</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considers the protection of its confidential information and proprietary materials to be very important. Therefore, as a condition of your employment, you and the Company will execute the Amended and Restated Confidential Information, Non-Solicitation, and Invention Assignment Agreement, substantially in the form previously provided to you by the Company (the “Restrictive Covenants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You and the Company will execute an Officer Indemnification Agreement, substantially in the form previously provided to you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b/>
          <w:color w:val="000000"/>
          <w:sz w:val="24"/>
        </w:rPr>
        <w:t>Termination; Executive Severance Plan</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No provision of this Agreement shall be construed to create an express or implied employment contract for a specific period of time and you will be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employed by the Company “at will.” This means that you may terminate your employment with the Company at any time and for any reason or no reason, upon five (5) days’ prior written notice to the Company. Likewise, the Company reserves the right to terminate your employment at any time and for any reason or no reason, upon five (5) days’ prior written notice to you or up to five (5) days’ pay in lieu of notices; provided, however, that in the event of a termination for Cause, no prior notice (written or otherwise) will be required. In the event of the termination of this Agreement by either you or the Company for any reason or no reason, subject to Section 6(b) below, your salary under Section 1 (and the vesting of any stock options and RSUs under Section 2) shall immediately cease and this Agreement shall terminate; however, notwithstanding the foregoing, the Restrictive Covenants Agreement and Section 11 of this Agreement shall survive and remain in full force and effect in accordance with their terms.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Subject to the terms and conditions thereof, including without limitation, the approval of our Board of Directors, you will be eligible to participate in the Company’s Executive Severance Plan (the “Severance Plan”), as in effect on the date of your execution of a Participation Agreement, as a Tier Two Executive (each as defined in the Severance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b/>
          <w:color w:val="000000"/>
          <w:sz w:val="24"/>
        </w:rPr>
        <w:t>Status</w:t>
      </w:r>
      <w:r>
        <w:rPr>
          <w:rFonts w:ascii="Times New Roman" w:hAnsi="Times New Roman"/>
          <w:color w:val="000000"/>
          <w:sz w:val="24"/>
        </w:rPr>
        <w:t>: The Immigration Reform and Control Act requires employers to verify the employment eligibility and identity of new employees. You will need to complete the I-9 Form and bring it, together with the appropriate documents, with you when you report for work. We will not be able to employ you if you cannot comply with this requirement.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b/>
          <w:color w:val="000000"/>
          <w:sz w:val="24"/>
        </w:rPr>
        <w:t xml:space="preserve">Job location: </w:t>
      </w:r>
      <w:r>
        <w:rPr>
          <w:rFonts w:ascii="Times New Roman" w:hAnsi="Times New Roman"/>
          <w:color w:val="000000"/>
          <w:sz w:val="24"/>
        </w:rPr>
        <w:t>The Company has agreed that you will be working remotely from the State of New York but will travel, including to the Company’s office in Boston, MA, as reasonably deemed necessary by the Company but your primary workplace will be your home.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b/>
          <w:color w:val="000000"/>
          <w:sz w:val="24"/>
        </w:rPr>
        <w:t xml:space="preserve">Background and Reference Checks: </w:t>
      </w:r>
      <w:r>
        <w:rPr>
          <w:rFonts w:ascii="Times New Roman" w:hAnsi="Times New Roman"/>
          <w:color w:val="000000"/>
          <w:sz w:val="24"/>
        </w:rPr>
        <w:t>The Company has the right to rescind this offer pending results, in its sole discretion, of background and reference checks.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b/>
          <w:color w:val="000000"/>
          <w:sz w:val="24"/>
        </w:rPr>
        <w:t xml:space="preserve">Start date and Assurances: </w:t>
      </w:r>
      <w:r>
        <w:rPr>
          <w:rFonts w:ascii="Times New Roman" w:hAnsi="Times New Roman"/>
          <w:color w:val="000000"/>
          <w:sz w:val="24"/>
        </w:rPr>
        <w:t xml:space="preserve">Your start date as a full-time employee of the Company shall be on May 13, 2025, or as otherwise mutually agreed (the “Start Date”). You represent that (i) you are not a party to any agreement that would prohibit you from entering into full-time employment with the Company; (ii) you have brought to the Company’s attention and provided it with a copy of any agreement that may impact your future employment with the Company or performing the services contemplated, including but not limited to any non?-disclosure, non-competition, non-solicitation or invention assignment agreements containing future work restrictions; and (iii) you are not and will not during your employment engage in any activities that present a conflict of interest with the Company or your employment. You represent that prior to your employment with the Company, you will not take any actions on behalf of the Company or engage in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discussions or communications on behalf of the Company, including, without limitation, with any prospective Company employees or other service providers.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b/>
          <w:color w:val="000000"/>
          <w:sz w:val="24"/>
        </w:rPr>
        <w:t>Non-disparagement</w:t>
      </w:r>
      <w:r>
        <w:rPr>
          <w:rFonts w:ascii="Times New Roman" w:hAnsi="Times New Roman"/>
          <w:color w:val="000000"/>
          <w:sz w:val="24"/>
        </w:rPr>
        <w:t>: Unless as required by law or valid subpoena, (i) you agree that you will not, whether during your employment or thereafter, directly or indirectly, make or ratify any statement, public or private, oral or written, to any person that disparages, either professionally or personally, the Company or any of its known affiliates, past and present, and each of them, as well as its and their known trustees, directors, officers, members, managers, partners, agents, attorneys, insurers, employees, stockholders, representatives, assigns, and successors, past and present, and each of them, and (ii) the Company agrees that it will instruct its current executive officers not to, whether during your employment or thereafter, make or ratify any statement publicly, oral or written, that disparages you, either professionally or personally.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 </w:t>
      </w:r>
      <w:r>
        <w:rPr>
          <w:rFonts w:ascii="Times New Roman" w:hAnsi="Times New Roman"/>
          <w:b/>
          <w:color w:val="000000"/>
          <w:sz w:val="24"/>
        </w:rPr>
        <w:t>General</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Subject to your timely execution and return of this Agreement to the Company, and the other conditions hereof, this offer is binding and your full-time employment with the Company will become effective on the Start Date. This Agreement, the Restrictive Covenants Agreement, and, subject to your execution of a Participation Agreement, the Severance Plan, constitute our entire agreement as to the terms of your employment by the Company and will supersede any prior agreements or understanding, whether in writing or oral, including without limitation, your offer of part-time employment with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This Agreement shall be governed by the laws of the Commonwealth of Massachusetts, without application of its principles of conflict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This Agreement is binding on the Company’s successors and assigns.</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[Remainder of Page Intentionally Left Blank]</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4"/>
        </w:rPr>
      </w:pPr>
      <w:r>
        <w:rPr>
          <w:rFonts w:ascii="Times New Roman" w:hAnsi="Times New Roman"/>
          <w:color w:val="000000"/>
          <w:sz w:val="24"/>
        </w:rPr>
        <w:t>Please sign and date this Agreement on the spaces provided below to acknowledge your agreement and acceptance hereof and return this Agreement to the Company by May 12, 2025, after which time it will expire.</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We very much hope to work with you to build an exciting company together. Please feel free to call me if you have any questions.</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Very truly yours,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AURA BIOSCIENCES, INC.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_/s/ Elisabet de los Pinos ______________</w:t>
      </w:r>
    </w:p>
    <w:p>
      <w:pPr>
        <w:pStyle w:val="TextBody"/>
        <w:bidi w:val="0"/>
        <w:jc w:val="both"/>
        <w:rPr>
          <w:rFonts w:ascii="Times New Roman" w:hAnsi="Times New Roman"/>
          <w:color w:val="000000"/>
          <w:sz w:val="24"/>
        </w:rPr>
      </w:pPr>
      <w:r>
        <w:rPr>
          <w:rFonts w:ascii="Times New Roman" w:hAnsi="Times New Roman"/>
          <w:color w:val="000000"/>
          <w:sz w:val="24"/>
        </w:rPr>
        <w:t>Elisabet de los Pinos, Ph.D., President and CEO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Hereunto Duly Authorized</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AGREED AND ACCEPTED Date Accepted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_</w:t>
      </w:r>
      <w:r>
        <w:rPr>
          <w:rFonts w:ascii="Times New Roman" w:hAnsi="Times New Roman"/>
          <w:color w:val="000000"/>
          <w:sz w:val="24"/>
          <w:u w:val="single"/>
        </w:rPr>
        <w:t>/s/ Anthony Gibney</w:t>
      </w:r>
      <w:r>
        <w:rPr>
          <w:rFonts w:ascii="Times New Roman" w:hAnsi="Times New Roman"/>
          <w:color w:val="000000"/>
          <w:sz w:val="24"/>
        </w:rPr>
        <w:t>___ _</w:t>
      </w:r>
      <w:r>
        <w:rPr>
          <w:rFonts w:ascii="Times New Roman" w:hAnsi="Times New Roman"/>
          <w:color w:val="000000"/>
          <w:sz w:val="24"/>
          <w:u w:val="single"/>
        </w:rPr>
        <w:t>May 9, 2025</w:t>
      </w:r>
      <w:r>
        <w:rPr>
          <w:rFonts w:ascii="Times New Roman" w:hAnsi="Times New Roman"/>
          <w:color w:val="000000"/>
          <w:sz w:val="24"/>
        </w:rPr>
        <w:t>___</w:t>
      </w:r>
    </w:p>
    <w:p>
      <w:pPr>
        <w:pStyle w:val="TextBody"/>
        <w:bidi w:val="0"/>
        <w:jc w:val="both"/>
        <w:rPr>
          <w:rFonts w:ascii="Times New Roman" w:hAnsi="Times New Roman"/>
          <w:color w:val="000000"/>
          <w:sz w:val="24"/>
        </w:rPr>
      </w:pPr>
      <w:r>
        <w:rPr>
          <w:rFonts w:ascii="Times New Roman" w:hAnsi="Times New Roman"/>
          <w:color w:val="000000"/>
          <w:sz w:val="24"/>
        </w:rPr>
        <w:t>Anthony Gibney</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aura-ex31_1.htm"/>
      <w:bookmarkStart w:id="25" w:name="ksauraex31_1"/>
      <w:bookmarkEnd w:id="24"/>
      <w:bookmarkEnd w:id="25"/>
      <w:r>
        <w:rPr/>
        <w:t> </w:t>
      </w:r>
      <w:r>
        <w:br w:type="page"/>
      </w:r>
    </w:p>
    <w:p>
      <w:pPr>
        <w:pStyle w:val="TextBody"/>
        <w:bidi w:val="0"/>
        <w:jc w:val="right"/>
        <w:rPr>
          <w:rFonts w:ascii="Arial" w:hAnsi="Arial"/>
          <w:b/>
          <w:color w:val="000000"/>
          <w:sz w:val="18"/>
        </w:rPr>
      </w:pPr>
      <w:r>
        <w:rPr>
          <w:rFonts w:ascii="Arial" w:hAnsi="Arial"/>
          <w:b/>
          <w:color w:val="000000"/>
          <w:sz w:val="18"/>
        </w:rPr>
        <w:t>Exhibit 31.1</w:t>
      </w:r>
    </w:p>
    <w:p>
      <w:pPr>
        <w:pStyle w:val="TextBody"/>
        <w:bidi w:val="0"/>
        <w:jc w:val="center"/>
        <w:rPr>
          <w:rFonts w:ascii="Arial" w:hAnsi="Arial"/>
          <w:b/>
          <w:color w:val="000000"/>
          <w:sz w:val="18"/>
        </w:rPr>
      </w:pPr>
      <w:r>
        <w:rPr>
          <w:rFonts w:ascii="Arial" w:hAnsi="Arial"/>
          <w:b/>
          <w:color w:val="000000"/>
          <w:sz w:val="18"/>
        </w:rPr>
        <w:t>CERTIFICATION</w:t>
      </w:r>
    </w:p>
    <w:p>
      <w:pPr>
        <w:pStyle w:val="TextBody"/>
        <w:bidi w:val="0"/>
        <w:spacing w:before="240" w:after="283"/>
        <w:jc w:val="left"/>
        <w:rPr>
          <w:rFonts w:ascii="Arial" w:hAnsi="Arial"/>
          <w:color w:val="000000"/>
          <w:sz w:val="18"/>
        </w:rPr>
      </w:pPr>
      <w:r>
        <w:rPr>
          <w:rFonts w:ascii="Arial" w:hAnsi="Arial"/>
          <w:color w:val="000000"/>
          <w:sz w:val="18"/>
        </w:rPr>
        <w:t>I, Elisabet de los Pinos, certify that: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1. I have reviewed this Quarterly Report on Form 10-Q of Aura Biosciences, Inc;</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(b) Any fraud, whether or not material, that involves management or other employees who have a significant role in the registrant’s internal control over financial reporting.</w:t>
      </w:r>
    </w:p>
    <w:tbl>
      <w:tblPr>
        <w:tblW w:w="5494" w:type="dxa"/>
        <w:jc w:val="left"/>
        <w:tblInd w:w="0" w:type="dxa"/>
        <w:tblLayout w:type="fixed"/>
        <w:tblCellMar>
          <w:top w:w="28" w:type="dxa"/>
          <w:left w:w="28" w:type="dxa"/>
          <w:bottom w:w="28" w:type="dxa"/>
          <w:right w:w="28" w:type="dxa"/>
        </w:tblCellMar>
      </w:tblPr>
      <w:tblGrid>
        <w:gridCol w:w="556"/>
        <w:gridCol w:w="1216"/>
        <w:gridCol w:w="361"/>
        <w:gridCol w:w="336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Aura Biosciences,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May 15, 2025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33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Elisabet de los Pinos</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Elisabet de los Pinos</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18"/>
              </w:rPr>
              <w:t>President and Chief Executive Officer</w:t>
            </w:r>
            <w:r>
              <w:rPr>
                <w:rFonts w:ascii="Times New Roman" w:hAnsi="Times New Roman"/>
                <w:b/>
                <w:color w:val="000000"/>
                <w:sz w:val="20"/>
              </w:rPr>
              <w:br/>
            </w:r>
            <w:r>
              <w:rPr>
                <w:rFonts w:ascii="Arial" w:hAnsi="Arial"/>
                <w:b/>
                <w:color w:val="000000"/>
                <w:sz w:val="18"/>
              </w:rPr>
              <w:t>(Principal Executive Officer)</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aura-ex31_2.htm"/>
      <w:bookmarkStart w:id="27" w:name="ksauraex31_2"/>
      <w:bookmarkEnd w:id="26"/>
      <w:bookmarkEnd w:id="27"/>
      <w:r>
        <w:rPr/>
        <w:t> </w:t>
      </w:r>
      <w:r>
        <w:br w:type="page"/>
      </w:r>
    </w:p>
    <w:p>
      <w:pPr>
        <w:pStyle w:val="TextBody"/>
        <w:bidi w:val="0"/>
        <w:jc w:val="right"/>
        <w:rPr>
          <w:rFonts w:ascii="Arial" w:hAnsi="Arial"/>
          <w:b/>
          <w:color w:val="000000"/>
          <w:sz w:val="18"/>
        </w:rPr>
      </w:pPr>
      <w:r>
        <w:rPr>
          <w:rFonts w:ascii="Arial" w:hAnsi="Arial"/>
          <w:b/>
          <w:color w:val="000000"/>
          <w:sz w:val="18"/>
        </w:rPr>
        <w:t>Exhibit 31.2</w:t>
      </w:r>
    </w:p>
    <w:p>
      <w:pPr>
        <w:pStyle w:val="TextBody"/>
        <w:bidi w:val="0"/>
        <w:jc w:val="center"/>
        <w:rPr>
          <w:rFonts w:ascii="Arial" w:hAnsi="Arial"/>
          <w:b/>
          <w:color w:val="000000"/>
          <w:sz w:val="18"/>
        </w:rPr>
      </w:pPr>
      <w:r>
        <w:rPr>
          <w:rFonts w:ascii="Arial" w:hAnsi="Arial"/>
          <w:b/>
          <w:color w:val="000000"/>
          <w:sz w:val="18"/>
        </w:rPr>
        <w:t>CERTIFICATION</w:t>
      </w:r>
    </w:p>
    <w:p>
      <w:pPr>
        <w:pStyle w:val="TextBody"/>
        <w:bidi w:val="0"/>
        <w:spacing w:before="240" w:after="283"/>
        <w:jc w:val="left"/>
        <w:rPr>
          <w:rFonts w:ascii="Arial" w:hAnsi="Arial"/>
          <w:color w:val="000000"/>
          <w:sz w:val="18"/>
        </w:rPr>
      </w:pPr>
      <w:r>
        <w:rPr>
          <w:rFonts w:ascii="Arial" w:hAnsi="Arial"/>
          <w:color w:val="000000"/>
          <w:sz w:val="18"/>
        </w:rPr>
        <w:t>I, Anthony Gibney, certify that: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1. I have reviewed this Quarterly Report on Form 10-Q of Aura Biosciences, Inc;</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(b) Any fraud, whether or not material, that involves management or other employees who have a significant role in the registrant’s internal control over financial reporting.</w:t>
      </w:r>
    </w:p>
    <w:tbl>
      <w:tblPr>
        <w:tblW w:w="5449" w:type="dxa"/>
        <w:jc w:val="left"/>
        <w:tblInd w:w="0" w:type="dxa"/>
        <w:tblLayout w:type="fixed"/>
        <w:tblCellMar>
          <w:top w:w="28" w:type="dxa"/>
          <w:left w:w="28" w:type="dxa"/>
          <w:bottom w:w="28" w:type="dxa"/>
          <w:right w:w="28" w:type="dxa"/>
        </w:tblCellMar>
      </w:tblPr>
      <w:tblGrid>
        <w:gridCol w:w="556"/>
        <w:gridCol w:w="1276"/>
        <w:gridCol w:w="361"/>
        <w:gridCol w:w="3256"/>
      </w:tblGrid>
      <w:tr>
        <w:trPr/>
        <w:tc>
          <w:tcPr>
            <w:tcW w:w="55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Aura Biosciences,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May 15, 2025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Anthony Gibney</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Anthony Gibney</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Chief Financial and Business Officer</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(Principal Financial Officer)</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aura-ex32_1.htm"/>
      <w:bookmarkStart w:id="29" w:name="ksauraex32_1"/>
      <w:bookmarkEnd w:id="28"/>
      <w:bookmarkEnd w:id="29"/>
      <w:r>
        <w:rPr/>
        <w:t> </w:t>
      </w:r>
      <w:r>
        <w:br w:type="page"/>
      </w:r>
    </w:p>
    <w:p>
      <w:pPr>
        <w:pStyle w:val="TextBody"/>
        <w:bidi w:val="0"/>
        <w:jc w:val="right"/>
        <w:rPr>
          <w:rFonts w:ascii="Arial" w:hAnsi="Arial"/>
          <w:b/>
          <w:color w:val="000000"/>
          <w:sz w:val="18"/>
        </w:rPr>
      </w:pPr>
      <w:r>
        <w:rPr>
          <w:rFonts w:ascii="Arial" w:hAnsi="Arial"/>
          <w:b/>
          <w:color w:val="000000"/>
          <w:sz w:val="18"/>
        </w:rPr>
        <w:t>Exhibit 32.1</w:t>
      </w:r>
    </w:p>
    <w:p>
      <w:pPr>
        <w:pStyle w:val="TextBody"/>
        <w:bidi w:val="0"/>
        <w:spacing w:before="360" w:after="283"/>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spacing w:before="240" w:after="283"/>
        <w:jc w:val="left"/>
        <w:rPr>
          <w:rFonts w:ascii="Arial" w:hAnsi="Arial"/>
          <w:color w:val="000000"/>
          <w:sz w:val="18"/>
        </w:rPr>
      </w:pPr>
      <w:r>
        <w:rPr>
          <w:rFonts w:ascii="Arial" w:hAnsi="Arial"/>
          <w:color w:val="000000"/>
          <w:sz w:val="18"/>
        </w:rPr>
        <w:t>In connection with the Quarterly Report on Form 10-Q of Aura Biosciences, Inc. (the “Company”) for the period ended March 31, 2025 as filed with the Securities and Exchange Commission on the date hereof (the “Report”), each of the undersigned certifies, pursuant to 18 U.S.C. §1350, as adopted pursuant to §906 of the Sarbanes-Oxley Act of 2002, that, to the best of his or her knowledge:</w:t>
      </w:r>
    </w:p>
    <w:p>
      <w:pPr>
        <w:pStyle w:val="TextBody"/>
        <w:bidi w:val="0"/>
        <w:spacing w:before="24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jc w:val="left"/>
        <w:rPr>
          <w:rFonts w:ascii="Arial" w:hAnsi="Arial"/>
          <w:color w:val="000000"/>
          <w:sz w:val="18"/>
        </w:rPr>
      </w:pPr>
      <w:r>
        <w:rPr>
          <w:rFonts w:ascii="Arial" w:hAnsi="Arial"/>
          <w:color w:val="000000"/>
          <w:sz w:val="18"/>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(2)</w:t>
      </w:r>
    </w:p>
    <w:p>
      <w:pPr>
        <w:pStyle w:val="TextBody"/>
        <w:bidi w:val="0"/>
        <w:jc w:val="left"/>
        <w:rPr>
          <w:rFonts w:ascii="Arial" w:hAnsi="Arial"/>
          <w:color w:val="000000"/>
          <w:sz w:val="18"/>
        </w:rPr>
      </w:pPr>
      <w:r>
        <w:rPr>
          <w:rFonts w:ascii="Arial" w:hAnsi="Arial"/>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5494" w:type="dxa"/>
        <w:jc w:val="left"/>
        <w:tblInd w:w="0" w:type="dxa"/>
        <w:tblLayout w:type="fixed"/>
        <w:tblCellMar>
          <w:top w:w="28" w:type="dxa"/>
          <w:left w:w="28" w:type="dxa"/>
          <w:bottom w:w="28" w:type="dxa"/>
          <w:right w:w="28" w:type="dxa"/>
        </w:tblCellMar>
      </w:tblPr>
      <w:tblGrid>
        <w:gridCol w:w="556"/>
        <w:gridCol w:w="1216"/>
        <w:gridCol w:w="361"/>
        <w:gridCol w:w="336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Aura Biosciences,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May 15, 2025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33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Elisabet de los Pinos</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Elisabet de los Pinos</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President and Chief Executive Officer</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(Principal Executive Officer)</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May 15, 2025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Anthony Gibney</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Anthony Gibney</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Chief Financial and Business Officer</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(Principal Financial Officer)</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1796/000095017024093308/aura-ex3_1.htm" TargetMode="External"/><Relationship Id="rId3" Type="http://schemas.openxmlformats.org/officeDocument/2006/relationships/hyperlink" Target="https://www.sec.gov/Archives/edgar/data/1501796/000095017022004425/aura-ex3_2.htm" TargetMode="External"/><Relationship Id="rId4" Type="http://schemas.openxmlformats.org/officeDocument/2006/relationships/hyperlink" Target="https://www.sec.gov/Archives/edgar/data/1501796/000119312521295543/d209588dex42.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56531</Words>
  <Characters>314028</Characters>
  <CharactersWithSpaces>370581</CharactersWithSpaces>
  <Paragraphs>4261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