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603250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74930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102870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46"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19" w:lineRule="exact"/>
        <w:rPr>
          <w:sz w:val="24"/>
          <w:szCs w:val="24"/>
          <w:color w:val="auto"/>
        </w:rPr>
      </w:pPr>
    </w:p>
    <w:p>
      <w:pPr>
        <w:ind w:left="3700" w:right="1540" w:hanging="3679"/>
        <w:spacing w:after="0" w:line="328" w:lineRule="auto"/>
        <w:tabs>
          <w:tab w:leader="none" w:pos="47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June 30, 2024</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90"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17"/>
          <w:szCs w:val="17"/>
          <w:color w:val="auto"/>
          <w:highlight w:val="black"/>
        </w:rPr>
      </w:pPr>
      <w:r>
        <w:rPr>
          <w:rFonts w:ascii="Arial" w:cs="Arial" w:eastAsia="Arial" w:hAnsi="Arial"/>
          <w:sz w:val="17"/>
          <w:szCs w:val="17"/>
          <w:b w:val="1"/>
          <w:bCs w:val="1"/>
          <w:color w:val="auto"/>
        </w:rPr>
        <w:t>TRANSITION REPORT PURSUANT TO SECTION 13 OR 15(d) OF THE SECURITIES EXCHANGE ACT OF 1934</w:t>
      </w:r>
    </w:p>
    <w:p>
      <w:pPr>
        <w:spacing w:after="0" w:line="129" w:lineRule="exact"/>
        <w:rPr>
          <w:sz w:val="24"/>
          <w:szCs w:val="24"/>
          <w:color w:val="auto"/>
        </w:rPr>
      </w:pPr>
    </w:p>
    <w:p>
      <w:pPr>
        <w:ind w:left="2300"/>
        <w:spacing w:after="0"/>
        <w:rPr>
          <w:sz w:val="20"/>
          <w:szCs w:val="20"/>
          <w:color w:val="auto"/>
        </w:rPr>
      </w:pPr>
      <w:r>
        <w:rPr>
          <w:rFonts w:ascii="Arial" w:cs="Arial" w:eastAsia="Arial" w:hAnsi="Arial"/>
          <w:sz w:val="18"/>
          <w:szCs w:val="18"/>
          <w:b w:val="1"/>
          <w:bCs w:val="1"/>
          <w:color w:val="auto"/>
        </w:rPr>
        <w:t>For the transition period from ___________________ to ___________________</w:t>
      </w:r>
    </w:p>
    <w:p>
      <w:pPr>
        <w:spacing w:after="0" w:line="10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001-40971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86360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0"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AURA BIOSCIENCES, INC.</w:t>
      </w:r>
    </w:p>
    <w:p>
      <w:pPr>
        <w:spacing w:after="0" w:line="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74930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ectPr>
          <w:pgSz w:w="11900" w:h="16838" w:orient="portrait"/>
          <w:cols w:equalWidth="0" w:num="1">
            <w:col w:w="11240"/>
          </w:cols>
          <w:pgMar w:left="320" w:top="1014" w:right="339" w:bottom="1440" w:gutter="0" w:footer="0" w:header="0"/>
        </w:sectPr>
      </w:pPr>
    </w:p>
    <w:p>
      <w:pPr>
        <w:spacing w:after="0" w:line="248" w:lineRule="exact"/>
        <w:rPr>
          <w:sz w:val="24"/>
          <w:szCs w:val="24"/>
          <w:color w:val="auto"/>
        </w:rPr>
      </w:pPr>
    </w:p>
    <w:p>
      <w:pPr>
        <w:jc w:val="center"/>
        <w:ind w:right="1540"/>
        <w:spacing w:after="0"/>
        <w:rPr>
          <w:sz w:val="20"/>
          <w:szCs w:val="20"/>
          <w:color w:val="auto"/>
        </w:rPr>
      </w:pPr>
      <w:r>
        <w:rPr>
          <w:rFonts w:ascii="Arial" w:cs="Arial" w:eastAsia="Arial" w:hAnsi="Arial"/>
          <w:sz w:val="18"/>
          <w:szCs w:val="18"/>
          <w:b w:val="1"/>
          <w:bCs w:val="1"/>
          <w:color w:val="auto"/>
        </w:rPr>
        <w:t>Delaware</w:t>
      </w:r>
    </w:p>
    <w:p>
      <w:pPr>
        <w:spacing w:after="0" w:line="32" w:lineRule="exact"/>
        <w:rPr>
          <w:sz w:val="24"/>
          <w:szCs w:val="24"/>
          <w:color w:val="auto"/>
        </w:rPr>
      </w:pPr>
    </w:p>
    <w:p>
      <w:pPr>
        <w:ind w:left="1960"/>
        <w:spacing w:after="0"/>
        <w:rPr>
          <w:sz w:val="20"/>
          <w:szCs w:val="20"/>
          <w:color w:val="auto"/>
        </w:rPr>
      </w:pPr>
      <w:r>
        <w:rPr>
          <w:rFonts w:ascii="Arial" w:cs="Arial" w:eastAsia="Arial" w:hAnsi="Arial"/>
          <w:sz w:val="12"/>
          <w:szCs w:val="12"/>
          <w:b w:val="1"/>
          <w:bCs w:val="1"/>
          <w:color w:val="auto"/>
        </w:rPr>
        <w:t>(State or other jurisdiction of</w:t>
      </w:r>
    </w:p>
    <w:p>
      <w:pPr>
        <w:ind w:left="1920"/>
        <w:spacing w:after="0"/>
        <w:rPr>
          <w:sz w:val="20"/>
          <w:szCs w:val="20"/>
          <w:color w:val="auto"/>
        </w:rPr>
      </w:pPr>
      <w:r>
        <w:rPr>
          <w:rFonts w:ascii="Arial" w:cs="Arial" w:eastAsia="Arial" w:hAnsi="Arial"/>
          <w:sz w:val="12"/>
          <w:szCs w:val="12"/>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28" w:lineRule="exact"/>
        <w:rPr>
          <w:sz w:val="24"/>
          <w:szCs w:val="24"/>
          <w:color w:val="auto"/>
        </w:rPr>
      </w:pPr>
    </w:p>
    <w:p>
      <w:pPr>
        <w:ind w:left="60"/>
        <w:spacing w:after="0"/>
        <w:rPr>
          <w:sz w:val="20"/>
          <w:szCs w:val="20"/>
          <w:color w:val="auto"/>
        </w:rPr>
      </w:pPr>
      <w:r>
        <w:rPr>
          <w:rFonts w:ascii="Arial" w:cs="Arial" w:eastAsia="Arial" w:hAnsi="Arial"/>
          <w:sz w:val="18"/>
          <w:szCs w:val="18"/>
          <w:b w:val="1"/>
          <w:bCs w:val="1"/>
          <w:color w:val="auto"/>
        </w:rPr>
        <w:t>32-0271970</w:t>
      </w:r>
    </w:p>
    <w:p>
      <w:pPr>
        <w:spacing w:after="0" w:line="34" w:lineRule="exact"/>
        <w:rPr>
          <w:sz w:val="24"/>
          <w:szCs w:val="24"/>
          <w:color w:val="auto"/>
        </w:rPr>
      </w:pPr>
    </w:p>
    <w:p>
      <w:pPr>
        <w:jc w:val="center"/>
        <w:ind w:right="2280"/>
        <w:spacing w:after="0"/>
        <w:rPr>
          <w:sz w:val="20"/>
          <w:szCs w:val="20"/>
          <w:color w:val="auto"/>
        </w:rPr>
      </w:pPr>
      <w:r>
        <w:rPr>
          <w:rFonts w:ascii="Arial" w:cs="Arial" w:eastAsia="Arial" w:hAnsi="Arial"/>
          <w:sz w:val="13"/>
          <w:szCs w:val="13"/>
          <w:b w:val="1"/>
          <w:bCs w:val="1"/>
          <w:color w:val="auto"/>
        </w:rPr>
        <w:t>(I.R.S. Employer</w:t>
      </w:r>
    </w:p>
    <w:p>
      <w:pPr>
        <w:jc w:val="center"/>
        <w:ind w:right="2280"/>
        <w:spacing w:after="0"/>
        <w:rPr>
          <w:sz w:val="20"/>
          <w:szCs w:val="20"/>
          <w:color w:val="auto"/>
        </w:rPr>
      </w:pPr>
      <w:r>
        <w:rPr>
          <w:rFonts w:ascii="Arial" w:cs="Arial" w:eastAsia="Arial" w:hAnsi="Arial"/>
          <w:sz w:val="12"/>
          <w:szCs w:val="12"/>
          <w:b w:val="1"/>
          <w:bCs w:val="1"/>
          <w:color w:val="auto"/>
        </w:rPr>
        <w:t>Identification No.)</w:t>
      </w:r>
    </w:p>
    <w:p>
      <w:pPr>
        <w:spacing w:after="0" w:line="65" w:lineRule="exact"/>
        <w:rPr>
          <w:sz w:val="24"/>
          <w:szCs w:val="24"/>
          <w:color w:val="auto"/>
        </w:rPr>
      </w:pPr>
    </w:p>
    <w:p>
      <w:pPr>
        <w:sectPr>
          <w:pgSz w:w="11900" w:h="16838" w:orient="portrait"/>
          <w:cols w:equalWidth="0" w:num="2">
            <w:col w:w="7180" w:space="720"/>
            <w:col w:w="3340"/>
          </w:cols>
          <w:pgMar w:left="320" w:top="1014" w:right="339" w:bottom="1440" w:gutter="0" w:footer="0" w:header="0"/>
          <w:type w:val="continuous"/>
        </w:sectPr>
      </w:pPr>
    </w:p>
    <w:tbl>
      <w:tblPr>
        <w:tblLayout w:type="fixed"/>
        <w:tblInd w:w="1640" w:type="dxa"/>
        <w:tblCellMar>
          <w:top w:w="0" w:type="dxa"/>
          <w:left w:w="0" w:type="dxa"/>
          <w:bottom w:w="0" w:type="dxa"/>
          <w:right w:w="0" w:type="dxa"/>
        </w:tblCellMar>
      </w:tblPr>
      <w:tr>
        <w:trPr>
          <w:trHeight w:val="216"/>
        </w:trPr>
        <w:tc>
          <w:tcPr>
            <w:tcW w:w="4420" w:type="dxa"/>
            <w:vAlign w:val="bottom"/>
          </w:tcPr>
          <w:p>
            <w:pPr>
              <w:jc w:val="center"/>
              <w:ind w:right="1979"/>
              <w:spacing w:after="0"/>
              <w:rPr>
                <w:sz w:val="20"/>
                <w:szCs w:val="20"/>
                <w:color w:val="auto"/>
              </w:rPr>
            </w:pPr>
            <w:r>
              <w:rPr>
                <w:rFonts w:ascii="Arial" w:cs="Arial" w:eastAsia="Arial" w:hAnsi="Arial"/>
                <w:sz w:val="18"/>
                <w:szCs w:val="18"/>
                <w:b w:val="1"/>
                <w:bCs w:val="1"/>
                <w:color w:val="auto"/>
                <w:w w:val="99"/>
              </w:rPr>
              <w:t>80 Guest Street</w:t>
            </w:r>
          </w:p>
        </w:tc>
        <w:tc>
          <w:tcPr>
            <w:tcW w:w="2680" w:type="dxa"/>
            <w:vAlign w:val="bottom"/>
          </w:tcPr>
          <w:p>
            <w:pPr>
              <w:spacing w:after="0"/>
              <w:rPr>
                <w:sz w:val="18"/>
                <w:szCs w:val="18"/>
                <w:color w:val="auto"/>
              </w:rPr>
            </w:pPr>
          </w:p>
        </w:tc>
      </w:tr>
      <w:tr>
        <w:trPr>
          <w:trHeight w:val="244"/>
        </w:trPr>
        <w:tc>
          <w:tcPr>
            <w:tcW w:w="4420" w:type="dxa"/>
            <w:vAlign w:val="bottom"/>
          </w:tcPr>
          <w:p>
            <w:pPr>
              <w:jc w:val="center"/>
              <w:ind w:right="1979"/>
              <w:spacing w:after="0"/>
              <w:rPr>
                <w:sz w:val="20"/>
                <w:szCs w:val="20"/>
                <w:color w:val="auto"/>
              </w:rPr>
            </w:pPr>
            <w:r>
              <w:rPr>
                <w:rFonts w:ascii="Arial" w:cs="Arial" w:eastAsia="Arial" w:hAnsi="Arial"/>
                <w:sz w:val="18"/>
                <w:szCs w:val="18"/>
                <w:b w:val="1"/>
                <w:bCs w:val="1"/>
                <w:color w:val="auto"/>
                <w:w w:val="99"/>
              </w:rPr>
              <w:t>Boston, MA</w:t>
            </w:r>
          </w:p>
        </w:tc>
        <w:tc>
          <w:tcPr>
            <w:tcW w:w="2680" w:type="dxa"/>
            <w:vAlign w:val="bottom"/>
          </w:tcPr>
          <w:p>
            <w:pPr>
              <w:jc w:val="right"/>
              <w:spacing w:after="0"/>
              <w:rPr>
                <w:sz w:val="20"/>
                <w:szCs w:val="20"/>
                <w:color w:val="auto"/>
              </w:rPr>
            </w:pPr>
            <w:r>
              <w:rPr>
                <w:rFonts w:ascii="Arial" w:cs="Arial" w:eastAsia="Arial" w:hAnsi="Arial"/>
                <w:sz w:val="18"/>
                <w:szCs w:val="18"/>
                <w:b w:val="1"/>
                <w:bCs w:val="1"/>
                <w:color w:val="auto"/>
              </w:rPr>
              <w:t>02135</w:t>
            </w:r>
          </w:p>
        </w:tc>
      </w:tr>
      <w:tr>
        <w:trPr>
          <w:trHeight w:val="172"/>
        </w:trPr>
        <w:tc>
          <w:tcPr>
            <w:tcW w:w="4420" w:type="dxa"/>
            <w:vAlign w:val="bottom"/>
          </w:tcPr>
          <w:p>
            <w:pPr>
              <w:jc w:val="center"/>
              <w:ind w:right="1979"/>
              <w:spacing w:after="0"/>
              <w:rPr>
                <w:sz w:val="20"/>
                <w:szCs w:val="20"/>
                <w:color w:val="auto"/>
              </w:rPr>
            </w:pPr>
            <w:r>
              <w:rPr>
                <w:rFonts w:ascii="Arial" w:cs="Arial" w:eastAsia="Arial" w:hAnsi="Arial"/>
                <w:sz w:val="13"/>
                <w:szCs w:val="13"/>
                <w:b w:val="1"/>
                <w:bCs w:val="1"/>
                <w:color w:val="auto"/>
                <w:w w:val="97"/>
              </w:rPr>
              <w:t>(Address of principal executive offices)</w:t>
            </w:r>
          </w:p>
        </w:tc>
        <w:tc>
          <w:tcPr>
            <w:tcW w:w="2680" w:type="dxa"/>
            <w:vAlign w:val="bottom"/>
          </w:tcPr>
          <w:p>
            <w:pPr>
              <w:jc w:val="center"/>
              <w:ind w:left="1984"/>
              <w:spacing w:after="0"/>
              <w:rPr>
                <w:sz w:val="20"/>
                <w:szCs w:val="20"/>
                <w:color w:val="auto"/>
              </w:rPr>
            </w:pPr>
            <w:r>
              <w:rPr>
                <w:rFonts w:ascii="Arial" w:cs="Arial" w:eastAsia="Arial" w:hAnsi="Arial"/>
                <w:sz w:val="13"/>
                <w:szCs w:val="13"/>
                <w:b w:val="1"/>
                <w:bCs w:val="1"/>
                <w:color w:val="auto"/>
                <w:w w:val="96"/>
              </w:rPr>
              <w:t>(Zip Code)</w:t>
            </w:r>
          </w:p>
        </w:tc>
      </w:tr>
    </w:tbl>
    <w:p>
      <w:pPr>
        <w:spacing w:after="0" w:line="4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(617) 500-8864</w:t>
      </w:r>
    </w:p>
    <w:p>
      <w:pPr>
        <w:spacing w:after="0" w:line="374"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79375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72" w:lineRule="exact"/>
        <w:rPr>
          <w:sz w:val="24"/>
          <w:szCs w:val="24"/>
          <w:color w:val="auto"/>
        </w:rPr>
      </w:pPr>
    </w:p>
    <w:p>
      <w:pPr>
        <w:ind w:left="60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04"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4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rPr>
              <w:t>Trading</w:t>
            </w:r>
          </w:p>
        </w:tc>
        <w:tc>
          <w:tcPr>
            <w:tcW w:w="120" w:type="dxa"/>
            <w:vAlign w:val="bottom"/>
          </w:tcPr>
          <w:p>
            <w:pPr>
              <w:spacing w:after="0"/>
              <w:rPr>
                <w:sz w:val="14"/>
                <w:szCs w:val="14"/>
                <w:color w:val="auto"/>
              </w:rPr>
            </w:pPr>
          </w:p>
        </w:tc>
        <w:tc>
          <w:tcPr>
            <w:tcW w:w="5040" w:type="dxa"/>
            <w:vAlign w:val="bottom"/>
          </w:tcPr>
          <w:p>
            <w:pPr>
              <w:spacing w:after="0"/>
              <w:rPr>
                <w:sz w:val="14"/>
                <w:szCs w:val="14"/>
                <w:color w:val="auto"/>
              </w:rPr>
            </w:pPr>
          </w:p>
        </w:tc>
      </w:tr>
      <w:tr>
        <w:trPr>
          <w:trHeight w:val="185"/>
        </w:trPr>
        <w:tc>
          <w:tcPr>
            <w:tcW w:w="4280" w:type="dxa"/>
            <w:vAlign w:val="bottom"/>
            <w:tcBorders>
              <w:bottom w:val="single" w:sz="8" w:color="auto"/>
            </w:tcBorders>
          </w:tcPr>
          <w:p>
            <w:pPr>
              <w:ind w:left="1520"/>
              <w:spacing w:after="0"/>
              <w:rPr>
                <w:sz w:val="20"/>
                <w:szCs w:val="20"/>
                <w:color w:val="auto"/>
              </w:rPr>
            </w:pPr>
            <w:r>
              <w:rPr>
                <w:rFonts w:ascii="Arial" w:cs="Arial" w:eastAsia="Arial" w:hAnsi="Arial"/>
                <w:sz w:val="14"/>
                <w:szCs w:val="14"/>
                <w:b w:val="1"/>
                <w:bCs w:val="1"/>
                <w:color w:val="auto"/>
              </w:rPr>
              <w:t>Title of each class</w:t>
            </w:r>
          </w:p>
        </w:tc>
        <w:tc>
          <w:tcPr>
            <w:tcW w:w="120" w:type="dxa"/>
            <w:vAlign w:val="bottom"/>
          </w:tcPr>
          <w:p>
            <w:pPr>
              <w:spacing w:after="0"/>
              <w:rPr>
                <w:sz w:val="16"/>
                <w:szCs w:val="16"/>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Symbol(s)</w:t>
            </w:r>
          </w:p>
        </w:tc>
        <w:tc>
          <w:tcPr>
            <w:tcW w:w="120" w:type="dxa"/>
            <w:vAlign w:val="bottom"/>
          </w:tcPr>
          <w:p>
            <w:pPr>
              <w:spacing w:after="0"/>
              <w:rPr>
                <w:sz w:val="16"/>
                <w:szCs w:val="16"/>
                <w:color w:val="auto"/>
              </w:rPr>
            </w:pPr>
          </w:p>
        </w:tc>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208"/>
        </w:trPr>
        <w:tc>
          <w:tcPr>
            <w:tcW w:w="4280" w:type="dxa"/>
            <w:vAlign w:val="bottom"/>
          </w:tcPr>
          <w:p>
            <w:pPr>
              <w:ind w:left="20"/>
              <w:spacing w:after="0"/>
              <w:rPr>
                <w:sz w:val="20"/>
                <w:szCs w:val="20"/>
                <w:color w:val="auto"/>
              </w:rPr>
            </w:pPr>
            <w:r>
              <w:rPr>
                <w:rFonts w:ascii="Arial" w:cs="Arial" w:eastAsia="Arial" w:hAnsi="Arial"/>
                <w:sz w:val="16"/>
                <w:szCs w:val="16"/>
                <w:color w:val="auto"/>
              </w:rPr>
              <w:t>Common Stock, par value $0.00001 per share</w:t>
            </w: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6"/>
                <w:szCs w:val="16"/>
                <w:color w:val="auto"/>
              </w:rPr>
              <w:t>AURA</w:t>
            </w:r>
          </w:p>
        </w:tc>
        <w:tc>
          <w:tcPr>
            <w:tcW w:w="120" w:type="dxa"/>
            <w:vAlign w:val="bottom"/>
          </w:tcPr>
          <w:p>
            <w:pPr>
              <w:spacing w:after="0"/>
              <w:rPr>
                <w:sz w:val="18"/>
                <w:szCs w:val="18"/>
                <w:color w:val="auto"/>
              </w:rPr>
            </w:pPr>
          </w:p>
        </w:tc>
        <w:tc>
          <w:tcPr>
            <w:tcW w:w="5040" w:type="dxa"/>
            <w:vAlign w:val="bottom"/>
          </w:tcPr>
          <w:p>
            <w:pPr>
              <w:jc w:val="center"/>
              <w:spacing w:after="0"/>
              <w:rPr>
                <w:sz w:val="20"/>
                <w:szCs w:val="20"/>
                <w:color w:val="auto"/>
              </w:rPr>
            </w:pPr>
            <w:r>
              <w:rPr>
                <w:rFonts w:ascii="Arial" w:cs="Arial" w:eastAsia="Arial" w:hAnsi="Arial"/>
                <w:sz w:val="16"/>
                <w:szCs w:val="16"/>
                <w:color w:val="auto"/>
              </w:rPr>
              <w:t>Nasdaq Global Market LLC</w:t>
            </w:r>
          </w:p>
        </w:tc>
      </w:tr>
    </w:tbl>
    <w:p>
      <w:pPr>
        <w:spacing w:after="0" w:line="95" w:lineRule="exact"/>
        <w:rPr>
          <w:sz w:val="24"/>
          <w:szCs w:val="24"/>
          <w:color w:val="auto"/>
        </w:rPr>
      </w:pPr>
    </w:p>
    <w:p>
      <w:pPr>
        <w:ind w:right="120" w:firstLine="599"/>
        <w:spacing w:after="0" w:line="205"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47" w:lineRule="exact"/>
        <w:rPr>
          <w:sz w:val="24"/>
          <w:szCs w:val="24"/>
          <w:color w:val="auto"/>
        </w:rPr>
      </w:pPr>
    </w:p>
    <w:p>
      <w:pPr>
        <w:jc w:val="both"/>
        <w:ind w:right="40" w:firstLine="599"/>
        <w:spacing w:after="0" w:line="205"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34" w:lineRule="exact"/>
        <w:rPr>
          <w:sz w:val="24"/>
          <w:szCs w:val="24"/>
          <w:color w:val="auto"/>
        </w:rPr>
      </w:pPr>
    </w:p>
    <w:p>
      <w:pPr>
        <w:ind w:right="120" w:firstLine="599"/>
        <w:spacing w:after="0" w:line="266"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216"/>
        </w:trPr>
        <w:tc>
          <w:tcPr>
            <w:tcW w:w="266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2940" w:type="dxa"/>
            <w:vAlign w:val="bottom"/>
          </w:tcPr>
          <w:p>
            <w:pPr>
              <w:ind w:left="1060"/>
              <w:spacing w:after="0" w:line="161" w:lineRule="exact"/>
              <w:rPr>
                <w:sz w:val="20"/>
                <w:szCs w:val="20"/>
                <w:color w:val="auto"/>
              </w:rPr>
            </w:pPr>
            <w:r>
              <w:rPr>
                <w:rFonts w:ascii="MS PGothic" w:cs="MS PGothic" w:eastAsia="MS PGothic" w:hAnsi="MS PGothic"/>
                <w:sz w:val="16"/>
                <w:szCs w:val="16"/>
                <w:color w:val="auto"/>
              </w:rPr>
              <w:t>☐</w:t>
            </w:r>
          </w:p>
        </w:tc>
        <w:tc>
          <w:tcPr>
            <w:tcW w:w="4540" w:type="dxa"/>
            <w:vAlign w:val="bottom"/>
          </w:tcPr>
          <w:p>
            <w:pPr>
              <w:ind w:left="1720"/>
              <w:spacing w:after="0"/>
              <w:rPr>
                <w:sz w:val="20"/>
                <w:szCs w:val="20"/>
                <w:color w:val="auto"/>
              </w:rPr>
            </w:pPr>
            <w:r>
              <w:rPr>
                <w:rFonts w:ascii="Arial" w:cs="Arial" w:eastAsia="Arial" w:hAnsi="Arial"/>
                <w:sz w:val="16"/>
                <w:szCs w:val="16"/>
                <w:color w:val="auto"/>
              </w:rPr>
              <w:t>Accelerated filer</w:t>
            </w:r>
          </w:p>
        </w:tc>
        <w:tc>
          <w:tcPr>
            <w:tcW w:w="1020" w:type="dxa"/>
            <w:vAlign w:val="bottom"/>
          </w:tcPr>
          <w:p>
            <w:pPr>
              <w:ind w:left="8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16"/>
        </w:trPr>
        <w:tc>
          <w:tcPr>
            <w:tcW w:w="2660" w:type="dxa"/>
            <w:vAlign w:val="bottom"/>
          </w:tcPr>
          <w:p>
            <w:pPr>
              <w:spacing w:after="0"/>
              <w:rPr>
                <w:sz w:val="20"/>
                <w:szCs w:val="20"/>
                <w:color w:val="auto"/>
              </w:rPr>
            </w:pPr>
            <w:r>
              <w:rPr>
                <w:rFonts w:ascii="Arial" w:cs="Arial" w:eastAsia="Arial" w:hAnsi="Arial"/>
                <w:sz w:val="16"/>
                <w:szCs w:val="16"/>
                <w:color w:val="auto"/>
              </w:rPr>
              <w:t>Non-accelerated filer</w:t>
            </w:r>
          </w:p>
        </w:tc>
        <w:tc>
          <w:tcPr>
            <w:tcW w:w="2940" w:type="dxa"/>
            <w:vAlign w:val="bottom"/>
          </w:tcPr>
          <w:p>
            <w:pPr>
              <w:ind w:left="1060"/>
              <w:spacing w:after="0" w:line="161" w:lineRule="exact"/>
              <w:rPr>
                <w:sz w:val="20"/>
                <w:szCs w:val="20"/>
                <w:color w:val="auto"/>
              </w:rPr>
            </w:pPr>
            <w:r>
              <w:rPr>
                <w:rFonts w:ascii="MS PGothic" w:cs="MS PGothic" w:eastAsia="MS PGothic" w:hAnsi="MS PGothic"/>
                <w:sz w:val="16"/>
                <w:szCs w:val="16"/>
                <w:color w:val="auto"/>
              </w:rPr>
              <w:t>☒</w:t>
            </w:r>
          </w:p>
        </w:tc>
        <w:tc>
          <w:tcPr>
            <w:tcW w:w="4540" w:type="dxa"/>
            <w:vAlign w:val="bottom"/>
          </w:tcPr>
          <w:p>
            <w:pPr>
              <w:ind w:left="1720"/>
              <w:spacing w:after="0"/>
              <w:rPr>
                <w:sz w:val="20"/>
                <w:szCs w:val="20"/>
                <w:color w:val="auto"/>
              </w:rPr>
            </w:pPr>
            <w:r>
              <w:rPr>
                <w:rFonts w:ascii="Arial" w:cs="Arial" w:eastAsia="Arial" w:hAnsi="Arial"/>
                <w:sz w:val="16"/>
                <w:szCs w:val="16"/>
                <w:color w:val="auto"/>
              </w:rPr>
              <w:t>Smaller reporting company</w:t>
            </w:r>
          </w:p>
        </w:tc>
        <w:tc>
          <w:tcPr>
            <w:tcW w:w="1020" w:type="dxa"/>
            <w:vAlign w:val="bottom"/>
          </w:tcPr>
          <w:p>
            <w:pPr>
              <w:ind w:left="8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2660" w:type="dxa"/>
            <w:vAlign w:val="bottom"/>
          </w:tcPr>
          <w:p>
            <w:pPr>
              <w:spacing w:after="0"/>
              <w:rPr>
                <w:sz w:val="23"/>
                <w:szCs w:val="23"/>
                <w:color w:val="auto"/>
              </w:rPr>
            </w:pPr>
          </w:p>
        </w:tc>
        <w:tc>
          <w:tcPr>
            <w:tcW w:w="2940" w:type="dxa"/>
            <w:vAlign w:val="bottom"/>
          </w:tcPr>
          <w:p>
            <w:pPr>
              <w:spacing w:after="0"/>
              <w:rPr>
                <w:sz w:val="23"/>
                <w:szCs w:val="23"/>
                <w:color w:val="auto"/>
              </w:rPr>
            </w:pPr>
          </w:p>
        </w:tc>
        <w:tc>
          <w:tcPr>
            <w:tcW w:w="4540" w:type="dxa"/>
            <w:vAlign w:val="bottom"/>
          </w:tcPr>
          <w:p>
            <w:pPr>
              <w:ind w:left="1720"/>
              <w:spacing w:after="0"/>
              <w:rPr>
                <w:sz w:val="20"/>
                <w:szCs w:val="20"/>
                <w:color w:val="auto"/>
              </w:rPr>
            </w:pPr>
            <w:r>
              <w:rPr>
                <w:rFonts w:ascii="Arial" w:cs="Arial" w:eastAsia="Arial" w:hAnsi="Arial"/>
                <w:sz w:val="16"/>
                <w:szCs w:val="16"/>
                <w:color w:val="auto"/>
              </w:rPr>
              <w:t>Emerging growth company</w:t>
            </w:r>
          </w:p>
        </w:tc>
        <w:tc>
          <w:tcPr>
            <w:tcW w:w="1020" w:type="dxa"/>
            <w:vAlign w:val="bottom"/>
          </w:tcPr>
          <w:p>
            <w:pPr>
              <w:ind w:left="88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60" w:lineRule="exact"/>
        <w:rPr>
          <w:sz w:val="24"/>
          <w:szCs w:val="24"/>
          <w:color w:val="auto"/>
        </w:rPr>
      </w:pPr>
    </w:p>
    <w:p>
      <w:pPr>
        <w:jc w:val="both"/>
        <w:ind w:right="60" w:firstLine="599"/>
        <w:spacing w:after="0" w:line="213"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ind w:left="600" w:right="1180"/>
        <w:spacing w:after="0" w:line="266"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As of August 5, 2024, the Registrant had 49,606,115 shares of common stock, $0.00001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62230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812165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4"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Summary of the Material Risks Associated with Our Business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business is subject to numerous material and other risks and uncertainties that you should be aware of in evaluating our business.</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These risks are described more fully in Part II, “Item 1A—Risk Factors,” and include, but are not limited to, the following:</w:t>
      </w:r>
    </w:p>
    <w:p>
      <w:pPr>
        <w:spacing w:after="0" w:line="45" w:lineRule="exact"/>
        <w:rPr>
          <w:sz w:val="20"/>
          <w:szCs w:val="20"/>
          <w:color w:val="auto"/>
        </w:rPr>
      </w:pPr>
    </w:p>
    <w:p>
      <w:pPr>
        <w:ind w:left="1020" w:right="20" w:hanging="503"/>
        <w:spacing w:after="0" w:line="257"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We have incurred significant net losses since our inception and anticipate that we will continue to incur losses for the foreseeable future.</w:t>
      </w:r>
    </w:p>
    <w:p>
      <w:pPr>
        <w:spacing w:after="0" w:line="1" w:lineRule="exact"/>
        <w:rPr>
          <w:rFonts w:ascii="Times New Roman" w:cs="Times New Roman" w:eastAsia="Times New Roman" w:hAnsi="Times New Roman"/>
          <w:sz w:val="18"/>
          <w:szCs w:val="18"/>
          <w:color w:val="auto"/>
        </w:rPr>
      </w:pPr>
    </w:p>
    <w:p>
      <w:pPr>
        <w:ind w:left="1020" w:hanging="503"/>
        <w:spacing w:after="0" w:line="257"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Raising additional capital may cause dilution to our existing stockholders, restrict our operations or require us to relinquish proprietary rights to our technologies or product candidates.</w:t>
      </w:r>
    </w:p>
    <w:p>
      <w:pPr>
        <w:spacing w:after="0" w:line="1" w:lineRule="exact"/>
        <w:rPr>
          <w:rFonts w:ascii="Times New Roman" w:cs="Times New Roman" w:eastAsia="Times New Roman" w:hAnsi="Times New Roman"/>
          <w:sz w:val="18"/>
          <w:szCs w:val="18"/>
          <w:color w:val="auto"/>
        </w:rPr>
      </w:pPr>
    </w:p>
    <w:p>
      <w:pPr>
        <w:ind w:left="1020" w:hanging="503"/>
        <w:spacing w:after="0" w:line="255"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generate revenue and achieve profitability depends significantly on our ability to achieve our objectives relating to the discovery, development, regulatory approval and commercialization of our product candidates.</w:t>
      </w: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We are heavily dependent on the success of AU-011, or bel-sar, our only product candidate to date.</w:t>
      </w:r>
    </w:p>
    <w:p>
      <w:pPr>
        <w:spacing w:after="0" w:line="39" w:lineRule="exact"/>
        <w:rPr>
          <w:rFonts w:ascii="Times New Roman" w:cs="Times New Roman" w:eastAsia="Times New Roman" w:hAnsi="Times New Roman"/>
          <w:sz w:val="18"/>
          <w:szCs w:val="18"/>
          <w:color w:val="auto"/>
        </w:rPr>
      </w:pPr>
    </w:p>
    <w:p>
      <w:pPr>
        <w:jc w:val="both"/>
        <w:ind w:left="1020" w:hanging="503"/>
        <w:spacing w:after="0" w:line="250"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If we are not able to obtain, or if there are delays in obtaining, required regulatory approvals for bel-sar, we will not be able to commercialize, or will be delayed in commercializing, our product candidates, and our ability to generate revenue will be materially impaired.</w:t>
      </w:r>
    </w:p>
    <w:p>
      <w:pPr>
        <w:ind w:left="1020" w:hanging="503"/>
        <w:spacing w:after="0" w:line="255"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We have initiated but not yet completed a pivotal clinical trial nor have we commercialized any pharmaceutical products, which may make it difficult to evaluate our future prospects.</w:t>
      </w:r>
    </w:p>
    <w:p>
      <w:pPr>
        <w:ind w:left="1020" w:hanging="503"/>
        <w:spacing w:after="0" w:line="252"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If we fail to develop additional product candidates, or obtain additional indications of our first product candidate, our commercial opportunity could be limited.</w:t>
      </w:r>
    </w:p>
    <w:p>
      <w:pPr>
        <w:jc w:val="both"/>
        <w:ind w:left="1020" w:hanging="503"/>
        <w:spacing w:after="0" w:line="250"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The U.S Food and Drug Administration’s agreement to a Special Protocol Assessment with respect to the study design of our global Phase 3 trial of bel-sar for the treatment of early-stage choroidal melanoma does not guarantee any particular outcome from regulatory review, including ultimate approval, and may not lead to a successful review or approval process.</w:t>
      </w:r>
    </w:p>
    <w:p>
      <w:pPr>
        <w:jc w:val="both"/>
        <w:ind w:left="1020" w:hanging="503"/>
        <w:spacing w:after="0" w:line="248"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We rely on third parties to conduct our clinical trials and some aspects of our research and preclinical testing, and expect to continue to do so, and those third parties may not perform satisfactorily, including failing to meet deadlines for the completion of such trials, research or testing.</w:t>
      </w:r>
    </w:p>
    <w:p>
      <w:pPr>
        <w:spacing w:after="0" w:line="1" w:lineRule="exact"/>
        <w:rPr>
          <w:rFonts w:ascii="Times New Roman" w:cs="Times New Roman" w:eastAsia="Times New Roman" w:hAnsi="Times New Roman"/>
          <w:sz w:val="18"/>
          <w:szCs w:val="18"/>
          <w:color w:val="auto"/>
        </w:rPr>
      </w:pPr>
    </w:p>
    <w:p>
      <w:pPr>
        <w:jc w:val="both"/>
        <w:ind w:left="1020" w:hanging="503"/>
        <w:spacing w:after="0" w:line="241"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We currently rely on third-party contract development and manufacturing organizations, or CDMOs, for the production of clinical supply of bel-sar and may continue to rely on CDMOs for the production of commercial supply of bel-sar, if approved. This reliance on CDMOs increases the risk that we will not have sufficient quantities of such materials, product candidates, or any therapies that we may develop and commercialize, or that such supply will not be available to us at an acceptable cost, which could delay, prevent, or impair our development or commercialization efforts.</w:t>
      </w:r>
    </w:p>
    <w:p>
      <w:pPr>
        <w:spacing w:after="0" w:line="3" w:lineRule="exact"/>
        <w:rPr>
          <w:rFonts w:ascii="Times New Roman" w:cs="Times New Roman" w:eastAsia="Times New Roman" w:hAnsi="Times New Roman"/>
          <w:sz w:val="18"/>
          <w:szCs w:val="18"/>
          <w:color w:val="auto"/>
        </w:rPr>
      </w:pPr>
    </w:p>
    <w:p>
      <w:pPr>
        <w:ind w:left="1020" w:hanging="503"/>
        <w:spacing w:after="0" w:line="257"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If bel-sar or any future product candidates do not achieve broad market acceptance, the revenue that we generate from their sales may be limited, and we may never become profitable.</w:t>
      </w:r>
    </w:p>
    <w:p>
      <w:pPr>
        <w:spacing w:after="0" w:line="1" w:lineRule="exact"/>
        <w:rPr>
          <w:rFonts w:ascii="Times New Roman" w:cs="Times New Roman" w:eastAsia="Times New Roman" w:hAnsi="Times New Roman"/>
          <w:sz w:val="18"/>
          <w:szCs w:val="18"/>
          <w:color w:val="auto"/>
        </w:rPr>
      </w:pPr>
    </w:p>
    <w:p>
      <w:pPr>
        <w:jc w:val="both"/>
        <w:ind w:left="1020" w:hanging="503"/>
        <w:spacing w:after="0" w:line="248"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If the market opportunity for bel-sar is smaller than we estimate or if any regulatory approval that we obtain is based on a narrower definition of the patient population, our revenue and ability to achieve profitability will be adversely affected, possibly materially.</w:t>
      </w:r>
    </w:p>
    <w:p>
      <w:pPr>
        <w:spacing w:after="0" w:line="1" w:lineRule="exact"/>
        <w:rPr>
          <w:rFonts w:ascii="Times New Roman" w:cs="Times New Roman" w:eastAsia="Times New Roman" w:hAnsi="Times New Roman"/>
          <w:sz w:val="18"/>
          <w:szCs w:val="18"/>
          <w:color w:val="auto"/>
        </w:rPr>
      </w:pPr>
    </w:p>
    <w:p>
      <w:pPr>
        <w:ind w:left="1020" w:hanging="503"/>
        <w:spacing w:after="0" w:line="252"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compete may decline if we do not adequately protect our proprietary rights, and our proprietary rights do not necessarily address all potential threats to our competitive advantage.</w:t>
      </w:r>
    </w:p>
    <w:p>
      <w:pPr>
        <w:ind w:left="1020" w:hanging="503"/>
        <w:spacing w:after="0" w:line="257"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If we lose key management personnel, or if we fail to recruit additional highly skilled personnel, our ability to pursue our business strategy will be impaired, could result in loss of markets or market share and could make us less competitive.</w:t>
      </w:r>
    </w:p>
    <w:p>
      <w:pPr>
        <w:spacing w:after="0" w:line="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Business disruptions could seriously harm our future revenue and financial condition and increase our costs and expenses.</w:t>
      </w:r>
    </w:p>
    <w:p>
      <w:pPr>
        <w:spacing w:after="0" w:line="35"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Our principal stockholders and management own a significant percentage of our stock and will be able to exert significant influence over matters subject to stockholder approval.</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77"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This Quarterly Report on Form 10-Q, or the Quarterly Report, contains forward-looking statements which are made pursuant to the safe harbor provisions of Section 27A of the Securities Act of 1933, as amended, or the Securities Act, and Section 21E of the Securities Exchange Act of 1934, as amended, or the Exchange Act. All statements other than statements of historical facts contained in this Quarterly Report are forward-looking statements. In some cases, you can identify forward-looking statements by terminology such as “may”, “will”, “should”, “expects”, “intends”, “plans”, “anticipates”, “believes”, “estimates”, “predicts”, “potential”, “continue” or the negative of these terms or other comparable terminology. These statements are not guarantees of future results or performance and involve substantial risks and uncertainties. Forward-looking statements in this Quarterly Report include, but are not limited to, statements about:</w:t>
      </w:r>
    </w:p>
    <w:p>
      <w:pPr>
        <w:spacing w:after="0" w:line="9" w:lineRule="exact"/>
        <w:rPr>
          <w:sz w:val="20"/>
          <w:szCs w:val="20"/>
          <w:color w:val="auto"/>
        </w:rPr>
      </w:pPr>
    </w:p>
    <w:p>
      <w:pPr>
        <w:jc w:val="both"/>
        <w:ind w:left="1020" w:hanging="503"/>
        <w:spacing w:after="0" w:line="245" w:lineRule="auto"/>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the initiation, timing, progress, results and cost of our research and development programs and our current and future nonclinical, preclinical studies and clinical trials, including statements regarding the timing of initiation and completion of studies or trials and related preparatory work, the period during which the results of the trials will become available and our research and development programs;</w:t>
      </w: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efficiently develop our existing product candidates and discover new product candidates;</w:t>
      </w:r>
    </w:p>
    <w:p>
      <w:pPr>
        <w:spacing w:after="0" w:line="39" w:lineRule="exact"/>
        <w:rPr>
          <w:rFonts w:ascii="Times New Roman" w:cs="Times New Roman" w:eastAsia="Times New Roman" w:hAnsi="Times New Roman"/>
          <w:sz w:val="18"/>
          <w:szCs w:val="18"/>
          <w:color w:val="auto"/>
        </w:rPr>
      </w:pPr>
    </w:p>
    <w:p>
      <w:pPr>
        <w:ind w:left="1020" w:hanging="503"/>
        <w:spacing w:after="0" w:line="257" w:lineRule="auto"/>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successfully manufacture our drug substances and product candidates for preclinical use, for clinical trials and on a larger scale for commercial use, if approved;</w:t>
      </w:r>
    </w:p>
    <w:p>
      <w:pPr>
        <w:spacing w:after="0" w:line="1" w:lineRule="exact"/>
        <w:rPr>
          <w:rFonts w:ascii="Times New Roman" w:cs="Times New Roman" w:eastAsia="Times New Roman" w:hAnsi="Times New Roman"/>
          <w:sz w:val="18"/>
          <w:szCs w:val="18"/>
          <w:color w:val="auto"/>
        </w:rPr>
      </w:pPr>
    </w:p>
    <w:p>
      <w:pPr>
        <w:ind w:left="1020" w:hanging="503"/>
        <w:spacing w:after="0" w:line="255" w:lineRule="auto"/>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the ability and willingness of our third-party strategic collaborators to continue research and development activities relating to our development candidates and product candidates;</w:t>
      </w:r>
    </w:p>
    <w:p>
      <w:pPr>
        <w:ind w:left="1020" w:hanging="503"/>
        <w:spacing w:after="0" w:line="252" w:lineRule="auto"/>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obtain funding for our operations necessary to complete further development and commercialization of our product candidates;</w:t>
      </w: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obtain and maintain regulatory approval of our product candidates;</w:t>
      </w:r>
    </w:p>
    <w:p>
      <w:pPr>
        <w:spacing w:after="0" w:line="4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commercialize our products, if approved;</w:t>
      </w:r>
    </w:p>
    <w:p>
      <w:pPr>
        <w:spacing w:after="0" w:line="3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the pricing and reimbursement of our product candidates, if approved;</w:t>
      </w:r>
    </w:p>
    <w:p>
      <w:pPr>
        <w:spacing w:after="0" w:line="4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the implementation of our business model and strategic plans for our business and product candidates;</w:t>
      </w:r>
    </w:p>
    <w:p>
      <w:pPr>
        <w:spacing w:after="0" w:line="4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the scope of protection we are able to establish and maintain for intellectual property rights covering our product candidates;</w:t>
      </w:r>
    </w:p>
    <w:p>
      <w:pPr>
        <w:spacing w:after="0" w:line="3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estimates of our future expenses, revenues, capital requirements and our needs for additional financing;</w:t>
      </w:r>
    </w:p>
    <w:p>
      <w:pPr>
        <w:spacing w:after="0" w:line="48" w:lineRule="exact"/>
        <w:rPr>
          <w:rFonts w:ascii="Times New Roman" w:cs="Times New Roman" w:eastAsia="Times New Roman" w:hAnsi="Times New Roman"/>
          <w:sz w:val="18"/>
          <w:szCs w:val="18"/>
          <w:color w:val="auto"/>
        </w:rPr>
      </w:pPr>
    </w:p>
    <w:p>
      <w:pPr>
        <w:ind w:left="1020" w:hanging="503"/>
        <w:spacing w:after="0" w:line="257" w:lineRule="auto"/>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the potential benefits of strategic collaboration agreements, our ability to enter into strategic collaborations or arrangements and our ability to attract collaborators with development, regulatory and commercialization expertise;</w:t>
      </w:r>
    </w:p>
    <w:p>
      <w:pPr>
        <w:spacing w:after="0" w:line="1" w:lineRule="exact"/>
        <w:rPr>
          <w:rFonts w:ascii="Times New Roman" w:cs="Times New Roman" w:eastAsia="Times New Roman" w:hAnsi="Times New Roman"/>
          <w:sz w:val="18"/>
          <w:szCs w:val="18"/>
          <w:color w:val="auto"/>
        </w:rPr>
      </w:pPr>
    </w:p>
    <w:p>
      <w:pPr>
        <w:ind w:left="1020" w:right="20" w:hanging="503"/>
        <w:spacing w:after="0" w:line="255" w:lineRule="auto"/>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future agreements with third parties in connection with the commercialization of product candidates and any other approved product;</w:t>
      </w: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the size and growth potential of the markets for our product candidates and our ability to serve those markets;</w:t>
      </w:r>
    </w:p>
    <w:p>
      <w:pPr>
        <w:spacing w:after="0" w:line="3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our financial performance;</w:t>
      </w:r>
    </w:p>
    <w:p>
      <w:pPr>
        <w:spacing w:after="0" w:line="4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the rate and degree of market acceptance of our product candidates;</w:t>
      </w:r>
    </w:p>
    <w:p>
      <w:pPr>
        <w:spacing w:after="0" w:line="3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regulatory developments in the United States and foreign countries;</w:t>
      </w:r>
    </w:p>
    <w:p>
      <w:pPr>
        <w:spacing w:after="0" w:line="4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produce our products or product candidates with advantages in turnaround times or manufacturing cost;</w:t>
      </w:r>
    </w:p>
    <w:p>
      <w:pPr>
        <w:spacing w:after="0" w:line="3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the success of competing therapies that are or may become available;</w:t>
      </w:r>
    </w:p>
    <w:p>
      <w:pPr>
        <w:spacing w:after="0" w:line="4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attract and retain key scientific or management personnel;</w:t>
      </w:r>
    </w:p>
    <w:p>
      <w:pPr>
        <w:spacing w:after="0" w:line="4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the impact of laws and regulations;</w:t>
      </w:r>
    </w:p>
    <w:p>
      <w:pPr>
        <w:spacing w:after="0" w:line="3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developments relating to our competitors and our industry;</w:t>
      </w:r>
    </w:p>
    <w:p>
      <w:pPr>
        <w:spacing w:after="0" w:line="4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the effects of macroeconomic conditions, including rising interest rates and inflation, on our business operations; and</w:t>
      </w:r>
    </w:p>
    <w:p>
      <w:pPr>
        <w:spacing w:after="0" w:line="4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other risks and uncertainties, including those listed under the caption “Risk Factors.”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47"/>
        </w:trPr>
        <w:tc>
          <w:tcPr>
            <w:tcW w:w="1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940" w:type="dxa"/>
            <w:vAlign w:val="bottom"/>
            <w:gridSpan w:val="9"/>
          </w:tcPr>
          <w:p>
            <w:pPr>
              <w:ind w:left="360"/>
              <w:spacing w:after="0"/>
              <w:rPr>
                <w:sz w:val="20"/>
                <w:szCs w:val="20"/>
                <w:color w:val="auto"/>
              </w:rPr>
            </w:pPr>
            <w:r>
              <w:rPr>
                <w:rFonts w:ascii="Arial" w:cs="Arial" w:eastAsia="Arial" w:hAnsi="Arial"/>
                <w:sz w:val="18"/>
                <w:szCs w:val="18"/>
                <w:b w:val="1"/>
                <w:bCs w:val="1"/>
                <w:color w:val="auto"/>
              </w:rPr>
              <w:t>Table of Contents</w:t>
            </w: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53"/>
        </w:trPr>
        <w:tc>
          <w:tcPr>
            <w:tcW w:w="1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78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385"/>
        </w:trPr>
        <w:tc>
          <w:tcPr>
            <w:tcW w:w="1140" w:type="dxa"/>
            <w:vAlign w:val="bottom"/>
          </w:tcPr>
          <w:p>
            <w:pPr>
              <w:spacing w:after="0"/>
              <w:rPr>
                <w:sz w:val="24"/>
                <w:szCs w:val="24"/>
                <w:color w:val="auto"/>
              </w:rPr>
            </w:pPr>
          </w:p>
        </w:tc>
        <w:tc>
          <w:tcPr>
            <w:tcW w:w="1820" w:type="dxa"/>
            <w:vAlign w:val="bottom"/>
            <w:tcBorders>
              <w:bottom w:val="single" w:sz="8" w:color="0000FF"/>
            </w:tcBorders>
            <w:gridSpan w:val="7"/>
          </w:tcPr>
          <w:p>
            <w:pPr>
              <w:spacing w:after="0"/>
              <w:rPr>
                <w:sz w:val="20"/>
                <w:szCs w:val="20"/>
                <w:color w:val="auto"/>
              </w:rPr>
            </w:pPr>
            <w:r>
              <w:rPr>
                <w:rFonts w:ascii="Arial" w:cs="Arial" w:eastAsia="Arial" w:hAnsi="Arial"/>
                <w:sz w:val="18"/>
                <w:szCs w:val="18"/>
                <w:color w:val="0000FF"/>
                <w:w w:val="99"/>
              </w:rPr>
              <w:t>SUMMARY OF RISKS</w:t>
            </w:r>
          </w:p>
        </w:tc>
        <w:tc>
          <w:tcPr>
            <w:tcW w:w="20" w:type="dxa"/>
            <w:vAlign w:val="bottom"/>
            <w:tcBorders>
              <w:bottom w:val="single" w:sz="8" w:color="0000EE"/>
            </w:tcBorders>
          </w:tcPr>
          <w:p>
            <w:pPr>
              <w:spacing w:after="0"/>
              <w:rPr>
                <w:sz w:val="24"/>
                <w:szCs w:val="24"/>
                <w:color w:val="auto"/>
              </w:rPr>
            </w:pPr>
          </w:p>
        </w:tc>
        <w:tc>
          <w:tcPr>
            <w:tcW w:w="7460" w:type="dxa"/>
            <w:vAlign w:val="bottom"/>
            <w:gridSpan w:val="17"/>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i</w:t>
            </w: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0"/>
                <w:szCs w:val="20"/>
                <w:color w:val="auto"/>
              </w:rPr>
            </w:pPr>
            <w:r>
              <w:rPr>
                <w:rFonts w:ascii="Arial" w:cs="Arial" w:eastAsia="Arial" w:hAnsi="Arial"/>
                <w:sz w:val="18"/>
                <w:szCs w:val="18"/>
                <w:b w:val="1"/>
                <w:bCs w:val="1"/>
                <w:color w:val="auto"/>
              </w:rPr>
              <w:t>PART I.</w:t>
            </w:r>
          </w:p>
        </w:tc>
        <w:tc>
          <w:tcPr>
            <w:tcW w:w="9300" w:type="dxa"/>
            <w:vAlign w:val="bottom"/>
            <w:gridSpan w:val="25"/>
          </w:tcPr>
          <w:p>
            <w:pPr>
              <w:spacing w:after="0"/>
              <w:rPr>
                <w:sz w:val="20"/>
                <w:szCs w:val="20"/>
                <w:color w:val="auto"/>
              </w:rPr>
            </w:pPr>
            <w:r>
              <w:rPr>
                <w:rFonts w:ascii="Arial" w:cs="Arial" w:eastAsia="Arial" w:hAnsi="Arial"/>
                <w:sz w:val="18"/>
                <w:szCs w:val="18"/>
                <w:color w:val="0000FF"/>
              </w:rPr>
              <w:t>FINANCIAL INFORMATION</w:t>
            </w: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tcBorders>
              <w:right w:val="single" w:sz="8" w:color="0000EE"/>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spacing w:after="0"/>
              <w:rPr>
                <w:sz w:val="20"/>
                <w:szCs w:val="20"/>
                <w:color w:val="auto"/>
              </w:rPr>
            </w:pPr>
            <w:r>
              <w:rPr>
                <w:rFonts w:ascii="Arial" w:cs="Arial" w:eastAsia="Arial" w:hAnsi="Arial"/>
                <w:sz w:val="18"/>
                <w:szCs w:val="18"/>
                <w:color w:val="auto"/>
              </w:rPr>
              <w:t>Item 1.</w:t>
            </w:r>
          </w:p>
        </w:tc>
        <w:tc>
          <w:tcPr>
            <w:tcW w:w="2680" w:type="dxa"/>
            <w:vAlign w:val="bottom"/>
            <w:tcBorders>
              <w:bottom w:val="single" w:sz="8" w:color="0000FF"/>
            </w:tcBorders>
            <w:gridSpan w:val="13"/>
          </w:tcPr>
          <w:p>
            <w:pPr>
              <w:spacing w:after="0"/>
              <w:rPr>
                <w:sz w:val="20"/>
                <w:szCs w:val="20"/>
                <w:color w:val="auto"/>
              </w:rPr>
            </w:pPr>
            <w:r>
              <w:rPr>
                <w:rFonts w:ascii="Arial" w:cs="Arial" w:eastAsia="Arial" w:hAnsi="Arial"/>
                <w:sz w:val="18"/>
                <w:szCs w:val="18"/>
                <w:color w:val="0000FF"/>
                <w:w w:val="99"/>
              </w:rPr>
              <w:t>Financial Statements (Unaudited)</w:t>
            </w:r>
          </w:p>
        </w:tc>
        <w:tc>
          <w:tcPr>
            <w:tcW w:w="20" w:type="dxa"/>
            <w:vAlign w:val="bottom"/>
            <w:tcBorders>
              <w:bottom w:val="single" w:sz="8" w:color="0000EE"/>
            </w:tcBorders>
          </w:tcPr>
          <w:p>
            <w:pPr>
              <w:spacing w:after="0"/>
              <w:rPr>
                <w:sz w:val="24"/>
                <w:szCs w:val="24"/>
                <w:color w:val="auto"/>
              </w:rPr>
            </w:pPr>
          </w:p>
        </w:tc>
        <w:tc>
          <w:tcPr>
            <w:tcW w:w="6600" w:type="dxa"/>
            <w:vAlign w:val="bottom"/>
            <w:gridSpan w:val="11"/>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3340" w:type="dxa"/>
            <w:vAlign w:val="bottom"/>
            <w:tcBorders>
              <w:bottom w:val="single" w:sz="8" w:color="0000FF"/>
            </w:tcBorders>
            <w:gridSpan w:val="15"/>
          </w:tcPr>
          <w:p>
            <w:pPr>
              <w:spacing w:after="0" w:line="196" w:lineRule="exact"/>
              <w:rPr>
                <w:sz w:val="20"/>
                <w:szCs w:val="20"/>
                <w:color w:val="auto"/>
              </w:rPr>
            </w:pPr>
            <w:r>
              <w:rPr>
                <w:rFonts w:ascii="Arial" w:cs="Arial" w:eastAsia="Arial" w:hAnsi="Arial"/>
                <w:sz w:val="18"/>
                <w:szCs w:val="18"/>
                <w:color w:val="0000FF"/>
                <w:w w:val="99"/>
              </w:rPr>
              <w:t>Condensed Consolidated Balance Sheets</w:t>
            </w:r>
          </w:p>
        </w:tc>
        <w:tc>
          <w:tcPr>
            <w:tcW w:w="20" w:type="dxa"/>
            <w:vAlign w:val="bottom"/>
            <w:tcBorders>
              <w:bottom w:val="single" w:sz="8" w:color="0000EE"/>
            </w:tcBorders>
          </w:tcPr>
          <w:p>
            <w:pPr>
              <w:spacing w:after="0"/>
              <w:rPr>
                <w:sz w:val="17"/>
                <w:szCs w:val="17"/>
                <w:color w:val="auto"/>
              </w:rPr>
            </w:pPr>
          </w:p>
        </w:tc>
        <w:tc>
          <w:tcPr>
            <w:tcW w:w="5940" w:type="dxa"/>
            <w:vAlign w:val="bottom"/>
            <w:gridSpan w:val="9"/>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6220" w:type="dxa"/>
            <w:vAlign w:val="bottom"/>
            <w:tcBorders>
              <w:bottom w:val="single" w:sz="8" w:color="0000FF"/>
            </w:tcBorders>
            <w:gridSpan w:val="23"/>
          </w:tcPr>
          <w:p>
            <w:pPr>
              <w:spacing w:after="0" w:line="196" w:lineRule="exact"/>
              <w:rPr>
                <w:sz w:val="20"/>
                <w:szCs w:val="20"/>
                <w:color w:val="auto"/>
              </w:rPr>
            </w:pPr>
            <w:r>
              <w:rPr>
                <w:rFonts w:ascii="Arial" w:cs="Arial" w:eastAsia="Arial" w:hAnsi="Arial"/>
                <w:sz w:val="18"/>
                <w:szCs w:val="18"/>
                <w:color w:val="0000FF"/>
                <w:w w:val="99"/>
              </w:rPr>
              <w:t>Condensed Consolidated Statements of Operations and Comprehensive Loss</w:t>
            </w:r>
          </w:p>
        </w:tc>
        <w:tc>
          <w:tcPr>
            <w:tcW w:w="3080" w:type="dxa"/>
            <w:vAlign w:val="bottom"/>
            <w:gridSpan w:val="2"/>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4880" w:type="dxa"/>
            <w:vAlign w:val="bottom"/>
            <w:tcBorders>
              <w:bottom w:val="single" w:sz="8" w:color="0000FF"/>
            </w:tcBorders>
            <w:gridSpan w:val="21"/>
          </w:tcPr>
          <w:p>
            <w:pPr>
              <w:spacing w:after="0" w:line="196" w:lineRule="exact"/>
              <w:rPr>
                <w:sz w:val="20"/>
                <w:szCs w:val="20"/>
                <w:color w:val="auto"/>
              </w:rPr>
            </w:pPr>
            <w:r>
              <w:rPr>
                <w:rFonts w:ascii="Arial" w:cs="Arial" w:eastAsia="Arial" w:hAnsi="Arial"/>
                <w:sz w:val="18"/>
                <w:szCs w:val="18"/>
                <w:color w:val="0000FF"/>
                <w:w w:val="99"/>
              </w:rPr>
              <w:t>Condensed Consolidated Statements of Stockholders’ Equity</w:t>
            </w:r>
          </w:p>
        </w:tc>
        <w:tc>
          <w:tcPr>
            <w:tcW w:w="4420" w:type="dxa"/>
            <w:vAlign w:val="bottom"/>
            <w:gridSpan w:val="4"/>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4180" w:type="dxa"/>
            <w:vAlign w:val="bottom"/>
            <w:tcBorders>
              <w:bottom w:val="single" w:sz="8" w:color="0000FF"/>
            </w:tcBorders>
            <w:gridSpan w:val="17"/>
          </w:tcPr>
          <w:p>
            <w:pPr>
              <w:spacing w:after="0" w:line="196" w:lineRule="exact"/>
              <w:rPr>
                <w:sz w:val="20"/>
                <w:szCs w:val="20"/>
                <w:color w:val="auto"/>
              </w:rPr>
            </w:pPr>
            <w:r>
              <w:rPr>
                <w:rFonts w:ascii="Arial" w:cs="Arial" w:eastAsia="Arial" w:hAnsi="Arial"/>
                <w:sz w:val="18"/>
                <w:szCs w:val="18"/>
                <w:color w:val="0000FF"/>
                <w:w w:val="99"/>
              </w:rPr>
              <w:t>Condensed Consolidated Statements of Cash Flows</w:t>
            </w:r>
          </w:p>
        </w:tc>
        <w:tc>
          <w:tcPr>
            <w:tcW w:w="20" w:type="dxa"/>
            <w:vAlign w:val="bottom"/>
            <w:tcBorders>
              <w:bottom w:val="single" w:sz="8" w:color="0000EE"/>
            </w:tcBorders>
          </w:tcPr>
          <w:p>
            <w:pPr>
              <w:spacing w:after="0"/>
              <w:rPr>
                <w:sz w:val="17"/>
                <w:szCs w:val="17"/>
                <w:color w:val="auto"/>
              </w:rPr>
            </w:pPr>
          </w:p>
        </w:tc>
        <w:tc>
          <w:tcPr>
            <w:tcW w:w="5100" w:type="dxa"/>
            <w:vAlign w:val="bottom"/>
            <w:gridSpan w:val="7"/>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5360" w:type="dxa"/>
            <w:vAlign w:val="bottom"/>
            <w:tcBorders>
              <w:bottom w:val="single" w:sz="8" w:color="0000FF"/>
            </w:tcBorders>
            <w:gridSpan w:val="22"/>
          </w:tcPr>
          <w:p>
            <w:pPr>
              <w:spacing w:after="0" w:line="196" w:lineRule="exact"/>
              <w:rPr>
                <w:sz w:val="20"/>
                <w:szCs w:val="20"/>
                <w:color w:val="auto"/>
              </w:rPr>
            </w:pPr>
            <w:r>
              <w:rPr>
                <w:rFonts w:ascii="Arial" w:cs="Arial" w:eastAsia="Arial" w:hAnsi="Arial"/>
                <w:sz w:val="18"/>
                <w:szCs w:val="18"/>
                <w:color w:val="0000FF"/>
                <w:w w:val="99"/>
              </w:rPr>
              <w:t>Notes to Unaudited Condensed Consolidated Financial Statements</w:t>
            </w:r>
          </w:p>
        </w:tc>
        <w:tc>
          <w:tcPr>
            <w:tcW w:w="3940" w:type="dxa"/>
            <w:vAlign w:val="bottom"/>
            <w:gridSpan w:val="3"/>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9300" w:type="dxa"/>
            <w:vAlign w:val="bottom"/>
            <w:gridSpan w:val="25"/>
          </w:tcPr>
          <w:p>
            <w:pPr>
              <w:spacing w:after="0" w:line="196" w:lineRule="exact"/>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Arial" w:cs="Arial" w:eastAsia="Arial" w:hAnsi="Arial"/>
                <w:sz w:val="18"/>
                <w:szCs w:val="18"/>
                <w:color w:val="auto"/>
              </w:rPr>
              <w:t>Item 3.</w:t>
            </w:r>
          </w:p>
        </w:tc>
        <w:tc>
          <w:tcPr>
            <w:tcW w:w="4720" w:type="dxa"/>
            <w:vAlign w:val="bottom"/>
            <w:tcBorders>
              <w:top w:val="single" w:sz="8" w:color="0000FF"/>
              <w:bottom w:val="single" w:sz="8" w:color="0000FF"/>
            </w:tcBorders>
            <w:gridSpan w:val="19"/>
          </w:tcPr>
          <w:p>
            <w:pPr>
              <w:spacing w:after="0" w:line="196" w:lineRule="exact"/>
              <w:rPr>
                <w:sz w:val="20"/>
                <w:szCs w:val="20"/>
                <w:color w:val="auto"/>
              </w:rPr>
            </w:pPr>
            <w:r>
              <w:rPr>
                <w:rFonts w:ascii="Arial" w:cs="Arial" w:eastAsia="Arial" w:hAnsi="Arial"/>
                <w:sz w:val="18"/>
                <w:szCs w:val="18"/>
                <w:color w:val="0000FF"/>
                <w:w w:val="99"/>
              </w:rPr>
              <w:t>Quantitative and Qualitative Disclosures About Market Risk</w:t>
            </w:r>
          </w:p>
        </w:tc>
        <w:tc>
          <w:tcPr>
            <w:tcW w:w="2360" w:type="dxa"/>
            <w:vAlign w:val="bottom"/>
            <w:tcBorders>
              <w:top w:val="single" w:sz="8" w:color="0000FF"/>
            </w:tcBorders>
            <w:gridSpan w:val="5"/>
          </w:tcPr>
          <w:p>
            <w:pPr>
              <w:spacing w:after="0"/>
              <w:rPr>
                <w:sz w:val="17"/>
                <w:szCs w:val="17"/>
                <w:color w:val="auto"/>
              </w:rPr>
            </w:pPr>
          </w:p>
        </w:tc>
        <w:tc>
          <w:tcPr>
            <w:tcW w:w="2220" w:type="dxa"/>
            <w:vAlign w:val="bottom"/>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Arial" w:cs="Arial" w:eastAsia="Arial" w:hAnsi="Arial"/>
                <w:sz w:val="18"/>
                <w:szCs w:val="18"/>
                <w:color w:val="auto"/>
              </w:rPr>
              <w:t>Item 4.</w:t>
            </w:r>
          </w:p>
        </w:tc>
        <w:tc>
          <w:tcPr>
            <w:tcW w:w="2000" w:type="dxa"/>
            <w:vAlign w:val="bottom"/>
            <w:tcBorders>
              <w:bottom w:val="single" w:sz="8" w:color="0000FF"/>
            </w:tcBorders>
            <w:gridSpan w:val="10"/>
          </w:tcPr>
          <w:p>
            <w:pPr>
              <w:spacing w:after="0" w:line="196" w:lineRule="exact"/>
              <w:rPr>
                <w:sz w:val="20"/>
                <w:szCs w:val="20"/>
                <w:color w:val="auto"/>
              </w:rPr>
            </w:pPr>
            <w:r>
              <w:rPr>
                <w:rFonts w:ascii="Arial" w:cs="Arial" w:eastAsia="Arial" w:hAnsi="Arial"/>
                <w:sz w:val="18"/>
                <w:szCs w:val="18"/>
                <w:color w:val="0000FF"/>
                <w:w w:val="99"/>
              </w:rPr>
              <w:t>Controls and Procedures</w:t>
            </w:r>
          </w:p>
        </w:tc>
        <w:tc>
          <w:tcPr>
            <w:tcW w:w="7300" w:type="dxa"/>
            <w:vAlign w:val="bottom"/>
            <w:gridSpan w:val="15"/>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1940" w:type="dxa"/>
            <w:vAlign w:val="bottom"/>
            <w:tcBorders>
              <w:bottom w:val="single" w:sz="8" w:color="0000FF"/>
            </w:tcBorders>
            <w:gridSpan w:val="9"/>
          </w:tcPr>
          <w:p>
            <w:pPr>
              <w:spacing w:after="0"/>
              <w:rPr>
                <w:sz w:val="20"/>
                <w:szCs w:val="20"/>
                <w:color w:val="auto"/>
              </w:rPr>
            </w:pPr>
            <w:r>
              <w:rPr>
                <w:rFonts w:ascii="Arial" w:cs="Arial" w:eastAsia="Arial" w:hAnsi="Arial"/>
                <w:sz w:val="18"/>
                <w:szCs w:val="18"/>
                <w:color w:val="0000FF"/>
                <w:w w:val="98"/>
              </w:rPr>
              <w:t>OTHER INFORMATION</w:t>
            </w:r>
          </w:p>
        </w:tc>
        <w:tc>
          <w:tcPr>
            <w:tcW w:w="7360" w:type="dxa"/>
            <w:vAlign w:val="bottom"/>
            <w:gridSpan w:val="16"/>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0"/>
                <w:szCs w:val="20"/>
                <w:color w:val="auto"/>
              </w:rPr>
            </w:pPr>
            <w:r>
              <w:rPr>
                <w:rFonts w:ascii="Arial" w:cs="Arial" w:eastAsia="Arial" w:hAnsi="Arial"/>
                <w:sz w:val="18"/>
                <w:szCs w:val="18"/>
                <w:color w:val="auto"/>
              </w:rPr>
              <w:t>Item 1.</w:t>
            </w:r>
          </w:p>
        </w:tc>
        <w:tc>
          <w:tcPr>
            <w:tcW w:w="1500" w:type="dxa"/>
            <w:vAlign w:val="bottom"/>
            <w:tcBorders>
              <w:bottom w:val="single" w:sz="8" w:color="0000FF"/>
            </w:tcBorders>
            <w:gridSpan w:val="6"/>
          </w:tcPr>
          <w:p>
            <w:pPr>
              <w:spacing w:after="0"/>
              <w:rPr>
                <w:sz w:val="20"/>
                <w:szCs w:val="20"/>
                <w:color w:val="auto"/>
              </w:rPr>
            </w:pPr>
            <w:r>
              <w:rPr>
                <w:rFonts w:ascii="Arial" w:cs="Arial" w:eastAsia="Arial" w:hAnsi="Arial"/>
                <w:sz w:val="18"/>
                <w:szCs w:val="18"/>
                <w:color w:val="0000FF"/>
                <w:w w:val="99"/>
              </w:rPr>
              <w:t>Legal Proceedings</w:t>
            </w:r>
          </w:p>
        </w:tc>
        <w:tc>
          <w:tcPr>
            <w:tcW w:w="7800" w:type="dxa"/>
            <w:vAlign w:val="bottom"/>
            <w:gridSpan w:val="19"/>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Arial" w:cs="Arial" w:eastAsia="Arial" w:hAnsi="Arial"/>
                <w:sz w:val="18"/>
                <w:szCs w:val="18"/>
                <w:color w:val="auto"/>
              </w:rPr>
              <w:t>Item 1A.</w:t>
            </w:r>
          </w:p>
        </w:tc>
        <w:tc>
          <w:tcPr>
            <w:tcW w:w="9300" w:type="dxa"/>
            <w:vAlign w:val="bottom"/>
            <w:gridSpan w:val="25"/>
          </w:tcPr>
          <w:p>
            <w:pPr>
              <w:spacing w:after="0" w:line="196" w:lineRule="exact"/>
              <w:rPr>
                <w:sz w:val="20"/>
                <w:szCs w:val="20"/>
                <w:color w:val="auto"/>
              </w:rPr>
            </w:pPr>
            <w:r>
              <w:rPr>
                <w:rFonts w:ascii="Arial" w:cs="Arial" w:eastAsia="Arial" w:hAnsi="Arial"/>
                <w:sz w:val="18"/>
                <w:szCs w:val="18"/>
                <w:color w:val="0000FF"/>
              </w:rPr>
              <w:t>Risk Factors</w:t>
            </w: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1140" w:type="dxa"/>
            <w:vAlign w:val="bottom"/>
            <w:vMerge w:val="restart"/>
          </w:tcPr>
          <w:p>
            <w:pPr>
              <w:spacing w:after="0"/>
              <w:rPr>
                <w:sz w:val="20"/>
                <w:szCs w:val="20"/>
                <w:color w:val="auto"/>
              </w:rPr>
            </w:pPr>
            <w:r>
              <w:rPr>
                <w:rFonts w:ascii="Arial" w:cs="Arial" w:eastAsia="Arial" w:hAnsi="Arial"/>
                <w:sz w:val="18"/>
                <w:szCs w:val="18"/>
                <w:color w:val="auto"/>
              </w:rPr>
              <w:t>Item 2.</w:t>
            </w: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2300" w:type="dxa"/>
            <w:vAlign w:val="bottom"/>
            <w:gridSpan w:val="8"/>
          </w:tcPr>
          <w:p>
            <w:pPr>
              <w:spacing w:after="0" w:line="20" w:lineRule="exact"/>
              <w:rPr>
                <w:sz w:val="1"/>
                <w:szCs w:val="1"/>
                <w:color w:val="auto"/>
              </w:rPr>
            </w:pPr>
          </w:p>
        </w:tc>
        <w:tc>
          <w:tcPr>
            <w:tcW w:w="4440" w:type="dxa"/>
            <w:vAlign w:val="bottom"/>
            <w:gridSpan w:val="5"/>
          </w:tcPr>
          <w:p>
            <w:pPr>
              <w:spacing w:after="0" w:line="20" w:lineRule="exact"/>
              <w:rPr>
                <w:sz w:val="1"/>
                <w:szCs w:val="1"/>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line="20" w:lineRule="exact"/>
              <w:rPr>
                <w:sz w:val="1"/>
                <w:szCs w:val="1"/>
                <w:color w:val="auto"/>
              </w:rPr>
            </w:pPr>
          </w:p>
        </w:tc>
      </w:tr>
      <w:tr>
        <w:trPr>
          <w:trHeight w:val="196"/>
        </w:trPr>
        <w:tc>
          <w:tcPr>
            <w:tcW w:w="1140" w:type="dxa"/>
            <w:vAlign w:val="bottom"/>
            <w:vMerge w:val="continue"/>
          </w:tcPr>
          <w:p>
            <w:pPr>
              <w:spacing w:after="0"/>
              <w:rPr>
                <w:sz w:val="17"/>
                <w:szCs w:val="17"/>
                <w:color w:val="auto"/>
              </w:rPr>
            </w:pPr>
          </w:p>
        </w:tc>
        <w:tc>
          <w:tcPr>
            <w:tcW w:w="4860" w:type="dxa"/>
            <w:vAlign w:val="bottom"/>
            <w:tcBorders>
              <w:bottom w:val="single" w:sz="8" w:color="0000FF"/>
            </w:tcBorders>
            <w:gridSpan w:val="20"/>
          </w:tcPr>
          <w:p>
            <w:pPr>
              <w:spacing w:after="0" w:line="196" w:lineRule="exact"/>
              <w:rPr>
                <w:sz w:val="20"/>
                <w:szCs w:val="20"/>
                <w:color w:val="auto"/>
              </w:rPr>
            </w:pPr>
            <w:r>
              <w:rPr>
                <w:rFonts w:ascii="Arial" w:cs="Arial" w:eastAsia="Arial" w:hAnsi="Arial"/>
                <w:sz w:val="18"/>
                <w:szCs w:val="18"/>
                <w:color w:val="0000FF"/>
                <w:w w:val="99"/>
              </w:rPr>
              <w:t>Unregistered Sales of Equity Securities and Use of Proceeds</w:t>
            </w:r>
          </w:p>
        </w:tc>
        <w:tc>
          <w:tcPr>
            <w:tcW w:w="4440" w:type="dxa"/>
            <w:vAlign w:val="bottom"/>
            <w:gridSpan w:val="5"/>
          </w:tcPr>
          <w:p>
            <w:pPr>
              <w:spacing w:after="0"/>
              <w:rPr>
                <w:sz w:val="17"/>
                <w:szCs w:val="17"/>
                <w:color w:val="auto"/>
              </w:rPr>
            </w:pPr>
          </w:p>
        </w:tc>
        <w:tc>
          <w:tcPr>
            <w:tcW w:w="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Arial" w:cs="Arial" w:eastAsia="Arial" w:hAnsi="Arial"/>
                <w:sz w:val="18"/>
                <w:szCs w:val="18"/>
                <w:color w:val="auto"/>
              </w:rPr>
              <w:t>Item 3.</w:t>
            </w:r>
          </w:p>
        </w:tc>
        <w:tc>
          <w:tcPr>
            <w:tcW w:w="2560" w:type="dxa"/>
            <w:vAlign w:val="bottom"/>
            <w:tcBorders>
              <w:bottom w:val="single" w:sz="8" w:color="0000FF"/>
            </w:tcBorders>
            <w:gridSpan w:val="12"/>
          </w:tcPr>
          <w:p>
            <w:pPr>
              <w:spacing w:after="0" w:line="196" w:lineRule="exact"/>
              <w:rPr>
                <w:sz w:val="20"/>
                <w:szCs w:val="20"/>
                <w:color w:val="auto"/>
              </w:rPr>
            </w:pPr>
            <w:r>
              <w:rPr>
                <w:rFonts w:ascii="Arial" w:cs="Arial" w:eastAsia="Arial" w:hAnsi="Arial"/>
                <w:sz w:val="18"/>
                <w:szCs w:val="18"/>
                <w:color w:val="0000FF"/>
                <w:w w:val="99"/>
              </w:rPr>
              <w:t>Defaults Upon Senior Securities</w:t>
            </w:r>
          </w:p>
        </w:tc>
        <w:tc>
          <w:tcPr>
            <w:tcW w:w="6740" w:type="dxa"/>
            <w:vAlign w:val="bottom"/>
            <w:gridSpan w:val="13"/>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Arial" w:cs="Arial" w:eastAsia="Arial" w:hAnsi="Arial"/>
                <w:sz w:val="18"/>
                <w:szCs w:val="18"/>
                <w:color w:val="auto"/>
              </w:rPr>
              <w:t>Item 4.</w:t>
            </w:r>
          </w:p>
        </w:tc>
        <w:tc>
          <w:tcPr>
            <w:tcW w:w="1940" w:type="dxa"/>
            <w:vAlign w:val="bottom"/>
            <w:tcBorders>
              <w:bottom w:val="single" w:sz="8" w:color="0000FF"/>
            </w:tcBorders>
            <w:gridSpan w:val="9"/>
          </w:tcPr>
          <w:p>
            <w:pPr>
              <w:spacing w:after="0" w:line="196" w:lineRule="exact"/>
              <w:rPr>
                <w:sz w:val="20"/>
                <w:szCs w:val="20"/>
                <w:color w:val="auto"/>
              </w:rPr>
            </w:pPr>
            <w:r>
              <w:rPr>
                <w:rFonts w:ascii="Arial" w:cs="Arial" w:eastAsia="Arial" w:hAnsi="Arial"/>
                <w:sz w:val="18"/>
                <w:szCs w:val="18"/>
                <w:color w:val="0000FF"/>
                <w:w w:val="99"/>
              </w:rPr>
              <w:t>Mine Safety Disclosures</w:t>
            </w:r>
          </w:p>
        </w:tc>
        <w:tc>
          <w:tcPr>
            <w:tcW w:w="7360" w:type="dxa"/>
            <w:vAlign w:val="bottom"/>
            <w:gridSpan w:val="16"/>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Arial" w:cs="Arial" w:eastAsia="Arial" w:hAnsi="Arial"/>
                <w:sz w:val="18"/>
                <w:szCs w:val="18"/>
                <w:color w:val="auto"/>
              </w:rPr>
              <w:t>Item 5.</w:t>
            </w:r>
          </w:p>
        </w:tc>
        <w:tc>
          <w:tcPr>
            <w:tcW w:w="9300" w:type="dxa"/>
            <w:vAlign w:val="bottom"/>
            <w:gridSpan w:val="25"/>
          </w:tcPr>
          <w:p>
            <w:pPr>
              <w:spacing w:after="0" w:line="196" w:lineRule="exact"/>
              <w:rPr>
                <w:sz w:val="20"/>
                <w:szCs w:val="20"/>
                <w:color w:val="auto"/>
              </w:rPr>
            </w:pPr>
            <w:r>
              <w:rPr>
                <w:rFonts w:ascii="Arial" w:cs="Arial" w:eastAsia="Arial" w:hAnsi="Arial"/>
                <w:sz w:val="18"/>
                <w:szCs w:val="18"/>
                <w:color w:val="0000FF"/>
              </w:rPr>
              <w:t>Other Information</w:t>
            </w: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196"/>
        </w:trPr>
        <w:tc>
          <w:tcPr>
            <w:tcW w:w="1140" w:type="dxa"/>
            <w:vAlign w:val="bottom"/>
          </w:tcPr>
          <w:p>
            <w:pPr>
              <w:spacing w:after="0" w:line="196" w:lineRule="exact"/>
              <w:rPr>
                <w:sz w:val="20"/>
                <w:szCs w:val="20"/>
                <w:color w:val="auto"/>
              </w:rPr>
            </w:pPr>
            <w:r>
              <w:rPr>
                <w:rFonts w:ascii="Arial" w:cs="Arial" w:eastAsia="Arial" w:hAnsi="Arial"/>
                <w:sz w:val="18"/>
                <w:szCs w:val="18"/>
                <w:color w:val="auto"/>
              </w:rPr>
              <w:t>Item 6.</w:t>
            </w:r>
          </w:p>
        </w:tc>
        <w:tc>
          <w:tcPr>
            <w:tcW w:w="640" w:type="dxa"/>
            <w:vAlign w:val="bottom"/>
            <w:tcBorders>
              <w:top w:val="single" w:sz="8" w:color="0000FF"/>
              <w:bottom w:val="single" w:sz="8" w:color="0000FF"/>
            </w:tcBorders>
          </w:tcPr>
          <w:p>
            <w:pPr>
              <w:spacing w:after="0" w:line="196" w:lineRule="exact"/>
              <w:rPr>
                <w:sz w:val="20"/>
                <w:szCs w:val="20"/>
                <w:color w:val="auto"/>
              </w:rPr>
            </w:pPr>
            <w:r>
              <w:rPr>
                <w:rFonts w:ascii="Arial" w:cs="Arial" w:eastAsia="Arial" w:hAnsi="Arial"/>
                <w:sz w:val="18"/>
                <w:szCs w:val="18"/>
                <w:color w:val="0000FF"/>
                <w:w w:val="98"/>
              </w:rPr>
              <w:t>Exhibits</w:t>
            </w:r>
          </w:p>
        </w:tc>
        <w:tc>
          <w:tcPr>
            <w:tcW w:w="20" w:type="dxa"/>
            <w:vAlign w:val="bottom"/>
            <w:tcBorders>
              <w:top w:val="single" w:sz="8" w:color="0000FF"/>
              <w:bottom w:val="single" w:sz="8" w:color="0000EE"/>
            </w:tcBorders>
          </w:tcPr>
          <w:p>
            <w:pPr>
              <w:spacing w:after="0"/>
              <w:rPr>
                <w:sz w:val="17"/>
                <w:szCs w:val="17"/>
                <w:color w:val="auto"/>
              </w:rPr>
            </w:pPr>
          </w:p>
        </w:tc>
        <w:tc>
          <w:tcPr>
            <w:tcW w:w="740" w:type="dxa"/>
            <w:vAlign w:val="bottom"/>
            <w:tcBorders>
              <w:top w:val="single" w:sz="8" w:color="0000FF"/>
            </w:tcBorders>
            <w:gridSpan w:val="3"/>
          </w:tcPr>
          <w:p>
            <w:pPr>
              <w:spacing w:after="0"/>
              <w:rPr>
                <w:sz w:val="17"/>
                <w:szCs w:val="17"/>
                <w:color w:val="auto"/>
              </w:rPr>
            </w:pPr>
          </w:p>
        </w:tc>
        <w:tc>
          <w:tcPr>
            <w:tcW w:w="7900" w:type="dxa"/>
            <w:vAlign w:val="bottom"/>
            <w:gridSpan w:val="20"/>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9300" w:type="dxa"/>
            <w:vAlign w:val="bottom"/>
            <w:gridSpan w:val="25"/>
          </w:tcPr>
          <w:p>
            <w:pPr>
              <w:spacing w:after="0" w:line="196" w:lineRule="exact"/>
              <w:rPr>
                <w:sz w:val="20"/>
                <w:szCs w:val="20"/>
                <w:color w:val="auto"/>
              </w:rPr>
            </w:pPr>
            <w:r>
              <w:rPr>
                <w:rFonts w:ascii="Arial" w:cs="Arial" w:eastAsia="Arial" w:hAnsi="Arial"/>
                <w:sz w:val="18"/>
                <w:szCs w:val="18"/>
                <w:color w:val="0000FF"/>
              </w:rPr>
              <w:t>Signatures</w:t>
            </w: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tcBorders>
              <w:right w:val="single" w:sz="8" w:color="0000EE"/>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476250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985"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Aura Biosciences, Inc.</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00" w:type="dxa"/>
            <w:vAlign w:val="bottom"/>
            <w:gridSpan w:val="3"/>
          </w:tcPr>
          <w:p>
            <w:pPr>
              <w:ind w:left="40"/>
              <w:spacing w:after="0"/>
              <w:rPr>
                <w:sz w:val="20"/>
                <w:szCs w:val="20"/>
                <w:color w:val="auto"/>
              </w:rPr>
            </w:pPr>
            <w:r>
              <w:rPr>
                <w:rFonts w:ascii="Arial" w:cs="Arial" w:eastAsia="Arial" w:hAnsi="Arial"/>
                <w:sz w:val="18"/>
                <w:szCs w:val="18"/>
                <w:b w:val="1"/>
                <w:bCs w:val="1"/>
                <w:color w:val="auto"/>
              </w:rPr>
              <w:t>June 30, 2024</w:t>
            </w:r>
          </w:p>
        </w:tc>
        <w:tc>
          <w:tcPr>
            <w:tcW w:w="182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December 31, 2023</w:t>
            </w:r>
          </w:p>
        </w:tc>
      </w:tr>
      <w:tr>
        <w:trPr>
          <w:trHeight w:val="223"/>
        </w:trPr>
        <w:tc>
          <w:tcPr>
            <w:tcW w:w="75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160" w:type="dxa"/>
            <w:vAlign w:val="bottom"/>
            <w:tcBorders>
              <w:top w:val="single" w:sz="8" w:color="auto"/>
            </w:tcBorders>
            <w:shd w:val="clear" w:color="auto" w:fill="CFF0FC"/>
          </w:tcPr>
          <w:p>
            <w:pPr>
              <w:spacing w:after="0"/>
              <w:rPr>
                <w:sz w:val="19"/>
                <w:szCs w:val="19"/>
                <w:color w:val="auto"/>
              </w:rPr>
            </w:pPr>
          </w:p>
        </w:tc>
        <w:tc>
          <w:tcPr>
            <w:tcW w:w="1420" w:type="dxa"/>
            <w:vAlign w:val="bottom"/>
            <w:tcBorders>
              <w:top w:val="single" w:sz="8" w:color="auto"/>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40" w:type="dxa"/>
            <w:vAlign w:val="bottom"/>
            <w:tcBorders>
              <w:top w:val="single" w:sz="8" w:color="auto"/>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756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30,075</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40" w:type="dxa"/>
            <w:vAlign w:val="bottom"/>
            <w:shd w:val="clear" w:color="auto" w:fill="CFF0FC"/>
          </w:tcPr>
          <w:p>
            <w:pPr>
              <w:jc w:val="right"/>
              <w:ind w:right="33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41,063</w:t>
            </w:r>
          </w:p>
        </w:tc>
        <w:tc>
          <w:tcPr>
            <w:tcW w:w="100" w:type="dxa"/>
            <w:vAlign w:val="bottom"/>
            <w:shd w:val="clear" w:color="auto" w:fill="CFF0FC"/>
          </w:tcPr>
          <w:p>
            <w:pPr>
              <w:spacing w:after="0"/>
              <w:rPr>
                <w:sz w:val="19"/>
                <w:szCs w:val="19"/>
                <w:color w:val="auto"/>
              </w:rPr>
            </w:pPr>
          </w:p>
        </w:tc>
      </w:tr>
      <w:tr>
        <w:trPr>
          <w:trHeight w:val="229"/>
        </w:trPr>
        <w:tc>
          <w:tcPr>
            <w:tcW w:w="7560" w:type="dxa"/>
            <w:vAlign w:val="bottom"/>
          </w:tcPr>
          <w:p>
            <w:pPr>
              <w:ind w:left="20"/>
              <w:spacing w:after="0"/>
              <w:rPr>
                <w:sz w:val="20"/>
                <w:szCs w:val="20"/>
                <w:color w:val="auto"/>
              </w:rPr>
            </w:pPr>
            <w:r>
              <w:rPr>
                <w:rFonts w:ascii="Arial" w:cs="Arial" w:eastAsia="Arial" w:hAnsi="Arial"/>
                <w:sz w:val="18"/>
                <w:szCs w:val="18"/>
                <w:color w:val="auto"/>
              </w:rPr>
              <w:t>Marketable securities</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157,341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185,087</w:t>
            </w:r>
          </w:p>
        </w:tc>
        <w:tc>
          <w:tcPr>
            <w:tcW w:w="100" w:type="dxa"/>
            <w:vAlign w:val="bottom"/>
          </w:tcPr>
          <w:p>
            <w:pPr>
              <w:spacing w:after="0"/>
              <w:rPr>
                <w:sz w:val="19"/>
                <w:szCs w:val="19"/>
                <w:color w:val="auto"/>
              </w:rPr>
            </w:pPr>
          </w:p>
        </w:tc>
      </w:tr>
      <w:tr>
        <w:trPr>
          <w:trHeight w:val="229"/>
        </w:trPr>
        <w:tc>
          <w:tcPr>
            <w:tcW w:w="7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Restricted cash and deposits</w:t>
            </w:r>
          </w:p>
        </w:tc>
        <w:tc>
          <w:tcPr>
            <w:tcW w:w="160" w:type="dxa"/>
            <w:vAlign w:val="bottom"/>
            <w:shd w:val="clear" w:color="auto" w:fill="CFF0FC"/>
          </w:tcPr>
          <w:p>
            <w:pPr>
              <w:spacing w:after="0"/>
              <w:rPr>
                <w:sz w:val="19"/>
                <w:szCs w:val="19"/>
                <w:color w:val="auto"/>
              </w:rPr>
            </w:pPr>
          </w:p>
        </w:tc>
        <w:tc>
          <w:tcPr>
            <w:tcW w:w="1700" w:type="dxa"/>
            <w:vAlign w:val="bottom"/>
            <w:gridSpan w:val="3"/>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FF0FC"/>
          </w:tcPr>
          <w:p>
            <w:pPr>
              <w:spacing w:after="0"/>
              <w:rPr>
                <w:sz w:val="19"/>
                <w:szCs w:val="19"/>
                <w:color w:val="auto"/>
              </w:rPr>
            </w:pPr>
          </w:p>
        </w:tc>
      </w:tr>
      <w:tr>
        <w:trPr>
          <w:trHeight w:val="230"/>
        </w:trPr>
        <w:tc>
          <w:tcPr>
            <w:tcW w:w="7560" w:type="dxa"/>
            <w:vAlign w:val="bottom"/>
          </w:tcPr>
          <w:p>
            <w:pPr>
              <w:ind w:left="2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8,180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5,625</w:t>
            </w:r>
          </w:p>
        </w:tc>
        <w:tc>
          <w:tcPr>
            <w:tcW w:w="100" w:type="dxa"/>
            <w:vAlign w:val="bottom"/>
          </w:tcPr>
          <w:p>
            <w:pPr>
              <w:spacing w:after="0"/>
              <w:rPr>
                <w:sz w:val="19"/>
                <w:szCs w:val="19"/>
                <w:color w:val="auto"/>
              </w:rPr>
            </w:pPr>
          </w:p>
        </w:tc>
      </w:tr>
      <w:tr>
        <w:trPr>
          <w:trHeight w:val="223"/>
        </w:trPr>
        <w:tc>
          <w:tcPr>
            <w:tcW w:w="7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current assets</w:t>
            </w: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195,596</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231,794</w:t>
            </w:r>
          </w:p>
        </w:tc>
        <w:tc>
          <w:tcPr>
            <w:tcW w:w="100" w:type="dxa"/>
            <w:vAlign w:val="bottom"/>
            <w:shd w:val="clear" w:color="auto" w:fill="CFF0FC"/>
          </w:tcPr>
          <w:p>
            <w:pPr>
              <w:spacing w:after="0"/>
              <w:rPr>
                <w:sz w:val="19"/>
                <w:szCs w:val="19"/>
                <w:color w:val="auto"/>
              </w:rPr>
            </w:pPr>
          </w:p>
        </w:tc>
      </w:tr>
      <w:tr>
        <w:trPr>
          <w:trHeight w:val="230"/>
        </w:trPr>
        <w:tc>
          <w:tcPr>
            <w:tcW w:w="7560" w:type="dxa"/>
            <w:vAlign w:val="bottom"/>
          </w:tcPr>
          <w:p>
            <w:pPr>
              <w:ind w:left="20"/>
              <w:spacing w:after="0"/>
              <w:rPr>
                <w:sz w:val="20"/>
                <w:szCs w:val="20"/>
                <w:color w:val="auto"/>
              </w:rPr>
            </w:pPr>
            <w:r>
              <w:rPr>
                <w:rFonts w:ascii="Arial" w:cs="Arial" w:eastAsia="Arial" w:hAnsi="Arial"/>
                <w:sz w:val="18"/>
                <w:szCs w:val="18"/>
                <w:color w:val="auto"/>
              </w:rPr>
              <w:t>Restricted cash and deposits, net of current portion</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768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768</w:t>
            </w:r>
          </w:p>
        </w:tc>
        <w:tc>
          <w:tcPr>
            <w:tcW w:w="100" w:type="dxa"/>
            <w:vAlign w:val="bottom"/>
          </w:tcPr>
          <w:p>
            <w:pPr>
              <w:spacing w:after="0"/>
              <w:rPr>
                <w:sz w:val="19"/>
                <w:szCs w:val="19"/>
                <w:color w:val="auto"/>
              </w:rPr>
            </w:pPr>
          </w:p>
        </w:tc>
      </w:tr>
      <w:tr>
        <w:trPr>
          <w:trHeight w:val="229"/>
        </w:trPr>
        <w:tc>
          <w:tcPr>
            <w:tcW w:w="7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Right of use assets - operating lease</w:t>
            </w: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18,141</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18,854</w:t>
            </w:r>
          </w:p>
        </w:tc>
        <w:tc>
          <w:tcPr>
            <w:tcW w:w="100" w:type="dxa"/>
            <w:vAlign w:val="bottom"/>
            <w:shd w:val="clear" w:color="auto" w:fill="CFF0FC"/>
          </w:tcPr>
          <w:p>
            <w:pPr>
              <w:spacing w:after="0"/>
              <w:rPr>
                <w:sz w:val="19"/>
                <w:szCs w:val="19"/>
                <w:color w:val="auto"/>
              </w:rPr>
            </w:pPr>
          </w:p>
        </w:tc>
      </w:tr>
      <w:tr>
        <w:trPr>
          <w:trHeight w:val="230"/>
        </w:trPr>
        <w:tc>
          <w:tcPr>
            <w:tcW w:w="7560" w:type="dxa"/>
            <w:vAlign w:val="bottom"/>
          </w:tcPr>
          <w:p>
            <w:pPr>
              <w:ind w:left="20"/>
              <w:spacing w:after="0"/>
              <w:rPr>
                <w:sz w:val="20"/>
                <w:szCs w:val="20"/>
                <w:color w:val="auto"/>
              </w:rPr>
            </w:pPr>
            <w:r>
              <w:rPr>
                <w:rFonts w:ascii="Arial" w:cs="Arial" w:eastAsia="Arial" w:hAnsi="Arial"/>
                <w:sz w:val="18"/>
                <w:szCs w:val="18"/>
                <w:color w:val="auto"/>
              </w:rPr>
              <w:t>Other long-term assets</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443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509</w:t>
            </w:r>
          </w:p>
        </w:tc>
        <w:tc>
          <w:tcPr>
            <w:tcW w:w="100" w:type="dxa"/>
            <w:vAlign w:val="bottom"/>
          </w:tcPr>
          <w:p>
            <w:pPr>
              <w:spacing w:after="0"/>
              <w:rPr>
                <w:sz w:val="19"/>
                <w:szCs w:val="19"/>
                <w:color w:val="auto"/>
              </w:rPr>
            </w:pPr>
          </w:p>
        </w:tc>
      </w:tr>
      <w:tr>
        <w:trPr>
          <w:trHeight w:val="229"/>
        </w:trPr>
        <w:tc>
          <w:tcPr>
            <w:tcW w:w="75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Property and equipment, net</w:t>
            </w:r>
          </w:p>
        </w:tc>
        <w:tc>
          <w:tcPr>
            <w:tcW w:w="16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3,334</w:t>
            </w:r>
          </w:p>
        </w:tc>
        <w:tc>
          <w:tcPr>
            <w:tcW w:w="1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3,150</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7560" w:type="dxa"/>
            <w:vAlign w:val="bottom"/>
          </w:tcPr>
          <w:p>
            <w:pPr>
              <w:ind w:left="200"/>
              <w:spacing w:after="0"/>
              <w:rPr>
                <w:sz w:val="20"/>
                <w:szCs w:val="20"/>
                <w:color w:val="auto"/>
              </w:rPr>
            </w:pPr>
            <w:r>
              <w:rPr>
                <w:rFonts w:ascii="Arial" w:cs="Arial" w:eastAsia="Arial" w:hAnsi="Arial"/>
                <w:sz w:val="18"/>
                <w:szCs w:val="18"/>
                <w:b w:val="1"/>
                <w:bCs w:val="1"/>
                <w:color w:val="auto"/>
              </w:rPr>
              <w:t>Total Assets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218,282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255,075</w:t>
            </w:r>
          </w:p>
        </w:tc>
        <w:tc>
          <w:tcPr>
            <w:tcW w:w="100" w:type="dxa"/>
            <w:vAlign w:val="bottom"/>
          </w:tcPr>
          <w:p>
            <w:pPr>
              <w:spacing w:after="0"/>
              <w:rPr>
                <w:sz w:val="19"/>
                <w:szCs w:val="19"/>
                <w:color w:val="auto"/>
              </w:rPr>
            </w:pPr>
          </w:p>
        </w:tc>
      </w:tr>
      <w:tr>
        <w:trPr>
          <w:trHeight w:val="20"/>
        </w:trPr>
        <w:tc>
          <w:tcPr>
            <w:tcW w:w="75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5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756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7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Accounts payable</w:t>
            </w: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1,459</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1,787</w:t>
            </w:r>
          </w:p>
        </w:tc>
        <w:tc>
          <w:tcPr>
            <w:tcW w:w="100" w:type="dxa"/>
            <w:vAlign w:val="bottom"/>
            <w:shd w:val="clear" w:color="auto" w:fill="CFF0FC"/>
          </w:tcPr>
          <w:p>
            <w:pPr>
              <w:spacing w:after="0"/>
              <w:rPr>
                <w:sz w:val="19"/>
                <w:szCs w:val="19"/>
                <w:color w:val="auto"/>
              </w:rPr>
            </w:pPr>
          </w:p>
        </w:tc>
      </w:tr>
      <w:tr>
        <w:trPr>
          <w:trHeight w:val="230"/>
        </w:trPr>
        <w:tc>
          <w:tcPr>
            <w:tcW w:w="7560" w:type="dxa"/>
            <w:vAlign w:val="bottom"/>
          </w:tcPr>
          <w:p>
            <w:pPr>
              <w:ind w:left="20"/>
              <w:spacing w:after="0"/>
              <w:rPr>
                <w:sz w:val="20"/>
                <w:szCs w:val="20"/>
                <w:color w:val="auto"/>
              </w:rPr>
            </w:pPr>
            <w:r>
              <w:rPr>
                <w:rFonts w:ascii="Arial" w:cs="Arial" w:eastAsia="Arial" w:hAnsi="Arial"/>
                <w:sz w:val="18"/>
                <w:szCs w:val="18"/>
                <w:color w:val="auto"/>
              </w:rPr>
              <w:t>Short-term operating lease liability</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2,754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2,687</w:t>
            </w:r>
          </w:p>
        </w:tc>
        <w:tc>
          <w:tcPr>
            <w:tcW w:w="100" w:type="dxa"/>
            <w:vAlign w:val="bottom"/>
          </w:tcPr>
          <w:p>
            <w:pPr>
              <w:spacing w:after="0"/>
              <w:rPr>
                <w:sz w:val="19"/>
                <w:szCs w:val="19"/>
                <w:color w:val="auto"/>
              </w:rPr>
            </w:pPr>
          </w:p>
        </w:tc>
      </w:tr>
      <w:tr>
        <w:trPr>
          <w:trHeight w:val="230"/>
        </w:trPr>
        <w:tc>
          <w:tcPr>
            <w:tcW w:w="75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Accrued expenses and other current liabilities</w:t>
            </w:r>
          </w:p>
        </w:tc>
        <w:tc>
          <w:tcPr>
            <w:tcW w:w="16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6,335</w:t>
            </w:r>
          </w:p>
        </w:tc>
        <w:tc>
          <w:tcPr>
            <w:tcW w:w="1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7,883</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7560" w:type="dxa"/>
            <w:vAlign w:val="bottom"/>
          </w:tcPr>
          <w:p>
            <w:pPr>
              <w:ind w:left="20"/>
              <w:spacing w:after="0"/>
              <w:rPr>
                <w:sz w:val="20"/>
                <w:szCs w:val="20"/>
                <w:color w:val="auto"/>
              </w:rPr>
            </w:pPr>
            <w:r>
              <w:rPr>
                <w:rFonts w:ascii="Arial" w:cs="Arial" w:eastAsia="Arial" w:hAnsi="Arial"/>
                <w:sz w:val="18"/>
                <w:szCs w:val="18"/>
                <w:color w:val="auto"/>
              </w:rPr>
              <w:t>Total current liabilities</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10,548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12,357</w:t>
            </w:r>
          </w:p>
        </w:tc>
        <w:tc>
          <w:tcPr>
            <w:tcW w:w="100" w:type="dxa"/>
            <w:vAlign w:val="bottom"/>
          </w:tcPr>
          <w:p>
            <w:pPr>
              <w:spacing w:after="0"/>
              <w:rPr>
                <w:sz w:val="19"/>
                <w:szCs w:val="19"/>
                <w:color w:val="auto"/>
              </w:rPr>
            </w:pPr>
          </w:p>
        </w:tc>
      </w:tr>
      <w:tr>
        <w:trPr>
          <w:trHeight w:val="230"/>
        </w:trPr>
        <w:tc>
          <w:tcPr>
            <w:tcW w:w="75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Long-term operating lease liability</w:t>
            </w:r>
          </w:p>
        </w:tc>
        <w:tc>
          <w:tcPr>
            <w:tcW w:w="16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16,280</w:t>
            </w:r>
          </w:p>
        </w:tc>
        <w:tc>
          <w:tcPr>
            <w:tcW w:w="1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16,870</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7560" w:type="dxa"/>
            <w:vAlign w:val="bottom"/>
          </w:tcPr>
          <w:p>
            <w:pPr>
              <w:ind w:left="200"/>
              <w:spacing w:after="0"/>
              <w:rPr>
                <w:sz w:val="20"/>
                <w:szCs w:val="20"/>
                <w:color w:val="auto"/>
              </w:rPr>
            </w:pPr>
            <w:r>
              <w:rPr>
                <w:rFonts w:ascii="Arial" w:cs="Arial" w:eastAsia="Arial" w:hAnsi="Arial"/>
                <w:sz w:val="18"/>
                <w:szCs w:val="18"/>
                <w:b w:val="1"/>
                <w:bCs w:val="1"/>
                <w:color w:val="auto"/>
              </w:rPr>
              <w:t>Total Liabilities</w:t>
            </w: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26,828</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29,227</w:t>
            </w:r>
          </w:p>
        </w:tc>
        <w:tc>
          <w:tcPr>
            <w:tcW w:w="100" w:type="dxa"/>
            <w:vAlign w:val="bottom"/>
          </w:tcPr>
          <w:p>
            <w:pPr>
              <w:spacing w:after="0"/>
              <w:rPr>
                <w:sz w:val="19"/>
                <w:szCs w:val="19"/>
                <w:color w:val="auto"/>
              </w:rPr>
            </w:pPr>
          </w:p>
        </w:tc>
      </w:tr>
      <w:tr>
        <w:trPr>
          <w:trHeight w:val="223"/>
        </w:trPr>
        <w:tc>
          <w:tcPr>
            <w:tcW w:w="75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Commitments and Contingencies (Note 12)</w:t>
            </w: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7560" w:type="dxa"/>
            <w:vAlign w:val="bottom"/>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97"/>
        </w:trPr>
        <w:tc>
          <w:tcPr>
            <w:tcW w:w="7560" w:type="dxa"/>
            <w:vAlign w:val="bottom"/>
            <w:shd w:val="clear" w:color="auto" w:fill="CFF0FC"/>
          </w:tcPr>
          <w:p>
            <w:pPr>
              <w:ind w:left="20"/>
              <w:spacing w:after="0" w:line="197" w:lineRule="exact"/>
              <w:rPr>
                <w:sz w:val="20"/>
                <w:szCs w:val="20"/>
                <w:color w:val="auto"/>
              </w:rPr>
            </w:pPr>
            <w:r>
              <w:rPr>
                <w:rFonts w:ascii="Arial" w:cs="Arial" w:eastAsia="Arial" w:hAnsi="Arial"/>
                <w:sz w:val="18"/>
                <w:szCs w:val="18"/>
                <w:color w:val="auto"/>
              </w:rPr>
              <w:t>Common stock, $0.00001 par value, 150,000,000 authorized at June 30, 2024 and</w:t>
            </w:r>
          </w:p>
        </w:tc>
        <w:tc>
          <w:tcPr>
            <w:tcW w:w="16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56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December 31, 2023, and 49,583,358 and 49,350,788 shares issued and outstanding at</w:t>
            </w:r>
          </w:p>
        </w:tc>
        <w:tc>
          <w:tcPr>
            <w:tcW w:w="16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5"/>
        </w:trPr>
        <w:tc>
          <w:tcPr>
            <w:tcW w:w="7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June 30, 2024 and December 31, 2023, respectively</w:t>
            </w:r>
          </w:p>
        </w:tc>
        <w:tc>
          <w:tcPr>
            <w:tcW w:w="160" w:type="dxa"/>
            <w:vAlign w:val="bottom"/>
            <w:shd w:val="clear" w:color="auto" w:fill="CFF0FC"/>
          </w:tcPr>
          <w:p>
            <w:pPr>
              <w:spacing w:after="0"/>
              <w:rPr>
                <w:sz w:val="20"/>
                <w:szCs w:val="20"/>
                <w:color w:val="auto"/>
              </w:rPr>
            </w:pPr>
          </w:p>
        </w:tc>
        <w:tc>
          <w:tcPr>
            <w:tcW w:w="1700" w:type="dxa"/>
            <w:vAlign w:val="bottom"/>
            <w:gridSpan w:val="3"/>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7560" w:type="dxa"/>
            <w:vAlign w:val="bottom"/>
          </w:tcPr>
          <w:p>
            <w:pPr>
              <w:ind w:left="20"/>
              <w:spacing w:after="0"/>
              <w:rPr>
                <w:sz w:val="20"/>
                <w:szCs w:val="20"/>
                <w:color w:val="auto"/>
              </w:rPr>
            </w:pPr>
            <w:r>
              <w:rPr>
                <w:rFonts w:ascii="Arial" w:cs="Arial" w:eastAsia="Arial" w:hAnsi="Arial"/>
                <w:sz w:val="18"/>
                <w:szCs w:val="18"/>
                <w:color w:val="auto"/>
              </w:rPr>
              <w:t>Additional paid-in capital</w:t>
            </w: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518,988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512,617</w:t>
            </w:r>
          </w:p>
        </w:tc>
        <w:tc>
          <w:tcPr>
            <w:tcW w:w="100" w:type="dxa"/>
            <w:vAlign w:val="bottom"/>
          </w:tcPr>
          <w:p>
            <w:pPr>
              <w:spacing w:after="0"/>
              <w:rPr>
                <w:sz w:val="19"/>
                <w:szCs w:val="19"/>
                <w:color w:val="auto"/>
              </w:rPr>
            </w:pPr>
          </w:p>
        </w:tc>
      </w:tr>
      <w:tr>
        <w:trPr>
          <w:trHeight w:val="230"/>
        </w:trPr>
        <w:tc>
          <w:tcPr>
            <w:tcW w:w="756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Accumulated deficit</w:t>
            </w:r>
          </w:p>
        </w:tc>
        <w:tc>
          <w:tcPr>
            <w:tcW w:w="16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(327,351 )</w:t>
            </w:r>
          </w:p>
        </w:tc>
        <w:tc>
          <w:tcPr>
            <w:tcW w:w="16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(287,308 )</w:t>
            </w:r>
          </w:p>
        </w:tc>
      </w:tr>
      <w:tr>
        <w:trPr>
          <w:trHeight w:val="230"/>
        </w:trPr>
        <w:tc>
          <w:tcPr>
            <w:tcW w:w="7560" w:type="dxa"/>
            <w:vAlign w:val="bottom"/>
          </w:tcPr>
          <w:p>
            <w:pPr>
              <w:ind w:left="20"/>
              <w:spacing w:after="0"/>
              <w:rPr>
                <w:sz w:val="20"/>
                <w:szCs w:val="20"/>
                <w:color w:val="auto"/>
              </w:rPr>
            </w:pPr>
            <w:r>
              <w:rPr>
                <w:rFonts w:ascii="Arial" w:cs="Arial" w:eastAsia="Arial" w:hAnsi="Arial"/>
                <w:sz w:val="18"/>
                <w:szCs w:val="18"/>
                <w:color w:val="auto"/>
              </w:rPr>
              <w:t>Accumulated other comprehensive loss</w:t>
            </w:r>
          </w:p>
        </w:tc>
        <w:tc>
          <w:tcPr>
            <w:tcW w:w="160" w:type="dxa"/>
            <w:vAlign w:val="bottom"/>
          </w:tcPr>
          <w:p>
            <w:pPr>
              <w:spacing w:after="0"/>
              <w:rPr>
                <w:sz w:val="19"/>
                <w:szCs w:val="19"/>
                <w:color w:val="auto"/>
              </w:rPr>
            </w:pPr>
          </w:p>
        </w:tc>
        <w:tc>
          <w:tcPr>
            <w:tcW w:w="1540" w:type="dxa"/>
            <w:vAlign w:val="bottom"/>
            <w:gridSpan w:val="2"/>
          </w:tcPr>
          <w:p>
            <w:pPr>
              <w:jc w:val="right"/>
              <w:ind w:right="40"/>
              <w:spacing w:after="0"/>
              <w:rPr>
                <w:sz w:val="20"/>
                <w:szCs w:val="20"/>
                <w:color w:val="auto"/>
              </w:rPr>
            </w:pPr>
            <w:r>
              <w:rPr>
                <w:rFonts w:ascii="Arial" w:cs="Arial" w:eastAsia="Arial" w:hAnsi="Arial"/>
                <w:sz w:val="18"/>
                <w:szCs w:val="18"/>
                <w:color w:val="auto"/>
              </w:rPr>
              <w:t>(183 )</w:t>
            </w: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539</w:t>
            </w:r>
          </w:p>
        </w:tc>
        <w:tc>
          <w:tcPr>
            <w:tcW w:w="100" w:type="dxa"/>
            <w:vAlign w:val="bottom"/>
          </w:tcPr>
          <w:p>
            <w:pPr>
              <w:spacing w:after="0"/>
              <w:rPr>
                <w:sz w:val="19"/>
                <w:szCs w:val="19"/>
                <w:color w:val="auto"/>
              </w:rPr>
            </w:pPr>
          </w:p>
        </w:tc>
      </w:tr>
      <w:tr>
        <w:trPr>
          <w:trHeight w:val="223"/>
        </w:trPr>
        <w:tc>
          <w:tcPr>
            <w:tcW w:w="75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b w:val="1"/>
                <w:bCs w:val="1"/>
                <w:color w:val="auto"/>
              </w:rPr>
              <w:t>Total Stockholders’ Equity</w:t>
            </w: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191,454</w:t>
            </w:r>
          </w:p>
        </w:tc>
        <w:tc>
          <w:tcPr>
            <w:tcW w:w="1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540" w:type="dxa"/>
            <w:vAlign w:val="bottom"/>
            <w:tcBorders>
              <w:top w:val="single" w:sz="8" w:color="auto"/>
              <w:bottom w:val="single" w:sz="8" w:color="auto"/>
            </w:tcBorders>
            <w:shd w:val="clear" w:color="auto" w:fill="CFF0FC"/>
          </w:tcPr>
          <w:p>
            <w:pPr>
              <w:spacing w:after="0"/>
              <w:rPr>
                <w:sz w:val="19"/>
                <w:szCs w:val="19"/>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225,848</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7560" w:type="dxa"/>
            <w:vAlign w:val="bottom"/>
          </w:tcPr>
          <w:p>
            <w:pPr>
              <w:ind w:left="380"/>
              <w:spacing w:after="0"/>
              <w:rPr>
                <w:sz w:val="20"/>
                <w:szCs w:val="20"/>
                <w:color w:val="auto"/>
              </w:rPr>
            </w:pPr>
            <w:r>
              <w:rPr>
                <w:rFonts w:ascii="Arial" w:cs="Arial" w:eastAsia="Arial" w:hAnsi="Arial"/>
                <w:sz w:val="18"/>
                <w:szCs w:val="18"/>
                <w:b w:val="1"/>
                <w:bCs w:val="1"/>
                <w:color w:val="auto"/>
              </w:rPr>
              <w:t>Total Liabilities and Stockholders’ Equity</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218,282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255,075</w:t>
            </w:r>
          </w:p>
        </w:tc>
        <w:tc>
          <w:tcPr>
            <w:tcW w:w="100" w:type="dxa"/>
            <w:vAlign w:val="bottom"/>
          </w:tcPr>
          <w:p>
            <w:pPr>
              <w:spacing w:after="0"/>
              <w:rPr>
                <w:sz w:val="19"/>
                <w:szCs w:val="19"/>
                <w:color w:val="auto"/>
              </w:rPr>
            </w:pPr>
          </w:p>
        </w:tc>
      </w:tr>
      <w:tr>
        <w:trPr>
          <w:trHeight w:val="20"/>
        </w:trPr>
        <w:tc>
          <w:tcPr>
            <w:tcW w:w="75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5808345</wp:posOffset>
            </wp:positionH>
            <wp:positionV relativeFrom="paragraph">
              <wp:posOffset>-2836545</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-2836545</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-1927860</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-1927860</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-1628140</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-1628140</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-179070</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Aura Biosciences, Inc.</w:t>
      </w:r>
    </w:p>
    <w:p>
      <w:pPr>
        <w:spacing w:after="0" w:line="21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740" w:type="dxa"/>
            <w:vAlign w:val="bottom"/>
            <w:gridSpan w:val="7"/>
          </w:tcPr>
          <w:p>
            <w:pPr>
              <w:jc w:val="right"/>
              <w:ind w:right="630"/>
              <w:spacing w:after="0"/>
              <w:rPr>
                <w:sz w:val="20"/>
                <w:szCs w:val="20"/>
                <w:color w:val="auto"/>
              </w:rPr>
            </w:pPr>
            <w:r>
              <w:rPr>
                <w:rFonts w:ascii="Arial" w:cs="Arial" w:eastAsia="Arial" w:hAnsi="Arial"/>
                <w:sz w:val="18"/>
                <w:szCs w:val="18"/>
                <w:b w:val="1"/>
                <w:bCs w:val="1"/>
                <w:color w:val="auto"/>
              </w:rPr>
              <w:t>Three Months Ended</w:t>
            </w:r>
          </w:p>
        </w:tc>
        <w:tc>
          <w:tcPr>
            <w:tcW w:w="2200" w:type="dxa"/>
            <w:vAlign w:val="bottom"/>
            <w:gridSpan w:val="6"/>
          </w:tcPr>
          <w:p>
            <w:pPr>
              <w:jc w:val="right"/>
              <w:ind w:right="361"/>
              <w:spacing w:after="0"/>
              <w:rPr>
                <w:sz w:val="20"/>
                <w:szCs w:val="20"/>
                <w:color w:val="auto"/>
              </w:rPr>
            </w:pPr>
            <w:r>
              <w:rPr>
                <w:rFonts w:ascii="Arial" w:cs="Arial" w:eastAsia="Arial" w:hAnsi="Arial"/>
                <w:sz w:val="18"/>
                <w:szCs w:val="18"/>
                <w:b w:val="1"/>
                <w:bCs w:val="1"/>
                <w:color w:val="auto"/>
              </w:rPr>
              <w:t>Six Months Ended</w:t>
            </w:r>
          </w:p>
        </w:tc>
      </w:tr>
      <w:tr>
        <w:trPr>
          <w:trHeight w:val="235"/>
        </w:trPr>
        <w:tc>
          <w:tcPr>
            <w:tcW w:w="5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June 30,</w:t>
            </w:r>
          </w:p>
        </w:tc>
        <w:tc>
          <w:tcPr>
            <w:tcW w:w="9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June 30,</w:t>
            </w:r>
          </w:p>
        </w:tc>
        <w:tc>
          <w:tcPr>
            <w:tcW w:w="7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2023</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19"/>
                <w:szCs w:val="19"/>
                <w:color w:val="auto"/>
              </w:rPr>
            </w:pPr>
          </w:p>
        </w:tc>
      </w:tr>
      <w:tr>
        <w:trPr>
          <w:trHeight w:val="237"/>
        </w:trPr>
        <w:tc>
          <w:tcPr>
            <w:tcW w:w="6100" w:type="dxa"/>
            <w:vAlign w:val="bottom"/>
            <w:gridSpan w:val="2"/>
            <w:shd w:val="clear" w:color="auto" w:fill="CFF0FC"/>
          </w:tcPr>
          <w:p>
            <w:pPr>
              <w:ind w:left="20"/>
              <w:spacing w:after="0"/>
              <w:rPr>
                <w:sz w:val="20"/>
                <w:szCs w:val="20"/>
                <w:color w:val="auto"/>
              </w:rPr>
            </w:pPr>
            <w:r>
              <w:rPr>
                <w:rFonts w:ascii="Arial" w:cs="Arial" w:eastAsia="Arial" w:hAnsi="Arial"/>
                <w:sz w:val="18"/>
                <w:szCs w:val="18"/>
                <w:b w:val="1"/>
                <w:bCs w:val="1"/>
                <w:color w:val="auto"/>
              </w:rPr>
              <w:t>Operating Expenses:</w:t>
            </w:r>
          </w:p>
        </w:tc>
        <w:tc>
          <w:tcPr>
            <w:tcW w:w="20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43"/>
        </w:trPr>
        <w:tc>
          <w:tcPr>
            <w:tcW w:w="6100" w:type="dxa"/>
            <w:vAlign w:val="bottom"/>
            <w:gridSpan w:val="2"/>
          </w:tcPr>
          <w:p>
            <w:pPr>
              <w:ind w:left="280"/>
              <w:spacing w:after="0"/>
              <w:rPr>
                <w:sz w:val="20"/>
                <w:szCs w:val="20"/>
                <w:color w:val="auto"/>
              </w:rPr>
            </w:pPr>
            <w:r>
              <w:rPr>
                <w:rFonts w:ascii="Arial" w:cs="Arial" w:eastAsia="Arial" w:hAnsi="Arial"/>
                <w:sz w:val="18"/>
                <w:szCs w:val="18"/>
                <w:color w:val="auto"/>
              </w:rPr>
              <w:t>Research and development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16,879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15,120  $</w:t>
            </w:r>
          </w:p>
        </w:tc>
        <w:tc>
          <w:tcPr>
            <w:tcW w:w="860" w:type="dxa"/>
            <w:vAlign w:val="bottom"/>
          </w:tcPr>
          <w:p>
            <w:pPr>
              <w:jc w:val="right"/>
              <w:spacing w:after="0"/>
              <w:rPr>
                <w:sz w:val="20"/>
                <w:szCs w:val="20"/>
                <w:color w:val="auto"/>
              </w:rPr>
            </w:pPr>
            <w:r>
              <w:rPr>
                <w:rFonts w:ascii="Arial" w:cs="Arial" w:eastAsia="Arial" w:hAnsi="Arial"/>
                <w:sz w:val="18"/>
                <w:szCs w:val="18"/>
                <w:color w:val="auto"/>
              </w:rPr>
              <w:t>33,932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29,524</w:t>
            </w:r>
          </w:p>
        </w:tc>
        <w:tc>
          <w:tcPr>
            <w:tcW w:w="100" w:type="dxa"/>
            <w:vAlign w:val="bottom"/>
          </w:tcPr>
          <w:p>
            <w:pPr>
              <w:spacing w:after="0"/>
              <w:rPr>
                <w:sz w:val="21"/>
                <w:szCs w:val="21"/>
                <w:color w:val="auto"/>
              </w:rPr>
            </w:pPr>
          </w:p>
        </w:tc>
      </w:tr>
      <w:tr>
        <w:trPr>
          <w:trHeight w:val="229"/>
        </w:trPr>
        <w:tc>
          <w:tcPr>
            <w:tcW w:w="6100" w:type="dxa"/>
            <w:vAlign w:val="bottom"/>
            <w:tcBorders>
              <w:bottom w:val="single" w:sz="8" w:color="CFF0FC"/>
            </w:tcBorders>
            <w:gridSpan w:val="2"/>
            <w:shd w:val="clear" w:color="auto" w:fill="CFF0FC"/>
          </w:tcPr>
          <w:p>
            <w:pPr>
              <w:ind w:left="280"/>
              <w:spacing w:after="0"/>
              <w:rPr>
                <w:sz w:val="20"/>
                <w:szCs w:val="20"/>
                <w:color w:val="auto"/>
              </w:rPr>
            </w:pPr>
            <w:r>
              <w:rPr>
                <w:rFonts w:ascii="Arial" w:cs="Arial" w:eastAsia="Arial" w:hAnsi="Arial"/>
                <w:sz w:val="18"/>
                <w:szCs w:val="18"/>
                <w:color w:val="auto"/>
              </w:rPr>
              <w:t>General and administrative</w:t>
            </w:r>
          </w:p>
        </w:tc>
        <w:tc>
          <w:tcPr>
            <w:tcW w:w="2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5,883</w:t>
            </w:r>
          </w:p>
        </w:tc>
        <w:tc>
          <w:tcPr>
            <w:tcW w:w="1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5,156</w:t>
            </w:r>
          </w:p>
        </w:tc>
        <w:tc>
          <w:tcPr>
            <w:tcW w:w="1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11,145</w:t>
            </w:r>
          </w:p>
        </w:tc>
        <w:tc>
          <w:tcPr>
            <w:tcW w:w="1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10,196</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6100" w:type="dxa"/>
            <w:vAlign w:val="bottom"/>
            <w:gridSpan w:val="2"/>
          </w:tcPr>
          <w:p>
            <w:pPr>
              <w:ind w:left="280"/>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22,762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20,276</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45,077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39,720</w:t>
            </w:r>
          </w:p>
        </w:tc>
        <w:tc>
          <w:tcPr>
            <w:tcW w:w="100" w:type="dxa"/>
            <w:vAlign w:val="bottom"/>
          </w:tcPr>
          <w:p>
            <w:pPr>
              <w:spacing w:after="0"/>
              <w:rPr>
                <w:sz w:val="19"/>
                <w:szCs w:val="19"/>
                <w:color w:val="auto"/>
              </w:rPr>
            </w:pPr>
          </w:p>
        </w:tc>
      </w:tr>
      <w:tr>
        <w:trPr>
          <w:trHeight w:val="223"/>
        </w:trPr>
        <w:tc>
          <w:tcPr>
            <w:tcW w:w="610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Total operating loss</w:t>
            </w:r>
          </w:p>
        </w:tc>
        <w:tc>
          <w:tcPr>
            <w:tcW w:w="2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(22,762 )</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(20,276 )</w:t>
            </w:r>
          </w:p>
        </w:tc>
        <w:tc>
          <w:tcPr>
            <w:tcW w:w="1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(45,077 )</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(39,720 )</w:t>
            </w:r>
          </w:p>
        </w:tc>
      </w:tr>
      <w:tr>
        <w:trPr>
          <w:trHeight w:val="234"/>
        </w:trPr>
        <w:tc>
          <w:tcPr>
            <w:tcW w:w="6100" w:type="dxa"/>
            <w:vAlign w:val="bottom"/>
            <w:tcBorders>
              <w:top w:val="single" w:sz="8" w:color="CFF0FC"/>
            </w:tcBorders>
            <w:gridSpan w:val="2"/>
          </w:tcPr>
          <w:p>
            <w:pPr>
              <w:ind w:left="20"/>
              <w:spacing w:after="0"/>
              <w:rPr>
                <w:sz w:val="20"/>
                <w:szCs w:val="20"/>
                <w:color w:val="auto"/>
              </w:rPr>
            </w:pPr>
            <w:r>
              <w:rPr>
                <w:rFonts w:ascii="Arial" w:cs="Arial" w:eastAsia="Arial" w:hAnsi="Arial"/>
                <w:sz w:val="18"/>
                <w:szCs w:val="18"/>
                <w:color w:val="auto"/>
              </w:rPr>
              <w:t>Other income (expense):</w:t>
            </w:r>
          </w:p>
        </w:tc>
        <w:tc>
          <w:tcPr>
            <w:tcW w:w="2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20" w:type="dxa"/>
            <w:vAlign w:val="bottom"/>
            <w:tcBorders>
              <w:top w:val="single" w:sz="8" w:color="CFF0FC"/>
            </w:tcBorders>
          </w:tcPr>
          <w:p>
            <w:pPr>
              <w:spacing w:after="0"/>
              <w:rPr>
                <w:sz w:val="20"/>
                <w:szCs w:val="20"/>
                <w:color w:val="auto"/>
              </w:rPr>
            </w:pPr>
          </w:p>
        </w:tc>
        <w:tc>
          <w:tcPr>
            <w:tcW w:w="120" w:type="dxa"/>
            <w:vAlign w:val="bottom"/>
            <w:tcBorders>
              <w:top w:val="single" w:sz="8" w:color="CFF0FC"/>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20" w:type="dxa"/>
            <w:vAlign w:val="bottom"/>
            <w:tcBorders>
              <w:top w:val="single" w:sz="8" w:color="CFF0FC"/>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20" w:type="dxa"/>
            <w:vAlign w:val="bottom"/>
            <w:tcBorders>
              <w:top w:val="single" w:sz="8" w:color="CFF0FC"/>
            </w:tcBorders>
          </w:tcPr>
          <w:p>
            <w:pPr>
              <w:spacing w:after="0"/>
              <w:rPr>
                <w:sz w:val="20"/>
                <w:szCs w:val="20"/>
                <w:color w:val="auto"/>
              </w:rPr>
            </w:pPr>
          </w:p>
        </w:tc>
        <w:tc>
          <w:tcPr>
            <w:tcW w:w="240" w:type="dxa"/>
            <w:vAlign w:val="bottom"/>
            <w:tcBorders>
              <w:top w:val="single" w:sz="8" w:color="CFF0FC"/>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r>
      <w:tr>
        <w:trPr>
          <w:trHeight w:val="245"/>
        </w:trPr>
        <w:tc>
          <w:tcPr>
            <w:tcW w:w="59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Interest income, including amortization and accretion income</w:t>
            </w:r>
          </w:p>
        </w:tc>
        <w:tc>
          <w:tcPr>
            <w:tcW w:w="140" w:type="dxa"/>
            <w:vAlign w:val="bottom"/>
            <w:shd w:val="clear" w:color="auto" w:fill="CCECFF"/>
          </w:tcPr>
          <w:p>
            <w:pPr>
              <w:spacing w:after="0"/>
              <w:rPr>
                <w:sz w:val="21"/>
                <w:szCs w:val="21"/>
                <w:color w:val="auto"/>
              </w:rPr>
            </w:pPr>
          </w:p>
        </w:tc>
        <w:tc>
          <w:tcPr>
            <w:tcW w:w="200" w:type="dxa"/>
            <w:vAlign w:val="bottom"/>
            <w:shd w:val="clear" w:color="auto" w:fill="CCECFF"/>
          </w:tcPr>
          <w:p>
            <w:pPr>
              <w:spacing w:after="0"/>
              <w:rPr>
                <w:sz w:val="21"/>
                <w:szCs w:val="21"/>
                <w:color w:val="auto"/>
              </w:rPr>
            </w:pPr>
          </w:p>
        </w:tc>
        <w:tc>
          <w:tcPr>
            <w:tcW w:w="102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2,451</w:t>
            </w:r>
          </w:p>
        </w:tc>
        <w:tc>
          <w:tcPr>
            <w:tcW w:w="120" w:type="dxa"/>
            <w:vAlign w:val="bottom"/>
            <w:shd w:val="clear" w:color="auto" w:fill="CCECFF"/>
          </w:tcPr>
          <w:p>
            <w:pPr>
              <w:spacing w:after="0"/>
              <w:rPr>
                <w:sz w:val="21"/>
                <w:szCs w:val="21"/>
                <w:color w:val="auto"/>
              </w:rPr>
            </w:pPr>
          </w:p>
        </w:tc>
        <w:tc>
          <w:tcPr>
            <w:tcW w:w="120" w:type="dxa"/>
            <w:vAlign w:val="bottom"/>
            <w:shd w:val="clear" w:color="auto" w:fill="CCECFF"/>
          </w:tcPr>
          <w:p>
            <w:pPr>
              <w:spacing w:after="0"/>
              <w:rPr>
                <w:sz w:val="21"/>
                <w:szCs w:val="21"/>
                <w:color w:val="auto"/>
              </w:rPr>
            </w:pPr>
          </w:p>
        </w:tc>
        <w:tc>
          <w:tcPr>
            <w:tcW w:w="280" w:type="dxa"/>
            <w:vAlign w:val="bottom"/>
            <w:shd w:val="clear" w:color="auto" w:fill="CCECFF"/>
          </w:tcPr>
          <w:p>
            <w:pPr>
              <w:spacing w:after="0"/>
              <w:rPr>
                <w:sz w:val="21"/>
                <w:szCs w:val="21"/>
                <w:color w:val="auto"/>
              </w:rPr>
            </w:pPr>
          </w:p>
        </w:tc>
        <w:tc>
          <w:tcPr>
            <w:tcW w:w="9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2,009</w:t>
            </w:r>
          </w:p>
        </w:tc>
        <w:tc>
          <w:tcPr>
            <w:tcW w:w="120" w:type="dxa"/>
            <w:vAlign w:val="bottom"/>
            <w:shd w:val="clear" w:color="auto" w:fill="CCECFF"/>
          </w:tcPr>
          <w:p>
            <w:pPr>
              <w:spacing w:after="0"/>
              <w:rPr>
                <w:sz w:val="21"/>
                <w:szCs w:val="21"/>
                <w:color w:val="auto"/>
              </w:rPr>
            </w:pPr>
          </w:p>
        </w:tc>
        <w:tc>
          <w:tcPr>
            <w:tcW w:w="140" w:type="dxa"/>
            <w:vAlign w:val="bottom"/>
            <w:shd w:val="clear" w:color="auto" w:fill="CCECFF"/>
          </w:tcPr>
          <w:p>
            <w:pPr>
              <w:spacing w:after="0"/>
              <w:rPr>
                <w:sz w:val="21"/>
                <w:szCs w:val="21"/>
                <w:color w:val="auto"/>
              </w:rPr>
            </w:pPr>
          </w:p>
        </w:tc>
        <w:tc>
          <w:tcPr>
            <w:tcW w:w="860" w:type="dxa"/>
            <w:vAlign w:val="bottom"/>
            <w:shd w:val="clear" w:color="auto" w:fill="CCECFF"/>
          </w:tcPr>
          <w:p>
            <w:pPr>
              <w:jc w:val="right"/>
              <w:spacing w:after="0"/>
              <w:rPr>
                <w:sz w:val="20"/>
                <w:szCs w:val="20"/>
                <w:color w:val="auto"/>
              </w:rPr>
            </w:pPr>
            <w:r>
              <w:rPr>
                <w:rFonts w:ascii="Arial" w:cs="Arial" w:eastAsia="Arial" w:hAnsi="Arial"/>
                <w:sz w:val="18"/>
                <w:szCs w:val="18"/>
                <w:color w:val="auto"/>
              </w:rPr>
              <w:t>5,137</w:t>
            </w:r>
          </w:p>
        </w:tc>
        <w:tc>
          <w:tcPr>
            <w:tcW w:w="120" w:type="dxa"/>
            <w:vAlign w:val="bottom"/>
            <w:shd w:val="clear" w:color="auto" w:fill="CCECFF"/>
          </w:tcPr>
          <w:p>
            <w:pPr>
              <w:spacing w:after="0"/>
              <w:rPr>
                <w:sz w:val="21"/>
                <w:szCs w:val="21"/>
                <w:color w:val="auto"/>
              </w:rPr>
            </w:pPr>
          </w:p>
        </w:tc>
        <w:tc>
          <w:tcPr>
            <w:tcW w:w="240" w:type="dxa"/>
            <w:vAlign w:val="bottom"/>
            <w:shd w:val="clear" w:color="auto" w:fill="CCECFF"/>
          </w:tcPr>
          <w:p>
            <w:pPr>
              <w:spacing w:after="0"/>
              <w:rPr>
                <w:sz w:val="21"/>
                <w:szCs w:val="21"/>
                <w:color w:val="auto"/>
              </w:rPr>
            </w:pPr>
          </w:p>
        </w:tc>
        <w:tc>
          <w:tcPr>
            <w:tcW w:w="140" w:type="dxa"/>
            <w:vAlign w:val="bottom"/>
            <w:shd w:val="clear" w:color="auto" w:fill="CCECFF"/>
          </w:tcPr>
          <w:p>
            <w:pPr>
              <w:spacing w:after="0"/>
              <w:rPr>
                <w:sz w:val="21"/>
                <w:szCs w:val="21"/>
                <w:color w:val="auto"/>
              </w:rPr>
            </w:pPr>
          </w:p>
        </w:tc>
        <w:tc>
          <w:tcPr>
            <w:tcW w:w="740" w:type="dxa"/>
            <w:vAlign w:val="bottom"/>
            <w:shd w:val="clear" w:color="auto" w:fill="CCECFF"/>
          </w:tcPr>
          <w:p>
            <w:pPr>
              <w:jc w:val="right"/>
              <w:spacing w:after="0"/>
              <w:rPr>
                <w:sz w:val="20"/>
                <w:szCs w:val="20"/>
                <w:color w:val="auto"/>
              </w:rPr>
            </w:pPr>
            <w:r>
              <w:rPr>
                <w:rFonts w:ascii="Arial" w:cs="Arial" w:eastAsia="Arial" w:hAnsi="Arial"/>
                <w:sz w:val="18"/>
                <w:szCs w:val="18"/>
                <w:color w:val="auto"/>
              </w:rPr>
              <w:t>4,000</w:t>
            </w:r>
          </w:p>
        </w:tc>
        <w:tc>
          <w:tcPr>
            <w:tcW w:w="100" w:type="dxa"/>
            <w:vAlign w:val="bottom"/>
            <w:shd w:val="clear" w:color="auto" w:fill="CCECFF"/>
          </w:tcPr>
          <w:p>
            <w:pPr>
              <w:spacing w:after="0"/>
              <w:rPr>
                <w:sz w:val="21"/>
                <w:szCs w:val="21"/>
                <w:color w:val="auto"/>
              </w:rPr>
            </w:pPr>
          </w:p>
        </w:tc>
      </w:tr>
      <w:tr>
        <w:trPr>
          <w:trHeight w:val="230"/>
        </w:trPr>
        <w:tc>
          <w:tcPr>
            <w:tcW w:w="5960" w:type="dxa"/>
            <w:vAlign w:val="bottom"/>
          </w:tcPr>
          <w:p>
            <w:pPr>
              <w:ind w:left="280"/>
              <w:spacing w:after="0"/>
              <w:rPr>
                <w:sz w:val="20"/>
                <w:szCs w:val="20"/>
                <w:color w:val="auto"/>
              </w:rPr>
            </w:pPr>
            <w:r>
              <w:rPr>
                <w:rFonts w:ascii="Arial" w:cs="Arial" w:eastAsia="Arial" w:hAnsi="Arial"/>
                <w:sz w:val="18"/>
                <w:szCs w:val="18"/>
                <w:color w:val="auto"/>
              </w:rPr>
              <w:t>Other income (expense)</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(26 )</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(32 )</w:t>
            </w:r>
          </w:p>
        </w:tc>
        <w:tc>
          <w:tcPr>
            <w:tcW w:w="14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(57 )</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(45 )</w:t>
            </w:r>
          </w:p>
        </w:tc>
      </w:tr>
      <w:tr>
        <w:trPr>
          <w:trHeight w:val="223"/>
        </w:trPr>
        <w:tc>
          <w:tcPr>
            <w:tcW w:w="610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8"/>
                <w:szCs w:val="18"/>
                <w:color w:val="auto"/>
              </w:rPr>
              <w:t>Total other income</w:t>
            </w: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2,425</w:t>
            </w:r>
          </w:p>
        </w:tc>
        <w:tc>
          <w:tcPr>
            <w:tcW w:w="1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1,977</w:t>
            </w:r>
          </w:p>
        </w:tc>
        <w:tc>
          <w:tcPr>
            <w:tcW w:w="1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5,080</w:t>
            </w:r>
          </w:p>
        </w:tc>
        <w:tc>
          <w:tcPr>
            <w:tcW w:w="1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3,955</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6100" w:type="dxa"/>
            <w:vAlign w:val="bottom"/>
            <w:gridSpan w:val="2"/>
          </w:tcPr>
          <w:p>
            <w:pPr>
              <w:ind w:left="20"/>
              <w:spacing w:after="0"/>
              <w:rPr>
                <w:sz w:val="20"/>
                <w:szCs w:val="20"/>
                <w:color w:val="auto"/>
              </w:rPr>
            </w:pPr>
            <w:r>
              <w:rPr>
                <w:rFonts w:ascii="Arial" w:cs="Arial" w:eastAsia="Arial" w:hAnsi="Arial"/>
                <w:sz w:val="18"/>
                <w:szCs w:val="18"/>
                <w:color w:val="auto"/>
              </w:rPr>
              <w:t>Loss before income taxes</w:t>
            </w:r>
          </w:p>
        </w:tc>
        <w:tc>
          <w:tcPr>
            <w:tcW w:w="20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(20,337 )</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(18,299 )</w:t>
            </w:r>
          </w:p>
        </w:tc>
        <w:tc>
          <w:tcPr>
            <w:tcW w:w="14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(39,997 )</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(35,765 )</w:t>
            </w:r>
          </w:p>
        </w:tc>
      </w:tr>
      <w:tr>
        <w:trPr>
          <w:trHeight w:val="20"/>
        </w:trPr>
        <w:tc>
          <w:tcPr>
            <w:tcW w:w="5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6100" w:type="dxa"/>
            <w:vAlign w:val="bottom"/>
            <w:gridSpan w:val="2"/>
            <w:shd w:val="clear" w:color="auto" w:fill="CFF0FC"/>
          </w:tcPr>
          <w:p>
            <w:pPr>
              <w:ind w:left="280"/>
              <w:spacing w:after="0"/>
              <w:rPr>
                <w:sz w:val="20"/>
                <w:szCs w:val="20"/>
                <w:color w:val="auto"/>
              </w:rPr>
            </w:pPr>
            <w:r>
              <w:rPr>
                <w:rFonts w:ascii="Arial" w:cs="Arial" w:eastAsia="Arial" w:hAnsi="Arial"/>
                <w:sz w:val="18"/>
                <w:szCs w:val="18"/>
                <w:color w:val="auto"/>
              </w:rPr>
              <w:t>Income tax benefit (provision), net</w:t>
            </w:r>
          </w:p>
        </w:tc>
        <w:tc>
          <w:tcPr>
            <w:tcW w:w="2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(46 )</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41"/>
              <w:spacing w:after="0"/>
              <w:rPr>
                <w:sz w:val="20"/>
                <w:szCs w:val="20"/>
                <w:color w:val="auto"/>
              </w:rPr>
            </w:pPr>
            <w:r>
              <w:rPr>
                <w:rFonts w:ascii="Arial" w:cs="Arial" w:eastAsia="Arial" w:hAnsi="Arial"/>
                <w:sz w:val="18"/>
                <w:szCs w:val="18"/>
                <w:color w:val="auto"/>
              </w:rPr>
              <w:t>—</w:t>
            </w:r>
          </w:p>
        </w:tc>
      </w:tr>
      <w:tr>
        <w:trPr>
          <w:trHeight w:val="20"/>
        </w:trPr>
        <w:tc>
          <w:tcPr>
            <w:tcW w:w="596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23"/>
        </w:trPr>
        <w:tc>
          <w:tcPr>
            <w:tcW w:w="6100" w:type="dxa"/>
            <w:vAlign w:val="bottom"/>
            <w:gridSpan w:val="2"/>
          </w:tcPr>
          <w:p>
            <w:pPr>
              <w:ind w:left="20"/>
              <w:spacing w:after="0"/>
              <w:rPr>
                <w:sz w:val="20"/>
                <w:szCs w:val="20"/>
                <w:color w:val="auto"/>
              </w:rPr>
            </w:pPr>
            <w:r>
              <w:rPr>
                <w:rFonts w:ascii="Arial" w:cs="Arial" w:eastAsia="Arial" w:hAnsi="Arial"/>
                <w:sz w:val="18"/>
                <w:szCs w:val="18"/>
                <w:color w:val="auto"/>
              </w:rPr>
              <w:t>Net loss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(20,337 )</w:t>
            </w:r>
          </w:p>
        </w:tc>
        <w:tc>
          <w:tcPr>
            <w:tcW w:w="1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(18,299 ) $</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(40,043 )</w:t>
            </w:r>
          </w:p>
        </w:tc>
        <w:tc>
          <w:tcPr>
            <w:tcW w:w="2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(35,765 )</w:t>
            </w:r>
          </w:p>
        </w:tc>
      </w:tr>
      <w:tr>
        <w:trPr>
          <w:trHeight w:val="20"/>
        </w:trPr>
        <w:tc>
          <w:tcPr>
            <w:tcW w:w="6100" w:type="dxa"/>
            <w:vAlign w:val="bottom"/>
            <w:gridSpan w:val="2"/>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610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8"/>
                <w:szCs w:val="18"/>
                <w:color w:val="auto"/>
              </w:rPr>
              <w:t>Net loss per common share—basic and diluted</w:t>
            </w: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(0.41</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2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(0.48</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(0.81</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shd w:val="clear" w:color="auto" w:fill="CFF0FC"/>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shd w:val="clear" w:color="auto" w:fill="CFF0FC"/>
              </w:rPr>
              <w:t>(0.95</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shd w:val="clear" w:color="auto" w:fill="CFF0FC"/>
              </w:rPr>
              <w:t>)</w:t>
            </w:r>
          </w:p>
        </w:tc>
      </w:tr>
      <w:tr>
        <w:trPr>
          <w:trHeight w:val="178"/>
        </w:trPr>
        <w:tc>
          <w:tcPr>
            <w:tcW w:w="6100" w:type="dxa"/>
            <w:vAlign w:val="bottom"/>
            <w:gridSpan w:val="2"/>
          </w:tcPr>
          <w:p>
            <w:pPr>
              <w:ind w:left="20"/>
              <w:spacing w:after="0" w:line="177" w:lineRule="exact"/>
              <w:rPr>
                <w:sz w:val="20"/>
                <w:szCs w:val="20"/>
                <w:color w:val="auto"/>
              </w:rPr>
            </w:pPr>
            <w:r>
              <w:rPr>
                <w:rFonts w:ascii="Arial" w:cs="Arial" w:eastAsia="Arial" w:hAnsi="Arial"/>
                <w:sz w:val="18"/>
                <w:szCs w:val="18"/>
                <w:color w:val="auto"/>
              </w:rPr>
              <w:t>Weighted average common stock outstanding—basic and diluted</w:t>
            </w: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right"/>
              <w:spacing w:after="0" w:line="177" w:lineRule="exact"/>
              <w:rPr>
                <w:sz w:val="20"/>
                <w:szCs w:val="20"/>
                <w:color w:val="auto"/>
              </w:rPr>
            </w:pPr>
            <w:r>
              <w:rPr>
                <w:rFonts w:ascii="Arial" w:cs="Arial" w:eastAsia="Arial" w:hAnsi="Arial"/>
                <w:sz w:val="18"/>
                <w:szCs w:val="18"/>
                <w:color w:val="auto"/>
              </w:rPr>
              <w:t>49,500,03</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spacing w:after="0" w:line="177" w:lineRule="exact"/>
              <w:rPr>
                <w:sz w:val="20"/>
                <w:szCs w:val="20"/>
                <w:color w:val="auto"/>
              </w:rPr>
            </w:pPr>
            <w:r>
              <w:rPr>
                <w:rFonts w:ascii="Arial" w:cs="Arial" w:eastAsia="Arial" w:hAnsi="Arial"/>
                <w:sz w:val="18"/>
                <w:szCs w:val="18"/>
                <w:color w:val="auto"/>
                <w:w w:val="99"/>
              </w:rPr>
              <w:t>37,820,1</w:t>
            </w:r>
          </w:p>
        </w:tc>
        <w:tc>
          <w:tcPr>
            <w:tcW w:w="100" w:type="dxa"/>
            <w:vAlign w:val="bottom"/>
          </w:tcPr>
          <w:p>
            <w:pPr>
              <w:spacing w:after="0"/>
              <w:rPr>
                <w:sz w:val="15"/>
                <w:szCs w:val="15"/>
                <w:color w:val="auto"/>
              </w:rPr>
            </w:pPr>
          </w:p>
        </w:tc>
      </w:tr>
      <w:tr>
        <w:trPr>
          <w:trHeight w:val="235"/>
        </w:trPr>
        <w:tc>
          <w:tcPr>
            <w:tcW w:w="5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49,548,120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37,855,533</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0"/>
                <w:szCs w:val="20"/>
                <w:color w:val="auto"/>
              </w:rPr>
            </w:pPr>
          </w:p>
        </w:tc>
      </w:tr>
      <w:tr>
        <w:trPr>
          <w:trHeight w:val="20"/>
        </w:trPr>
        <w:tc>
          <w:tcPr>
            <w:tcW w:w="6100" w:type="dxa"/>
            <w:vAlign w:val="bottom"/>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610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Comprehensive loss:</w:t>
            </w:r>
          </w:p>
        </w:tc>
        <w:tc>
          <w:tcPr>
            <w:tcW w:w="2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43"/>
        </w:trPr>
        <w:tc>
          <w:tcPr>
            <w:tcW w:w="6100" w:type="dxa"/>
            <w:vAlign w:val="bottom"/>
            <w:gridSpan w:val="2"/>
          </w:tcPr>
          <w:p>
            <w:pPr>
              <w:ind w:left="20"/>
              <w:spacing w:after="0"/>
              <w:rPr>
                <w:sz w:val="20"/>
                <w:szCs w:val="20"/>
                <w:color w:val="auto"/>
              </w:rPr>
            </w:pPr>
            <w:r>
              <w:rPr>
                <w:rFonts w:ascii="Arial" w:cs="Arial" w:eastAsia="Arial" w:hAnsi="Arial"/>
                <w:sz w:val="18"/>
                <w:szCs w:val="18"/>
                <w:color w:val="auto"/>
              </w:rPr>
              <w:t>Net loss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(20,337 )</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(18,299 ) $</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(40,043 )</w:t>
            </w:r>
          </w:p>
        </w:tc>
        <w:tc>
          <w:tcPr>
            <w:tcW w:w="24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(35,765 )</w:t>
            </w:r>
          </w:p>
        </w:tc>
      </w:tr>
      <w:tr>
        <w:trPr>
          <w:trHeight w:val="243"/>
        </w:trPr>
        <w:tc>
          <w:tcPr>
            <w:tcW w:w="610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Other comprehensive items:</w:t>
            </w:r>
          </w:p>
        </w:tc>
        <w:tc>
          <w:tcPr>
            <w:tcW w:w="20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40" w:type="dxa"/>
            <w:vAlign w:val="bottom"/>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0"/>
        </w:trPr>
        <w:tc>
          <w:tcPr>
            <w:tcW w:w="6100" w:type="dxa"/>
            <w:vAlign w:val="bottom"/>
            <w:gridSpan w:val="2"/>
          </w:tcPr>
          <w:p>
            <w:pPr>
              <w:ind w:left="280"/>
              <w:spacing w:after="0"/>
              <w:rPr>
                <w:sz w:val="20"/>
                <w:szCs w:val="20"/>
                <w:color w:val="auto"/>
              </w:rPr>
            </w:pPr>
            <w:r>
              <w:rPr>
                <w:rFonts w:ascii="Arial" w:cs="Arial" w:eastAsia="Arial" w:hAnsi="Arial"/>
                <w:sz w:val="18"/>
                <w:szCs w:val="18"/>
                <w:color w:val="auto"/>
              </w:rPr>
              <w:t>Unrealized gain (loss) on marketable securities</w:t>
            </w:r>
          </w:p>
        </w:tc>
        <w:tc>
          <w:tcPr>
            <w:tcW w:w="20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(201 )</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(178 )</w:t>
            </w:r>
          </w:p>
        </w:tc>
        <w:tc>
          <w:tcPr>
            <w:tcW w:w="14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(722 )</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(151 )</w:t>
            </w:r>
          </w:p>
        </w:tc>
      </w:tr>
      <w:tr>
        <w:trPr>
          <w:trHeight w:val="223"/>
        </w:trPr>
        <w:tc>
          <w:tcPr>
            <w:tcW w:w="610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8"/>
                <w:szCs w:val="18"/>
                <w:color w:val="auto"/>
              </w:rPr>
              <w:t>Total other comprehensive income (loss)</w:t>
            </w: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(201</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(178</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(722</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23"/>
        </w:trPr>
        <w:tc>
          <w:tcPr>
            <w:tcW w:w="6100" w:type="dxa"/>
            <w:vAlign w:val="bottom"/>
            <w:gridSpan w:val="2"/>
          </w:tcPr>
          <w:p>
            <w:pPr>
              <w:ind w:left="20"/>
              <w:spacing w:after="0"/>
              <w:rPr>
                <w:sz w:val="20"/>
                <w:szCs w:val="20"/>
                <w:color w:val="auto"/>
              </w:rPr>
            </w:pPr>
            <w:r>
              <w:rPr>
                <w:rFonts w:ascii="Arial" w:cs="Arial" w:eastAsia="Arial" w:hAnsi="Arial"/>
                <w:sz w:val="18"/>
                <w:szCs w:val="18"/>
                <w:color w:val="auto"/>
              </w:rPr>
              <w:t>Total comprehensive loss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(20,538 )</w:t>
            </w:r>
          </w:p>
        </w:tc>
        <w:tc>
          <w:tcPr>
            <w:tcW w:w="12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(18,477 ) $</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(40,765 )</w:t>
            </w:r>
          </w:p>
        </w:tc>
        <w:tc>
          <w:tcPr>
            <w:tcW w:w="2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(35,916 )</w:t>
            </w:r>
          </w:p>
        </w:tc>
      </w:tr>
      <w:tr>
        <w:trPr>
          <w:trHeight w:val="20"/>
        </w:trPr>
        <w:tc>
          <w:tcPr>
            <w:tcW w:w="5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-2828290</wp:posOffset>
            </wp:positionV>
            <wp:extent cx="7747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-2828290</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-2828290</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-2828290</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-2519680</wp:posOffset>
            </wp:positionV>
            <wp:extent cx="7747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-2519680</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-2519680</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-2519680</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-1902460</wp:posOffset>
            </wp:positionV>
            <wp:extent cx="7747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-1902460</wp:posOffset>
            </wp:positionV>
            <wp:extent cx="685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-1902460</wp:posOffset>
            </wp:positionV>
            <wp:extent cx="685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-1902460</wp:posOffset>
            </wp:positionV>
            <wp:extent cx="685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-1593850</wp:posOffset>
            </wp:positionV>
            <wp:extent cx="7747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-1593850</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-1593850</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-1593850</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-1268095</wp:posOffset>
            </wp:positionV>
            <wp:extent cx="7747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-1250950</wp:posOffset>
            </wp:positionV>
            <wp:extent cx="7747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-1268095</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-1250950</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-1268095</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-1250950</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-1268095</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-1250950</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-179070</wp:posOffset>
            </wp:positionV>
            <wp:extent cx="7747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-179070</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-179070</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Aura Biosciences, Inc.</w:t>
      </w:r>
    </w:p>
    <w:p>
      <w:pPr>
        <w:spacing w:after="0" w:line="21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640" w:type="dxa"/>
            <w:vAlign w:val="bottom"/>
          </w:tcPr>
          <w:p>
            <w:pPr>
              <w:spacing w:after="0"/>
              <w:rPr>
                <w:sz w:val="16"/>
                <w:szCs w:val="16"/>
                <w:color w:val="auto"/>
              </w:rPr>
            </w:pPr>
          </w:p>
        </w:tc>
        <w:tc>
          <w:tcPr>
            <w:tcW w:w="2040" w:type="dxa"/>
            <w:vAlign w:val="bottom"/>
            <w:gridSpan w:val="4"/>
            <w:vMerge w:val="restart"/>
          </w:tcPr>
          <w:p>
            <w:pPr>
              <w:ind w:left="520"/>
              <w:spacing w:after="0"/>
              <w:rPr>
                <w:sz w:val="20"/>
                <w:szCs w:val="20"/>
                <w:color w:val="auto"/>
              </w:rPr>
            </w:pPr>
            <w:r>
              <w:rPr>
                <w:rFonts w:ascii="Arial" w:cs="Arial" w:eastAsia="Arial" w:hAnsi="Arial"/>
                <w:sz w:val="13"/>
                <w:szCs w:val="13"/>
                <w:b w:val="1"/>
                <w:bCs w:val="1"/>
                <w:color w:val="auto"/>
              </w:rPr>
              <w:t>Common Stock</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right"/>
              <w:ind w:right="133"/>
              <w:spacing w:after="0"/>
              <w:rPr>
                <w:sz w:val="20"/>
                <w:szCs w:val="20"/>
                <w:color w:val="auto"/>
              </w:rPr>
            </w:pPr>
            <w:r>
              <w:rPr>
                <w:rFonts w:ascii="Arial" w:cs="Arial" w:eastAsia="Arial" w:hAnsi="Arial"/>
                <w:sz w:val="13"/>
                <w:szCs w:val="13"/>
                <w:b w:val="1"/>
                <w:bCs w:val="1"/>
                <w:color w:val="auto"/>
              </w:rPr>
              <w:t>Additional</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rPr>
              <w:t>Accumulated</w:t>
            </w:r>
          </w:p>
        </w:tc>
        <w:tc>
          <w:tcPr>
            <w:tcW w:w="140" w:type="dxa"/>
            <w:vAlign w:val="bottom"/>
          </w:tcPr>
          <w:p>
            <w:pPr>
              <w:spacing w:after="0"/>
              <w:rPr>
                <w:sz w:val="16"/>
                <w:szCs w:val="16"/>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71"/>
        </w:trPr>
        <w:tc>
          <w:tcPr>
            <w:tcW w:w="3640" w:type="dxa"/>
            <w:vAlign w:val="bottom"/>
          </w:tcPr>
          <w:p>
            <w:pPr>
              <w:spacing w:after="0"/>
              <w:rPr>
                <w:sz w:val="14"/>
                <w:szCs w:val="14"/>
                <w:color w:val="auto"/>
              </w:rPr>
            </w:pPr>
          </w:p>
        </w:tc>
        <w:tc>
          <w:tcPr>
            <w:tcW w:w="2040" w:type="dxa"/>
            <w:vAlign w:val="bottom"/>
            <w:tcBorders>
              <w:bottom w:val="single" w:sz="8" w:color="auto"/>
            </w:tcBorders>
            <w:gridSpan w:val="4"/>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right"/>
              <w:ind w:right="233"/>
              <w:spacing w:after="0"/>
              <w:rPr>
                <w:sz w:val="20"/>
                <w:szCs w:val="20"/>
                <w:color w:val="auto"/>
              </w:rPr>
            </w:pPr>
            <w:r>
              <w:rPr>
                <w:rFonts w:ascii="Arial" w:cs="Arial" w:eastAsia="Arial" w:hAnsi="Arial"/>
                <w:sz w:val="13"/>
                <w:szCs w:val="13"/>
                <w:b w:val="1"/>
                <w:bCs w:val="1"/>
                <w:color w:val="auto"/>
              </w:rPr>
              <w:t>Paid-In</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rPr>
              <w:t>Accumulated</w:t>
            </w:r>
          </w:p>
        </w:tc>
        <w:tc>
          <w:tcPr>
            <w:tcW w:w="166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rPr>
              <w:t>Other Comprehensive</w:t>
            </w:r>
          </w:p>
        </w:tc>
        <w:tc>
          <w:tcPr>
            <w:tcW w:w="14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rPr>
              <w:t>Stockholders’</w:t>
            </w:r>
          </w:p>
        </w:tc>
        <w:tc>
          <w:tcPr>
            <w:tcW w:w="0" w:type="dxa"/>
            <w:vAlign w:val="bottom"/>
          </w:tcPr>
          <w:p>
            <w:pPr>
              <w:spacing w:after="0"/>
              <w:rPr>
                <w:sz w:val="1"/>
                <w:szCs w:val="1"/>
                <w:color w:val="auto"/>
              </w:rPr>
            </w:pPr>
          </w:p>
        </w:tc>
      </w:tr>
      <w:tr>
        <w:trPr>
          <w:trHeight w:val="169"/>
        </w:trPr>
        <w:tc>
          <w:tcPr>
            <w:tcW w:w="3640" w:type="dxa"/>
            <w:vAlign w:val="bottom"/>
          </w:tcPr>
          <w:p>
            <w:pPr>
              <w:spacing w:after="0"/>
              <w:rPr>
                <w:sz w:val="14"/>
                <w:szCs w:val="14"/>
                <w:color w:val="auto"/>
              </w:rPr>
            </w:pPr>
          </w:p>
        </w:tc>
        <w:tc>
          <w:tcPr>
            <w:tcW w:w="1220" w:type="dxa"/>
            <w:vAlign w:val="bottom"/>
            <w:tcBorders>
              <w:bottom w:val="single" w:sz="8" w:color="auto"/>
            </w:tcBorders>
          </w:tcPr>
          <w:p>
            <w:pPr>
              <w:jc w:val="right"/>
              <w:ind w:right="313"/>
              <w:spacing w:after="0"/>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Amount</w:t>
            </w: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33"/>
              <w:spacing w:after="0"/>
              <w:rPr>
                <w:sz w:val="20"/>
                <w:szCs w:val="20"/>
                <w:color w:val="auto"/>
              </w:rPr>
            </w:pPr>
            <w:r>
              <w:rPr>
                <w:rFonts w:ascii="Arial" w:cs="Arial" w:eastAsia="Arial" w:hAnsi="Arial"/>
                <w:sz w:val="13"/>
                <w:szCs w:val="13"/>
                <w:b w:val="1"/>
                <w:bCs w:val="1"/>
                <w:color w:val="auto"/>
              </w:rPr>
              <w:t>Capital</w:t>
            </w: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293"/>
              <w:spacing w:after="0"/>
              <w:rPr>
                <w:sz w:val="20"/>
                <w:szCs w:val="20"/>
                <w:color w:val="auto"/>
              </w:rPr>
            </w:pPr>
            <w:r>
              <w:rPr>
                <w:rFonts w:ascii="Arial" w:cs="Arial" w:eastAsia="Arial" w:hAnsi="Arial"/>
                <w:sz w:val="13"/>
                <w:szCs w:val="13"/>
                <w:b w:val="1"/>
                <w:bCs w:val="1"/>
                <w:color w:val="auto"/>
              </w:rPr>
              <w:t>Deficit</w:t>
            </w:r>
          </w:p>
        </w:tc>
        <w:tc>
          <w:tcPr>
            <w:tcW w:w="1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center"/>
              <w:ind w:right="153"/>
              <w:spacing w:after="0"/>
              <w:rPr>
                <w:sz w:val="20"/>
                <w:szCs w:val="20"/>
                <w:color w:val="auto"/>
              </w:rPr>
            </w:pPr>
            <w:r>
              <w:rPr>
                <w:rFonts w:ascii="Arial" w:cs="Arial" w:eastAsia="Arial" w:hAnsi="Arial"/>
                <w:sz w:val="13"/>
                <w:szCs w:val="13"/>
                <w:b w:val="1"/>
                <w:bCs w:val="1"/>
                <w:color w:val="auto"/>
              </w:rPr>
              <w:t>Loss Amount</w:t>
            </w: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center"/>
              <w:ind w:right="73"/>
              <w:spacing w:after="0"/>
              <w:rPr>
                <w:sz w:val="20"/>
                <w:szCs w:val="20"/>
                <w:color w:val="auto"/>
              </w:rPr>
            </w:pPr>
            <w:r>
              <w:rPr>
                <w:rFonts w:ascii="Arial" w:cs="Arial" w:eastAsia="Arial" w:hAnsi="Arial"/>
                <w:sz w:val="13"/>
                <w:szCs w:val="13"/>
                <w:b w:val="1"/>
                <w:bCs w:val="1"/>
                <w:color w:val="auto"/>
              </w:rPr>
              <w:t>Equity</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640" w:type="dxa"/>
            <w:vAlign w:val="bottom"/>
          </w:tcPr>
          <w:p>
            <w:pPr>
              <w:ind w:left="20"/>
              <w:spacing w:after="0"/>
              <w:rPr>
                <w:sz w:val="20"/>
                <w:szCs w:val="20"/>
                <w:color w:val="auto"/>
              </w:rPr>
            </w:pPr>
            <w:r>
              <w:rPr>
                <w:rFonts w:ascii="Arial" w:cs="Arial" w:eastAsia="Arial" w:hAnsi="Arial"/>
                <w:sz w:val="13"/>
                <w:szCs w:val="13"/>
                <w:b w:val="1"/>
                <w:bCs w:val="1"/>
                <w:color w:val="auto"/>
              </w:rPr>
              <w:t>Balance, December 31, 2023</w:t>
            </w:r>
          </w:p>
        </w:tc>
        <w:tc>
          <w:tcPr>
            <w:tcW w:w="1220" w:type="dxa"/>
            <w:vAlign w:val="bottom"/>
          </w:tcPr>
          <w:p>
            <w:pPr>
              <w:jc w:val="right"/>
              <w:spacing w:after="0"/>
              <w:rPr>
                <w:sz w:val="20"/>
                <w:szCs w:val="20"/>
                <w:color w:val="auto"/>
              </w:rPr>
            </w:pPr>
            <w:r>
              <w:rPr>
                <w:rFonts w:ascii="Arial" w:cs="Arial" w:eastAsia="Arial" w:hAnsi="Arial"/>
                <w:sz w:val="13"/>
                <w:szCs w:val="13"/>
                <w:color w:val="auto"/>
              </w:rPr>
              <w:t>49,350,788</w:t>
            </w: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ind w:left="460"/>
              <w:spacing w:after="0"/>
              <w:rPr>
                <w:sz w:val="20"/>
                <w:szCs w:val="20"/>
                <w:color w:val="auto"/>
              </w:rPr>
            </w:pPr>
            <w:r>
              <w:rPr>
                <w:rFonts w:ascii="Arial" w:cs="Arial" w:eastAsia="Arial" w:hAnsi="Arial"/>
                <w:sz w:val="13"/>
                <w:szCs w:val="13"/>
                <w:color w:val="auto"/>
              </w:rPr>
              <w:t>—</w:t>
            </w:r>
          </w:p>
        </w:tc>
        <w:tc>
          <w:tcPr>
            <w:tcW w:w="2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512,617</w:t>
            </w:r>
          </w:p>
        </w:tc>
        <w:tc>
          <w:tcPr>
            <w:tcW w:w="2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360" w:type="dxa"/>
            <w:vAlign w:val="bottom"/>
            <w:gridSpan w:val="3"/>
          </w:tcPr>
          <w:p>
            <w:pPr>
              <w:jc w:val="right"/>
              <w:ind w:right="73"/>
              <w:spacing w:after="0"/>
              <w:rPr>
                <w:sz w:val="20"/>
                <w:szCs w:val="20"/>
                <w:color w:val="auto"/>
              </w:rPr>
            </w:pPr>
            <w:r>
              <w:rPr>
                <w:rFonts w:ascii="Arial" w:cs="Arial" w:eastAsia="Arial" w:hAnsi="Arial"/>
                <w:sz w:val="13"/>
                <w:szCs w:val="13"/>
                <w:color w:val="auto"/>
              </w:rPr>
              <w:t>(287,308 ) $</w:t>
            </w:r>
          </w:p>
        </w:tc>
        <w:tc>
          <w:tcPr>
            <w:tcW w:w="1320" w:type="dxa"/>
            <w:vAlign w:val="bottom"/>
          </w:tcPr>
          <w:p>
            <w:pPr>
              <w:jc w:val="right"/>
              <w:spacing w:after="0"/>
              <w:rPr>
                <w:sz w:val="20"/>
                <w:szCs w:val="20"/>
                <w:color w:val="auto"/>
              </w:rPr>
            </w:pPr>
            <w:r>
              <w:rPr>
                <w:rFonts w:ascii="Arial" w:cs="Arial" w:eastAsia="Arial" w:hAnsi="Arial"/>
                <w:sz w:val="13"/>
                <w:szCs w:val="13"/>
                <w:color w:val="auto"/>
              </w:rPr>
              <w:t>539</w:t>
            </w:r>
          </w:p>
        </w:tc>
        <w:tc>
          <w:tcPr>
            <w:tcW w:w="12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20" w:type="dxa"/>
            <w:vAlign w:val="bottom"/>
          </w:tcPr>
          <w:p>
            <w:pPr>
              <w:jc w:val="right"/>
              <w:spacing w:after="0"/>
              <w:rPr>
                <w:sz w:val="20"/>
                <w:szCs w:val="20"/>
                <w:color w:val="auto"/>
              </w:rPr>
            </w:pPr>
            <w:r>
              <w:rPr>
                <w:rFonts w:ascii="Arial" w:cs="Arial" w:eastAsia="Arial" w:hAnsi="Arial"/>
                <w:sz w:val="13"/>
                <w:szCs w:val="13"/>
                <w:color w:val="auto"/>
              </w:rPr>
              <w:t>225,848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640" w:type="dxa"/>
            <w:vAlign w:val="bottom"/>
            <w:shd w:val="clear" w:color="auto" w:fill="CFF0FC"/>
          </w:tcPr>
          <w:p>
            <w:pPr>
              <w:ind w:left="20"/>
              <w:spacing w:after="0"/>
              <w:rPr>
                <w:sz w:val="20"/>
                <w:szCs w:val="20"/>
                <w:color w:val="auto"/>
              </w:rPr>
            </w:pPr>
            <w:r>
              <w:rPr>
                <w:rFonts w:ascii="Arial" w:cs="Arial" w:eastAsia="Arial" w:hAnsi="Arial"/>
                <w:sz w:val="13"/>
                <w:szCs w:val="13"/>
                <w:color w:val="auto"/>
              </w:rPr>
              <w:t>Stock-based compensation expense</w:t>
            </w:r>
          </w:p>
        </w:tc>
        <w:tc>
          <w:tcPr>
            <w:tcW w:w="12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20" w:type="dxa"/>
            <w:vAlign w:val="bottom"/>
            <w:shd w:val="clear" w:color="auto" w:fill="CFF0FC"/>
          </w:tcPr>
          <w:p>
            <w:pPr>
              <w:ind w:left="4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2,909</w:t>
            </w: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3"/>
                <w:szCs w:val="13"/>
                <w:color w:val="auto"/>
              </w:rPr>
            </w:pPr>
          </w:p>
        </w:tc>
        <w:tc>
          <w:tcPr>
            <w:tcW w:w="144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3"/>
                <w:szCs w:val="13"/>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2,909</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3640" w:type="dxa"/>
            <w:vAlign w:val="bottom"/>
          </w:tcPr>
          <w:p>
            <w:pPr>
              <w:ind w:left="20"/>
              <w:spacing w:after="0"/>
              <w:rPr>
                <w:sz w:val="20"/>
                <w:szCs w:val="20"/>
                <w:color w:val="auto"/>
              </w:rPr>
            </w:pPr>
            <w:r>
              <w:rPr>
                <w:rFonts w:ascii="Arial" w:cs="Arial" w:eastAsia="Arial" w:hAnsi="Arial"/>
                <w:sz w:val="13"/>
                <w:szCs w:val="13"/>
                <w:color w:val="auto"/>
              </w:rPr>
              <w:t>ESPP issuance</w:t>
            </w:r>
          </w:p>
        </w:tc>
        <w:tc>
          <w:tcPr>
            <w:tcW w:w="1220" w:type="dxa"/>
            <w:vAlign w:val="bottom"/>
          </w:tcPr>
          <w:p>
            <w:pPr>
              <w:jc w:val="right"/>
              <w:spacing w:after="0"/>
              <w:rPr>
                <w:sz w:val="20"/>
                <w:szCs w:val="20"/>
                <w:color w:val="auto"/>
              </w:rPr>
            </w:pPr>
            <w:r>
              <w:rPr>
                <w:rFonts w:ascii="Arial" w:cs="Arial" w:eastAsia="Arial" w:hAnsi="Arial"/>
                <w:sz w:val="13"/>
                <w:szCs w:val="13"/>
                <w:color w:val="auto"/>
              </w:rPr>
              <w:t>12,314</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ind w:left="4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95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95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640" w:type="dxa"/>
            <w:vAlign w:val="bottom"/>
            <w:shd w:val="clear" w:color="auto" w:fill="CFF0FC"/>
          </w:tcPr>
          <w:p>
            <w:pPr>
              <w:ind w:left="20"/>
              <w:spacing w:after="0"/>
              <w:rPr>
                <w:sz w:val="20"/>
                <w:szCs w:val="20"/>
                <w:color w:val="auto"/>
              </w:rPr>
            </w:pPr>
            <w:r>
              <w:rPr>
                <w:rFonts w:ascii="Arial" w:cs="Arial" w:eastAsia="Arial" w:hAnsi="Arial"/>
                <w:sz w:val="13"/>
                <w:szCs w:val="13"/>
                <w:color w:val="auto"/>
              </w:rPr>
              <w:t>Stock option exercises</w:t>
            </w:r>
          </w:p>
        </w:tc>
        <w:tc>
          <w:tcPr>
            <w:tcW w:w="12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51,180</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20" w:type="dxa"/>
            <w:vAlign w:val="bottom"/>
            <w:shd w:val="clear" w:color="auto" w:fill="CFF0FC"/>
          </w:tcPr>
          <w:p>
            <w:pPr>
              <w:ind w:left="4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158</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5"/>
                <w:szCs w:val="15"/>
                <w:color w:val="auto"/>
              </w:rPr>
            </w:pPr>
          </w:p>
        </w:tc>
        <w:tc>
          <w:tcPr>
            <w:tcW w:w="144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158</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640" w:type="dxa"/>
            <w:vAlign w:val="bottom"/>
          </w:tcPr>
          <w:p>
            <w:pPr>
              <w:ind w:left="20"/>
              <w:spacing w:after="0"/>
              <w:rPr>
                <w:sz w:val="20"/>
                <w:szCs w:val="20"/>
                <w:color w:val="auto"/>
              </w:rPr>
            </w:pPr>
            <w:r>
              <w:rPr>
                <w:rFonts w:ascii="Arial" w:cs="Arial" w:eastAsia="Arial" w:hAnsi="Arial"/>
                <w:sz w:val="13"/>
                <w:szCs w:val="13"/>
                <w:color w:val="auto"/>
              </w:rPr>
              <w:t>Vesting of restricted stock</w:t>
            </w:r>
          </w:p>
        </w:tc>
        <w:tc>
          <w:tcPr>
            <w:tcW w:w="1220" w:type="dxa"/>
            <w:vAlign w:val="bottom"/>
          </w:tcPr>
          <w:p>
            <w:pPr>
              <w:jc w:val="right"/>
              <w:spacing w:after="0"/>
              <w:rPr>
                <w:sz w:val="20"/>
                <w:szCs w:val="20"/>
                <w:color w:val="auto"/>
              </w:rPr>
            </w:pPr>
            <w:r>
              <w:rPr>
                <w:rFonts w:ascii="Arial" w:cs="Arial" w:eastAsia="Arial" w:hAnsi="Arial"/>
                <w:sz w:val="13"/>
                <w:szCs w:val="13"/>
                <w:color w:val="auto"/>
              </w:rPr>
              <w:t>90,123</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ind w:left="4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6"/>
        </w:trPr>
        <w:tc>
          <w:tcPr>
            <w:tcW w:w="3640" w:type="dxa"/>
            <w:vAlign w:val="bottom"/>
            <w:shd w:val="clear" w:color="auto" w:fill="CFF0FC"/>
          </w:tcPr>
          <w:p>
            <w:pPr>
              <w:ind w:left="20"/>
              <w:spacing w:after="0"/>
              <w:rPr>
                <w:sz w:val="20"/>
                <w:szCs w:val="20"/>
                <w:color w:val="auto"/>
              </w:rPr>
            </w:pPr>
            <w:r>
              <w:rPr>
                <w:rFonts w:ascii="Arial" w:cs="Arial" w:eastAsia="Arial" w:hAnsi="Arial"/>
                <w:sz w:val="13"/>
                <w:szCs w:val="13"/>
                <w:color w:val="auto"/>
              </w:rPr>
              <w:t>Unrealized gain on marketable securities</w:t>
            </w:r>
          </w:p>
        </w:tc>
        <w:tc>
          <w:tcPr>
            <w:tcW w:w="12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20" w:type="dxa"/>
            <w:vAlign w:val="bottom"/>
            <w:shd w:val="clear" w:color="auto" w:fill="CFF0FC"/>
          </w:tcPr>
          <w:p>
            <w:pPr>
              <w:ind w:left="4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5"/>
                <w:szCs w:val="15"/>
                <w:color w:val="auto"/>
              </w:rPr>
            </w:pPr>
          </w:p>
        </w:tc>
        <w:tc>
          <w:tcPr>
            <w:tcW w:w="144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(521 )</w:t>
            </w:r>
          </w:p>
        </w:tc>
        <w:tc>
          <w:tcPr>
            <w:tcW w:w="14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(521 )</w:t>
            </w:r>
          </w:p>
        </w:tc>
        <w:tc>
          <w:tcPr>
            <w:tcW w:w="0" w:type="dxa"/>
            <w:vAlign w:val="bottom"/>
          </w:tcPr>
          <w:p>
            <w:pPr>
              <w:spacing w:after="0"/>
              <w:rPr>
                <w:sz w:val="1"/>
                <w:szCs w:val="1"/>
                <w:color w:val="auto"/>
              </w:rPr>
            </w:pPr>
          </w:p>
        </w:tc>
      </w:tr>
      <w:tr>
        <w:trPr>
          <w:trHeight w:val="175"/>
        </w:trPr>
        <w:tc>
          <w:tcPr>
            <w:tcW w:w="3640" w:type="dxa"/>
            <w:vAlign w:val="bottom"/>
          </w:tcPr>
          <w:p>
            <w:pPr>
              <w:ind w:left="20"/>
              <w:spacing w:after="0"/>
              <w:rPr>
                <w:sz w:val="20"/>
                <w:szCs w:val="20"/>
                <w:color w:val="auto"/>
              </w:rPr>
            </w:pPr>
            <w:r>
              <w:rPr>
                <w:rFonts w:ascii="Arial" w:cs="Arial" w:eastAsia="Arial" w:hAnsi="Arial"/>
                <w:sz w:val="13"/>
                <w:szCs w:val="13"/>
                <w:color w:val="auto"/>
              </w:rPr>
              <w:t>Net loss</w:t>
            </w:r>
          </w:p>
        </w:tc>
        <w:tc>
          <w:tcPr>
            <w:tcW w:w="122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ind w:left="4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3"/>
                <w:szCs w:val="13"/>
                <w:color w:val="auto"/>
              </w:rPr>
              <w:t>(19,706 )</w:t>
            </w:r>
          </w:p>
        </w:tc>
        <w:tc>
          <w:tcPr>
            <w:tcW w:w="220" w:type="dxa"/>
            <w:vAlign w:val="bottom"/>
          </w:tcPr>
          <w:p>
            <w:pPr>
              <w:spacing w:after="0"/>
              <w:rPr>
                <w:sz w:val="15"/>
                <w:szCs w:val="15"/>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3"/>
                <w:szCs w:val="13"/>
                <w:color w:val="auto"/>
              </w:rPr>
              <w:t>(19,706 )</w:t>
            </w: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64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Balance, March 31, 2024</w:t>
            </w:r>
          </w:p>
        </w:tc>
        <w:tc>
          <w:tcPr>
            <w:tcW w:w="12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49,504,405</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20" w:type="dxa"/>
            <w:vAlign w:val="bottom"/>
            <w:shd w:val="clear" w:color="auto" w:fill="CFF0FC"/>
          </w:tcPr>
          <w:p>
            <w:pPr>
              <w:ind w:left="4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515,779</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(307,014 )</w:t>
            </w:r>
          </w:p>
        </w:tc>
        <w:tc>
          <w:tcPr>
            <w:tcW w:w="220" w:type="dxa"/>
            <w:vAlign w:val="bottom"/>
            <w:shd w:val="clear" w:color="auto" w:fill="CFF0FC"/>
          </w:tcPr>
          <w:p>
            <w:pPr>
              <w:spacing w:after="0"/>
              <w:rPr>
                <w:sz w:val="14"/>
                <w:szCs w:val="14"/>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208,783</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640" w:type="dxa"/>
            <w:vAlign w:val="bottom"/>
          </w:tcPr>
          <w:p>
            <w:pPr>
              <w:ind w:left="20"/>
              <w:spacing w:after="0"/>
              <w:rPr>
                <w:sz w:val="20"/>
                <w:szCs w:val="20"/>
                <w:color w:val="auto"/>
              </w:rPr>
            </w:pPr>
            <w:r>
              <w:rPr>
                <w:rFonts w:ascii="Arial" w:cs="Arial" w:eastAsia="Arial" w:hAnsi="Arial"/>
                <w:sz w:val="13"/>
                <w:szCs w:val="13"/>
                <w:color w:val="auto"/>
              </w:rPr>
              <w:t>Stock-based compensation expense</w:t>
            </w:r>
          </w:p>
        </w:tc>
        <w:tc>
          <w:tcPr>
            <w:tcW w:w="122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ind w:left="4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3,126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3,126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640" w:type="dxa"/>
            <w:vAlign w:val="bottom"/>
            <w:shd w:val="clear" w:color="auto" w:fill="CFF0FC"/>
          </w:tcPr>
          <w:p>
            <w:pPr>
              <w:ind w:left="20"/>
              <w:spacing w:after="0"/>
              <w:rPr>
                <w:sz w:val="20"/>
                <w:szCs w:val="20"/>
                <w:color w:val="auto"/>
              </w:rPr>
            </w:pPr>
            <w:r>
              <w:rPr>
                <w:rFonts w:ascii="Arial" w:cs="Arial" w:eastAsia="Arial" w:hAnsi="Arial"/>
                <w:sz w:val="13"/>
                <w:szCs w:val="13"/>
                <w:color w:val="auto"/>
              </w:rPr>
              <w:t>Employee stock purchase plan</w:t>
            </w:r>
          </w:p>
        </w:tc>
        <w:tc>
          <w:tcPr>
            <w:tcW w:w="1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20" w:type="dxa"/>
            <w:vAlign w:val="bottom"/>
            <w:shd w:val="clear" w:color="auto" w:fill="CFF0FC"/>
          </w:tcPr>
          <w:p>
            <w:pPr>
              <w:ind w:left="4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5"/>
                <w:szCs w:val="15"/>
                <w:color w:val="auto"/>
              </w:rPr>
            </w:pPr>
          </w:p>
        </w:tc>
        <w:tc>
          <w:tcPr>
            <w:tcW w:w="144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6"/>
        </w:trPr>
        <w:tc>
          <w:tcPr>
            <w:tcW w:w="3640" w:type="dxa"/>
            <w:vAlign w:val="bottom"/>
          </w:tcPr>
          <w:p>
            <w:pPr>
              <w:ind w:left="20"/>
              <w:spacing w:after="0"/>
              <w:rPr>
                <w:sz w:val="20"/>
                <w:szCs w:val="20"/>
                <w:color w:val="auto"/>
              </w:rPr>
            </w:pPr>
            <w:r>
              <w:rPr>
                <w:rFonts w:ascii="Arial" w:cs="Arial" w:eastAsia="Arial" w:hAnsi="Arial"/>
                <w:sz w:val="13"/>
                <w:szCs w:val="13"/>
                <w:color w:val="auto"/>
              </w:rPr>
              <w:t>Stock option exercises</w:t>
            </w:r>
          </w:p>
        </w:tc>
        <w:tc>
          <w:tcPr>
            <w:tcW w:w="1220" w:type="dxa"/>
            <w:vAlign w:val="bottom"/>
          </w:tcPr>
          <w:p>
            <w:pPr>
              <w:jc w:val="right"/>
              <w:spacing w:after="0"/>
              <w:rPr>
                <w:sz w:val="20"/>
                <w:szCs w:val="20"/>
                <w:color w:val="auto"/>
              </w:rPr>
            </w:pPr>
            <w:r>
              <w:rPr>
                <w:rFonts w:ascii="Arial" w:cs="Arial" w:eastAsia="Arial" w:hAnsi="Arial"/>
                <w:sz w:val="13"/>
                <w:szCs w:val="13"/>
                <w:color w:val="auto"/>
              </w:rPr>
              <w:t>24,245</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ind w:left="4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83</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83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640" w:type="dxa"/>
            <w:vAlign w:val="bottom"/>
            <w:shd w:val="clear" w:color="auto" w:fill="CFF0FC"/>
          </w:tcPr>
          <w:p>
            <w:pPr>
              <w:ind w:left="20"/>
              <w:spacing w:after="0"/>
              <w:rPr>
                <w:sz w:val="20"/>
                <w:szCs w:val="20"/>
                <w:color w:val="auto"/>
              </w:rPr>
            </w:pPr>
            <w:r>
              <w:rPr>
                <w:rFonts w:ascii="Arial" w:cs="Arial" w:eastAsia="Arial" w:hAnsi="Arial"/>
                <w:sz w:val="13"/>
                <w:szCs w:val="13"/>
                <w:color w:val="auto"/>
              </w:rPr>
              <w:t>Vesting of restricted stock</w:t>
            </w:r>
          </w:p>
        </w:tc>
        <w:tc>
          <w:tcPr>
            <w:tcW w:w="12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54,708</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20" w:type="dxa"/>
            <w:vAlign w:val="bottom"/>
            <w:shd w:val="clear" w:color="auto" w:fill="CFF0FC"/>
          </w:tcPr>
          <w:p>
            <w:pPr>
              <w:ind w:left="4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5"/>
                <w:szCs w:val="15"/>
                <w:color w:val="auto"/>
              </w:rPr>
            </w:pPr>
          </w:p>
        </w:tc>
        <w:tc>
          <w:tcPr>
            <w:tcW w:w="144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6"/>
        </w:trPr>
        <w:tc>
          <w:tcPr>
            <w:tcW w:w="3640" w:type="dxa"/>
            <w:vAlign w:val="bottom"/>
          </w:tcPr>
          <w:p>
            <w:pPr>
              <w:ind w:left="20"/>
              <w:spacing w:after="0"/>
              <w:rPr>
                <w:sz w:val="20"/>
                <w:szCs w:val="20"/>
                <w:color w:val="auto"/>
              </w:rPr>
            </w:pPr>
            <w:r>
              <w:rPr>
                <w:rFonts w:ascii="Arial" w:cs="Arial" w:eastAsia="Arial" w:hAnsi="Arial"/>
                <w:sz w:val="13"/>
                <w:szCs w:val="13"/>
                <w:color w:val="auto"/>
              </w:rPr>
              <w:t>Unrealized gain on marketable securities</w:t>
            </w:r>
          </w:p>
        </w:tc>
        <w:tc>
          <w:tcPr>
            <w:tcW w:w="122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ind w:left="4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3"/>
                <w:szCs w:val="13"/>
                <w:color w:val="auto"/>
              </w:rPr>
              <w:t>(201 )</w:t>
            </w:r>
          </w:p>
        </w:tc>
        <w:tc>
          <w:tcPr>
            <w:tcW w:w="140" w:type="dxa"/>
            <w:vAlign w:val="bottom"/>
          </w:tcPr>
          <w:p>
            <w:pPr>
              <w:spacing w:after="0"/>
              <w:rPr>
                <w:sz w:val="15"/>
                <w:szCs w:val="15"/>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3"/>
                <w:szCs w:val="13"/>
                <w:color w:val="auto"/>
              </w:rPr>
              <w:t>(201 )</w:t>
            </w:r>
          </w:p>
        </w:tc>
        <w:tc>
          <w:tcPr>
            <w:tcW w:w="0" w:type="dxa"/>
            <w:vAlign w:val="bottom"/>
          </w:tcPr>
          <w:p>
            <w:pPr>
              <w:spacing w:after="0"/>
              <w:rPr>
                <w:sz w:val="1"/>
                <w:szCs w:val="1"/>
                <w:color w:val="auto"/>
              </w:rPr>
            </w:pPr>
          </w:p>
        </w:tc>
      </w:tr>
      <w:tr>
        <w:trPr>
          <w:trHeight w:val="175"/>
        </w:trPr>
        <w:tc>
          <w:tcPr>
            <w:tcW w:w="3640" w:type="dxa"/>
            <w:vAlign w:val="bottom"/>
            <w:shd w:val="clear" w:color="auto" w:fill="CFF0FC"/>
          </w:tcPr>
          <w:p>
            <w:pPr>
              <w:ind w:left="20"/>
              <w:spacing w:after="0"/>
              <w:rPr>
                <w:sz w:val="20"/>
                <w:szCs w:val="20"/>
                <w:color w:val="auto"/>
              </w:rPr>
            </w:pPr>
            <w:r>
              <w:rPr>
                <w:rFonts w:ascii="Arial" w:cs="Arial" w:eastAsia="Arial" w:hAnsi="Arial"/>
                <w:sz w:val="13"/>
                <w:szCs w:val="13"/>
                <w:color w:val="auto"/>
              </w:rPr>
              <w:t>Net loss</w:t>
            </w:r>
          </w:p>
        </w:tc>
        <w:tc>
          <w:tcPr>
            <w:tcW w:w="12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20" w:type="dxa"/>
            <w:vAlign w:val="bottom"/>
            <w:shd w:val="clear" w:color="auto" w:fill="CFF0FC"/>
          </w:tcPr>
          <w:p>
            <w:pPr>
              <w:ind w:left="4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(20,337 )</w:t>
            </w:r>
          </w:p>
        </w:tc>
        <w:tc>
          <w:tcPr>
            <w:tcW w:w="220" w:type="dxa"/>
            <w:vAlign w:val="bottom"/>
            <w:shd w:val="clear" w:color="auto" w:fill="CFF0FC"/>
          </w:tcPr>
          <w:p>
            <w:pPr>
              <w:spacing w:after="0"/>
              <w:rPr>
                <w:sz w:val="15"/>
                <w:szCs w:val="15"/>
                <w:color w:val="auto"/>
              </w:rPr>
            </w:pPr>
          </w:p>
        </w:tc>
        <w:tc>
          <w:tcPr>
            <w:tcW w:w="144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(20,337 )</w:t>
            </w:r>
          </w:p>
        </w:tc>
        <w:tc>
          <w:tcPr>
            <w:tcW w:w="0" w:type="dxa"/>
            <w:vAlign w:val="bottom"/>
          </w:tcPr>
          <w:p>
            <w:pPr>
              <w:spacing w:after="0"/>
              <w:rPr>
                <w:sz w:val="1"/>
                <w:szCs w:val="1"/>
                <w:color w:val="auto"/>
              </w:rPr>
            </w:pPr>
          </w:p>
        </w:tc>
      </w:tr>
      <w:tr>
        <w:trPr>
          <w:trHeight w:val="20"/>
        </w:trPr>
        <w:tc>
          <w:tcPr>
            <w:tcW w:w="3640" w:type="dxa"/>
            <w:vAlign w:val="bottom"/>
            <w:shd w:val="clear" w:color="auto" w:fill="CFF0FC"/>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3640" w:type="dxa"/>
            <w:vAlign w:val="bottom"/>
          </w:tcPr>
          <w:p>
            <w:pPr>
              <w:ind w:left="20"/>
              <w:spacing w:after="0"/>
              <w:rPr>
                <w:sz w:val="20"/>
                <w:szCs w:val="20"/>
                <w:color w:val="auto"/>
              </w:rPr>
            </w:pPr>
            <w:r>
              <w:rPr>
                <w:rFonts w:ascii="Arial" w:cs="Arial" w:eastAsia="Arial" w:hAnsi="Arial"/>
                <w:sz w:val="13"/>
                <w:szCs w:val="13"/>
                <w:b w:val="1"/>
                <w:bCs w:val="1"/>
                <w:color w:val="auto"/>
              </w:rPr>
              <w:t>Balance, June 30, 2024</w:t>
            </w:r>
          </w:p>
        </w:tc>
        <w:tc>
          <w:tcPr>
            <w:tcW w:w="1220" w:type="dxa"/>
            <w:vAlign w:val="bottom"/>
          </w:tcPr>
          <w:p>
            <w:pPr>
              <w:jc w:val="right"/>
              <w:spacing w:after="0"/>
              <w:rPr>
                <w:sz w:val="20"/>
                <w:szCs w:val="20"/>
                <w:color w:val="auto"/>
              </w:rPr>
            </w:pPr>
            <w:r>
              <w:rPr>
                <w:rFonts w:ascii="Arial" w:cs="Arial" w:eastAsia="Arial" w:hAnsi="Arial"/>
                <w:sz w:val="13"/>
                <w:szCs w:val="13"/>
                <w:color w:val="auto"/>
              </w:rPr>
              <w:t>49,583,358</w:t>
            </w:r>
          </w:p>
        </w:tc>
        <w:tc>
          <w:tcPr>
            <w:tcW w:w="12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Pr>
          <w:p>
            <w:pPr>
              <w:ind w:left="4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518,988</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360" w:type="dxa"/>
            <w:vAlign w:val="bottom"/>
            <w:gridSpan w:val="3"/>
          </w:tcPr>
          <w:p>
            <w:pPr>
              <w:jc w:val="right"/>
              <w:ind w:right="73"/>
              <w:spacing w:after="0"/>
              <w:rPr>
                <w:sz w:val="20"/>
                <w:szCs w:val="20"/>
                <w:color w:val="auto"/>
              </w:rPr>
            </w:pPr>
            <w:r>
              <w:rPr>
                <w:rFonts w:ascii="Arial" w:cs="Arial" w:eastAsia="Arial" w:hAnsi="Arial"/>
                <w:sz w:val="13"/>
                <w:szCs w:val="13"/>
                <w:color w:val="auto"/>
              </w:rPr>
              <w:t>(327,351 ) $</w:t>
            </w:r>
          </w:p>
        </w:tc>
        <w:tc>
          <w:tcPr>
            <w:tcW w:w="1580" w:type="dxa"/>
            <w:vAlign w:val="bottom"/>
            <w:gridSpan w:val="3"/>
          </w:tcPr>
          <w:p>
            <w:pPr>
              <w:jc w:val="right"/>
              <w:spacing w:after="0"/>
              <w:rPr>
                <w:sz w:val="20"/>
                <w:szCs w:val="20"/>
                <w:color w:val="auto"/>
              </w:rPr>
            </w:pPr>
            <w:r>
              <w:rPr>
                <w:rFonts w:ascii="Arial" w:cs="Arial" w:eastAsia="Arial" w:hAnsi="Arial"/>
                <w:sz w:val="13"/>
                <w:szCs w:val="13"/>
                <w:color w:val="auto"/>
              </w:rPr>
              <w:t>(183 ) $</w:t>
            </w:r>
          </w:p>
        </w:tc>
        <w:tc>
          <w:tcPr>
            <w:tcW w:w="1120" w:type="dxa"/>
            <w:vAlign w:val="bottom"/>
          </w:tcPr>
          <w:p>
            <w:pPr>
              <w:jc w:val="right"/>
              <w:spacing w:after="0"/>
              <w:rPr>
                <w:sz w:val="20"/>
                <w:szCs w:val="20"/>
                <w:color w:val="auto"/>
              </w:rPr>
            </w:pPr>
            <w:r>
              <w:rPr>
                <w:rFonts w:ascii="Arial" w:cs="Arial" w:eastAsia="Arial" w:hAnsi="Arial"/>
                <w:sz w:val="13"/>
                <w:szCs w:val="13"/>
                <w:color w:val="auto"/>
              </w:rPr>
              <w:t>191,454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3082290</wp:posOffset>
            </wp:positionH>
            <wp:positionV relativeFrom="paragraph">
              <wp:posOffset>-126365</wp:posOffset>
            </wp:positionV>
            <wp:extent cx="7683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-126365</wp:posOffset>
            </wp:positionV>
            <wp:extent cx="7747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-126365</wp:posOffset>
            </wp:positionV>
            <wp:extent cx="685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-126365</wp:posOffset>
            </wp:positionV>
            <wp:extent cx="6858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-126365</wp:posOffset>
            </wp:positionV>
            <wp:extent cx="685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-126365</wp:posOffset>
            </wp:positionV>
            <wp:extent cx="6858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640" w:type="dxa"/>
            <w:vAlign w:val="bottom"/>
          </w:tcPr>
          <w:p>
            <w:pPr>
              <w:spacing w:after="0"/>
              <w:rPr>
                <w:sz w:val="16"/>
                <w:szCs w:val="16"/>
                <w:color w:val="auto"/>
              </w:rPr>
            </w:pPr>
          </w:p>
        </w:tc>
        <w:tc>
          <w:tcPr>
            <w:tcW w:w="2040" w:type="dxa"/>
            <w:vAlign w:val="bottom"/>
            <w:gridSpan w:val="4"/>
            <w:vMerge w:val="restart"/>
          </w:tcPr>
          <w:p>
            <w:pPr>
              <w:ind w:left="520"/>
              <w:spacing w:after="0"/>
              <w:rPr>
                <w:sz w:val="20"/>
                <w:szCs w:val="20"/>
                <w:color w:val="auto"/>
              </w:rPr>
            </w:pPr>
            <w:r>
              <w:rPr>
                <w:rFonts w:ascii="Arial" w:cs="Arial" w:eastAsia="Arial" w:hAnsi="Arial"/>
                <w:sz w:val="13"/>
                <w:szCs w:val="13"/>
                <w:b w:val="1"/>
                <w:bCs w:val="1"/>
                <w:color w:val="auto"/>
              </w:rPr>
              <w:t>Common Stock</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right"/>
              <w:ind w:right="133"/>
              <w:spacing w:after="0"/>
              <w:rPr>
                <w:sz w:val="20"/>
                <w:szCs w:val="20"/>
                <w:color w:val="auto"/>
              </w:rPr>
            </w:pPr>
            <w:r>
              <w:rPr>
                <w:rFonts w:ascii="Arial" w:cs="Arial" w:eastAsia="Arial" w:hAnsi="Arial"/>
                <w:sz w:val="13"/>
                <w:szCs w:val="13"/>
                <w:b w:val="1"/>
                <w:bCs w:val="1"/>
                <w:color w:val="auto"/>
              </w:rPr>
              <w:t>Additional</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80" w:type="dxa"/>
            <w:vAlign w:val="bottom"/>
            <w:gridSpan w:val="3"/>
          </w:tcPr>
          <w:p>
            <w:pPr>
              <w:jc w:val="center"/>
              <w:ind w:right="480"/>
              <w:spacing w:after="0"/>
              <w:rPr>
                <w:sz w:val="20"/>
                <w:szCs w:val="20"/>
                <w:color w:val="auto"/>
              </w:rPr>
            </w:pPr>
            <w:r>
              <w:rPr>
                <w:rFonts w:ascii="Arial" w:cs="Arial" w:eastAsia="Arial" w:hAnsi="Arial"/>
                <w:sz w:val="13"/>
                <w:szCs w:val="13"/>
                <w:b w:val="1"/>
                <w:bCs w:val="1"/>
                <w:color w:val="auto"/>
              </w:rPr>
              <w:t>Accumulated</w:t>
            </w:r>
          </w:p>
        </w:tc>
        <w:tc>
          <w:tcPr>
            <w:tcW w:w="12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71"/>
        </w:trPr>
        <w:tc>
          <w:tcPr>
            <w:tcW w:w="3640" w:type="dxa"/>
            <w:vAlign w:val="bottom"/>
          </w:tcPr>
          <w:p>
            <w:pPr>
              <w:spacing w:after="0"/>
              <w:rPr>
                <w:sz w:val="14"/>
                <w:szCs w:val="14"/>
                <w:color w:val="auto"/>
              </w:rPr>
            </w:pPr>
          </w:p>
        </w:tc>
        <w:tc>
          <w:tcPr>
            <w:tcW w:w="2040" w:type="dxa"/>
            <w:vAlign w:val="bottom"/>
            <w:tcBorders>
              <w:bottom w:val="single" w:sz="8" w:color="auto"/>
            </w:tcBorders>
            <w:gridSpan w:val="4"/>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right"/>
              <w:ind w:right="233"/>
              <w:spacing w:after="0"/>
              <w:rPr>
                <w:sz w:val="20"/>
                <w:szCs w:val="20"/>
                <w:color w:val="auto"/>
              </w:rPr>
            </w:pPr>
            <w:r>
              <w:rPr>
                <w:rFonts w:ascii="Arial" w:cs="Arial" w:eastAsia="Arial" w:hAnsi="Arial"/>
                <w:sz w:val="13"/>
                <w:szCs w:val="13"/>
                <w:b w:val="1"/>
                <w:bCs w:val="1"/>
                <w:color w:val="auto"/>
              </w:rPr>
              <w:t>Paid-In</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rPr>
              <w:t>Accumulated</w:t>
            </w:r>
          </w:p>
        </w:tc>
        <w:tc>
          <w:tcPr>
            <w:tcW w:w="1800" w:type="dxa"/>
            <w:vAlign w:val="bottom"/>
            <w:gridSpan w:val="4"/>
          </w:tcPr>
          <w:p>
            <w:pPr>
              <w:jc w:val="center"/>
              <w:ind w:right="260"/>
              <w:spacing w:after="0"/>
              <w:rPr>
                <w:sz w:val="20"/>
                <w:szCs w:val="20"/>
                <w:color w:val="auto"/>
              </w:rPr>
            </w:pPr>
            <w:r>
              <w:rPr>
                <w:rFonts w:ascii="Arial" w:cs="Arial" w:eastAsia="Arial" w:hAnsi="Arial"/>
                <w:sz w:val="13"/>
                <w:szCs w:val="13"/>
                <w:b w:val="1"/>
                <w:bCs w:val="1"/>
                <w:color w:val="auto"/>
              </w:rPr>
              <w:t>Other Comprehensive</w:t>
            </w:r>
          </w:p>
        </w:tc>
        <w:tc>
          <w:tcPr>
            <w:tcW w:w="12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rPr>
              <w:t>Stockholders’</w:t>
            </w:r>
          </w:p>
        </w:tc>
        <w:tc>
          <w:tcPr>
            <w:tcW w:w="0" w:type="dxa"/>
            <w:vAlign w:val="bottom"/>
          </w:tcPr>
          <w:p>
            <w:pPr>
              <w:spacing w:after="0"/>
              <w:rPr>
                <w:sz w:val="1"/>
                <w:szCs w:val="1"/>
                <w:color w:val="auto"/>
              </w:rPr>
            </w:pPr>
          </w:p>
        </w:tc>
      </w:tr>
      <w:tr>
        <w:trPr>
          <w:trHeight w:val="169"/>
        </w:trPr>
        <w:tc>
          <w:tcPr>
            <w:tcW w:w="3640" w:type="dxa"/>
            <w:vAlign w:val="bottom"/>
          </w:tcPr>
          <w:p>
            <w:pPr>
              <w:spacing w:after="0"/>
              <w:rPr>
                <w:sz w:val="14"/>
                <w:szCs w:val="14"/>
                <w:color w:val="auto"/>
              </w:rPr>
            </w:pPr>
          </w:p>
        </w:tc>
        <w:tc>
          <w:tcPr>
            <w:tcW w:w="1220" w:type="dxa"/>
            <w:vAlign w:val="bottom"/>
            <w:tcBorders>
              <w:bottom w:val="single" w:sz="8" w:color="auto"/>
            </w:tcBorders>
          </w:tcPr>
          <w:p>
            <w:pPr>
              <w:jc w:val="right"/>
              <w:ind w:right="313"/>
              <w:spacing w:after="0"/>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Amount</w:t>
            </w: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33"/>
              <w:spacing w:after="0"/>
              <w:rPr>
                <w:sz w:val="20"/>
                <w:szCs w:val="20"/>
                <w:color w:val="auto"/>
              </w:rPr>
            </w:pPr>
            <w:r>
              <w:rPr>
                <w:rFonts w:ascii="Arial" w:cs="Arial" w:eastAsia="Arial" w:hAnsi="Arial"/>
                <w:sz w:val="13"/>
                <w:szCs w:val="13"/>
                <w:b w:val="1"/>
                <w:bCs w:val="1"/>
                <w:color w:val="auto"/>
              </w:rPr>
              <w:t>Capital</w:t>
            </w:r>
          </w:p>
        </w:tc>
        <w:tc>
          <w:tcPr>
            <w:tcW w:w="1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293"/>
              <w:spacing w:after="0"/>
              <w:rPr>
                <w:sz w:val="20"/>
                <w:szCs w:val="20"/>
                <w:color w:val="auto"/>
              </w:rPr>
            </w:pPr>
            <w:r>
              <w:rPr>
                <w:rFonts w:ascii="Arial" w:cs="Arial" w:eastAsia="Arial" w:hAnsi="Arial"/>
                <w:sz w:val="13"/>
                <w:szCs w:val="13"/>
                <w:b w:val="1"/>
                <w:bCs w:val="1"/>
                <w:color w:val="auto"/>
              </w:rPr>
              <w:t>Deficit</w:t>
            </w:r>
          </w:p>
        </w:tc>
        <w:tc>
          <w:tcPr>
            <w:tcW w:w="1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center"/>
              <w:ind w:right="153"/>
              <w:spacing w:after="0"/>
              <w:rPr>
                <w:sz w:val="20"/>
                <w:szCs w:val="20"/>
                <w:color w:val="auto"/>
              </w:rPr>
            </w:pPr>
            <w:r>
              <w:rPr>
                <w:rFonts w:ascii="Arial" w:cs="Arial" w:eastAsia="Arial" w:hAnsi="Arial"/>
                <w:sz w:val="13"/>
                <w:szCs w:val="13"/>
                <w:b w:val="1"/>
                <w:bCs w:val="1"/>
                <w:color w:val="auto"/>
              </w:rPr>
              <w:t>Loss Amount</w:t>
            </w: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center"/>
              <w:ind w:right="73"/>
              <w:spacing w:after="0"/>
              <w:rPr>
                <w:sz w:val="20"/>
                <w:szCs w:val="20"/>
                <w:color w:val="auto"/>
              </w:rPr>
            </w:pPr>
            <w:r>
              <w:rPr>
                <w:rFonts w:ascii="Arial" w:cs="Arial" w:eastAsia="Arial" w:hAnsi="Arial"/>
                <w:sz w:val="13"/>
                <w:szCs w:val="13"/>
                <w:b w:val="1"/>
                <w:bCs w:val="1"/>
                <w:color w:val="auto"/>
              </w:rPr>
              <w:t>Equity</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64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Balance, December 31, 2022</w:t>
            </w:r>
          </w:p>
        </w:tc>
        <w:tc>
          <w:tcPr>
            <w:tcW w:w="12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37,771,918</w:t>
            </w: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FF0FC"/>
          </w:tcPr>
          <w:p>
            <w:pPr>
              <w:ind w:left="4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406,555</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1360" w:type="dxa"/>
            <w:vAlign w:val="bottom"/>
            <w:gridSpan w:val="3"/>
            <w:shd w:val="clear" w:color="auto" w:fill="CFF0FC"/>
          </w:tcPr>
          <w:p>
            <w:pPr>
              <w:jc w:val="right"/>
              <w:ind w:right="73"/>
              <w:spacing w:after="0"/>
              <w:rPr>
                <w:sz w:val="20"/>
                <w:szCs w:val="20"/>
                <w:color w:val="auto"/>
              </w:rPr>
            </w:pPr>
            <w:r>
              <w:rPr>
                <w:rFonts w:ascii="Arial" w:cs="Arial" w:eastAsia="Arial" w:hAnsi="Arial"/>
                <w:sz w:val="13"/>
                <w:szCs w:val="13"/>
                <w:color w:val="auto"/>
              </w:rPr>
              <w:t>(210,900 ) $</w:t>
            </w:r>
          </w:p>
        </w:tc>
        <w:tc>
          <w:tcPr>
            <w:tcW w:w="1580" w:type="dxa"/>
            <w:vAlign w:val="bottom"/>
            <w:gridSpan w:val="3"/>
            <w:shd w:val="clear" w:color="auto" w:fill="CFF0FC"/>
          </w:tcPr>
          <w:p>
            <w:pPr>
              <w:jc w:val="right"/>
              <w:ind w:right="60"/>
              <w:spacing w:after="0"/>
              <w:rPr>
                <w:sz w:val="20"/>
                <w:szCs w:val="20"/>
                <w:color w:val="auto"/>
              </w:rPr>
            </w:pPr>
            <w:r>
              <w:rPr>
                <w:rFonts w:ascii="Arial" w:cs="Arial" w:eastAsia="Arial" w:hAnsi="Arial"/>
                <w:sz w:val="13"/>
                <w:szCs w:val="13"/>
                <w:color w:val="auto"/>
              </w:rPr>
              <w:t>(72 ) $</w:t>
            </w: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195,583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3640" w:type="dxa"/>
            <w:vAlign w:val="bottom"/>
            <w:tcBorders>
              <w:top w:val="single" w:sz="8" w:color="CFF0FC"/>
            </w:tcBorders>
          </w:tcPr>
          <w:p>
            <w:pPr>
              <w:ind w:left="20"/>
              <w:spacing w:after="0"/>
              <w:rPr>
                <w:sz w:val="20"/>
                <w:szCs w:val="20"/>
                <w:color w:val="auto"/>
              </w:rPr>
            </w:pPr>
            <w:r>
              <w:rPr>
                <w:rFonts w:ascii="Arial" w:cs="Arial" w:eastAsia="Arial" w:hAnsi="Arial"/>
                <w:sz w:val="13"/>
                <w:szCs w:val="13"/>
                <w:color w:val="auto"/>
              </w:rPr>
              <w:t>Stock-based compensation expense</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top w:val="single" w:sz="8" w:color="CFF0FC"/>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ind w:left="460"/>
              <w:spacing w:after="0"/>
              <w:rPr>
                <w:sz w:val="20"/>
                <w:szCs w:val="20"/>
                <w:color w:val="auto"/>
              </w:rPr>
            </w:pPr>
            <w:r>
              <w:rPr>
                <w:rFonts w:ascii="Arial" w:cs="Arial" w:eastAsia="Arial" w:hAnsi="Arial"/>
                <w:sz w:val="13"/>
                <w:szCs w:val="13"/>
                <w:color w:val="auto"/>
              </w:rPr>
              <w:t>—</w:t>
            </w:r>
          </w:p>
        </w:tc>
        <w:tc>
          <w:tcPr>
            <w:tcW w:w="120" w:type="dxa"/>
            <w:vAlign w:val="bottom"/>
            <w:tcBorders>
              <w:top w:val="single" w:sz="8" w:color="CFF0FC"/>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1,913</w:t>
            </w:r>
          </w:p>
        </w:tc>
        <w:tc>
          <w:tcPr>
            <w:tcW w:w="100" w:type="dxa"/>
            <w:vAlign w:val="bottom"/>
            <w:tcBorders>
              <w:top w:val="single" w:sz="8" w:color="CFF0FC"/>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top w:val="single" w:sz="8" w:color="CFF0FC"/>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top w:val="single" w:sz="8" w:color="CFF0FC"/>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1,913</w:t>
            </w:r>
          </w:p>
        </w:tc>
        <w:tc>
          <w:tcPr>
            <w:tcW w:w="100" w:type="dxa"/>
            <w:vAlign w:val="bottom"/>
            <w:tcBorders>
              <w:top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3640" w:type="dxa"/>
            <w:vAlign w:val="bottom"/>
            <w:shd w:val="clear" w:color="auto" w:fill="CFF0FC"/>
          </w:tcPr>
          <w:p>
            <w:pPr>
              <w:ind w:left="20"/>
              <w:spacing w:after="0"/>
              <w:rPr>
                <w:sz w:val="20"/>
                <w:szCs w:val="20"/>
                <w:color w:val="auto"/>
              </w:rPr>
            </w:pPr>
            <w:r>
              <w:rPr>
                <w:rFonts w:ascii="Arial" w:cs="Arial" w:eastAsia="Arial" w:hAnsi="Arial"/>
                <w:sz w:val="13"/>
                <w:szCs w:val="13"/>
                <w:color w:val="auto"/>
              </w:rPr>
              <w:t>ESPP issuance</w:t>
            </w:r>
          </w:p>
        </w:tc>
        <w:tc>
          <w:tcPr>
            <w:tcW w:w="12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6,635</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20" w:type="dxa"/>
            <w:vAlign w:val="bottom"/>
            <w:shd w:val="clear" w:color="auto" w:fill="CFF0FC"/>
          </w:tcPr>
          <w:p>
            <w:pPr>
              <w:ind w:left="4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56</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5"/>
                <w:szCs w:val="15"/>
                <w:color w:val="auto"/>
              </w:rPr>
            </w:pPr>
          </w:p>
        </w:tc>
        <w:tc>
          <w:tcPr>
            <w:tcW w:w="1580" w:type="dxa"/>
            <w:vAlign w:val="bottom"/>
            <w:gridSpan w:val="3"/>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56</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640" w:type="dxa"/>
            <w:vAlign w:val="bottom"/>
          </w:tcPr>
          <w:p>
            <w:pPr>
              <w:ind w:left="20"/>
              <w:spacing w:after="0"/>
              <w:rPr>
                <w:sz w:val="20"/>
                <w:szCs w:val="20"/>
                <w:color w:val="auto"/>
              </w:rPr>
            </w:pPr>
            <w:r>
              <w:rPr>
                <w:rFonts w:ascii="Arial" w:cs="Arial" w:eastAsia="Arial" w:hAnsi="Arial"/>
                <w:sz w:val="13"/>
                <w:szCs w:val="13"/>
                <w:color w:val="auto"/>
              </w:rPr>
              <w:t>Stock option exercises</w:t>
            </w:r>
          </w:p>
        </w:tc>
        <w:tc>
          <w:tcPr>
            <w:tcW w:w="1220" w:type="dxa"/>
            <w:vAlign w:val="bottom"/>
          </w:tcPr>
          <w:p>
            <w:pPr>
              <w:jc w:val="right"/>
              <w:spacing w:after="0"/>
              <w:rPr>
                <w:sz w:val="20"/>
                <w:szCs w:val="20"/>
                <w:color w:val="auto"/>
              </w:rPr>
            </w:pPr>
            <w:r>
              <w:rPr>
                <w:rFonts w:ascii="Arial" w:cs="Arial" w:eastAsia="Arial" w:hAnsi="Arial"/>
                <w:sz w:val="13"/>
                <w:szCs w:val="13"/>
                <w:color w:val="auto"/>
              </w:rPr>
              <w:t>21,549</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ind w:left="4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145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1580" w:type="dxa"/>
            <w:vAlign w:val="bottom"/>
            <w:gridSpan w:val="3"/>
          </w:tcPr>
          <w:p>
            <w:pPr>
              <w:jc w:val="right"/>
              <w:ind w:right="260"/>
              <w:spacing w:after="0"/>
              <w:rPr>
                <w:sz w:val="20"/>
                <w:szCs w:val="20"/>
                <w:color w:val="auto"/>
              </w:rPr>
            </w:pPr>
            <w:r>
              <w:rPr>
                <w:rFonts w:ascii="Arial" w:cs="Arial" w:eastAsia="Arial" w:hAnsi="Arial"/>
                <w:sz w:val="13"/>
                <w:szCs w:val="13"/>
                <w:color w:val="auto"/>
              </w:rPr>
              <w:t>—</w:t>
            </w:r>
          </w:p>
        </w:tc>
        <w:tc>
          <w:tcPr>
            <w:tcW w:w="1120" w:type="dxa"/>
            <w:vAlign w:val="bottom"/>
          </w:tcPr>
          <w:p>
            <w:pPr>
              <w:jc w:val="right"/>
              <w:spacing w:after="0"/>
              <w:rPr>
                <w:sz w:val="20"/>
                <w:szCs w:val="20"/>
                <w:color w:val="auto"/>
              </w:rPr>
            </w:pPr>
            <w:r>
              <w:rPr>
                <w:rFonts w:ascii="Arial" w:cs="Arial" w:eastAsia="Arial" w:hAnsi="Arial"/>
                <w:sz w:val="13"/>
                <w:szCs w:val="13"/>
                <w:color w:val="auto"/>
              </w:rPr>
              <w:t>145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640" w:type="dxa"/>
            <w:vAlign w:val="bottom"/>
            <w:shd w:val="clear" w:color="auto" w:fill="CFF0FC"/>
          </w:tcPr>
          <w:p>
            <w:pPr>
              <w:ind w:left="20"/>
              <w:spacing w:after="0"/>
              <w:rPr>
                <w:sz w:val="20"/>
                <w:szCs w:val="20"/>
                <w:color w:val="auto"/>
              </w:rPr>
            </w:pPr>
            <w:r>
              <w:rPr>
                <w:rFonts w:ascii="Arial" w:cs="Arial" w:eastAsia="Arial" w:hAnsi="Arial"/>
                <w:sz w:val="13"/>
                <w:szCs w:val="13"/>
                <w:color w:val="auto"/>
              </w:rPr>
              <w:t>Unrealized gain on marketable securities</w:t>
            </w:r>
          </w:p>
        </w:tc>
        <w:tc>
          <w:tcPr>
            <w:tcW w:w="12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20" w:type="dxa"/>
            <w:vAlign w:val="bottom"/>
            <w:shd w:val="clear" w:color="auto" w:fill="CFF0FC"/>
          </w:tcPr>
          <w:p>
            <w:pPr>
              <w:ind w:left="4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27</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27</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640" w:type="dxa"/>
            <w:vAlign w:val="bottom"/>
          </w:tcPr>
          <w:p>
            <w:pPr>
              <w:ind w:left="20"/>
              <w:spacing w:after="0"/>
              <w:rPr>
                <w:sz w:val="20"/>
                <w:szCs w:val="20"/>
                <w:color w:val="auto"/>
              </w:rPr>
            </w:pPr>
            <w:r>
              <w:rPr>
                <w:rFonts w:ascii="Arial" w:cs="Arial" w:eastAsia="Arial" w:hAnsi="Arial"/>
                <w:sz w:val="13"/>
                <w:szCs w:val="13"/>
                <w:color w:val="auto"/>
              </w:rPr>
              <w:t>Net loss</w:t>
            </w:r>
          </w:p>
        </w:tc>
        <w:tc>
          <w:tcPr>
            <w:tcW w:w="122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ind w:left="4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3"/>
                <w:szCs w:val="13"/>
                <w:color w:val="auto"/>
              </w:rPr>
              <w:t>(17,466 )</w:t>
            </w:r>
          </w:p>
        </w:tc>
        <w:tc>
          <w:tcPr>
            <w:tcW w:w="220" w:type="dxa"/>
            <w:vAlign w:val="bottom"/>
          </w:tcPr>
          <w:p>
            <w:pPr>
              <w:spacing w:after="0"/>
              <w:rPr>
                <w:sz w:val="15"/>
                <w:szCs w:val="15"/>
                <w:color w:val="auto"/>
              </w:rPr>
            </w:pPr>
          </w:p>
        </w:tc>
        <w:tc>
          <w:tcPr>
            <w:tcW w:w="1580" w:type="dxa"/>
            <w:vAlign w:val="bottom"/>
            <w:gridSpan w:val="3"/>
          </w:tcPr>
          <w:p>
            <w:pPr>
              <w:jc w:val="right"/>
              <w:ind w:right="260"/>
              <w:spacing w:after="0"/>
              <w:rPr>
                <w:sz w:val="20"/>
                <w:szCs w:val="20"/>
                <w:color w:val="auto"/>
              </w:rPr>
            </w:pPr>
            <w:r>
              <w:rPr>
                <w:rFonts w:ascii="Arial" w:cs="Arial" w:eastAsia="Arial" w:hAnsi="Arial"/>
                <w:sz w:val="13"/>
                <w:szCs w:val="13"/>
                <w:color w:val="auto"/>
              </w:rPr>
              <w:t>—</w:t>
            </w:r>
          </w:p>
        </w:tc>
        <w:tc>
          <w:tcPr>
            <w:tcW w:w="1220" w:type="dxa"/>
            <w:vAlign w:val="bottom"/>
            <w:gridSpan w:val="2"/>
          </w:tcPr>
          <w:p>
            <w:pPr>
              <w:jc w:val="right"/>
              <w:ind w:right="40"/>
              <w:spacing w:after="0"/>
              <w:rPr>
                <w:sz w:val="20"/>
                <w:szCs w:val="20"/>
                <w:color w:val="auto"/>
              </w:rPr>
            </w:pPr>
            <w:r>
              <w:rPr>
                <w:rFonts w:ascii="Arial" w:cs="Arial" w:eastAsia="Arial" w:hAnsi="Arial"/>
                <w:sz w:val="13"/>
                <w:szCs w:val="13"/>
                <w:color w:val="auto"/>
              </w:rPr>
              <w:t>(17,466 )</w:t>
            </w: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64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Balance, March 31, 2023</w:t>
            </w:r>
          </w:p>
        </w:tc>
        <w:tc>
          <w:tcPr>
            <w:tcW w:w="12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37,800,102</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20" w:type="dxa"/>
            <w:vAlign w:val="bottom"/>
            <w:shd w:val="clear" w:color="auto" w:fill="CFF0FC"/>
          </w:tcPr>
          <w:p>
            <w:pPr>
              <w:ind w:left="4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408,669</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(228,366 )</w:t>
            </w:r>
          </w:p>
        </w:tc>
        <w:tc>
          <w:tcPr>
            <w:tcW w:w="220" w:type="dxa"/>
            <w:vAlign w:val="bottom"/>
            <w:shd w:val="clear" w:color="auto" w:fill="CFF0FC"/>
          </w:tcPr>
          <w:p>
            <w:pPr>
              <w:spacing w:after="0"/>
              <w:rPr>
                <w:sz w:val="14"/>
                <w:szCs w:val="14"/>
                <w:color w:val="auto"/>
              </w:rPr>
            </w:pPr>
          </w:p>
        </w:tc>
        <w:tc>
          <w:tcPr>
            <w:tcW w:w="144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(45 )</w:t>
            </w:r>
          </w:p>
        </w:tc>
        <w:tc>
          <w:tcPr>
            <w:tcW w:w="14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180,258</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640" w:type="dxa"/>
            <w:vAlign w:val="bottom"/>
          </w:tcPr>
          <w:p>
            <w:pPr>
              <w:ind w:left="20"/>
              <w:spacing w:after="0"/>
              <w:rPr>
                <w:sz w:val="20"/>
                <w:szCs w:val="20"/>
                <w:color w:val="auto"/>
              </w:rPr>
            </w:pPr>
            <w:r>
              <w:rPr>
                <w:rFonts w:ascii="Arial" w:cs="Arial" w:eastAsia="Arial" w:hAnsi="Arial"/>
                <w:sz w:val="13"/>
                <w:szCs w:val="13"/>
                <w:color w:val="auto"/>
              </w:rPr>
              <w:t>Stock-based compensation expense</w:t>
            </w:r>
          </w:p>
        </w:tc>
        <w:tc>
          <w:tcPr>
            <w:tcW w:w="122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ind w:left="4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1,931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1580" w:type="dxa"/>
            <w:vAlign w:val="bottom"/>
            <w:gridSpan w:val="3"/>
          </w:tcPr>
          <w:p>
            <w:pPr>
              <w:jc w:val="right"/>
              <w:ind w:right="260"/>
              <w:spacing w:after="0"/>
              <w:rPr>
                <w:sz w:val="20"/>
                <w:szCs w:val="20"/>
                <w:color w:val="auto"/>
              </w:rPr>
            </w:pPr>
            <w:r>
              <w:rPr>
                <w:rFonts w:ascii="Arial" w:cs="Arial" w:eastAsia="Arial" w:hAnsi="Arial"/>
                <w:sz w:val="13"/>
                <w:szCs w:val="13"/>
                <w:color w:val="auto"/>
              </w:rPr>
              <w:t>—</w:t>
            </w:r>
          </w:p>
        </w:tc>
        <w:tc>
          <w:tcPr>
            <w:tcW w:w="1120" w:type="dxa"/>
            <w:vAlign w:val="bottom"/>
          </w:tcPr>
          <w:p>
            <w:pPr>
              <w:jc w:val="right"/>
              <w:spacing w:after="0"/>
              <w:rPr>
                <w:sz w:val="20"/>
                <w:szCs w:val="20"/>
                <w:color w:val="auto"/>
              </w:rPr>
            </w:pPr>
            <w:r>
              <w:rPr>
                <w:rFonts w:ascii="Arial" w:cs="Arial" w:eastAsia="Arial" w:hAnsi="Arial"/>
                <w:sz w:val="13"/>
                <w:szCs w:val="13"/>
                <w:color w:val="auto"/>
              </w:rPr>
              <w:t>1,931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3640" w:type="dxa"/>
            <w:vAlign w:val="bottom"/>
            <w:shd w:val="clear" w:color="auto" w:fill="CFF0FC"/>
          </w:tcPr>
          <w:p>
            <w:pPr>
              <w:ind w:left="20"/>
              <w:spacing w:after="0"/>
              <w:rPr>
                <w:sz w:val="20"/>
                <w:szCs w:val="20"/>
                <w:color w:val="auto"/>
              </w:rPr>
            </w:pPr>
            <w:r>
              <w:rPr>
                <w:rFonts w:ascii="Arial" w:cs="Arial" w:eastAsia="Arial" w:hAnsi="Arial"/>
                <w:sz w:val="13"/>
                <w:szCs w:val="13"/>
                <w:color w:val="auto"/>
              </w:rPr>
              <w:t>Issuance of common stock under ATM facility, net of</w:t>
            </w:r>
          </w:p>
        </w:tc>
        <w:tc>
          <w:tcPr>
            <w:tcW w:w="12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169,200</w:t>
            </w: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20" w:type="dxa"/>
            <w:vAlign w:val="bottom"/>
            <w:vMerge w:val="restart"/>
            <w:shd w:val="clear" w:color="auto" w:fill="CFF0FC"/>
          </w:tcPr>
          <w:p>
            <w:pPr>
              <w:ind w:left="4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9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2,065</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4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2"/>
                <w:szCs w:val="12"/>
                <w:color w:val="auto"/>
              </w:rPr>
            </w:pPr>
          </w:p>
        </w:tc>
        <w:tc>
          <w:tcPr>
            <w:tcW w:w="1580" w:type="dxa"/>
            <w:vAlign w:val="bottom"/>
            <w:gridSpan w:val="3"/>
            <w:vMerge w:val="restart"/>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11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2,065</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3640" w:type="dxa"/>
            <w:vAlign w:val="bottom"/>
            <w:vMerge w:val="restart"/>
            <w:shd w:val="clear" w:color="auto" w:fill="CFF0FC"/>
          </w:tcPr>
          <w:p>
            <w:pPr>
              <w:ind w:left="20"/>
              <w:spacing w:after="0"/>
              <w:rPr>
                <w:sz w:val="20"/>
                <w:szCs w:val="20"/>
                <w:color w:val="auto"/>
              </w:rPr>
            </w:pPr>
            <w:r>
              <w:rPr>
                <w:rFonts w:ascii="Arial" w:cs="Arial" w:eastAsia="Arial" w:hAnsi="Arial"/>
                <w:sz w:val="13"/>
                <w:szCs w:val="13"/>
                <w:color w:val="auto"/>
              </w:rPr>
              <w:t>issuance costs of $35</w:t>
            </w:r>
          </w:p>
        </w:tc>
        <w:tc>
          <w:tcPr>
            <w:tcW w:w="1220" w:type="dxa"/>
            <w:vAlign w:val="bottom"/>
            <w:vMerge w:val="continue"/>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620" w:type="dxa"/>
            <w:vAlign w:val="bottom"/>
            <w:vMerge w:val="continue"/>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40" w:type="dxa"/>
            <w:vAlign w:val="bottom"/>
            <w:shd w:val="clear" w:color="auto" w:fill="CFF0FC"/>
          </w:tcPr>
          <w:p>
            <w:pPr>
              <w:spacing w:after="0"/>
              <w:rPr>
                <w:sz w:val="8"/>
                <w:szCs w:val="8"/>
                <w:color w:val="auto"/>
              </w:rPr>
            </w:pPr>
          </w:p>
        </w:tc>
        <w:tc>
          <w:tcPr>
            <w:tcW w:w="920" w:type="dxa"/>
            <w:vAlign w:val="bottom"/>
            <w:vMerge w:val="continue"/>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1140" w:type="dxa"/>
            <w:vAlign w:val="bottom"/>
            <w:gridSpan w:val="2"/>
            <w:vMerge w:val="continue"/>
            <w:shd w:val="clear" w:color="auto" w:fill="CFF0FC"/>
          </w:tcPr>
          <w:p>
            <w:pPr>
              <w:spacing w:after="0"/>
              <w:rPr>
                <w:sz w:val="8"/>
                <w:szCs w:val="8"/>
                <w:color w:val="auto"/>
              </w:rPr>
            </w:pPr>
          </w:p>
        </w:tc>
        <w:tc>
          <w:tcPr>
            <w:tcW w:w="220" w:type="dxa"/>
            <w:vAlign w:val="bottom"/>
            <w:shd w:val="clear" w:color="auto" w:fill="CFF0FC"/>
          </w:tcPr>
          <w:p>
            <w:pPr>
              <w:spacing w:after="0"/>
              <w:rPr>
                <w:sz w:val="8"/>
                <w:szCs w:val="8"/>
                <w:color w:val="auto"/>
              </w:rPr>
            </w:pPr>
          </w:p>
        </w:tc>
        <w:tc>
          <w:tcPr>
            <w:tcW w:w="1580" w:type="dxa"/>
            <w:vAlign w:val="bottom"/>
            <w:gridSpan w:val="3"/>
            <w:vMerge w:val="continue"/>
            <w:shd w:val="clear" w:color="auto" w:fill="CFF0FC"/>
          </w:tcPr>
          <w:p>
            <w:pPr>
              <w:spacing w:after="0"/>
              <w:rPr>
                <w:sz w:val="8"/>
                <w:szCs w:val="8"/>
                <w:color w:val="auto"/>
              </w:rPr>
            </w:pPr>
          </w:p>
        </w:tc>
        <w:tc>
          <w:tcPr>
            <w:tcW w:w="1120" w:type="dxa"/>
            <w:vAlign w:val="bottom"/>
            <w:vMerge w:val="continue"/>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79"/>
        </w:trPr>
        <w:tc>
          <w:tcPr>
            <w:tcW w:w="3640" w:type="dxa"/>
            <w:vAlign w:val="bottom"/>
            <w:vMerge w:val="continue"/>
            <w:shd w:val="clear" w:color="auto" w:fill="CFF0FC"/>
          </w:tcPr>
          <w:p>
            <w:pPr>
              <w:spacing w:after="0"/>
              <w:rPr>
                <w:sz w:val="6"/>
                <w:szCs w:val="6"/>
                <w:color w:val="auto"/>
              </w:rPr>
            </w:pPr>
          </w:p>
        </w:tc>
        <w:tc>
          <w:tcPr>
            <w:tcW w:w="1220" w:type="dxa"/>
            <w:vAlign w:val="bottom"/>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80" w:type="dxa"/>
            <w:vAlign w:val="bottom"/>
            <w:shd w:val="clear" w:color="auto" w:fill="CFF0FC"/>
          </w:tcPr>
          <w:p>
            <w:pPr>
              <w:spacing w:after="0"/>
              <w:rPr>
                <w:sz w:val="6"/>
                <w:szCs w:val="6"/>
                <w:color w:val="auto"/>
              </w:rPr>
            </w:pPr>
          </w:p>
        </w:tc>
        <w:tc>
          <w:tcPr>
            <w:tcW w:w="620" w:type="dxa"/>
            <w:vAlign w:val="bottom"/>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140" w:type="dxa"/>
            <w:vAlign w:val="bottom"/>
            <w:shd w:val="clear" w:color="auto" w:fill="CFF0FC"/>
          </w:tcPr>
          <w:p>
            <w:pPr>
              <w:spacing w:after="0"/>
              <w:rPr>
                <w:sz w:val="6"/>
                <w:szCs w:val="6"/>
                <w:color w:val="auto"/>
              </w:rPr>
            </w:pPr>
          </w:p>
        </w:tc>
        <w:tc>
          <w:tcPr>
            <w:tcW w:w="920" w:type="dxa"/>
            <w:vAlign w:val="bottom"/>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1020" w:type="dxa"/>
            <w:vAlign w:val="bottom"/>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220" w:type="dxa"/>
            <w:vAlign w:val="bottom"/>
            <w:shd w:val="clear" w:color="auto" w:fill="CFF0FC"/>
          </w:tcPr>
          <w:p>
            <w:pPr>
              <w:spacing w:after="0"/>
              <w:rPr>
                <w:sz w:val="6"/>
                <w:szCs w:val="6"/>
                <w:color w:val="auto"/>
              </w:rPr>
            </w:pPr>
          </w:p>
        </w:tc>
        <w:tc>
          <w:tcPr>
            <w:tcW w:w="1320" w:type="dxa"/>
            <w:vAlign w:val="bottom"/>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140" w:type="dxa"/>
            <w:vAlign w:val="bottom"/>
            <w:shd w:val="clear" w:color="auto" w:fill="CFF0FC"/>
          </w:tcPr>
          <w:p>
            <w:pPr>
              <w:spacing w:after="0"/>
              <w:rPr>
                <w:sz w:val="6"/>
                <w:szCs w:val="6"/>
                <w:color w:val="auto"/>
              </w:rPr>
            </w:pPr>
          </w:p>
        </w:tc>
        <w:tc>
          <w:tcPr>
            <w:tcW w:w="1120" w:type="dxa"/>
            <w:vAlign w:val="bottom"/>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0" w:type="dxa"/>
            <w:vAlign w:val="bottom"/>
          </w:tcPr>
          <w:p>
            <w:pPr>
              <w:spacing w:after="0"/>
              <w:rPr>
                <w:sz w:val="1"/>
                <w:szCs w:val="1"/>
                <w:color w:val="auto"/>
              </w:rPr>
            </w:pPr>
          </w:p>
        </w:tc>
      </w:tr>
      <w:tr>
        <w:trPr>
          <w:trHeight w:val="175"/>
        </w:trPr>
        <w:tc>
          <w:tcPr>
            <w:tcW w:w="3640" w:type="dxa"/>
            <w:vAlign w:val="bottom"/>
          </w:tcPr>
          <w:p>
            <w:pPr>
              <w:ind w:left="20"/>
              <w:spacing w:after="0"/>
              <w:rPr>
                <w:sz w:val="20"/>
                <w:szCs w:val="20"/>
                <w:color w:val="auto"/>
              </w:rPr>
            </w:pPr>
            <w:r>
              <w:rPr>
                <w:rFonts w:ascii="Arial" w:cs="Arial" w:eastAsia="Arial" w:hAnsi="Arial"/>
                <w:sz w:val="13"/>
                <w:szCs w:val="13"/>
                <w:color w:val="auto"/>
              </w:rPr>
              <w:t>Stock option exercises</w:t>
            </w:r>
          </w:p>
        </w:tc>
        <w:tc>
          <w:tcPr>
            <w:tcW w:w="1220" w:type="dxa"/>
            <w:vAlign w:val="bottom"/>
          </w:tcPr>
          <w:p>
            <w:pPr>
              <w:jc w:val="right"/>
              <w:spacing w:after="0"/>
              <w:rPr>
                <w:sz w:val="20"/>
                <w:szCs w:val="20"/>
                <w:color w:val="auto"/>
              </w:rPr>
            </w:pPr>
            <w:r>
              <w:rPr>
                <w:rFonts w:ascii="Arial" w:cs="Arial" w:eastAsia="Arial" w:hAnsi="Arial"/>
                <w:sz w:val="13"/>
                <w:szCs w:val="13"/>
                <w:color w:val="auto"/>
              </w:rPr>
              <w:t>117,304</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ind w:left="4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660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1580" w:type="dxa"/>
            <w:vAlign w:val="bottom"/>
            <w:gridSpan w:val="3"/>
          </w:tcPr>
          <w:p>
            <w:pPr>
              <w:jc w:val="right"/>
              <w:ind w:right="260"/>
              <w:spacing w:after="0"/>
              <w:rPr>
                <w:sz w:val="20"/>
                <w:szCs w:val="20"/>
                <w:color w:val="auto"/>
              </w:rPr>
            </w:pPr>
            <w:r>
              <w:rPr>
                <w:rFonts w:ascii="Arial" w:cs="Arial" w:eastAsia="Arial" w:hAnsi="Arial"/>
                <w:sz w:val="13"/>
                <w:szCs w:val="13"/>
                <w:color w:val="auto"/>
              </w:rPr>
              <w:t>—</w:t>
            </w:r>
          </w:p>
        </w:tc>
        <w:tc>
          <w:tcPr>
            <w:tcW w:w="1120" w:type="dxa"/>
            <w:vAlign w:val="bottom"/>
          </w:tcPr>
          <w:p>
            <w:pPr>
              <w:jc w:val="right"/>
              <w:spacing w:after="0"/>
              <w:rPr>
                <w:sz w:val="20"/>
                <w:szCs w:val="20"/>
                <w:color w:val="auto"/>
              </w:rPr>
            </w:pPr>
            <w:r>
              <w:rPr>
                <w:rFonts w:ascii="Arial" w:cs="Arial" w:eastAsia="Arial" w:hAnsi="Arial"/>
                <w:sz w:val="13"/>
                <w:szCs w:val="13"/>
                <w:color w:val="auto"/>
              </w:rPr>
              <w:t>660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640" w:type="dxa"/>
            <w:vAlign w:val="bottom"/>
            <w:shd w:val="clear" w:color="auto" w:fill="CFF0FC"/>
          </w:tcPr>
          <w:p>
            <w:pPr>
              <w:ind w:left="20"/>
              <w:spacing w:after="0"/>
              <w:rPr>
                <w:sz w:val="20"/>
                <w:szCs w:val="20"/>
                <w:color w:val="auto"/>
              </w:rPr>
            </w:pPr>
            <w:r>
              <w:rPr>
                <w:rFonts w:ascii="Arial" w:cs="Arial" w:eastAsia="Arial" w:hAnsi="Arial"/>
                <w:sz w:val="13"/>
                <w:szCs w:val="13"/>
                <w:color w:val="auto"/>
              </w:rPr>
              <w:t>Unrealized loss on marketable securities</w:t>
            </w:r>
          </w:p>
        </w:tc>
        <w:tc>
          <w:tcPr>
            <w:tcW w:w="12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620" w:type="dxa"/>
            <w:vAlign w:val="bottom"/>
            <w:shd w:val="clear" w:color="auto" w:fill="CFF0FC"/>
          </w:tcPr>
          <w:p>
            <w:pPr>
              <w:ind w:left="4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5"/>
                <w:szCs w:val="15"/>
                <w:color w:val="auto"/>
              </w:rPr>
            </w:pPr>
          </w:p>
        </w:tc>
        <w:tc>
          <w:tcPr>
            <w:tcW w:w="144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(178 )</w:t>
            </w:r>
          </w:p>
        </w:tc>
        <w:tc>
          <w:tcPr>
            <w:tcW w:w="140" w:type="dxa"/>
            <w:vAlign w:val="bottom"/>
            <w:shd w:val="clear" w:color="auto" w:fill="CFF0FC"/>
          </w:tcPr>
          <w:p>
            <w:pPr>
              <w:spacing w:after="0"/>
              <w:rPr>
                <w:sz w:val="15"/>
                <w:szCs w:val="15"/>
                <w:color w:val="auto"/>
              </w:rPr>
            </w:pPr>
          </w:p>
        </w:tc>
        <w:tc>
          <w:tcPr>
            <w:tcW w:w="122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(178 )</w:t>
            </w:r>
          </w:p>
        </w:tc>
        <w:tc>
          <w:tcPr>
            <w:tcW w:w="0" w:type="dxa"/>
            <w:vAlign w:val="bottom"/>
          </w:tcPr>
          <w:p>
            <w:pPr>
              <w:spacing w:after="0"/>
              <w:rPr>
                <w:sz w:val="1"/>
                <w:szCs w:val="1"/>
                <w:color w:val="auto"/>
              </w:rPr>
            </w:pPr>
          </w:p>
        </w:tc>
      </w:tr>
      <w:tr>
        <w:trPr>
          <w:trHeight w:val="176"/>
        </w:trPr>
        <w:tc>
          <w:tcPr>
            <w:tcW w:w="3640" w:type="dxa"/>
            <w:vAlign w:val="bottom"/>
          </w:tcPr>
          <w:p>
            <w:pPr>
              <w:ind w:left="20"/>
              <w:spacing w:after="0"/>
              <w:rPr>
                <w:sz w:val="20"/>
                <w:szCs w:val="20"/>
                <w:color w:val="auto"/>
              </w:rPr>
            </w:pPr>
            <w:r>
              <w:rPr>
                <w:rFonts w:ascii="Arial" w:cs="Arial" w:eastAsia="Arial" w:hAnsi="Arial"/>
                <w:sz w:val="13"/>
                <w:szCs w:val="13"/>
                <w:color w:val="auto"/>
              </w:rPr>
              <w:t>Net loss</w:t>
            </w:r>
          </w:p>
        </w:tc>
        <w:tc>
          <w:tcPr>
            <w:tcW w:w="122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ind w:left="4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3"/>
                <w:szCs w:val="13"/>
                <w:color w:val="auto"/>
              </w:rPr>
              <w:t>(18,299 )</w:t>
            </w:r>
          </w:p>
        </w:tc>
        <w:tc>
          <w:tcPr>
            <w:tcW w:w="220" w:type="dxa"/>
            <w:vAlign w:val="bottom"/>
          </w:tcPr>
          <w:p>
            <w:pPr>
              <w:spacing w:after="0"/>
              <w:rPr>
                <w:sz w:val="15"/>
                <w:szCs w:val="15"/>
                <w:color w:val="auto"/>
              </w:rPr>
            </w:pPr>
          </w:p>
        </w:tc>
        <w:tc>
          <w:tcPr>
            <w:tcW w:w="1580" w:type="dxa"/>
            <w:vAlign w:val="bottom"/>
            <w:gridSpan w:val="3"/>
          </w:tcPr>
          <w:p>
            <w:pPr>
              <w:jc w:val="right"/>
              <w:ind w:right="260"/>
              <w:spacing w:after="0"/>
              <w:rPr>
                <w:sz w:val="20"/>
                <w:szCs w:val="20"/>
                <w:color w:val="auto"/>
              </w:rPr>
            </w:pPr>
            <w:r>
              <w:rPr>
                <w:rFonts w:ascii="Arial" w:cs="Arial" w:eastAsia="Arial" w:hAnsi="Arial"/>
                <w:sz w:val="13"/>
                <w:szCs w:val="13"/>
                <w:color w:val="auto"/>
              </w:rPr>
              <w:t>—</w:t>
            </w:r>
          </w:p>
        </w:tc>
        <w:tc>
          <w:tcPr>
            <w:tcW w:w="1220" w:type="dxa"/>
            <w:vAlign w:val="bottom"/>
            <w:gridSpan w:val="2"/>
          </w:tcPr>
          <w:p>
            <w:pPr>
              <w:jc w:val="right"/>
              <w:ind w:right="40"/>
              <w:spacing w:after="0"/>
              <w:rPr>
                <w:sz w:val="20"/>
                <w:szCs w:val="20"/>
                <w:color w:val="auto"/>
              </w:rPr>
            </w:pPr>
            <w:r>
              <w:rPr>
                <w:rFonts w:ascii="Arial" w:cs="Arial" w:eastAsia="Arial" w:hAnsi="Arial"/>
                <w:sz w:val="13"/>
                <w:szCs w:val="13"/>
                <w:color w:val="auto"/>
              </w:rPr>
              <w:t>(18,299 )</w:t>
            </w: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64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Balance, June 30, 2023</w:t>
            </w:r>
          </w:p>
        </w:tc>
        <w:tc>
          <w:tcPr>
            <w:tcW w:w="12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38,086,606</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FF0FC"/>
          </w:tcPr>
          <w:p>
            <w:pPr>
              <w:ind w:left="4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413,325</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1360" w:type="dxa"/>
            <w:vAlign w:val="bottom"/>
            <w:gridSpan w:val="3"/>
            <w:shd w:val="clear" w:color="auto" w:fill="CFF0FC"/>
          </w:tcPr>
          <w:p>
            <w:pPr>
              <w:jc w:val="right"/>
              <w:ind w:right="73"/>
              <w:spacing w:after="0"/>
              <w:rPr>
                <w:sz w:val="20"/>
                <w:szCs w:val="20"/>
                <w:color w:val="auto"/>
              </w:rPr>
            </w:pPr>
            <w:r>
              <w:rPr>
                <w:rFonts w:ascii="Arial" w:cs="Arial" w:eastAsia="Arial" w:hAnsi="Arial"/>
                <w:sz w:val="13"/>
                <w:szCs w:val="13"/>
                <w:color w:val="auto"/>
              </w:rPr>
              <w:t>(246,665 ) $</w:t>
            </w:r>
          </w:p>
        </w:tc>
        <w:tc>
          <w:tcPr>
            <w:tcW w:w="1580" w:type="dxa"/>
            <w:vAlign w:val="bottom"/>
            <w:gridSpan w:val="3"/>
            <w:shd w:val="clear" w:color="auto" w:fill="CFF0FC"/>
          </w:tcPr>
          <w:p>
            <w:pPr>
              <w:jc w:val="right"/>
              <w:ind w:right="60"/>
              <w:spacing w:after="0"/>
              <w:rPr>
                <w:sz w:val="20"/>
                <w:szCs w:val="20"/>
                <w:color w:val="auto"/>
              </w:rPr>
            </w:pPr>
            <w:r>
              <w:rPr>
                <w:rFonts w:ascii="Arial" w:cs="Arial" w:eastAsia="Arial" w:hAnsi="Arial"/>
                <w:sz w:val="13"/>
                <w:szCs w:val="13"/>
                <w:color w:val="auto"/>
              </w:rPr>
              <w:t>(223 ) $</w:t>
            </w:r>
          </w:p>
        </w:tc>
        <w:tc>
          <w:tcPr>
            <w:tcW w:w="1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166,437</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3082290</wp:posOffset>
            </wp:positionH>
            <wp:positionV relativeFrom="paragraph">
              <wp:posOffset>-1473835</wp:posOffset>
            </wp:positionV>
            <wp:extent cx="7683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3082290</wp:posOffset>
            </wp:positionH>
            <wp:positionV relativeFrom="paragraph">
              <wp:posOffset>-1456690</wp:posOffset>
            </wp:positionV>
            <wp:extent cx="7683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-1473835</wp:posOffset>
            </wp:positionV>
            <wp:extent cx="7747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3605530</wp:posOffset>
            </wp:positionH>
            <wp:positionV relativeFrom="paragraph">
              <wp:posOffset>-1456690</wp:posOffset>
            </wp:positionV>
            <wp:extent cx="7747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-1473835</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4351020</wp:posOffset>
            </wp:positionH>
            <wp:positionV relativeFrom="paragraph">
              <wp:posOffset>-1456690</wp:posOffset>
            </wp:positionV>
            <wp:extent cx="685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-1473835</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-1456690</wp:posOffset>
            </wp:positionV>
            <wp:extent cx="685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-1473835</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-1456690</wp:posOffset>
            </wp:positionV>
            <wp:extent cx="6858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-1473835</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-1456690</wp:posOffset>
            </wp:positionV>
            <wp:extent cx="6858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Aura Biosciences, Inc.</w:t>
      </w:r>
    </w:p>
    <w:p>
      <w:pPr>
        <w:spacing w:after="0" w:line="212"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94" w:lineRule="exact"/>
        <w:rPr>
          <w:sz w:val="20"/>
          <w:szCs w:val="20"/>
          <w:color w:val="auto"/>
        </w:rPr>
      </w:pPr>
    </w:p>
    <w:p>
      <w:pPr>
        <w:jc w:val="center"/>
        <w:ind w:left="7620"/>
        <w:spacing w:after="0"/>
        <w:rPr>
          <w:sz w:val="20"/>
          <w:szCs w:val="20"/>
          <w:color w:val="auto"/>
        </w:rPr>
      </w:pPr>
      <w:r>
        <w:rPr>
          <w:rFonts w:ascii="Arial" w:cs="Arial" w:eastAsia="Arial" w:hAnsi="Arial"/>
          <w:sz w:val="18"/>
          <w:szCs w:val="18"/>
          <w:b w:val="1"/>
          <w:bCs w:val="1"/>
          <w:color w:val="auto"/>
        </w:rPr>
        <w:t>Six Months Ended</w:t>
      </w:r>
    </w:p>
    <w:p>
      <w:pPr>
        <w:spacing w:after="0" w:line="14" w:lineRule="exact"/>
        <w:rPr>
          <w:sz w:val="20"/>
          <w:szCs w:val="20"/>
          <w:color w:val="auto"/>
        </w:rPr>
      </w:pPr>
    </w:p>
    <w:p>
      <w:pPr>
        <w:jc w:val="center"/>
        <w:ind w:left="7620"/>
        <w:spacing w:after="0"/>
        <w:rPr>
          <w:sz w:val="20"/>
          <w:szCs w:val="20"/>
          <w:color w:val="auto"/>
        </w:rPr>
      </w:pPr>
      <w:r>
        <w:rPr>
          <w:rFonts w:ascii="Arial" w:cs="Arial" w:eastAsia="Arial" w:hAnsi="Arial"/>
          <w:sz w:val="18"/>
          <w:szCs w:val="18"/>
          <w:b w:val="1"/>
          <w:bCs w:val="1"/>
          <w:color w:val="auto"/>
        </w:rPr>
        <w:t>June 30,</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2024</w:t>
            </w:r>
          </w:p>
        </w:tc>
        <w:tc>
          <w:tcPr>
            <w:tcW w:w="1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19"/>
                <w:szCs w:val="19"/>
                <w:color w:val="auto"/>
              </w:rPr>
            </w:pPr>
          </w:p>
        </w:tc>
      </w:tr>
      <w:tr>
        <w:trPr>
          <w:trHeight w:val="223"/>
        </w:trPr>
        <w:tc>
          <w:tcPr>
            <w:tcW w:w="7760" w:type="dxa"/>
            <w:vAlign w:val="bottom"/>
            <w:gridSpan w:val="2"/>
            <w:shd w:val="clear" w:color="auto" w:fill="CFF0FC"/>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7760" w:type="dxa"/>
            <w:vAlign w:val="bottom"/>
            <w:gridSpan w:val="2"/>
          </w:tcPr>
          <w:p>
            <w:pPr>
              <w:ind w:left="20"/>
              <w:spacing w:after="0"/>
              <w:rPr>
                <w:sz w:val="20"/>
                <w:szCs w:val="20"/>
                <w:color w:val="auto"/>
              </w:rPr>
            </w:pPr>
            <w:r>
              <w:rPr>
                <w:rFonts w:ascii="Arial" w:cs="Arial" w:eastAsia="Arial" w:hAnsi="Arial"/>
                <w:sz w:val="18"/>
                <w:szCs w:val="18"/>
                <w:color w:val="auto"/>
              </w:rPr>
              <w:t>Net loss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(40,043 )</w:t>
            </w:r>
          </w:p>
        </w:tc>
        <w:tc>
          <w:tcPr>
            <w:tcW w:w="16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(35,765 )</w:t>
            </w:r>
          </w:p>
        </w:tc>
      </w:tr>
      <w:tr>
        <w:trPr>
          <w:trHeight w:val="230"/>
        </w:trPr>
        <w:tc>
          <w:tcPr>
            <w:tcW w:w="776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7760" w:type="dxa"/>
            <w:vAlign w:val="bottom"/>
            <w:gridSpan w:val="2"/>
          </w:tcPr>
          <w:p>
            <w:pPr>
              <w:ind w:left="280"/>
              <w:spacing w:after="0"/>
              <w:rPr>
                <w:sz w:val="20"/>
                <w:szCs w:val="20"/>
                <w:color w:val="auto"/>
              </w:rPr>
            </w:pPr>
            <w:r>
              <w:rPr>
                <w:rFonts w:ascii="Arial" w:cs="Arial" w:eastAsia="Arial" w:hAnsi="Arial"/>
                <w:sz w:val="18"/>
                <w:szCs w:val="18"/>
                <w:color w:val="auto"/>
              </w:rPr>
              <w:t>Depreciation expense</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619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628</w:t>
            </w:r>
          </w:p>
        </w:tc>
        <w:tc>
          <w:tcPr>
            <w:tcW w:w="100" w:type="dxa"/>
            <w:vAlign w:val="bottom"/>
          </w:tcPr>
          <w:p>
            <w:pPr>
              <w:spacing w:after="0"/>
              <w:rPr>
                <w:sz w:val="19"/>
                <w:szCs w:val="19"/>
                <w:color w:val="auto"/>
              </w:rPr>
            </w:pPr>
          </w:p>
        </w:tc>
      </w:tr>
      <w:tr>
        <w:trPr>
          <w:trHeight w:val="229"/>
        </w:trPr>
        <w:tc>
          <w:tcPr>
            <w:tcW w:w="7760" w:type="dxa"/>
            <w:vAlign w:val="bottom"/>
            <w:gridSpan w:val="2"/>
            <w:shd w:val="clear" w:color="auto" w:fill="CFF0FC"/>
          </w:tcPr>
          <w:p>
            <w:pPr>
              <w:ind w:left="280"/>
              <w:spacing w:after="0"/>
              <w:rPr>
                <w:sz w:val="20"/>
                <w:szCs w:val="20"/>
                <w:color w:val="auto"/>
              </w:rPr>
            </w:pPr>
            <w:r>
              <w:rPr>
                <w:rFonts w:ascii="Arial" w:cs="Arial" w:eastAsia="Arial" w:hAnsi="Arial"/>
                <w:sz w:val="18"/>
                <w:szCs w:val="18"/>
                <w:color w:val="auto"/>
              </w:rPr>
              <w:t>Accretion on marketable securities</w:t>
            </w:r>
          </w:p>
        </w:tc>
        <w:tc>
          <w:tcPr>
            <w:tcW w:w="3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(2,821 )</w:t>
            </w:r>
          </w:p>
        </w:tc>
        <w:tc>
          <w:tcPr>
            <w:tcW w:w="1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(2,032 )</w:t>
            </w:r>
          </w:p>
        </w:tc>
      </w:tr>
      <w:tr>
        <w:trPr>
          <w:trHeight w:val="230"/>
        </w:trPr>
        <w:tc>
          <w:tcPr>
            <w:tcW w:w="7760" w:type="dxa"/>
            <w:vAlign w:val="bottom"/>
            <w:gridSpan w:val="2"/>
          </w:tcPr>
          <w:p>
            <w:pPr>
              <w:ind w:left="280"/>
              <w:spacing w:after="0"/>
              <w:rPr>
                <w:sz w:val="20"/>
                <w:szCs w:val="20"/>
                <w:color w:val="auto"/>
              </w:rPr>
            </w:pPr>
            <w:r>
              <w:rPr>
                <w:rFonts w:ascii="Arial" w:cs="Arial" w:eastAsia="Arial" w:hAnsi="Arial"/>
                <w:sz w:val="18"/>
                <w:szCs w:val="18"/>
                <w:color w:val="auto"/>
              </w:rPr>
              <w:t>Stock-based compensation expense</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6,035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3,844</w:t>
            </w:r>
          </w:p>
        </w:tc>
        <w:tc>
          <w:tcPr>
            <w:tcW w:w="100" w:type="dxa"/>
            <w:vAlign w:val="bottom"/>
          </w:tcPr>
          <w:p>
            <w:pPr>
              <w:spacing w:after="0"/>
              <w:rPr>
                <w:sz w:val="19"/>
                <w:szCs w:val="19"/>
                <w:color w:val="auto"/>
              </w:rPr>
            </w:pPr>
          </w:p>
        </w:tc>
      </w:tr>
      <w:tr>
        <w:trPr>
          <w:trHeight w:val="229"/>
        </w:trPr>
        <w:tc>
          <w:tcPr>
            <w:tcW w:w="7760" w:type="dxa"/>
            <w:vAlign w:val="bottom"/>
            <w:gridSpan w:val="2"/>
            <w:shd w:val="clear" w:color="auto" w:fill="CFF0FC"/>
          </w:tcPr>
          <w:p>
            <w:pPr>
              <w:ind w:left="280"/>
              <w:spacing w:after="0"/>
              <w:rPr>
                <w:sz w:val="20"/>
                <w:szCs w:val="20"/>
                <w:color w:val="auto"/>
              </w:rPr>
            </w:pPr>
            <w:r>
              <w:rPr>
                <w:rFonts w:ascii="Arial" w:cs="Arial" w:eastAsia="Arial" w:hAnsi="Arial"/>
                <w:sz w:val="18"/>
                <w:szCs w:val="18"/>
                <w:color w:val="auto"/>
              </w:rPr>
              <w:t>Other</w:t>
            </w:r>
          </w:p>
        </w:tc>
        <w:tc>
          <w:tcPr>
            <w:tcW w:w="3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(5 )</w:t>
            </w:r>
          </w:p>
        </w:tc>
        <w:tc>
          <w:tcPr>
            <w:tcW w:w="1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7760" w:type="dxa"/>
            <w:vAlign w:val="bottom"/>
            <w:gridSpan w:val="2"/>
          </w:tcPr>
          <w:p>
            <w:pPr>
              <w:ind w:left="280"/>
              <w:spacing w:after="0"/>
              <w:rPr>
                <w:sz w:val="20"/>
                <w:szCs w:val="20"/>
                <w:color w:val="auto"/>
              </w:rPr>
            </w:pPr>
            <w:r>
              <w:rPr>
                <w:rFonts w:ascii="Arial" w:cs="Arial" w:eastAsia="Arial" w:hAnsi="Arial"/>
                <w:sz w:val="18"/>
                <w:szCs w:val="18"/>
                <w:color w:val="auto"/>
              </w:rPr>
              <w:t>Non-cash lease expense</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713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669</w:t>
            </w:r>
          </w:p>
        </w:tc>
        <w:tc>
          <w:tcPr>
            <w:tcW w:w="100" w:type="dxa"/>
            <w:vAlign w:val="bottom"/>
          </w:tcPr>
          <w:p>
            <w:pPr>
              <w:spacing w:after="0"/>
              <w:rPr>
                <w:sz w:val="19"/>
                <w:szCs w:val="19"/>
                <w:color w:val="auto"/>
              </w:rPr>
            </w:pPr>
          </w:p>
        </w:tc>
      </w:tr>
      <w:tr>
        <w:trPr>
          <w:trHeight w:val="230"/>
        </w:trPr>
        <w:tc>
          <w:tcPr>
            <w:tcW w:w="7760" w:type="dxa"/>
            <w:vAlign w:val="bottom"/>
            <w:gridSpan w:val="2"/>
            <w:shd w:val="clear" w:color="auto" w:fill="CFF0FC"/>
          </w:tcPr>
          <w:p>
            <w:pPr>
              <w:ind w:left="280"/>
              <w:spacing w:after="0"/>
              <w:rPr>
                <w:sz w:val="20"/>
                <w:szCs w:val="20"/>
                <w:color w:val="auto"/>
              </w:rPr>
            </w:pPr>
            <w:r>
              <w:rPr>
                <w:rFonts w:ascii="Arial" w:cs="Arial" w:eastAsia="Arial" w:hAnsi="Arial"/>
                <w:sz w:val="18"/>
                <w:szCs w:val="18"/>
                <w:color w:val="auto"/>
              </w:rPr>
              <w:t>Changes in operating assets and liabilities:</w:t>
            </w: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7760" w:type="dxa"/>
            <w:vAlign w:val="bottom"/>
            <w:gridSpan w:val="2"/>
          </w:tcPr>
          <w:p>
            <w:pPr>
              <w:ind w:left="780"/>
              <w:spacing w:after="0"/>
              <w:rPr>
                <w:sz w:val="20"/>
                <w:szCs w:val="20"/>
                <w:color w:val="auto"/>
              </w:rPr>
            </w:pPr>
            <w:r>
              <w:rPr>
                <w:rFonts w:ascii="Arial" w:cs="Arial" w:eastAsia="Arial" w:hAnsi="Arial"/>
                <w:sz w:val="18"/>
                <w:szCs w:val="18"/>
                <w:color w:val="auto"/>
              </w:rPr>
              <w:t>Prepaid expenses and other assets</w:t>
            </w:r>
          </w:p>
        </w:tc>
        <w:tc>
          <w:tcPr>
            <w:tcW w:w="340" w:type="dxa"/>
            <w:vAlign w:val="bottom"/>
          </w:tcPr>
          <w:p>
            <w:pPr>
              <w:spacing w:after="0"/>
              <w:rPr>
                <w:sz w:val="19"/>
                <w:szCs w:val="19"/>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(2,555 )</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3,940</w:t>
            </w:r>
          </w:p>
        </w:tc>
        <w:tc>
          <w:tcPr>
            <w:tcW w:w="100" w:type="dxa"/>
            <w:vAlign w:val="bottom"/>
          </w:tcPr>
          <w:p>
            <w:pPr>
              <w:spacing w:after="0"/>
              <w:rPr>
                <w:sz w:val="19"/>
                <w:szCs w:val="19"/>
                <w:color w:val="auto"/>
              </w:rPr>
            </w:pPr>
          </w:p>
        </w:tc>
      </w:tr>
      <w:tr>
        <w:trPr>
          <w:trHeight w:val="230"/>
        </w:trPr>
        <w:tc>
          <w:tcPr>
            <w:tcW w:w="7760" w:type="dxa"/>
            <w:vAlign w:val="bottom"/>
            <w:gridSpan w:val="2"/>
            <w:shd w:val="clear" w:color="auto" w:fill="CFF0FC"/>
          </w:tcPr>
          <w:p>
            <w:pPr>
              <w:ind w:left="780"/>
              <w:spacing w:after="0"/>
              <w:rPr>
                <w:sz w:val="20"/>
                <w:szCs w:val="20"/>
                <w:color w:val="auto"/>
              </w:rPr>
            </w:pPr>
            <w:r>
              <w:rPr>
                <w:rFonts w:ascii="Arial" w:cs="Arial" w:eastAsia="Arial" w:hAnsi="Arial"/>
                <w:sz w:val="18"/>
                <w:szCs w:val="18"/>
                <w:color w:val="auto"/>
              </w:rPr>
              <w:t>Other long-term assets</w:t>
            </w:r>
          </w:p>
        </w:tc>
        <w:tc>
          <w:tcPr>
            <w:tcW w:w="34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(277 )</w:t>
            </w:r>
          </w:p>
        </w:tc>
      </w:tr>
      <w:tr>
        <w:trPr>
          <w:trHeight w:val="229"/>
        </w:trPr>
        <w:tc>
          <w:tcPr>
            <w:tcW w:w="7760" w:type="dxa"/>
            <w:vAlign w:val="bottom"/>
            <w:gridSpan w:val="2"/>
          </w:tcPr>
          <w:p>
            <w:pPr>
              <w:ind w:left="780"/>
              <w:spacing w:after="0"/>
              <w:rPr>
                <w:sz w:val="20"/>
                <w:szCs w:val="20"/>
                <w:color w:val="auto"/>
              </w:rPr>
            </w:pPr>
            <w:r>
              <w:rPr>
                <w:rFonts w:ascii="Arial" w:cs="Arial" w:eastAsia="Arial" w:hAnsi="Arial"/>
                <w:sz w:val="18"/>
                <w:szCs w:val="18"/>
                <w:color w:val="auto"/>
              </w:rPr>
              <w:t>Accounts payable</w:t>
            </w:r>
          </w:p>
        </w:tc>
        <w:tc>
          <w:tcPr>
            <w:tcW w:w="340" w:type="dxa"/>
            <w:vAlign w:val="bottom"/>
          </w:tcPr>
          <w:p>
            <w:pPr>
              <w:spacing w:after="0"/>
              <w:rPr>
                <w:sz w:val="19"/>
                <w:szCs w:val="19"/>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(517 )</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(2,382 )</w:t>
            </w:r>
          </w:p>
        </w:tc>
      </w:tr>
      <w:tr>
        <w:trPr>
          <w:trHeight w:val="229"/>
        </w:trPr>
        <w:tc>
          <w:tcPr>
            <w:tcW w:w="7760" w:type="dxa"/>
            <w:vAlign w:val="bottom"/>
            <w:gridSpan w:val="2"/>
            <w:shd w:val="clear" w:color="auto" w:fill="CFF0FC"/>
          </w:tcPr>
          <w:p>
            <w:pPr>
              <w:ind w:left="780"/>
              <w:spacing w:after="0"/>
              <w:rPr>
                <w:sz w:val="20"/>
                <w:szCs w:val="20"/>
                <w:color w:val="auto"/>
              </w:rPr>
            </w:pPr>
            <w:r>
              <w:rPr>
                <w:rFonts w:ascii="Arial" w:cs="Arial" w:eastAsia="Arial" w:hAnsi="Arial"/>
                <w:sz w:val="18"/>
                <w:szCs w:val="18"/>
                <w:color w:val="auto"/>
              </w:rPr>
              <w:t>Accrued expenses and other liabilities</w:t>
            </w:r>
          </w:p>
        </w:tc>
        <w:tc>
          <w:tcPr>
            <w:tcW w:w="3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(1,548 )</w:t>
            </w:r>
          </w:p>
        </w:tc>
        <w:tc>
          <w:tcPr>
            <w:tcW w:w="1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761</w:t>
            </w:r>
          </w:p>
        </w:tc>
        <w:tc>
          <w:tcPr>
            <w:tcW w:w="100" w:type="dxa"/>
            <w:vAlign w:val="bottom"/>
            <w:shd w:val="clear" w:color="auto" w:fill="CFF0FC"/>
          </w:tcPr>
          <w:p>
            <w:pPr>
              <w:spacing w:after="0"/>
              <w:rPr>
                <w:sz w:val="19"/>
                <w:szCs w:val="19"/>
                <w:color w:val="auto"/>
              </w:rPr>
            </w:pPr>
          </w:p>
        </w:tc>
      </w:tr>
      <w:tr>
        <w:trPr>
          <w:trHeight w:val="230"/>
        </w:trPr>
        <w:tc>
          <w:tcPr>
            <w:tcW w:w="7760" w:type="dxa"/>
            <w:vAlign w:val="bottom"/>
            <w:gridSpan w:val="2"/>
          </w:tcPr>
          <w:p>
            <w:pPr>
              <w:ind w:left="780"/>
              <w:spacing w:after="0"/>
              <w:rPr>
                <w:sz w:val="20"/>
                <w:szCs w:val="20"/>
                <w:color w:val="auto"/>
              </w:rPr>
            </w:pPr>
            <w:r>
              <w:rPr>
                <w:rFonts w:ascii="Arial" w:cs="Arial" w:eastAsia="Arial" w:hAnsi="Arial"/>
                <w:sz w:val="18"/>
                <w:szCs w:val="18"/>
                <w:color w:val="auto"/>
              </w:rPr>
              <w:t>Operating lease liabilities</w:t>
            </w:r>
          </w:p>
        </w:tc>
        <w:tc>
          <w:tcPr>
            <w:tcW w:w="340" w:type="dxa"/>
            <w:vAlign w:val="bottom"/>
          </w:tcPr>
          <w:p>
            <w:pPr>
              <w:spacing w:after="0"/>
              <w:rPr>
                <w:sz w:val="19"/>
                <w:szCs w:val="19"/>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(523 )</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(443 )</w:t>
            </w:r>
          </w:p>
        </w:tc>
      </w:tr>
      <w:tr>
        <w:trPr>
          <w:trHeight w:val="20"/>
        </w:trPr>
        <w:tc>
          <w:tcPr>
            <w:tcW w:w="7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7760" w:type="dxa"/>
            <w:vAlign w:val="bottom"/>
            <w:gridSpan w:val="2"/>
            <w:shd w:val="clear" w:color="auto" w:fill="CFF0FC"/>
          </w:tcPr>
          <w:p>
            <w:pPr>
              <w:ind w:left="520"/>
              <w:spacing w:after="0"/>
              <w:rPr>
                <w:sz w:val="20"/>
                <w:szCs w:val="20"/>
                <w:color w:val="auto"/>
              </w:rPr>
            </w:pPr>
            <w:r>
              <w:rPr>
                <w:rFonts w:ascii="Arial" w:cs="Arial" w:eastAsia="Arial" w:hAnsi="Arial"/>
                <w:sz w:val="18"/>
                <w:szCs w:val="18"/>
                <w:b w:val="1"/>
                <w:bCs w:val="1"/>
                <w:color w:val="auto"/>
              </w:rPr>
              <w:t>Net cash used in operating activities</w:t>
            </w:r>
          </w:p>
        </w:tc>
        <w:tc>
          <w:tcPr>
            <w:tcW w:w="3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(40,580 )</w:t>
            </w:r>
          </w:p>
        </w:tc>
        <w:tc>
          <w:tcPr>
            <w:tcW w:w="1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(31,057 )</w:t>
            </w:r>
          </w:p>
        </w:tc>
      </w:tr>
      <w:tr>
        <w:trPr>
          <w:trHeight w:val="223"/>
        </w:trPr>
        <w:tc>
          <w:tcPr>
            <w:tcW w:w="7760" w:type="dxa"/>
            <w:vAlign w:val="bottom"/>
            <w:tcBorders>
              <w:top w:val="single" w:sz="8" w:color="CFF0FC"/>
            </w:tcBorders>
            <w:gridSpan w:val="2"/>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34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20" w:type="dxa"/>
            <w:vAlign w:val="bottom"/>
            <w:tcBorders>
              <w:top w:val="single" w:sz="8" w:color="CFF0FC"/>
            </w:tcBorders>
          </w:tcPr>
          <w:p>
            <w:pPr>
              <w:spacing w:after="0"/>
              <w:rPr>
                <w:sz w:val="19"/>
                <w:szCs w:val="19"/>
                <w:color w:val="auto"/>
              </w:rPr>
            </w:pPr>
          </w:p>
        </w:tc>
        <w:tc>
          <w:tcPr>
            <w:tcW w:w="160" w:type="dxa"/>
            <w:vAlign w:val="bottom"/>
            <w:tcBorders>
              <w:top w:val="single" w:sz="8" w:color="CFF0FC"/>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r>
      <w:tr>
        <w:trPr>
          <w:trHeight w:val="230"/>
        </w:trPr>
        <w:tc>
          <w:tcPr>
            <w:tcW w:w="776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Purchases of property and equipment</w:t>
            </w:r>
          </w:p>
        </w:tc>
        <w:tc>
          <w:tcPr>
            <w:tcW w:w="3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(613 )</w:t>
            </w:r>
          </w:p>
        </w:tc>
        <w:tc>
          <w:tcPr>
            <w:tcW w:w="1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(302 )</w:t>
            </w:r>
          </w:p>
        </w:tc>
      </w:tr>
      <w:tr>
        <w:trPr>
          <w:trHeight w:val="229"/>
        </w:trPr>
        <w:tc>
          <w:tcPr>
            <w:tcW w:w="7760" w:type="dxa"/>
            <w:vAlign w:val="bottom"/>
            <w:gridSpan w:val="2"/>
          </w:tcPr>
          <w:p>
            <w:pPr>
              <w:ind w:left="20"/>
              <w:spacing w:after="0"/>
              <w:rPr>
                <w:sz w:val="20"/>
                <w:szCs w:val="20"/>
                <w:color w:val="auto"/>
              </w:rPr>
            </w:pPr>
            <w:r>
              <w:rPr>
                <w:rFonts w:ascii="Arial" w:cs="Arial" w:eastAsia="Arial" w:hAnsi="Arial"/>
                <w:sz w:val="18"/>
                <w:szCs w:val="18"/>
                <w:color w:val="auto"/>
              </w:rPr>
              <w:t>Purchase of marketable securities</w:t>
            </w:r>
          </w:p>
        </w:tc>
        <w:tc>
          <w:tcPr>
            <w:tcW w:w="340" w:type="dxa"/>
            <w:vAlign w:val="bottom"/>
          </w:tcPr>
          <w:p>
            <w:pPr>
              <w:spacing w:after="0"/>
              <w:rPr>
                <w:sz w:val="19"/>
                <w:szCs w:val="19"/>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(39,105 )</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(88,847 )</w:t>
            </w:r>
          </w:p>
        </w:tc>
      </w:tr>
      <w:tr>
        <w:trPr>
          <w:trHeight w:val="230"/>
        </w:trPr>
        <w:tc>
          <w:tcPr>
            <w:tcW w:w="776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8"/>
                <w:szCs w:val="18"/>
                <w:color w:val="auto"/>
              </w:rPr>
              <w:t>Proceeds from sale of marketable securities</w:t>
            </w:r>
          </w:p>
        </w:tc>
        <w:tc>
          <w:tcPr>
            <w:tcW w:w="34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68,955</w:t>
            </w:r>
          </w:p>
        </w:tc>
        <w:tc>
          <w:tcPr>
            <w:tcW w:w="1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43,677</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7760" w:type="dxa"/>
            <w:vAlign w:val="bottom"/>
            <w:gridSpan w:val="2"/>
          </w:tcPr>
          <w:p>
            <w:pPr>
              <w:ind w:left="520"/>
              <w:spacing w:after="0"/>
              <w:rPr>
                <w:sz w:val="20"/>
                <w:szCs w:val="20"/>
                <w:color w:val="auto"/>
              </w:rPr>
            </w:pPr>
            <w:r>
              <w:rPr>
                <w:rFonts w:ascii="Arial" w:cs="Arial" w:eastAsia="Arial" w:hAnsi="Arial"/>
                <w:sz w:val="18"/>
                <w:szCs w:val="18"/>
                <w:b w:val="1"/>
                <w:bCs w:val="1"/>
                <w:color w:val="auto"/>
              </w:rPr>
              <w:t>Net cash provided by (used in) investing activities</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29,237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(45,472 )</w:t>
            </w:r>
          </w:p>
        </w:tc>
      </w:tr>
      <w:tr>
        <w:trPr>
          <w:trHeight w:val="223"/>
        </w:trPr>
        <w:tc>
          <w:tcPr>
            <w:tcW w:w="7760" w:type="dxa"/>
            <w:vAlign w:val="bottom"/>
            <w:gridSpan w:val="2"/>
            <w:shd w:val="clear" w:color="auto" w:fill="CFF0FC"/>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340" w:type="dxa"/>
            <w:vAlign w:val="bottom"/>
            <w:tcBorders>
              <w:top w:val="single" w:sz="8" w:color="auto"/>
            </w:tcBorders>
            <w:shd w:val="clear" w:color="auto" w:fill="CFF0FC"/>
          </w:tcPr>
          <w:p>
            <w:pPr>
              <w:spacing w:after="0"/>
              <w:rPr>
                <w:sz w:val="19"/>
                <w:szCs w:val="19"/>
                <w:color w:val="auto"/>
              </w:rPr>
            </w:pPr>
          </w:p>
        </w:tc>
        <w:tc>
          <w:tcPr>
            <w:tcW w:w="1220" w:type="dxa"/>
            <w:vAlign w:val="bottom"/>
            <w:tcBorders>
              <w:top w:val="single" w:sz="8" w:color="auto"/>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7760" w:type="dxa"/>
            <w:vAlign w:val="bottom"/>
            <w:gridSpan w:val="2"/>
          </w:tcPr>
          <w:p>
            <w:pPr>
              <w:ind w:left="20"/>
              <w:spacing w:after="0"/>
              <w:rPr>
                <w:sz w:val="20"/>
                <w:szCs w:val="20"/>
                <w:color w:val="auto"/>
              </w:rPr>
            </w:pPr>
            <w:r>
              <w:rPr>
                <w:rFonts w:ascii="Arial" w:cs="Arial" w:eastAsia="Arial" w:hAnsi="Arial"/>
                <w:sz w:val="18"/>
                <w:szCs w:val="18"/>
                <w:color w:val="auto"/>
              </w:rPr>
              <w:t>Proceeds from exercise of stock options</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805</w:t>
            </w:r>
          </w:p>
        </w:tc>
        <w:tc>
          <w:tcPr>
            <w:tcW w:w="100" w:type="dxa"/>
            <w:vAlign w:val="bottom"/>
          </w:tcPr>
          <w:p>
            <w:pPr>
              <w:spacing w:after="0"/>
              <w:rPr>
                <w:sz w:val="19"/>
                <w:szCs w:val="19"/>
                <w:color w:val="auto"/>
              </w:rPr>
            </w:pPr>
          </w:p>
        </w:tc>
      </w:tr>
      <w:tr>
        <w:trPr>
          <w:trHeight w:val="230"/>
        </w:trPr>
        <w:tc>
          <w:tcPr>
            <w:tcW w:w="776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Proceeds from issuance of common stock under ATM facility, net of issuance costs</w:t>
            </w:r>
          </w:p>
        </w:tc>
        <w:tc>
          <w:tcPr>
            <w:tcW w:w="340" w:type="dxa"/>
            <w:vAlign w:val="bottom"/>
            <w:shd w:val="clear" w:color="auto" w:fill="CFF0FC"/>
          </w:tcPr>
          <w:p>
            <w:pPr>
              <w:spacing w:after="0"/>
              <w:rPr>
                <w:sz w:val="19"/>
                <w:szCs w:val="19"/>
                <w:color w:val="auto"/>
              </w:rPr>
            </w:pPr>
          </w:p>
        </w:tc>
        <w:tc>
          <w:tcPr>
            <w:tcW w:w="1500" w:type="dxa"/>
            <w:vAlign w:val="bottom"/>
            <w:gridSpan w:val="3"/>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1,818</w:t>
            </w:r>
          </w:p>
        </w:tc>
        <w:tc>
          <w:tcPr>
            <w:tcW w:w="100" w:type="dxa"/>
            <w:vAlign w:val="bottom"/>
            <w:shd w:val="clear" w:color="auto" w:fill="CFF0FC"/>
          </w:tcPr>
          <w:p>
            <w:pPr>
              <w:spacing w:after="0"/>
              <w:rPr>
                <w:sz w:val="19"/>
                <w:szCs w:val="19"/>
                <w:color w:val="auto"/>
              </w:rPr>
            </w:pPr>
          </w:p>
        </w:tc>
      </w:tr>
      <w:tr>
        <w:trPr>
          <w:trHeight w:val="230"/>
        </w:trPr>
        <w:tc>
          <w:tcPr>
            <w:tcW w:w="7760" w:type="dxa"/>
            <w:vAlign w:val="bottom"/>
            <w:gridSpan w:val="2"/>
          </w:tcPr>
          <w:p>
            <w:pPr>
              <w:ind w:left="20"/>
              <w:spacing w:after="0"/>
              <w:rPr>
                <w:sz w:val="20"/>
                <w:szCs w:val="20"/>
                <w:color w:val="auto"/>
              </w:rPr>
            </w:pPr>
            <w:r>
              <w:rPr>
                <w:rFonts w:ascii="Arial" w:cs="Arial" w:eastAsia="Arial" w:hAnsi="Arial"/>
                <w:sz w:val="18"/>
                <w:szCs w:val="18"/>
                <w:color w:val="auto"/>
              </w:rPr>
              <w:t>Proceeds from ESPP purchase</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9"/>
                <w:szCs w:val="19"/>
                <w:color w:val="auto"/>
              </w:rPr>
            </w:pPr>
          </w:p>
        </w:tc>
      </w:tr>
      <w:tr>
        <w:trPr>
          <w:trHeight w:val="223"/>
        </w:trPr>
        <w:tc>
          <w:tcPr>
            <w:tcW w:w="7760" w:type="dxa"/>
            <w:vAlign w:val="bottom"/>
            <w:tcBorders>
              <w:bottom w:val="single" w:sz="8" w:color="CFF0FC"/>
            </w:tcBorders>
            <w:gridSpan w:val="2"/>
            <w:shd w:val="clear" w:color="auto" w:fill="CFF0FC"/>
          </w:tcPr>
          <w:p>
            <w:pPr>
              <w:ind w:left="520"/>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34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336</w:t>
            </w:r>
          </w:p>
        </w:tc>
        <w:tc>
          <w:tcPr>
            <w:tcW w:w="1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2,679</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7760" w:type="dxa"/>
            <w:vAlign w:val="bottom"/>
            <w:gridSpan w:val="2"/>
          </w:tcPr>
          <w:p>
            <w:pPr>
              <w:ind w:left="20"/>
              <w:spacing w:after="0"/>
              <w:rPr>
                <w:sz w:val="20"/>
                <w:szCs w:val="20"/>
                <w:color w:val="auto"/>
              </w:rPr>
            </w:pPr>
            <w:r>
              <w:rPr>
                <w:rFonts w:ascii="Arial" w:cs="Arial" w:eastAsia="Arial" w:hAnsi="Arial"/>
                <w:sz w:val="18"/>
                <w:szCs w:val="18"/>
                <w:b w:val="1"/>
                <w:bCs w:val="1"/>
                <w:color w:val="auto"/>
              </w:rPr>
              <w:t>Net (decrease) increase in cash, cash equivalents and restricted cash</w:t>
            </w:r>
          </w:p>
        </w:tc>
        <w:tc>
          <w:tcPr>
            <w:tcW w:w="340" w:type="dxa"/>
            <w:vAlign w:val="bottom"/>
          </w:tcPr>
          <w:p>
            <w:pPr>
              <w:spacing w:after="0"/>
              <w:rPr>
                <w:sz w:val="19"/>
                <w:szCs w:val="19"/>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(11,007 )</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(73,850 )</w:t>
            </w:r>
          </w:p>
        </w:tc>
      </w:tr>
      <w:tr>
        <w:trPr>
          <w:trHeight w:val="230"/>
        </w:trPr>
        <w:tc>
          <w:tcPr>
            <w:tcW w:w="776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8"/>
                <w:szCs w:val="18"/>
                <w:b w:val="1"/>
                <w:bCs w:val="1"/>
                <w:color w:val="auto"/>
              </w:rPr>
              <w:t>Cash, cash equivalents and restricted cash at beginning of period</w:t>
            </w:r>
          </w:p>
        </w:tc>
        <w:tc>
          <w:tcPr>
            <w:tcW w:w="34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41,850</w:t>
            </w:r>
          </w:p>
        </w:tc>
        <w:tc>
          <w:tcPr>
            <w:tcW w:w="1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122,370</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7760" w:type="dxa"/>
            <w:vAlign w:val="bottom"/>
            <w:gridSpan w:val="2"/>
          </w:tcPr>
          <w:p>
            <w:pPr>
              <w:ind w:left="20"/>
              <w:spacing w:after="0"/>
              <w:rPr>
                <w:sz w:val="20"/>
                <w:szCs w:val="20"/>
                <w:color w:val="auto"/>
              </w:rPr>
            </w:pPr>
            <w:r>
              <w:rPr>
                <w:rFonts w:ascii="Arial" w:cs="Arial" w:eastAsia="Arial" w:hAnsi="Arial"/>
                <w:sz w:val="18"/>
                <w:szCs w:val="18"/>
                <w:b w:val="1"/>
                <w:bCs w:val="1"/>
                <w:color w:val="auto"/>
              </w:rPr>
              <w:t>Cash, cash equivalents and restricted cash at end of period</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30,843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48,520</w:t>
            </w:r>
          </w:p>
        </w:tc>
        <w:tc>
          <w:tcPr>
            <w:tcW w:w="100" w:type="dxa"/>
            <w:vAlign w:val="bottom"/>
          </w:tcPr>
          <w:p>
            <w:pPr>
              <w:spacing w:after="0"/>
              <w:rPr>
                <w:sz w:val="19"/>
                <w:szCs w:val="19"/>
                <w:color w:val="auto"/>
              </w:rPr>
            </w:pPr>
          </w:p>
        </w:tc>
      </w:tr>
      <w:tr>
        <w:trPr>
          <w:trHeight w:val="20"/>
        </w:trPr>
        <w:tc>
          <w:tcPr>
            <w:tcW w:w="7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5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180" w:type="dxa"/>
            <w:vAlign w:val="bottom"/>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197"/>
        </w:trPr>
        <w:tc>
          <w:tcPr>
            <w:tcW w:w="7580" w:type="dxa"/>
            <w:vAlign w:val="bottom"/>
          </w:tcPr>
          <w:p>
            <w:pPr>
              <w:ind w:left="20"/>
              <w:spacing w:after="0" w:line="197" w:lineRule="exact"/>
              <w:rPr>
                <w:sz w:val="20"/>
                <w:szCs w:val="20"/>
                <w:color w:val="auto"/>
              </w:rPr>
            </w:pPr>
            <w:r>
              <w:rPr>
                <w:rFonts w:ascii="Arial" w:cs="Arial" w:eastAsia="Arial" w:hAnsi="Arial"/>
                <w:sz w:val="18"/>
                <w:szCs w:val="18"/>
                <w:color w:val="auto"/>
              </w:rPr>
              <w:t>Purchases of property and equipment in accounts payable and accrued expenses and other</w:t>
            </w: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5"/>
        </w:trPr>
        <w:tc>
          <w:tcPr>
            <w:tcW w:w="7760" w:type="dxa"/>
            <w:vAlign w:val="bottom"/>
            <w:gridSpan w:val="2"/>
          </w:tcPr>
          <w:p>
            <w:pPr>
              <w:ind w:left="20"/>
              <w:spacing w:after="0"/>
              <w:rPr>
                <w:sz w:val="20"/>
                <w:szCs w:val="20"/>
                <w:color w:val="auto"/>
              </w:rPr>
            </w:pPr>
            <w:r>
              <w:rPr>
                <w:rFonts w:ascii="Arial" w:cs="Arial" w:eastAsia="Arial" w:hAnsi="Arial"/>
                <w:sz w:val="18"/>
                <w:szCs w:val="18"/>
                <w:color w:val="auto"/>
              </w:rPr>
              <w:t>liabilities</w:t>
            </w:r>
          </w:p>
        </w:tc>
        <w:tc>
          <w:tcPr>
            <w:tcW w:w="3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0"/>
                <w:szCs w:val="20"/>
                <w:color w:val="auto"/>
              </w:rPr>
            </w:pPr>
          </w:p>
        </w:tc>
      </w:tr>
      <w:tr>
        <w:trPr>
          <w:trHeight w:val="229"/>
        </w:trPr>
        <w:tc>
          <w:tcPr>
            <w:tcW w:w="7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Common stock issued under ATM facility settled in future period</w:t>
            </w:r>
          </w:p>
        </w:tc>
        <w:tc>
          <w:tcPr>
            <w:tcW w:w="180" w:type="dxa"/>
            <w:vAlign w:val="bottom"/>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247</w:t>
            </w:r>
          </w:p>
        </w:tc>
        <w:tc>
          <w:tcPr>
            <w:tcW w:w="100" w:type="dxa"/>
            <w:vAlign w:val="bottom"/>
            <w:shd w:val="clear" w:color="auto" w:fill="CFF0FC"/>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-2536825</wp:posOffset>
            </wp:positionV>
            <wp:extent cx="6858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-2536825</wp:posOffset>
            </wp:positionV>
            <wp:extent cx="6858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-1945005</wp:posOffset>
            </wp:positionV>
            <wp:extent cx="6858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-1945005</wp:posOffset>
            </wp:positionV>
            <wp:extent cx="6858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-1045210</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-1045210</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-744855</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-744855</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ind w:left="20" w:right="320"/>
        <w:spacing w:after="0" w:line="252"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within the balance sheets that sum to the total of the same such amounts shown in the unaudited condensed consolidated statements of cash flows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7760" w:type="dxa"/>
            <w:vAlign w:val="bottom"/>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8"/>
                <w:szCs w:val="18"/>
                <w:b w:val="1"/>
                <w:bCs w:val="1"/>
                <w:color w:val="auto"/>
              </w:rPr>
              <w:t>June 30,</w:t>
            </w:r>
          </w:p>
        </w:tc>
        <w:tc>
          <w:tcPr>
            <w:tcW w:w="11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7760" w:type="dxa"/>
            <w:vAlign w:val="bottom"/>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2024</w:t>
            </w:r>
          </w:p>
        </w:tc>
        <w:tc>
          <w:tcPr>
            <w:tcW w:w="58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19"/>
                <w:szCs w:val="19"/>
                <w:color w:val="auto"/>
              </w:rPr>
            </w:pPr>
          </w:p>
        </w:tc>
      </w:tr>
      <w:tr>
        <w:trPr>
          <w:trHeight w:val="223"/>
        </w:trPr>
        <w:tc>
          <w:tcPr>
            <w:tcW w:w="7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and cash equivalents, end of period</w:t>
            </w:r>
          </w:p>
        </w:tc>
        <w:tc>
          <w:tcPr>
            <w:tcW w:w="980" w:type="dxa"/>
            <w:vAlign w:val="bottom"/>
            <w:shd w:val="clear" w:color="auto" w:fill="CFF0FC"/>
          </w:tcPr>
          <w:p>
            <w:pPr>
              <w:jc w:val="right"/>
              <w:ind w:right="770"/>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8"/>
              </w:rPr>
              <w:t>30,075</w:t>
            </w:r>
          </w:p>
        </w:tc>
        <w:tc>
          <w:tcPr>
            <w:tcW w:w="6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47,732</w:t>
            </w:r>
          </w:p>
        </w:tc>
        <w:tc>
          <w:tcPr>
            <w:tcW w:w="100" w:type="dxa"/>
            <w:vAlign w:val="bottom"/>
            <w:shd w:val="clear" w:color="auto" w:fill="CFF0FC"/>
          </w:tcPr>
          <w:p>
            <w:pPr>
              <w:spacing w:after="0"/>
              <w:rPr>
                <w:sz w:val="19"/>
                <w:szCs w:val="19"/>
                <w:color w:val="auto"/>
              </w:rPr>
            </w:pPr>
          </w:p>
        </w:tc>
      </w:tr>
      <w:tr>
        <w:trPr>
          <w:trHeight w:val="230"/>
        </w:trPr>
        <w:tc>
          <w:tcPr>
            <w:tcW w:w="7760" w:type="dxa"/>
            <w:vAlign w:val="bottom"/>
          </w:tcPr>
          <w:p>
            <w:pPr>
              <w:ind w:left="20"/>
              <w:spacing w:after="0"/>
              <w:rPr>
                <w:sz w:val="20"/>
                <w:szCs w:val="20"/>
                <w:color w:val="auto"/>
              </w:rPr>
            </w:pPr>
            <w:r>
              <w:rPr>
                <w:rFonts w:ascii="Arial" w:cs="Arial" w:eastAsia="Arial" w:hAnsi="Arial"/>
                <w:sz w:val="18"/>
                <w:szCs w:val="18"/>
                <w:color w:val="auto"/>
              </w:rPr>
              <w:t>Short-term restricted cash, end of period</w:t>
            </w: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r>
      <w:tr>
        <w:trPr>
          <w:trHeight w:val="229"/>
        </w:trPr>
        <w:tc>
          <w:tcPr>
            <w:tcW w:w="77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Long-term restricted cash, end of period</w:t>
            </w:r>
          </w:p>
        </w:tc>
        <w:tc>
          <w:tcPr>
            <w:tcW w:w="98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768</w:t>
            </w:r>
          </w:p>
        </w:tc>
        <w:tc>
          <w:tcPr>
            <w:tcW w:w="28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768</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7760" w:type="dxa"/>
            <w:vAlign w:val="bottom"/>
          </w:tcPr>
          <w:p>
            <w:pPr>
              <w:ind w:left="20"/>
              <w:spacing w:after="0"/>
              <w:rPr>
                <w:sz w:val="20"/>
                <w:szCs w:val="20"/>
                <w:color w:val="auto"/>
              </w:rPr>
            </w:pPr>
            <w:r>
              <w:rPr>
                <w:rFonts w:ascii="Arial" w:cs="Arial" w:eastAsia="Arial" w:hAnsi="Arial"/>
                <w:sz w:val="18"/>
                <w:szCs w:val="18"/>
                <w:b w:val="1"/>
                <w:bCs w:val="1"/>
                <w:color w:val="auto"/>
              </w:rPr>
              <w:t>Cash, cash equivalents and restricted cash at end of period</w:t>
            </w:r>
          </w:p>
        </w:tc>
        <w:tc>
          <w:tcPr>
            <w:tcW w:w="980" w:type="dxa"/>
            <w:vAlign w:val="bottom"/>
          </w:tcPr>
          <w:p>
            <w:pPr>
              <w:jc w:val="right"/>
              <w:ind w:right="770"/>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8"/>
              </w:rPr>
              <w:t>30,843</w:t>
            </w:r>
          </w:p>
        </w:tc>
        <w:tc>
          <w:tcPr>
            <w:tcW w:w="6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48,520</w:t>
            </w:r>
          </w:p>
        </w:tc>
        <w:tc>
          <w:tcPr>
            <w:tcW w:w="100" w:type="dxa"/>
            <w:vAlign w:val="bottom"/>
          </w:tcPr>
          <w:p>
            <w:pPr>
              <w:spacing w:after="0"/>
              <w:rPr>
                <w:sz w:val="19"/>
                <w:szCs w:val="19"/>
                <w:color w:val="auto"/>
              </w:rPr>
            </w:pPr>
          </w:p>
        </w:tc>
      </w:tr>
      <w:tr>
        <w:trPr>
          <w:trHeight w:val="20"/>
        </w:trPr>
        <w:tc>
          <w:tcPr>
            <w:tcW w:w="77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-179705</wp:posOffset>
            </wp:positionV>
            <wp:extent cx="6858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-179705</wp:posOffset>
            </wp:positionV>
            <wp:extent cx="6858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47"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The accompanying notes are an integral part of these unaudited condensed consolidated financial statements.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Aura Biosciences, Inc.</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w:t>
      </w:r>
    </w:p>
    <w:p>
      <w:pPr>
        <w:spacing w:after="0" w:line="63"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Aura Biosciences, Inc., or the Company or Aura, is a clinical-stage biotechnology company developing precision therapies to treat solid tumors designed to preserve organ function. Within these unaudited condensed consolidated financial statements, unless the context otherwise requires, references to the Company or Aura refer to Aura Biosciences, Inc. and its subsidiaries on a consolidated basis. The Company’s proprietary platform is designed to enable the targeting of a broad range of solid tumors using Virus-Like Particles, or VLPs, that can be conjugated with drugs or loaded with nucleic acids to create Virus-Like Drug Conjugates, or VDCs. VDCs are a novel class of drugs with a dual mechanism of action that promote cancer cell death by both the delivery of the cytotoxic payload to generate acute necrosis and activation of a secondary immune mediated response. The Company’s initial focus is in ocular and urologic oncology, both areas of high unmet medical need where local targeted therapies may enable early intervention. The Company is evaluating the safety and efficacy of its lead candidate, bel-sar, as a potential vision-sparing therapy in an ongoing global Phase 3 CoMpass trial for the first-line treatment of adult patients with small choroidal melanoma and indeterminate lesions, or early-stage choroidal melanoma. Bel-sar is also being explored for metastases to the choroid and cancers of the ocular surface and is in Phase 1 clinical development in bladder cancer. The Company envisions the potential for development of bel-sar in additional therapeutic areas. Aura’s headquarters are located in Boston, Massachusetts.</w:t>
      </w:r>
    </w:p>
    <w:p>
      <w:pPr>
        <w:spacing w:after="0" w:line="18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Company’s operations to date have consisted primarily of conducting research and development and raising capital.</w:t>
      </w:r>
    </w:p>
    <w:p>
      <w:pPr>
        <w:spacing w:after="0" w:line="212"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The Company is subject to risks common to companies in the biotechnology industry, including, but not limited to, the successful development and commercialization of products, fluctuations in operating results and financial risks, need for additional financing or alternative means of financial support or both to fund its current operating plan, protection of proprietary technology and patent risks, compliance with government regulations, dependence on key personnel, collaborative partners, contract development and manufacturing organizations and other third-parties, competition, customer demand, management of growth, and the effectiveness of marketing by the Company.</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Liquidity</w:t>
      </w:r>
    </w:p>
    <w:p>
      <w:pPr>
        <w:spacing w:after="0" w:line="75" w:lineRule="exact"/>
        <w:rPr>
          <w:sz w:val="20"/>
          <w:szCs w:val="20"/>
          <w:color w:val="auto"/>
        </w:rPr>
      </w:pPr>
    </w:p>
    <w:p>
      <w:pPr>
        <w:jc w:val="both"/>
        <w:ind w:firstLine="509"/>
        <w:spacing w:after="0" w:line="233" w:lineRule="auto"/>
        <w:rPr>
          <w:sz w:val="20"/>
          <w:szCs w:val="20"/>
          <w:color w:val="auto"/>
        </w:rPr>
      </w:pPr>
      <w:r>
        <w:rPr>
          <w:rFonts w:ascii="Arial" w:cs="Arial" w:eastAsia="Arial" w:hAnsi="Arial"/>
          <w:sz w:val="18"/>
          <w:szCs w:val="18"/>
          <w:color w:val="auto"/>
        </w:rPr>
        <w:t>Through June 30, 2024, the Company has funded its operations primarily with proceeds from the initial and additional closings of its convertible preferred stock financings, and through its initial public offering, or IPO, follow-on offerings and at-the-market offering, or ATM. On November 9, 2023, the Company issued and sold 11,000,000 shares of common stock at a price to the public of $9.00 per share for aggregate gross proceeds of $99.0 million, or the 2023 Follow-On Offering. The Company received approximately $92.6 million in net proceeds from the 2023 Follow-On Offering after deducting underwriting discounts and commissions and offering expenses. On November 1, 2022, the Company filed a shelf registration statement on Form S-3, or the 2022 Shelf, with the SEC in relation to the registration of up to an aggregate offering price of $250.0 million of common stock, preferred stock, debt securities, warrants and units or any combination thereof. The Company also simultaneously entered into the Open Market Sale Agreement</w:t>
      </w:r>
      <w:r>
        <w:rPr>
          <w:rFonts w:ascii="Arial" w:cs="Arial" w:eastAsia="Arial" w:hAnsi="Arial"/>
          <w:sz w:val="24"/>
          <w:szCs w:val="24"/>
          <w:color w:val="auto"/>
          <w:vertAlign w:val="superscript"/>
        </w:rPr>
        <w:t>SM</w:t>
      </w:r>
      <w:r>
        <w:rPr>
          <w:rFonts w:ascii="Arial" w:cs="Arial" w:eastAsia="Arial" w:hAnsi="Arial"/>
          <w:sz w:val="18"/>
          <w:szCs w:val="18"/>
          <w:color w:val="auto"/>
        </w:rPr>
        <w:t>, or Sales Agreement, with Jefferies LLC, or the Sales Agent, to provide for the offering, issuance and sale by the Company of up to an aggregate of $75.0 million of common stock from time to time in the ATM under the 2022 Shelf and subject to the limitations thereof. In connection with the 2023 Follow-On Offering, on November 6, 2023, the Company delivered written notice to Jefferies that the Company was suspending and terminating the prospectus related to the shares issuable in the ATM pursuant to the terms of the Sales Agreement. On March 27, 2024, the Company filed a new shelf registration statement on Form S-3, or the 2024 Shelf, with the SEC in relation to the registration of up to an aggregate offering price of $350.0 million of common stock, preferred stock, debt securities, warrants and units or any combination thereof, which superseded the 2022 Shelf. The 2024 Shelf included a prospectus supplement to provide for offerings in the ATM under the Sales Agreement. The Company issued no shares of common stock during the three and six months ended June 30, 2024 under the ATM.</w:t>
      </w:r>
    </w:p>
    <w:p>
      <w:pPr>
        <w:spacing w:after="0" w:line="187"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As of the issuance date of these unaudited condensed consolidated financial statements for the three and six months ended June 30, 2024, the Company expects that its cash and cash equivalents and marketable securities will be sufficient to fund its operating expenses and capital expenditure requirements through at least 12 months from the issuance of these consolidated financial statements. The future viability of the Company beyond that point is dependent on its ability to raise additional capital to finance its operations.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9" w:name="page10"/>
    <w:bookmarkEnd w:id="9"/>
    <w:p>
      <w:pPr>
        <w:ind w:left="520" w:right="7260" w:hanging="512"/>
        <w:spacing w:after="0" w:line="320" w:lineRule="auto"/>
        <w:tabs>
          <w:tab w:leader="none" w:pos="211"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b w:val="1"/>
          <w:bCs w:val="1"/>
          <w:i w:val="1"/>
          <w:iCs w:val="1"/>
          <w:color w:val="auto"/>
        </w:rPr>
        <w:t>Basis of Presentation</w:t>
      </w:r>
    </w:p>
    <w:p>
      <w:pPr>
        <w:spacing w:after="0" w:line="2"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The accompanying unaudited condensed consolidated financial statements have been prepared in accordance with accounting principles generally accepted in the United States of America, or U.S. GAAP. In management’s opinion, the accompanying unaudited condensed consolidated financial statements include all adjustments, consisting of normal recurring adjustments, which are necessary to present fairly the Company’s financial position, results of operations, and cash flows. The financial data and other information disclosed in these notes related to the three and six months ended June 30, 2024 and 2023 are also unaudited. The unaudited condensed results of operations are not necessarily indicative of the operating results that may occur for the full fiscal year ending December 31, 2024. Certain information and footnote disclosures normally included in annual consolidated financial statements prepared in accordance with U.S. GAAP have been omitted pursuant to instructions, rules, and regulations prescribed by the United States Securities and Exchange Commission, or the SEC. Management believes that the disclosures provided here are adequate to make the information presented not misleading when these unaudited condensed consolidated financial statements are read in conjunction with the audited consolidated financial statements and notes thereto included in the Company’s Annual Report on Form 10-K.</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Significant Accounting Policies</w:t>
      </w:r>
    </w:p>
    <w:p>
      <w:pPr>
        <w:spacing w:after="0" w:line="61"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The Company’s significant accounting policies are disclosed in the audited consolidated financial statements for the year ended December 31, 2023, in the Company’s Annual Report on Form 10-K filed with the SEC on March 27, 2024. There have been no changes to the Company’s significant accounting policies except as noted below.</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61"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In June 2016, the FASB issued ASU No. 2016-13, “Financial Instruments—Credit Losses (Topic 326): Measurement of Credit Losses on Financial Instruments,” which was subsequently amended in November 2018 through ASU No. 2018-19, “Codification Improvements to Topic 326, Financial Instruments—Credit Losses.” ASU No. 2016-13 will require entities to estimate lifetime expected credit losses for trade and other receivables, net investments in leases, financing receivables, debt securities and other instruments, which will result in earlier recognition of credit losses. Further, the new credit loss model will affect how entities in all industries estimate their allowance for losses for receivables that are current with respect to their payment terms. ASU No. 2018-19 further clarifies that receivables arising from operating leases are not within the scope of Topic 326. Instead, impairment from receivables of operating leases should be accounted for in accordance with Topic 842, Leases. As per the latest ASU 2020-02, FASB deferred the timelines for certain small public and private entities, thus the new guidance was adopted by the Company for the annual reporting period beginning January 1, 2023, including interim periods within that annual reporting period. The standard will apply as a cumulative-effect adjustment to retained earnings as of the beginning of the first reporting period in which the guidance is adopted. The Company adopted this standard on January 1, 2023 and the standard did not have a material impact on its results of operations, financial condition, and financial statement disclosures.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of Assets and Liabilities</w:t>
      </w:r>
    </w:p>
    <w:p>
      <w:pPr>
        <w:spacing w:after="0" w:line="77" w:lineRule="exact"/>
        <w:rPr>
          <w:sz w:val="20"/>
          <w:szCs w:val="20"/>
          <w:color w:val="auto"/>
        </w:rPr>
      </w:pPr>
    </w:p>
    <w:p>
      <w:pPr>
        <w:jc w:val="both"/>
        <w:ind w:firstLine="509"/>
        <w:spacing w:after="0" w:line="246" w:lineRule="auto"/>
        <w:rPr>
          <w:sz w:val="20"/>
          <w:szCs w:val="20"/>
          <w:color w:val="auto"/>
        </w:rPr>
      </w:pPr>
      <w:r>
        <w:rPr>
          <w:rFonts w:ascii="Arial" w:cs="Arial" w:eastAsia="Arial" w:hAnsi="Arial"/>
          <w:sz w:val="18"/>
          <w:szCs w:val="18"/>
          <w:color w:val="auto"/>
        </w:rPr>
        <w:t>The following table presents information about the Company’s financial assets and liabilities measured at fair value on a recurring basis and indicates the level of the fair value hierarchy utilized to determine such fair values as of June 30, 2024 and December 31, 2023 (in thousands):</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center"/>
              <w:ind w:right="110"/>
              <w:spacing w:after="0"/>
              <w:rPr>
                <w:sz w:val="20"/>
                <w:szCs w:val="20"/>
                <w:color w:val="auto"/>
              </w:rPr>
            </w:pPr>
            <w:r>
              <w:rPr>
                <w:rFonts w:ascii="Arial" w:cs="Arial" w:eastAsia="Arial" w:hAnsi="Arial"/>
                <w:sz w:val="18"/>
                <w:szCs w:val="18"/>
                <w:b w:val="1"/>
                <w:bCs w:val="1"/>
                <w:color w:val="auto"/>
                <w:w w:val="98"/>
              </w:rPr>
              <w:t>Quoted</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3"/>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center"/>
              <w:ind w:right="70"/>
              <w:spacing w:after="0" w:line="202" w:lineRule="exact"/>
              <w:rPr>
                <w:sz w:val="20"/>
                <w:szCs w:val="20"/>
                <w:color w:val="auto"/>
              </w:rPr>
            </w:pPr>
            <w:r>
              <w:rPr>
                <w:rFonts w:ascii="Arial" w:cs="Arial" w:eastAsia="Arial" w:hAnsi="Arial"/>
                <w:sz w:val="18"/>
                <w:szCs w:val="18"/>
                <w:b w:val="1"/>
                <w:bCs w:val="1"/>
                <w:color w:val="auto"/>
              </w:rPr>
              <w:t>prices</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center"/>
              <w:ind w:right="110"/>
              <w:spacing w:after="0"/>
              <w:rPr>
                <w:sz w:val="20"/>
                <w:szCs w:val="20"/>
                <w:color w:val="auto"/>
              </w:rPr>
            </w:pPr>
            <w:r>
              <w:rPr>
                <w:rFonts w:ascii="Arial" w:cs="Arial" w:eastAsia="Arial" w:hAnsi="Arial"/>
                <w:sz w:val="18"/>
                <w:szCs w:val="18"/>
                <w:b w:val="1"/>
                <w:bCs w:val="1"/>
                <w:color w:val="auto"/>
                <w:w w:val="97"/>
              </w:rPr>
              <w:t>active</w:t>
            </w:r>
          </w:p>
        </w:tc>
        <w:tc>
          <w:tcPr>
            <w:tcW w:w="220" w:type="dxa"/>
            <w:vAlign w:val="bottom"/>
          </w:tcPr>
          <w:p>
            <w:pPr>
              <w:spacing w:after="0"/>
              <w:rPr>
                <w:sz w:val="19"/>
                <w:szCs w:val="19"/>
                <w:color w:val="auto"/>
              </w:rPr>
            </w:pPr>
          </w:p>
        </w:tc>
        <w:tc>
          <w:tcPr>
            <w:tcW w:w="11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9"/>
              </w:rPr>
              <w:t>Significant</w:t>
            </w:r>
          </w:p>
        </w:tc>
        <w:tc>
          <w:tcPr>
            <w:tcW w:w="240" w:type="dxa"/>
            <w:vAlign w:val="bottom"/>
          </w:tcPr>
          <w:p>
            <w:pPr>
              <w:spacing w:after="0"/>
              <w:rPr>
                <w:sz w:val="19"/>
                <w:szCs w:val="19"/>
                <w:color w:val="auto"/>
              </w:rPr>
            </w:pP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9"/>
              </w:rPr>
              <w:t>Significant</w:t>
            </w:r>
          </w:p>
        </w:tc>
      </w:tr>
      <w:tr>
        <w:trPr>
          <w:trHeight w:val="203"/>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center"/>
              <w:ind w:right="70"/>
              <w:spacing w:after="0" w:line="202" w:lineRule="exact"/>
              <w:rPr>
                <w:sz w:val="20"/>
                <w:szCs w:val="20"/>
                <w:color w:val="auto"/>
              </w:rPr>
            </w:pPr>
            <w:r>
              <w:rPr>
                <w:rFonts w:ascii="Arial" w:cs="Arial" w:eastAsia="Arial" w:hAnsi="Arial"/>
                <w:sz w:val="18"/>
                <w:szCs w:val="18"/>
                <w:b w:val="1"/>
                <w:bCs w:val="1"/>
                <w:color w:val="auto"/>
              </w:rPr>
              <w:t>markets</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center"/>
              <w:ind w:right="70"/>
              <w:spacing w:after="0" w:line="202" w:lineRule="exact"/>
              <w:rPr>
                <w:sz w:val="20"/>
                <w:szCs w:val="20"/>
                <w:color w:val="auto"/>
              </w:rPr>
            </w:pPr>
            <w:r>
              <w:rPr>
                <w:rFonts w:ascii="Arial" w:cs="Arial" w:eastAsia="Arial" w:hAnsi="Arial"/>
                <w:sz w:val="18"/>
                <w:szCs w:val="18"/>
                <w:b w:val="1"/>
                <w:bCs w:val="1"/>
                <w:color w:val="auto"/>
                <w:w w:val="97"/>
              </w:rPr>
              <w:t>other</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center"/>
              <w:ind w:right="260"/>
              <w:spacing w:after="0" w:line="202" w:lineRule="exact"/>
              <w:rPr>
                <w:sz w:val="20"/>
                <w:szCs w:val="20"/>
                <w:color w:val="auto"/>
              </w:rPr>
            </w:pPr>
            <w:r>
              <w:rPr>
                <w:rFonts w:ascii="Arial" w:cs="Arial" w:eastAsia="Arial" w:hAnsi="Arial"/>
                <w:sz w:val="18"/>
                <w:szCs w:val="18"/>
                <w:b w:val="1"/>
                <w:bCs w:val="1"/>
                <w:color w:val="auto"/>
              </w:rPr>
              <w:t>other</w:t>
            </w:r>
          </w:p>
        </w:tc>
      </w:tr>
      <w:tr>
        <w:trPr>
          <w:trHeight w:val="202"/>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w w:val="99"/>
              </w:rPr>
              <w:t>for identical</w:t>
            </w:r>
          </w:p>
        </w:tc>
        <w:tc>
          <w:tcPr>
            <w:tcW w:w="220" w:type="dxa"/>
            <w:vAlign w:val="bottom"/>
          </w:tcPr>
          <w:p>
            <w:pPr>
              <w:spacing w:after="0"/>
              <w:rPr>
                <w:sz w:val="17"/>
                <w:szCs w:val="17"/>
                <w:color w:val="auto"/>
              </w:rPr>
            </w:pPr>
          </w:p>
        </w:tc>
        <w:tc>
          <w:tcPr>
            <w:tcW w:w="112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rPr>
              <w:t>observable</w:t>
            </w:r>
          </w:p>
        </w:tc>
        <w:tc>
          <w:tcPr>
            <w:tcW w:w="240" w:type="dxa"/>
            <w:vAlign w:val="bottom"/>
          </w:tcPr>
          <w:p>
            <w:pPr>
              <w:spacing w:after="0"/>
              <w:rPr>
                <w:sz w:val="17"/>
                <w:szCs w:val="17"/>
                <w:color w:val="auto"/>
              </w:rPr>
            </w:pPr>
          </w:p>
        </w:tc>
        <w:tc>
          <w:tcPr>
            <w:tcW w:w="1220" w:type="dxa"/>
            <w:vAlign w:val="bottom"/>
            <w:gridSpan w:val="3"/>
          </w:tcPr>
          <w:p>
            <w:pPr>
              <w:jc w:val="center"/>
              <w:ind w:right="120"/>
              <w:spacing w:after="0" w:line="202" w:lineRule="exact"/>
              <w:rPr>
                <w:sz w:val="20"/>
                <w:szCs w:val="20"/>
                <w:color w:val="auto"/>
              </w:rPr>
            </w:pPr>
            <w:r>
              <w:rPr>
                <w:rFonts w:ascii="Arial" w:cs="Arial" w:eastAsia="Arial" w:hAnsi="Arial"/>
                <w:sz w:val="18"/>
                <w:szCs w:val="18"/>
                <w:b w:val="1"/>
                <w:bCs w:val="1"/>
                <w:color w:val="auto"/>
                <w:w w:val="98"/>
              </w:rPr>
              <w:t>observable</w:t>
            </w:r>
          </w:p>
        </w:tc>
      </w:tr>
      <w:tr>
        <w:trPr>
          <w:trHeight w:val="203"/>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jc w:val="right"/>
              <w:ind w:right="170"/>
              <w:spacing w:after="0" w:line="202" w:lineRule="exact"/>
              <w:rPr>
                <w:sz w:val="20"/>
                <w:szCs w:val="20"/>
                <w:color w:val="auto"/>
              </w:rPr>
            </w:pPr>
            <w:r>
              <w:rPr>
                <w:rFonts w:ascii="Arial" w:cs="Arial" w:eastAsia="Arial" w:hAnsi="Arial"/>
                <w:sz w:val="18"/>
                <w:szCs w:val="18"/>
                <w:b w:val="1"/>
                <w:bCs w:val="1"/>
                <w:color w:val="auto"/>
              </w:rPr>
              <w:t>June 30,</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center"/>
              <w:ind w:right="90"/>
              <w:spacing w:after="0" w:line="202" w:lineRule="exact"/>
              <w:rPr>
                <w:sz w:val="20"/>
                <w:szCs w:val="20"/>
                <w:color w:val="auto"/>
              </w:rPr>
            </w:pPr>
            <w:r>
              <w:rPr>
                <w:rFonts w:ascii="Arial" w:cs="Arial" w:eastAsia="Arial" w:hAnsi="Arial"/>
                <w:sz w:val="18"/>
                <w:szCs w:val="18"/>
                <w:b w:val="1"/>
                <w:bCs w:val="1"/>
                <w:color w:val="auto"/>
                <w:w w:val="99"/>
              </w:rPr>
              <w:t>assets</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center"/>
              <w:ind w:right="50"/>
              <w:spacing w:after="0" w:line="202" w:lineRule="exact"/>
              <w:rPr>
                <w:sz w:val="20"/>
                <w:szCs w:val="20"/>
                <w:color w:val="auto"/>
              </w:rPr>
            </w:pPr>
            <w:r>
              <w:rPr>
                <w:rFonts w:ascii="Arial" w:cs="Arial" w:eastAsia="Arial" w:hAnsi="Arial"/>
                <w:sz w:val="18"/>
                <w:szCs w:val="18"/>
                <w:b w:val="1"/>
                <w:bCs w:val="1"/>
                <w:color w:val="auto"/>
                <w:w w:val="99"/>
              </w:rPr>
              <w:t>inputs</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center"/>
              <w:ind w:right="260"/>
              <w:spacing w:after="0" w:line="202" w:lineRule="exact"/>
              <w:rPr>
                <w:sz w:val="20"/>
                <w:szCs w:val="20"/>
                <w:color w:val="auto"/>
              </w:rPr>
            </w:pPr>
            <w:r>
              <w:rPr>
                <w:rFonts w:ascii="Arial" w:cs="Arial" w:eastAsia="Arial" w:hAnsi="Arial"/>
                <w:sz w:val="18"/>
                <w:szCs w:val="18"/>
                <w:b w:val="1"/>
                <w:bCs w:val="1"/>
                <w:color w:val="auto"/>
                <w:w w:val="99"/>
              </w:rPr>
              <w:t>inputs</w:t>
            </w:r>
          </w:p>
        </w:tc>
      </w:tr>
      <w:tr>
        <w:trPr>
          <w:trHeight w:val="208"/>
        </w:trPr>
        <w:tc>
          <w:tcPr>
            <w:tcW w:w="4060" w:type="dxa"/>
            <w:vAlign w:val="bottom"/>
            <w:gridSpan w:val="3"/>
          </w:tcPr>
          <w:p>
            <w:pPr>
              <w:ind w:left="20"/>
              <w:spacing w:after="0"/>
              <w:rPr>
                <w:sz w:val="20"/>
                <w:szCs w:val="20"/>
                <w:color w:val="auto"/>
              </w:rPr>
            </w:pPr>
            <w:r>
              <w:rPr>
                <w:rFonts w:ascii="Arial" w:cs="Arial" w:eastAsia="Arial" w:hAnsi="Arial"/>
                <w:sz w:val="18"/>
                <w:szCs w:val="18"/>
                <w:b w:val="1"/>
                <w:bCs w:val="1"/>
                <w:color w:val="auto"/>
              </w:rPr>
              <w:t>Description</w:t>
            </w:r>
          </w:p>
        </w:tc>
        <w:tc>
          <w:tcPr>
            <w:tcW w:w="1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ind w:right="330"/>
              <w:spacing w:after="0"/>
              <w:rPr>
                <w:sz w:val="20"/>
                <w:szCs w:val="20"/>
                <w:color w:val="auto"/>
              </w:rPr>
            </w:pPr>
            <w:r>
              <w:rPr>
                <w:rFonts w:ascii="Arial" w:cs="Arial" w:eastAsia="Arial" w:hAnsi="Arial"/>
                <w:sz w:val="18"/>
                <w:szCs w:val="18"/>
                <w:b w:val="1"/>
                <w:bCs w:val="1"/>
                <w:color w:val="auto"/>
              </w:rPr>
              <w:t>2024</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center"/>
              <w:ind w:right="70"/>
              <w:spacing w:after="0"/>
              <w:rPr>
                <w:sz w:val="20"/>
                <w:szCs w:val="20"/>
                <w:color w:val="auto"/>
              </w:rPr>
            </w:pPr>
            <w:r>
              <w:rPr>
                <w:rFonts w:ascii="Arial" w:cs="Arial" w:eastAsia="Arial" w:hAnsi="Arial"/>
                <w:sz w:val="18"/>
                <w:szCs w:val="18"/>
                <w:b w:val="1"/>
                <w:bCs w:val="1"/>
                <w:color w:val="auto"/>
              </w:rPr>
              <w:t>(Level 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center"/>
              <w:ind w:right="70"/>
              <w:spacing w:after="0"/>
              <w:rPr>
                <w:sz w:val="20"/>
                <w:szCs w:val="20"/>
                <w:color w:val="auto"/>
              </w:rPr>
            </w:pPr>
            <w:r>
              <w:rPr>
                <w:rFonts w:ascii="Arial" w:cs="Arial" w:eastAsia="Arial" w:hAnsi="Arial"/>
                <w:sz w:val="18"/>
                <w:szCs w:val="18"/>
                <w:b w:val="1"/>
                <w:bCs w:val="1"/>
                <w:color w:val="auto"/>
                <w:w w:val="98"/>
              </w:rPr>
              <w:t>(Level 2)</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rPr>
              <w:t>(Level 3)</w:t>
            </w:r>
          </w:p>
        </w:tc>
      </w:tr>
      <w:tr>
        <w:trPr>
          <w:trHeight w:val="20"/>
        </w:trPr>
        <w:tc>
          <w:tcPr>
            <w:tcW w:w="20" w:type="dxa"/>
            <w:vAlign w:val="bottom"/>
          </w:tcPr>
          <w:p>
            <w:pPr>
              <w:spacing w:after="0" w:line="20" w:lineRule="exact"/>
              <w:rPr>
                <w:sz w:val="1"/>
                <w:szCs w:val="1"/>
                <w:color w:val="auto"/>
              </w:rPr>
            </w:pPr>
          </w:p>
        </w:tc>
        <w:tc>
          <w:tcPr>
            <w:tcW w:w="1000" w:type="dxa"/>
            <w:vAlign w:val="bottom"/>
            <w:tcBorders>
              <w:top w:val="single" w:sz="8" w:color="auto"/>
            </w:tcBorders>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060" w:type="dxa"/>
            <w:vAlign w:val="bottom"/>
            <w:gridSpan w:val="3"/>
            <w:shd w:val="clear" w:color="auto" w:fill="CFF0FC"/>
          </w:tcPr>
          <w:p>
            <w:pPr>
              <w:ind w:left="20"/>
              <w:spacing w:after="0"/>
              <w:rPr>
                <w:sz w:val="20"/>
                <w:szCs w:val="20"/>
                <w:color w:val="auto"/>
              </w:rPr>
            </w:pPr>
            <w:r>
              <w:rPr>
                <w:rFonts w:ascii="Arial" w:cs="Arial" w:eastAsia="Arial" w:hAnsi="Arial"/>
                <w:sz w:val="18"/>
                <w:szCs w:val="18"/>
                <w:i w:val="1"/>
                <w:iCs w:val="1"/>
                <w:color w:val="auto"/>
              </w:rPr>
              <w:t>Financial assets</w:t>
            </w:r>
          </w:p>
        </w:tc>
        <w:tc>
          <w:tcPr>
            <w:tcW w:w="17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4060" w:type="dxa"/>
            <w:vAlign w:val="bottom"/>
            <w:gridSpan w:val="3"/>
          </w:tcPr>
          <w:p>
            <w:pPr>
              <w:ind w:left="20"/>
              <w:spacing w:after="0"/>
              <w:rPr>
                <w:sz w:val="20"/>
                <w:szCs w:val="20"/>
                <w:color w:val="auto"/>
              </w:rPr>
            </w:pPr>
            <w:r>
              <w:rPr>
                <w:rFonts w:ascii="Arial" w:cs="Arial" w:eastAsia="Arial" w:hAnsi="Arial"/>
                <w:sz w:val="18"/>
                <w:szCs w:val="18"/>
                <w:color w:val="auto"/>
              </w:rPr>
              <w:t>Cash equivalents:</w:t>
            </w:r>
          </w:p>
        </w:tc>
        <w:tc>
          <w:tcPr>
            <w:tcW w:w="1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20" w:type="dxa"/>
            <w:vAlign w:val="bottom"/>
            <w:shd w:val="clear" w:color="auto" w:fill="CFF0FC"/>
          </w:tcPr>
          <w:p>
            <w:pPr>
              <w:spacing w:after="0"/>
              <w:rPr>
                <w:sz w:val="19"/>
                <w:szCs w:val="19"/>
                <w:color w:val="auto"/>
              </w:rPr>
            </w:pPr>
          </w:p>
        </w:tc>
        <w:tc>
          <w:tcPr>
            <w:tcW w:w="40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Money market funds</w:t>
            </w:r>
          </w:p>
        </w:tc>
        <w:tc>
          <w:tcPr>
            <w:tcW w:w="19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29,565</w:t>
            </w: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29,565</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FF0FC"/>
          </w:tcPr>
          <w:p>
            <w:pPr>
              <w:ind w:left="780"/>
              <w:spacing w:after="0"/>
              <w:rPr>
                <w:sz w:val="20"/>
                <w:szCs w:val="20"/>
                <w:color w:val="auto"/>
              </w:rPr>
            </w:pPr>
            <w:r>
              <w:rPr>
                <w:rFonts w:ascii="Arial" w:cs="Arial" w:eastAsia="Arial" w:hAnsi="Arial"/>
                <w:sz w:val="18"/>
                <w:szCs w:val="18"/>
                <w:color w:val="auto"/>
              </w:rPr>
              <w:t>—</w:t>
            </w:r>
          </w:p>
        </w:tc>
      </w:tr>
      <w:tr>
        <w:trPr>
          <w:trHeight w:val="230"/>
        </w:trPr>
        <w:tc>
          <w:tcPr>
            <w:tcW w:w="4060" w:type="dxa"/>
            <w:vAlign w:val="bottom"/>
            <w:gridSpan w:val="3"/>
          </w:tcPr>
          <w:p>
            <w:pPr>
              <w:ind w:left="20"/>
              <w:spacing w:after="0"/>
              <w:rPr>
                <w:sz w:val="20"/>
                <w:szCs w:val="20"/>
                <w:color w:val="auto"/>
              </w:rPr>
            </w:pPr>
            <w:r>
              <w:rPr>
                <w:rFonts w:ascii="Arial" w:cs="Arial" w:eastAsia="Arial" w:hAnsi="Arial"/>
                <w:sz w:val="18"/>
                <w:szCs w:val="18"/>
                <w:color w:val="auto"/>
              </w:rPr>
              <w:t>Marketable securities:</w:t>
            </w:r>
          </w:p>
        </w:tc>
        <w:tc>
          <w:tcPr>
            <w:tcW w:w="17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20" w:type="dxa"/>
            <w:vAlign w:val="bottom"/>
            <w:shd w:val="clear" w:color="auto" w:fill="CFF0FC"/>
          </w:tcPr>
          <w:p>
            <w:pPr>
              <w:spacing w:after="0"/>
              <w:rPr>
                <w:sz w:val="19"/>
                <w:szCs w:val="19"/>
                <w:color w:val="auto"/>
              </w:rPr>
            </w:pPr>
          </w:p>
        </w:tc>
        <w:tc>
          <w:tcPr>
            <w:tcW w:w="4040" w:type="dxa"/>
            <w:vAlign w:val="bottom"/>
            <w:gridSpan w:val="2"/>
            <w:shd w:val="clear" w:color="auto" w:fill="CFF0FC"/>
          </w:tcPr>
          <w:p>
            <w:pPr>
              <w:ind w:left="360"/>
              <w:spacing w:after="0"/>
              <w:rPr>
                <w:sz w:val="20"/>
                <w:szCs w:val="20"/>
                <w:color w:val="auto"/>
              </w:rPr>
            </w:pPr>
            <w:r>
              <w:rPr>
                <w:rFonts w:ascii="Arial" w:cs="Arial" w:eastAsia="Arial" w:hAnsi="Arial"/>
                <w:sz w:val="18"/>
                <w:szCs w:val="18"/>
                <w:color w:val="auto"/>
              </w:rPr>
              <w:t>U.S. Government agencies</w:t>
            </w:r>
          </w:p>
        </w:tc>
        <w:tc>
          <w:tcPr>
            <w:tcW w:w="17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157,140</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157,140</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ind w:left="780"/>
              <w:spacing w:after="0"/>
              <w:rPr>
                <w:sz w:val="20"/>
                <w:szCs w:val="20"/>
                <w:color w:val="auto"/>
              </w:rPr>
            </w:pPr>
            <w:r>
              <w:rPr>
                <w:rFonts w:ascii="Arial" w:cs="Arial" w:eastAsia="Arial" w:hAnsi="Arial"/>
                <w:sz w:val="18"/>
                <w:szCs w:val="18"/>
                <w:color w:val="auto"/>
              </w:rPr>
              <w:t>—</w:t>
            </w:r>
          </w:p>
        </w:tc>
      </w:tr>
      <w:tr>
        <w:trPr>
          <w:trHeight w:val="229"/>
        </w:trPr>
        <w:tc>
          <w:tcPr>
            <w:tcW w:w="20" w:type="dxa"/>
            <w:vAlign w:val="bottom"/>
          </w:tcPr>
          <w:p>
            <w:pPr>
              <w:spacing w:after="0"/>
              <w:rPr>
                <w:sz w:val="19"/>
                <w:szCs w:val="19"/>
                <w:color w:val="auto"/>
              </w:rPr>
            </w:pPr>
          </w:p>
        </w:tc>
        <w:tc>
          <w:tcPr>
            <w:tcW w:w="4040" w:type="dxa"/>
            <w:vAlign w:val="bottom"/>
            <w:gridSpan w:val="2"/>
          </w:tcPr>
          <w:p>
            <w:pPr>
              <w:ind w:left="340"/>
              <w:spacing w:after="0"/>
              <w:rPr>
                <w:sz w:val="20"/>
                <w:szCs w:val="20"/>
                <w:color w:val="auto"/>
              </w:rPr>
            </w:pPr>
            <w:r>
              <w:rPr>
                <w:rFonts w:ascii="Arial" w:cs="Arial" w:eastAsia="Arial" w:hAnsi="Arial"/>
                <w:sz w:val="18"/>
                <w:szCs w:val="18"/>
                <w:color w:val="auto"/>
              </w:rPr>
              <w:t>Asset-backed securities</w:t>
            </w:r>
          </w:p>
        </w:tc>
        <w:tc>
          <w:tcPr>
            <w:tcW w:w="17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w:t>
            </w:r>
          </w:p>
        </w:tc>
        <w:tc>
          <w:tcPr>
            <w:tcW w:w="2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w:t>
            </w:r>
          </w:p>
        </w:tc>
        <w:tc>
          <w:tcPr>
            <w:tcW w:w="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ind w:left="78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r>
      <w:tr>
        <w:trPr>
          <w:trHeight w:val="263"/>
        </w:trPr>
        <w:tc>
          <w:tcPr>
            <w:tcW w:w="4060" w:type="dxa"/>
            <w:vAlign w:val="bottom"/>
            <w:gridSpan w:val="3"/>
            <w:shd w:val="clear" w:color="auto" w:fill="CFF0FC"/>
          </w:tcPr>
          <w:p>
            <w:pPr>
              <w:ind w:left="20"/>
              <w:spacing w:after="0"/>
              <w:rPr>
                <w:sz w:val="20"/>
                <w:szCs w:val="20"/>
                <w:color w:val="auto"/>
              </w:rPr>
            </w:pPr>
            <w:r>
              <w:rPr>
                <w:rFonts w:ascii="Arial" w:cs="Arial" w:eastAsia="Arial" w:hAnsi="Arial"/>
                <w:sz w:val="18"/>
                <w:szCs w:val="18"/>
                <w:color w:val="auto"/>
              </w:rPr>
              <w:t>Total financial assets</w:t>
            </w:r>
          </w:p>
        </w:tc>
        <w:tc>
          <w:tcPr>
            <w:tcW w:w="19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186,906</w:t>
            </w: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29,565</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157,341</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FF0FC"/>
          </w:tcPr>
          <w:p>
            <w:pPr>
              <w:ind w:left="780"/>
              <w:spacing w:after="0"/>
              <w:rPr>
                <w:sz w:val="20"/>
                <w:szCs w:val="20"/>
                <w:color w:val="auto"/>
              </w:rPr>
            </w:pPr>
            <w:r>
              <w:rPr>
                <w:rFonts w:ascii="Arial" w:cs="Arial" w:eastAsia="Arial" w:hAnsi="Arial"/>
                <w:sz w:val="18"/>
                <w:szCs w:val="18"/>
                <w:color w:val="auto"/>
              </w:rPr>
              <w:t>—</w:t>
            </w:r>
          </w:p>
        </w:tc>
      </w:tr>
      <w:tr>
        <w:trPr>
          <w:trHeight w:val="632"/>
        </w:trPr>
        <w:tc>
          <w:tcPr>
            <w:tcW w:w="20" w:type="dxa"/>
            <w:vAlign w:val="bottom"/>
            <w:tcBorders>
              <w:top w:val="single" w:sz="8" w:color="CFF0FC"/>
            </w:tcBorders>
          </w:tcPr>
          <w:p>
            <w:pPr>
              <w:spacing w:after="0"/>
              <w:rPr>
                <w:sz w:val="24"/>
                <w:szCs w:val="24"/>
                <w:color w:val="auto"/>
              </w:rPr>
            </w:pPr>
          </w:p>
        </w:tc>
        <w:tc>
          <w:tcPr>
            <w:tcW w:w="1000" w:type="dxa"/>
            <w:vAlign w:val="bottom"/>
            <w:tcBorders>
              <w:top w:val="single" w:sz="8" w:color="CFF0FC"/>
            </w:tcBorders>
          </w:tcPr>
          <w:p>
            <w:pPr>
              <w:spacing w:after="0"/>
              <w:rPr>
                <w:sz w:val="24"/>
                <w:szCs w:val="24"/>
                <w:color w:val="auto"/>
              </w:rPr>
            </w:pPr>
          </w:p>
        </w:tc>
        <w:tc>
          <w:tcPr>
            <w:tcW w:w="3040" w:type="dxa"/>
            <w:vAlign w:val="bottom"/>
            <w:tcBorders>
              <w:top w:val="single" w:sz="8" w:color="CFF0FC"/>
            </w:tcBorders>
          </w:tcPr>
          <w:p>
            <w:pPr>
              <w:spacing w:after="0"/>
              <w:rPr>
                <w:sz w:val="24"/>
                <w:szCs w:val="24"/>
                <w:color w:val="auto"/>
              </w:rPr>
            </w:pPr>
          </w:p>
        </w:tc>
        <w:tc>
          <w:tcPr>
            <w:tcW w:w="1760" w:type="dxa"/>
            <w:vAlign w:val="bottom"/>
            <w:tcBorders>
              <w:top w:val="single" w:sz="8" w:color="CFF0FC"/>
            </w:tcBorders>
          </w:tcPr>
          <w:p>
            <w:pPr>
              <w:jc w:val="right"/>
              <w:ind w:right="50"/>
              <w:spacing w:after="0"/>
              <w:rPr>
                <w:sz w:val="20"/>
                <w:szCs w:val="20"/>
                <w:color w:val="auto"/>
              </w:rPr>
            </w:pPr>
            <w:r>
              <w:rPr>
                <w:rFonts w:ascii="Arial" w:cs="Arial" w:eastAsia="Arial" w:hAnsi="Arial"/>
                <w:sz w:val="18"/>
                <w:szCs w:val="18"/>
                <w:color w:val="auto"/>
              </w:rPr>
              <w:t>6</w:t>
            </w:r>
          </w:p>
        </w:tc>
        <w:tc>
          <w:tcPr>
            <w:tcW w:w="18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745"/>
        </w:trPr>
        <w:tc>
          <w:tcPr>
            <w:tcW w:w="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304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-925195</wp:posOffset>
            </wp:positionV>
            <wp:extent cx="7747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-908050</wp:posOffset>
            </wp:positionV>
            <wp:extent cx="7747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-925195</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-908050</wp:posOffset>
            </wp:positionV>
            <wp:extent cx="6858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-925195</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-908050</wp:posOffset>
            </wp:positionV>
            <wp:extent cx="6858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-925195</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-908050</wp:posOffset>
            </wp:positionV>
            <wp:extent cx="6858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center"/>
              <w:ind w:right="110"/>
              <w:spacing w:after="0"/>
              <w:rPr>
                <w:sz w:val="20"/>
                <w:szCs w:val="20"/>
                <w:color w:val="auto"/>
              </w:rPr>
            </w:pPr>
            <w:r>
              <w:rPr>
                <w:rFonts w:ascii="Arial" w:cs="Arial" w:eastAsia="Arial" w:hAnsi="Arial"/>
                <w:sz w:val="18"/>
                <w:szCs w:val="18"/>
                <w:b w:val="1"/>
                <w:bCs w:val="1"/>
                <w:color w:val="auto"/>
                <w:w w:val="98"/>
              </w:rPr>
              <w:t>Quoted</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jc w:val="center"/>
              <w:ind w:right="70"/>
              <w:spacing w:after="0" w:line="202" w:lineRule="exact"/>
              <w:rPr>
                <w:sz w:val="20"/>
                <w:szCs w:val="20"/>
                <w:color w:val="auto"/>
              </w:rPr>
            </w:pPr>
            <w:r>
              <w:rPr>
                <w:rFonts w:ascii="Arial" w:cs="Arial" w:eastAsia="Arial" w:hAnsi="Arial"/>
                <w:sz w:val="18"/>
                <w:szCs w:val="18"/>
                <w:b w:val="1"/>
                <w:bCs w:val="1"/>
                <w:color w:val="auto"/>
              </w:rPr>
              <w:t>prices</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center"/>
              <w:ind w:right="110"/>
              <w:spacing w:after="0"/>
              <w:rPr>
                <w:sz w:val="20"/>
                <w:szCs w:val="20"/>
                <w:color w:val="auto"/>
              </w:rPr>
            </w:pPr>
            <w:r>
              <w:rPr>
                <w:rFonts w:ascii="Arial" w:cs="Arial" w:eastAsia="Arial" w:hAnsi="Arial"/>
                <w:sz w:val="18"/>
                <w:szCs w:val="18"/>
                <w:b w:val="1"/>
                <w:bCs w:val="1"/>
                <w:color w:val="auto"/>
                <w:w w:val="97"/>
              </w:rPr>
              <w:t>active</w:t>
            </w:r>
          </w:p>
        </w:tc>
        <w:tc>
          <w:tcPr>
            <w:tcW w:w="220" w:type="dxa"/>
            <w:vAlign w:val="bottom"/>
          </w:tcPr>
          <w:p>
            <w:pPr>
              <w:spacing w:after="0"/>
              <w:rPr>
                <w:sz w:val="19"/>
                <w:szCs w:val="19"/>
                <w:color w:val="auto"/>
              </w:rPr>
            </w:pPr>
          </w:p>
        </w:tc>
        <w:tc>
          <w:tcPr>
            <w:tcW w:w="1120" w:type="dxa"/>
            <w:vAlign w:val="bottom"/>
            <w:gridSpan w:val="4"/>
          </w:tcPr>
          <w:p>
            <w:pPr>
              <w:jc w:val="center"/>
              <w:spacing w:after="0"/>
              <w:rPr>
                <w:sz w:val="20"/>
                <w:szCs w:val="20"/>
                <w:color w:val="auto"/>
              </w:rPr>
            </w:pPr>
            <w:r>
              <w:rPr>
                <w:rFonts w:ascii="Arial" w:cs="Arial" w:eastAsia="Arial" w:hAnsi="Arial"/>
                <w:sz w:val="18"/>
                <w:szCs w:val="18"/>
                <w:b w:val="1"/>
                <w:bCs w:val="1"/>
                <w:color w:val="auto"/>
                <w:w w:val="99"/>
              </w:rPr>
              <w:t>Significant</w:t>
            </w:r>
          </w:p>
        </w:tc>
        <w:tc>
          <w:tcPr>
            <w:tcW w:w="240" w:type="dxa"/>
            <w:vAlign w:val="bottom"/>
          </w:tcPr>
          <w:p>
            <w:pPr>
              <w:spacing w:after="0"/>
              <w:rPr>
                <w:sz w:val="19"/>
                <w:szCs w:val="19"/>
                <w:color w:val="auto"/>
              </w:rPr>
            </w:pP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9"/>
              </w:rPr>
              <w:t>Significant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jc w:val="center"/>
              <w:ind w:right="70"/>
              <w:spacing w:after="0" w:line="202" w:lineRule="exact"/>
              <w:rPr>
                <w:sz w:val="20"/>
                <w:szCs w:val="20"/>
                <w:color w:val="auto"/>
              </w:rPr>
            </w:pPr>
            <w:r>
              <w:rPr>
                <w:rFonts w:ascii="Arial" w:cs="Arial" w:eastAsia="Arial" w:hAnsi="Arial"/>
                <w:sz w:val="18"/>
                <w:szCs w:val="18"/>
                <w:b w:val="1"/>
                <w:bCs w:val="1"/>
                <w:color w:val="auto"/>
              </w:rPr>
              <w:t>markets</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3"/>
          </w:tcPr>
          <w:p>
            <w:pPr>
              <w:jc w:val="center"/>
              <w:ind w:right="30"/>
              <w:spacing w:after="0" w:line="202" w:lineRule="exact"/>
              <w:rPr>
                <w:sz w:val="20"/>
                <w:szCs w:val="20"/>
                <w:color w:val="auto"/>
              </w:rPr>
            </w:pPr>
            <w:r>
              <w:rPr>
                <w:rFonts w:ascii="Arial" w:cs="Arial" w:eastAsia="Arial" w:hAnsi="Arial"/>
                <w:sz w:val="18"/>
                <w:szCs w:val="18"/>
                <w:b w:val="1"/>
                <w:bCs w:val="1"/>
                <w:color w:val="auto"/>
                <w:w w:val="97"/>
              </w:rPr>
              <w:t>other</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center"/>
              <w:ind w:right="240"/>
              <w:spacing w:after="0" w:line="202" w:lineRule="exact"/>
              <w:rPr>
                <w:sz w:val="20"/>
                <w:szCs w:val="20"/>
                <w:color w:val="auto"/>
              </w:rPr>
            </w:pPr>
            <w:r>
              <w:rPr>
                <w:rFonts w:ascii="Arial" w:cs="Arial" w:eastAsia="Arial" w:hAnsi="Arial"/>
                <w:sz w:val="18"/>
                <w:szCs w:val="18"/>
                <w:b w:val="1"/>
                <w:bCs w:val="1"/>
                <w:color w:val="auto"/>
              </w:rPr>
              <w:t>other</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8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gridSpan w:val="3"/>
          </w:tcPr>
          <w:p>
            <w:pPr>
              <w:jc w:val="right"/>
              <w:spacing w:after="0" w:line="202" w:lineRule="exact"/>
              <w:rPr>
                <w:sz w:val="20"/>
                <w:szCs w:val="20"/>
                <w:color w:val="auto"/>
              </w:rPr>
            </w:pPr>
            <w:r>
              <w:rPr>
                <w:rFonts w:ascii="Arial" w:cs="Arial" w:eastAsia="Arial" w:hAnsi="Arial"/>
                <w:sz w:val="18"/>
                <w:szCs w:val="18"/>
                <w:b w:val="1"/>
                <w:bCs w:val="1"/>
                <w:color w:val="auto"/>
              </w:rPr>
              <w:t>for identical</w:t>
            </w:r>
          </w:p>
        </w:tc>
        <w:tc>
          <w:tcPr>
            <w:tcW w:w="220" w:type="dxa"/>
            <w:vAlign w:val="bottom"/>
          </w:tcPr>
          <w:p>
            <w:pPr>
              <w:spacing w:after="0"/>
              <w:rPr>
                <w:sz w:val="17"/>
                <w:szCs w:val="17"/>
                <w:color w:val="auto"/>
              </w:rPr>
            </w:pPr>
          </w:p>
        </w:tc>
        <w:tc>
          <w:tcPr>
            <w:tcW w:w="1120" w:type="dxa"/>
            <w:vAlign w:val="bottom"/>
            <w:gridSpan w:val="4"/>
          </w:tcPr>
          <w:p>
            <w:pPr>
              <w:jc w:val="center"/>
              <w:spacing w:after="0" w:line="202" w:lineRule="exact"/>
              <w:rPr>
                <w:sz w:val="20"/>
                <w:szCs w:val="20"/>
                <w:color w:val="auto"/>
              </w:rPr>
            </w:pPr>
            <w:r>
              <w:rPr>
                <w:rFonts w:ascii="Arial" w:cs="Arial" w:eastAsia="Arial" w:hAnsi="Arial"/>
                <w:sz w:val="18"/>
                <w:szCs w:val="18"/>
                <w:b w:val="1"/>
                <w:bCs w:val="1"/>
                <w:color w:val="auto"/>
              </w:rPr>
              <w:t>observable</w:t>
            </w:r>
          </w:p>
        </w:tc>
        <w:tc>
          <w:tcPr>
            <w:tcW w:w="240" w:type="dxa"/>
            <w:vAlign w:val="bottom"/>
          </w:tcPr>
          <w:p>
            <w:pPr>
              <w:spacing w:after="0"/>
              <w:rPr>
                <w:sz w:val="17"/>
                <w:szCs w:val="17"/>
                <w:color w:val="auto"/>
              </w:rPr>
            </w:pPr>
          </w:p>
        </w:tc>
        <w:tc>
          <w:tcPr>
            <w:tcW w:w="1220" w:type="dxa"/>
            <w:vAlign w:val="bottom"/>
            <w:gridSpan w:val="3"/>
          </w:tcPr>
          <w:p>
            <w:pPr>
              <w:jc w:val="center"/>
              <w:ind w:right="120"/>
              <w:spacing w:after="0" w:line="202" w:lineRule="exact"/>
              <w:rPr>
                <w:sz w:val="20"/>
                <w:szCs w:val="20"/>
                <w:color w:val="auto"/>
              </w:rPr>
            </w:pPr>
            <w:r>
              <w:rPr>
                <w:rFonts w:ascii="Arial" w:cs="Arial" w:eastAsia="Arial" w:hAnsi="Arial"/>
                <w:sz w:val="18"/>
                <w:szCs w:val="18"/>
                <w:b w:val="1"/>
                <w:bCs w:val="1"/>
                <w:color w:val="auto"/>
                <w:w w:val="98"/>
              </w:rPr>
              <w:t>observable</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800" w:type="dxa"/>
            <w:vAlign w:val="bottom"/>
          </w:tcPr>
          <w:p>
            <w:pPr>
              <w:spacing w:after="0"/>
              <w:rPr>
                <w:sz w:val="17"/>
                <w:szCs w:val="17"/>
                <w:color w:val="auto"/>
              </w:rPr>
            </w:pPr>
          </w:p>
        </w:tc>
        <w:tc>
          <w:tcPr>
            <w:tcW w:w="1220" w:type="dxa"/>
            <w:vAlign w:val="bottom"/>
            <w:gridSpan w:val="2"/>
          </w:tcPr>
          <w:p>
            <w:pPr>
              <w:ind w:left="20"/>
              <w:spacing w:after="0" w:line="202" w:lineRule="exact"/>
              <w:rPr>
                <w:sz w:val="20"/>
                <w:szCs w:val="20"/>
                <w:color w:val="auto"/>
              </w:rPr>
            </w:pPr>
            <w:r>
              <w:rPr>
                <w:rFonts w:ascii="Arial" w:cs="Arial" w:eastAsia="Arial" w:hAnsi="Arial"/>
                <w:sz w:val="18"/>
                <w:szCs w:val="18"/>
                <w:b w:val="1"/>
                <w:bCs w:val="1"/>
                <w:color w:val="auto"/>
              </w:rPr>
              <w:t>December 31,</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jc w:val="center"/>
              <w:ind w:right="90"/>
              <w:spacing w:after="0" w:line="202" w:lineRule="exact"/>
              <w:rPr>
                <w:sz w:val="20"/>
                <w:szCs w:val="20"/>
                <w:color w:val="auto"/>
              </w:rPr>
            </w:pPr>
            <w:r>
              <w:rPr>
                <w:rFonts w:ascii="Arial" w:cs="Arial" w:eastAsia="Arial" w:hAnsi="Arial"/>
                <w:sz w:val="18"/>
                <w:szCs w:val="18"/>
                <w:b w:val="1"/>
                <w:bCs w:val="1"/>
                <w:color w:val="auto"/>
                <w:w w:val="99"/>
              </w:rPr>
              <w:t>assets</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3"/>
          </w:tcPr>
          <w:p>
            <w:pPr>
              <w:jc w:val="center"/>
              <w:ind w:right="10"/>
              <w:spacing w:after="0" w:line="202" w:lineRule="exact"/>
              <w:rPr>
                <w:sz w:val="20"/>
                <w:szCs w:val="20"/>
                <w:color w:val="auto"/>
              </w:rPr>
            </w:pPr>
            <w:r>
              <w:rPr>
                <w:rFonts w:ascii="Arial" w:cs="Arial" w:eastAsia="Arial" w:hAnsi="Arial"/>
                <w:sz w:val="18"/>
                <w:szCs w:val="18"/>
                <w:b w:val="1"/>
                <w:bCs w:val="1"/>
                <w:color w:val="auto"/>
                <w:w w:val="99"/>
              </w:rPr>
              <w:t>inputs</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center"/>
              <w:ind w:right="240"/>
              <w:spacing w:after="0" w:line="202" w:lineRule="exact"/>
              <w:rPr>
                <w:sz w:val="20"/>
                <w:szCs w:val="20"/>
                <w:color w:val="auto"/>
              </w:rPr>
            </w:pPr>
            <w:r>
              <w:rPr>
                <w:rFonts w:ascii="Arial" w:cs="Arial" w:eastAsia="Arial" w:hAnsi="Arial"/>
                <w:sz w:val="18"/>
                <w:szCs w:val="18"/>
                <w:b w:val="1"/>
                <w:bCs w:val="1"/>
                <w:color w:val="auto"/>
                <w:w w:val="99"/>
              </w:rPr>
              <w:t>inputs</w:t>
            </w:r>
          </w:p>
        </w:tc>
        <w:tc>
          <w:tcPr>
            <w:tcW w:w="0" w:type="dxa"/>
            <w:vAlign w:val="bottom"/>
          </w:tcPr>
          <w:p>
            <w:pPr>
              <w:spacing w:after="0"/>
              <w:rPr>
                <w:sz w:val="1"/>
                <w:szCs w:val="1"/>
                <w:color w:val="auto"/>
              </w:rPr>
            </w:pPr>
          </w:p>
        </w:tc>
      </w:tr>
      <w:tr>
        <w:trPr>
          <w:trHeight w:val="208"/>
        </w:trPr>
        <w:tc>
          <w:tcPr>
            <w:tcW w:w="5820" w:type="dxa"/>
            <w:vAlign w:val="bottom"/>
            <w:gridSpan w:val="3"/>
          </w:tcPr>
          <w:p>
            <w:pPr>
              <w:ind w:left="20"/>
              <w:spacing w:after="0"/>
              <w:rPr>
                <w:sz w:val="20"/>
                <w:szCs w:val="20"/>
                <w:color w:val="auto"/>
              </w:rPr>
            </w:pPr>
            <w:r>
              <w:rPr>
                <w:rFonts w:ascii="Arial" w:cs="Arial" w:eastAsia="Arial" w:hAnsi="Arial"/>
                <w:sz w:val="18"/>
                <w:szCs w:val="18"/>
                <w:b w:val="1"/>
                <w:bCs w:val="1"/>
                <w:color w:val="auto"/>
              </w:rPr>
              <w:t>Description</w:t>
            </w:r>
          </w:p>
        </w:tc>
        <w:tc>
          <w:tcPr>
            <w:tcW w:w="360" w:type="dxa"/>
            <w:vAlign w:val="bottom"/>
          </w:tcPr>
          <w:p>
            <w:pPr>
              <w:spacing w:after="0"/>
              <w:rPr>
                <w:sz w:val="18"/>
                <w:szCs w:val="18"/>
                <w:color w:val="auto"/>
              </w:rPr>
            </w:pPr>
          </w:p>
        </w:tc>
        <w:tc>
          <w:tcPr>
            <w:tcW w:w="860" w:type="dxa"/>
            <w:vAlign w:val="bottom"/>
          </w:tcPr>
          <w:p>
            <w:pPr>
              <w:jc w:val="right"/>
              <w:ind w:right="330"/>
              <w:spacing w:after="0"/>
              <w:rPr>
                <w:sz w:val="20"/>
                <w:szCs w:val="20"/>
                <w:color w:val="auto"/>
              </w:rPr>
            </w:pPr>
            <w:r>
              <w:rPr>
                <w:rFonts w:ascii="Arial" w:cs="Arial" w:eastAsia="Arial" w:hAnsi="Arial"/>
                <w:sz w:val="18"/>
                <w:szCs w:val="18"/>
                <w:b w:val="1"/>
                <w:bCs w:val="1"/>
                <w:color w:val="auto"/>
              </w:rPr>
              <w:t>2023</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center"/>
              <w:ind w:right="70"/>
              <w:spacing w:after="0"/>
              <w:rPr>
                <w:sz w:val="20"/>
                <w:szCs w:val="20"/>
                <w:color w:val="auto"/>
              </w:rPr>
            </w:pPr>
            <w:r>
              <w:rPr>
                <w:rFonts w:ascii="Arial" w:cs="Arial" w:eastAsia="Arial" w:hAnsi="Arial"/>
                <w:sz w:val="18"/>
                <w:szCs w:val="18"/>
                <w:b w:val="1"/>
                <w:bCs w:val="1"/>
                <w:color w:val="auto"/>
              </w:rPr>
              <w:t>(Level 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3"/>
          </w:tcPr>
          <w:p>
            <w:pPr>
              <w:jc w:val="center"/>
              <w:ind w:right="30"/>
              <w:spacing w:after="0"/>
              <w:rPr>
                <w:sz w:val="20"/>
                <w:szCs w:val="20"/>
                <w:color w:val="auto"/>
              </w:rPr>
            </w:pPr>
            <w:r>
              <w:rPr>
                <w:rFonts w:ascii="Arial" w:cs="Arial" w:eastAsia="Arial" w:hAnsi="Arial"/>
                <w:sz w:val="18"/>
                <w:szCs w:val="18"/>
                <w:b w:val="1"/>
                <w:bCs w:val="1"/>
                <w:color w:val="auto"/>
                <w:w w:val="98"/>
              </w:rPr>
              <w:t>(Level 2)</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rPr>
              <w:t>(Level 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Borders>
              <w:top w:val="single" w:sz="8" w:color="auto"/>
            </w:tcBorders>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20" w:type="dxa"/>
            <w:vAlign w:val="bottom"/>
            <w:gridSpan w:val="3"/>
            <w:shd w:val="clear" w:color="auto" w:fill="CFF0FC"/>
          </w:tcPr>
          <w:p>
            <w:pPr>
              <w:ind w:left="20"/>
              <w:spacing w:after="0"/>
              <w:rPr>
                <w:sz w:val="20"/>
                <w:szCs w:val="20"/>
                <w:color w:val="auto"/>
              </w:rPr>
            </w:pPr>
            <w:r>
              <w:rPr>
                <w:rFonts w:ascii="Arial" w:cs="Arial" w:eastAsia="Arial" w:hAnsi="Arial"/>
                <w:sz w:val="18"/>
                <w:szCs w:val="18"/>
                <w:i w:val="1"/>
                <w:iCs w:val="1"/>
                <w:color w:val="auto"/>
              </w:rPr>
              <w:t>Financial assets</w:t>
            </w:r>
          </w:p>
        </w:tc>
        <w:tc>
          <w:tcPr>
            <w:tcW w:w="3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820" w:type="dxa"/>
            <w:vAlign w:val="bottom"/>
            <w:gridSpan w:val="3"/>
          </w:tcPr>
          <w:p>
            <w:pPr>
              <w:ind w:left="20"/>
              <w:spacing w:after="0"/>
              <w:rPr>
                <w:sz w:val="20"/>
                <w:szCs w:val="20"/>
                <w:color w:val="auto"/>
              </w:rPr>
            </w:pPr>
            <w:r>
              <w:rPr>
                <w:rFonts w:ascii="Arial" w:cs="Arial" w:eastAsia="Arial" w:hAnsi="Arial"/>
                <w:sz w:val="18"/>
                <w:szCs w:val="18"/>
                <w:color w:val="auto"/>
              </w:rPr>
              <w:t>Cash equivalents:</w:t>
            </w:r>
          </w:p>
        </w:tc>
        <w:tc>
          <w:tcPr>
            <w:tcW w:w="3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FF0FC"/>
          </w:tcPr>
          <w:p>
            <w:pPr>
              <w:spacing w:after="0"/>
              <w:rPr>
                <w:sz w:val="19"/>
                <w:szCs w:val="19"/>
                <w:color w:val="auto"/>
              </w:rPr>
            </w:pPr>
          </w:p>
        </w:tc>
        <w:tc>
          <w:tcPr>
            <w:tcW w:w="580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Money market funds</w:t>
            </w:r>
          </w:p>
        </w:tc>
        <w:tc>
          <w:tcPr>
            <w:tcW w:w="3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40,551</w:t>
            </w: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40,551</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820" w:type="dxa"/>
            <w:vAlign w:val="bottom"/>
            <w:gridSpan w:val="3"/>
          </w:tcPr>
          <w:p>
            <w:pPr>
              <w:ind w:left="20"/>
              <w:spacing w:after="0"/>
              <w:rPr>
                <w:sz w:val="20"/>
                <w:szCs w:val="20"/>
                <w:color w:val="auto"/>
              </w:rPr>
            </w:pPr>
            <w:r>
              <w:rPr>
                <w:rFonts w:ascii="Arial" w:cs="Arial" w:eastAsia="Arial" w:hAnsi="Arial"/>
                <w:sz w:val="18"/>
                <w:szCs w:val="18"/>
                <w:color w:val="auto"/>
              </w:rPr>
              <w:t>Marketable securities:</w:t>
            </w:r>
          </w:p>
        </w:tc>
        <w:tc>
          <w:tcPr>
            <w:tcW w:w="3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FF0FC"/>
          </w:tcPr>
          <w:p>
            <w:pPr>
              <w:spacing w:after="0"/>
              <w:rPr>
                <w:sz w:val="19"/>
                <w:szCs w:val="19"/>
                <w:color w:val="auto"/>
              </w:rPr>
            </w:pPr>
          </w:p>
        </w:tc>
        <w:tc>
          <w:tcPr>
            <w:tcW w:w="5800" w:type="dxa"/>
            <w:vAlign w:val="bottom"/>
            <w:gridSpan w:val="2"/>
            <w:shd w:val="clear" w:color="auto" w:fill="CFF0FC"/>
          </w:tcPr>
          <w:p>
            <w:pPr>
              <w:ind w:left="360"/>
              <w:spacing w:after="0"/>
              <w:rPr>
                <w:sz w:val="20"/>
                <w:szCs w:val="20"/>
                <w:color w:val="auto"/>
              </w:rPr>
            </w:pPr>
            <w:r>
              <w:rPr>
                <w:rFonts w:ascii="Arial" w:cs="Arial" w:eastAsia="Arial" w:hAnsi="Arial"/>
                <w:sz w:val="18"/>
                <w:szCs w:val="18"/>
                <w:color w:val="auto"/>
              </w:rPr>
              <w:t>Commercial paper</w:t>
            </w:r>
          </w:p>
        </w:tc>
        <w:tc>
          <w:tcPr>
            <w:tcW w:w="3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9,137</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3"/>
              </w:rPr>
              <w:t>9,137</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00" w:type="dxa"/>
            <w:vAlign w:val="bottom"/>
            <w:gridSpan w:val="2"/>
          </w:tcPr>
          <w:p>
            <w:pPr>
              <w:ind w:left="360"/>
              <w:spacing w:after="0"/>
              <w:rPr>
                <w:sz w:val="20"/>
                <w:szCs w:val="20"/>
                <w:color w:val="auto"/>
              </w:rPr>
            </w:pPr>
            <w:r>
              <w:rPr>
                <w:rFonts w:ascii="Arial" w:cs="Arial" w:eastAsia="Arial" w:hAnsi="Arial"/>
                <w:sz w:val="18"/>
                <w:szCs w:val="18"/>
                <w:color w:val="auto"/>
              </w:rPr>
              <w:t>Corporate bonds</w:t>
            </w: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6,187</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w w:val="93"/>
              </w:rPr>
              <w:t>6,187</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shd w:val="clear" w:color="auto" w:fill="CFF0FC"/>
          </w:tcPr>
          <w:p>
            <w:pPr>
              <w:spacing w:after="0"/>
              <w:rPr>
                <w:sz w:val="19"/>
                <w:szCs w:val="19"/>
                <w:color w:val="auto"/>
              </w:rPr>
            </w:pPr>
          </w:p>
        </w:tc>
        <w:tc>
          <w:tcPr>
            <w:tcW w:w="5800" w:type="dxa"/>
            <w:vAlign w:val="bottom"/>
            <w:gridSpan w:val="2"/>
            <w:shd w:val="clear" w:color="auto" w:fill="CFF0FC"/>
          </w:tcPr>
          <w:p>
            <w:pPr>
              <w:ind w:left="360"/>
              <w:spacing w:after="0"/>
              <w:rPr>
                <w:sz w:val="20"/>
                <w:szCs w:val="20"/>
                <w:color w:val="auto"/>
              </w:rPr>
            </w:pPr>
            <w:r>
              <w:rPr>
                <w:rFonts w:ascii="Arial" w:cs="Arial" w:eastAsia="Arial" w:hAnsi="Arial"/>
                <w:sz w:val="18"/>
                <w:szCs w:val="18"/>
                <w:color w:val="auto"/>
              </w:rPr>
              <w:t>U.S. Government agencies</w:t>
            </w:r>
          </w:p>
        </w:tc>
        <w:tc>
          <w:tcPr>
            <w:tcW w:w="3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166,002</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166,002</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800" w:type="dxa"/>
            <w:vAlign w:val="bottom"/>
            <w:gridSpan w:val="2"/>
          </w:tcPr>
          <w:p>
            <w:pPr>
              <w:ind w:left="120"/>
              <w:spacing w:after="0"/>
              <w:rPr>
                <w:sz w:val="20"/>
                <w:szCs w:val="20"/>
                <w:color w:val="auto"/>
              </w:rPr>
            </w:pPr>
            <w:r>
              <w:rPr>
                <w:rFonts w:ascii="Arial" w:cs="Arial" w:eastAsia="Arial" w:hAnsi="Arial"/>
                <w:sz w:val="18"/>
                <w:szCs w:val="18"/>
                <w:color w:val="auto"/>
              </w:rPr>
              <w:t>Yankee bonds</w:t>
            </w: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2,982</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w w:val="93"/>
              </w:rPr>
              <w:t>2,982</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Borders>
              <w:bottom w:val="single" w:sz="8" w:color="CFF0FC"/>
            </w:tcBorders>
            <w:shd w:val="clear" w:color="auto" w:fill="CFF0FC"/>
          </w:tcPr>
          <w:p>
            <w:pPr>
              <w:spacing w:after="0"/>
              <w:rPr>
                <w:sz w:val="19"/>
                <w:szCs w:val="19"/>
                <w:color w:val="auto"/>
              </w:rPr>
            </w:pPr>
          </w:p>
        </w:tc>
        <w:tc>
          <w:tcPr>
            <w:tcW w:w="5800" w:type="dxa"/>
            <w:vAlign w:val="bottom"/>
            <w:tcBorders>
              <w:bottom w:val="single" w:sz="8" w:color="CFF0FC"/>
            </w:tcBorders>
            <w:gridSpan w:val="2"/>
            <w:shd w:val="clear" w:color="auto" w:fill="CFF0FC"/>
          </w:tcPr>
          <w:p>
            <w:pPr>
              <w:ind w:left="120"/>
              <w:spacing w:after="0"/>
              <w:rPr>
                <w:sz w:val="20"/>
                <w:szCs w:val="20"/>
                <w:color w:val="auto"/>
              </w:rPr>
            </w:pPr>
            <w:r>
              <w:rPr>
                <w:rFonts w:ascii="Arial" w:cs="Arial" w:eastAsia="Arial" w:hAnsi="Arial"/>
                <w:sz w:val="18"/>
                <w:szCs w:val="18"/>
                <w:color w:val="auto"/>
              </w:rPr>
              <w:t>Asset-backed securities</w:t>
            </w:r>
          </w:p>
        </w:tc>
        <w:tc>
          <w:tcPr>
            <w:tcW w:w="36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779</w:t>
            </w:r>
          </w:p>
        </w:tc>
        <w:tc>
          <w:tcPr>
            <w:tcW w:w="2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spacing w:after="0"/>
              <w:rPr>
                <w:sz w:val="19"/>
                <w:szCs w:val="19"/>
                <w:color w:val="auto"/>
              </w:rPr>
            </w:pPr>
          </w:p>
        </w:tc>
        <w:tc>
          <w:tcPr>
            <w:tcW w:w="46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779</w:t>
            </w:r>
          </w:p>
        </w:tc>
        <w:tc>
          <w:tcPr>
            <w:tcW w:w="2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20" w:type="dxa"/>
            <w:vAlign w:val="bottom"/>
            <w:gridSpan w:val="3"/>
          </w:tcPr>
          <w:p>
            <w:pPr>
              <w:ind w:left="20"/>
              <w:spacing w:after="0"/>
              <w:rPr>
                <w:sz w:val="20"/>
                <w:szCs w:val="20"/>
                <w:color w:val="auto"/>
              </w:rPr>
            </w:pPr>
            <w:r>
              <w:rPr>
                <w:rFonts w:ascii="Arial" w:cs="Arial" w:eastAsia="Arial" w:hAnsi="Arial"/>
                <w:sz w:val="18"/>
                <w:szCs w:val="18"/>
                <w:color w:val="auto"/>
              </w:rPr>
              <w:t>Total financial assets</w:t>
            </w:r>
          </w:p>
        </w:tc>
        <w:tc>
          <w:tcPr>
            <w:tcW w:w="36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225,638</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40,551</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185,087</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8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4. Property and Equipment, Net</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4"/>
        </w:trPr>
        <w:tc>
          <w:tcPr>
            <w:tcW w:w="5820" w:type="dxa"/>
            <w:vAlign w:val="bottom"/>
            <w:gridSpan w:val="3"/>
            <w:vMerge w:val="continue"/>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6160" w:type="dxa"/>
            <w:vAlign w:val="bottom"/>
            <w:gridSpan w:val="3"/>
          </w:tcPr>
          <w:p>
            <w:pPr>
              <w:ind w:left="500"/>
              <w:spacing w:after="0"/>
              <w:rPr>
                <w:sz w:val="20"/>
                <w:szCs w:val="20"/>
                <w:color w:val="auto"/>
              </w:rPr>
            </w:pPr>
            <w:r>
              <w:rPr>
                <w:rFonts w:ascii="Arial" w:cs="Arial" w:eastAsia="Arial" w:hAnsi="Arial"/>
                <w:sz w:val="18"/>
                <w:szCs w:val="18"/>
                <w:color w:val="auto"/>
              </w:rPr>
              <w:t>Property and equipment, net, consisted of the following (in thousands):</w:t>
            </w:r>
          </w:p>
        </w:tc>
        <w:tc>
          <w:tcPr>
            <w:tcW w:w="8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560" w:type="dxa"/>
            <w:vAlign w:val="bottom"/>
            <w:gridSpan w:val="4"/>
            <w:vMerge w:val="restart"/>
          </w:tcPr>
          <w:p>
            <w:pPr>
              <w:jc w:val="right"/>
              <w:ind w:right="330"/>
              <w:spacing w:after="0"/>
              <w:rPr>
                <w:sz w:val="20"/>
                <w:szCs w:val="20"/>
                <w:color w:val="auto"/>
              </w:rPr>
            </w:pPr>
            <w:r>
              <w:rPr>
                <w:rFonts w:ascii="Arial" w:cs="Arial" w:eastAsia="Arial" w:hAnsi="Arial"/>
                <w:sz w:val="18"/>
                <w:szCs w:val="18"/>
                <w:b w:val="1"/>
                <w:bCs w:val="1"/>
                <w:color w:val="auto"/>
              </w:rPr>
              <w:t>June 30,</w:t>
            </w:r>
          </w:p>
        </w:tc>
        <w:tc>
          <w:tcPr>
            <w:tcW w:w="2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60" w:type="dxa"/>
            <w:vAlign w:val="bottom"/>
            <w:gridSpan w:val="4"/>
            <w:vMerge w:val="restart"/>
          </w:tcPr>
          <w:p>
            <w:pPr>
              <w:jc w:val="right"/>
              <w:ind w:right="300"/>
              <w:spacing w:after="0"/>
              <w:rPr>
                <w:sz w:val="20"/>
                <w:szCs w:val="20"/>
                <w:color w:val="auto"/>
              </w:rPr>
            </w:pPr>
            <w:r>
              <w:rPr>
                <w:rFonts w:ascii="Arial" w:cs="Arial" w:eastAsia="Arial" w:hAnsi="Arial"/>
                <w:sz w:val="18"/>
                <w:szCs w:val="18"/>
                <w:b w:val="1"/>
                <w:bCs w:val="1"/>
                <w:color w:val="auto"/>
                <w:w w:val="97"/>
              </w:rPr>
              <w:t>December 31,</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8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60" w:type="dxa"/>
            <w:vAlign w:val="bottom"/>
            <w:gridSpan w:val="4"/>
            <w:vMerge w:val="continue"/>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6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2024</w:t>
            </w:r>
          </w:p>
        </w:tc>
        <w:tc>
          <w:tcPr>
            <w:tcW w:w="54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w w:val="99"/>
              </w:rPr>
              <w:t>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820" w:type="dxa"/>
            <w:vAlign w:val="bottom"/>
            <w:gridSpan w:val="3"/>
            <w:shd w:val="clear" w:color="auto" w:fill="CFF0FC"/>
          </w:tcPr>
          <w:p>
            <w:pPr>
              <w:ind w:left="20"/>
              <w:spacing w:after="0"/>
              <w:rPr>
                <w:sz w:val="20"/>
                <w:szCs w:val="20"/>
                <w:color w:val="auto"/>
              </w:rPr>
            </w:pPr>
            <w:r>
              <w:rPr>
                <w:rFonts w:ascii="Arial" w:cs="Arial" w:eastAsia="Arial" w:hAnsi="Arial"/>
                <w:sz w:val="18"/>
                <w:szCs w:val="18"/>
                <w:color w:val="auto"/>
              </w:rPr>
              <w:t>Assets under construction</w:t>
            </w:r>
          </w:p>
        </w:tc>
        <w:tc>
          <w:tcPr>
            <w:tcW w:w="3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center"/>
              <w:ind w:right="150"/>
              <w:spacing w:after="0"/>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954</w:t>
            </w:r>
          </w:p>
        </w:tc>
        <w:tc>
          <w:tcPr>
            <w:tcW w:w="4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20" w:type="dxa"/>
            <w:vAlign w:val="bottom"/>
            <w:gridSpan w:val="3"/>
          </w:tcPr>
          <w:p>
            <w:pPr>
              <w:ind w:left="20"/>
              <w:spacing w:after="0"/>
              <w:rPr>
                <w:sz w:val="20"/>
                <w:szCs w:val="20"/>
                <w:color w:val="auto"/>
              </w:rPr>
            </w:pPr>
            <w:r>
              <w:rPr>
                <w:rFonts w:ascii="Arial" w:cs="Arial" w:eastAsia="Arial" w:hAnsi="Arial"/>
                <w:sz w:val="18"/>
                <w:szCs w:val="18"/>
                <w:color w:val="auto"/>
              </w:rPr>
              <w:t>IT equipment</w:t>
            </w:r>
          </w:p>
        </w:tc>
        <w:tc>
          <w:tcPr>
            <w:tcW w:w="3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289</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20" w:type="dxa"/>
            <w:vAlign w:val="bottom"/>
            <w:tcBorders>
              <w:bottom w:val="single" w:sz="8" w:color="CFF0FC"/>
            </w:tcBorders>
            <w:gridSpan w:val="3"/>
            <w:shd w:val="clear" w:color="auto" w:fill="CFF0FC"/>
          </w:tcPr>
          <w:p>
            <w:pPr>
              <w:ind w:left="20"/>
              <w:spacing w:after="0"/>
              <w:rPr>
                <w:sz w:val="20"/>
                <w:szCs w:val="20"/>
                <w:color w:val="auto"/>
              </w:rPr>
            </w:pPr>
            <w:r>
              <w:rPr>
                <w:rFonts w:ascii="Arial" w:cs="Arial" w:eastAsia="Arial" w:hAnsi="Arial"/>
                <w:sz w:val="18"/>
                <w:szCs w:val="18"/>
                <w:color w:val="auto"/>
              </w:rPr>
              <w:t>Lab equipment</w:t>
            </w:r>
          </w:p>
        </w:tc>
        <w:tc>
          <w:tcPr>
            <w:tcW w:w="360" w:type="dxa"/>
            <w:vAlign w:val="bottom"/>
            <w:tcBorders>
              <w:bottom w:val="single" w:sz="8" w:color="CFF0FC"/>
            </w:tcBorders>
            <w:shd w:val="clear" w:color="auto" w:fill="CFF0FC"/>
          </w:tcPr>
          <w:p>
            <w:pPr>
              <w:spacing w:after="0"/>
              <w:rPr>
                <w:sz w:val="19"/>
                <w:szCs w:val="19"/>
                <w:color w:val="auto"/>
              </w:rPr>
            </w:pPr>
          </w:p>
        </w:tc>
        <w:tc>
          <w:tcPr>
            <w:tcW w:w="86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CFF0FC"/>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7,745</w:t>
            </w:r>
          </w:p>
        </w:tc>
        <w:tc>
          <w:tcPr>
            <w:tcW w:w="2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7,506</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Borders>
              <w:bottom w:val="single" w:sz="8" w:color="auto"/>
            </w:tcBorders>
          </w:tcPr>
          <w:p>
            <w:pPr>
              <w:jc w:val="center"/>
              <w:ind w:right="450"/>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8,988</w:t>
            </w:r>
          </w:p>
        </w:tc>
        <w:tc>
          <w:tcPr>
            <w:tcW w:w="2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20" w:type="dxa"/>
            <w:vAlign w:val="bottom"/>
            <w:gridSpan w:val="3"/>
            <w:shd w:val="clear" w:color="auto" w:fill="CFF0FC"/>
          </w:tcPr>
          <w:p>
            <w:pPr>
              <w:ind w:left="20"/>
              <w:spacing w:after="0"/>
              <w:rPr>
                <w:sz w:val="20"/>
                <w:szCs w:val="20"/>
                <w:color w:val="auto"/>
              </w:rPr>
            </w:pPr>
            <w:r>
              <w:rPr>
                <w:rFonts w:ascii="Arial" w:cs="Arial" w:eastAsia="Arial" w:hAnsi="Arial"/>
                <w:sz w:val="18"/>
                <w:szCs w:val="18"/>
                <w:color w:val="auto"/>
              </w:rPr>
              <w:t>Less—accumulated depreciation</w:t>
            </w:r>
          </w:p>
        </w:tc>
        <w:tc>
          <w:tcPr>
            <w:tcW w:w="3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w w:val="96"/>
              </w:rPr>
              <w:t>(5,654 )</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(5,036 )</w:t>
            </w:r>
          </w:p>
        </w:tc>
        <w:tc>
          <w:tcPr>
            <w:tcW w:w="0" w:type="dxa"/>
            <w:vAlign w:val="bottom"/>
          </w:tcPr>
          <w:p>
            <w:pPr>
              <w:spacing w:after="0"/>
              <w:rPr>
                <w:sz w:val="1"/>
                <w:szCs w:val="1"/>
                <w:color w:val="auto"/>
              </w:rPr>
            </w:pPr>
          </w:p>
        </w:tc>
      </w:tr>
      <w:tr>
        <w:trPr>
          <w:trHeight w:val="223"/>
        </w:trPr>
        <w:tc>
          <w:tcPr>
            <w:tcW w:w="5820" w:type="dxa"/>
            <w:vAlign w:val="bottom"/>
            <w:tcBorders>
              <w:top w:val="single" w:sz="8" w:color="CFF0FC"/>
            </w:tcBorders>
            <w:gridSpan w:val="3"/>
          </w:tcPr>
          <w:p>
            <w:pPr>
              <w:ind w:left="20"/>
              <w:spacing w:after="0"/>
              <w:rPr>
                <w:sz w:val="20"/>
                <w:szCs w:val="20"/>
                <w:color w:val="auto"/>
              </w:rPr>
            </w:pPr>
            <w:r>
              <w:rPr>
                <w:rFonts w:ascii="Arial" w:cs="Arial" w:eastAsia="Arial" w:hAnsi="Arial"/>
                <w:sz w:val="18"/>
                <w:szCs w:val="18"/>
                <w:color w:val="auto"/>
              </w:rPr>
              <w:t>Property and equipment, net</w:t>
            </w:r>
          </w:p>
        </w:tc>
        <w:tc>
          <w:tcPr>
            <w:tcW w:w="360" w:type="dxa"/>
            <w:vAlign w:val="bottom"/>
            <w:tcBorders>
              <w:top w:val="single" w:sz="8" w:color="CFF0FC"/>
            </w:tcBorders>
          </w:tcPr>
          <w:p>
            <w:pPr>
              <w:spacing w:after="0"/>
              <w:rPr>
                <w:sz w:val="19"/>
                <w:szCs w:val="19"/>
                <w:color w:val="auto"/>
              </w:rPr>
            </w:pPr>
          </w:p>
        </w:tc>
        <w:tc>
          <w:tcPr>
            <w:tcW w:w="860" w:type="dxa"/>
            <w:vAlign w:val="bottom"/>
            <w:tcBorders>
              <w:top w:val="single" w:sz="8" w:color="CFF0FC"/>
            </w:tcBorders>
          </w:tcPr>
          <w:p>
            <w:pPr>
              <w:spacing w:after="0"/>
              <w:rPr>
                <w:sz w:val="19"/>
                <w:szCs w:val="19"/>
                <w:color w:val="auto"/>
              </w:rPr>
            </w:pPr>
          </w:p>
        </w:tc>
        <w:tc>
          <w:tcPr>
            <w:tcW w:w="260" w:type="dxa"/>
            <w:vAlign w:val="bottom"/>
            <w:tcBorders>
              <w:top w:val="single" w:sz="8" w:color="CFF0FC"/>
            </w:tcBorders>
          </w:tcPr>
          <w:p>
            <w:pPr>
              <w:spacing w:after="0"/>
              <w:rPr>
                <w:sz w:val="19"/>
                <w:szCs w:val="19"/>
                <w:color w:val="auto"/>
              </w:rPr>
            </w:pPr>
          </w:p>
        </w:tc>
        <w:tc>
          <w:tcPr>
            <w:tcW w:w="160" w:type="dxa"/>
            <w:vAlign w:val="bottom"/>
            <w:tcBorders>
              <w:top w:val="single" w:sz="8" w:color="CFF0FC"/>
            </w:tcBorders>
          </w:tcPr>
          <w:p>
            <w:pPr>
              <w:spacing w:after="0"/>
              <w:rPr>
                <w:sz w:val="19"/>
                <w:szCs w:val="19"/>
                <w:color w:val="auto"/>
              </w:rPr>
            </w:pPr>
          </w:p>
        </w:tc>
        <w:tc>
          <w:tcPr>
            <w:tcW w:w="300" w:type="dxa"/>
            <w:vAlign w:val="bottom"/>
            <w:tcBorders>
              <w:top w:val="single" w:sz="8" w:color="CFF0FC"/>
            </w:tcBorders>
          </w:tcPr>
          <w:p>
            <w:pPr>
              <w:spacing w:after="0"/>
              <w:rPr>
                <w:sz w:val="19"/>
                <w:szCs w:val="19"/>
                <w:color w:val="auto"/>
              </w:rPr>
            </w:pPr>
          </w:p>
        </w:tc>
        <w:tc>
          <w:tcPr>
            <w:tcW w:w="680" w:type="dxa"/>
            <w:vAlign w:val="bottom"/>
            <w:tcBorders>
              <w:top w:val="single" w:sz="8" w:color="auto"/>
              <w:bottom w:val="single" w:sz="8" w:color="auto"/>
            </w:tcBorders>
          </w:tcPr>
          <w:p>
            <w:pPr>
              <w:jc w:val="center"/>
              <w:ind w:right="45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3,334</w:t>
            </w:r>
          </w:p>
        </w:tc>
        <w:tc>
          <w:tcPr>
            <w:tcW w:w="280" w:type="dxa"/>
            <w:vAlign w:val="bottom"/>
            <w:tcBorders>
              <w:top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3,150</w:t>
            </w:r>
          </w:p>
        </w:tc>
        <w:tc>
          <w:tcPr>
            <w:tcW w:w="10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-1996440</wp:posOffset>
            </wp:positionV>
            <wp:extent cx="7747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-1996440</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-1996440</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-1996440</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-488315</wp:posOffset>
            </wp:positionV>
            <wp:extent cx="6858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-488315</wp:posOffset>
            </wp:positionV>
            <wp:extent cx="6858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-179070</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4"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Depreciation expense was $0.3 million and $0.3 million for the three months ended June 30, 2024 and 2023, respectively. In addition, depreciation expense was $0.6 million for each of the six months ended June 30, 2024 and 2023.</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Prepaid Expenses and Other Current Assets</w:t>
      </w:r>
    </w:p>
    <w:p>
      <w:pPr>
        <w:spacing w:after="0" w:line="7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Prepaid expenses and other current assets consisted of the following (in thousands):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0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ind w:right="330"/>
              <w:spacing w:after="0"/>
              <w:rPr>
                <w:sz w:val="20"/>
                <w:szCs w:val="20"/>
                <w:color w:val="auto"/>
              </w:rPr>
            </w:pPr>
            <w:r>
              <w:rPr>
                <w:rFonts w:ascii="Arial" w:cs="Arial" w:eastAsia="Arial" w:hAnsi="Arial"/>
                <w:sz w:val="18"/>
                <w:szCs w:val="18"/>
                <w:b w:val="1"/>
                <w:bCs w:val="1"/>
                <w:color w:val="auto"/>
              </w:rPr>
              <w:t>June 30,</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5"/>
        </w:trPr>
        <w:tc>
          <w:tcPr>
            <w:tcW w:w="460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2024</w:t>
            </w:r>
          </w:p>
        </w:tc>
        <w:tc>
          <w:tcPr>
            <w:tcW w:w="2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Prepaid insurance</w:t>
            </w:r>
          </w:p>
        </w:tc>
        <w:tc>
          <w:tcPr>
            <w:tcW w:w="34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700</w:t>
            </w:r>
          </w:p>
        </w:tc>
        <w:tc>
          <w:tcPr>
            <w:tcW w:w="4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00" w:type="dxa"/>
            <w:vAlign w:val="bottom"/>
          </w:tcPr>
          <w:p>
            <w:pPr>
              <w:ind w:left="20"/>
              <w:spacing w:after="0"/>
              <w:rPr>
                <w:sz w:val="20"/>
                <w:szCs w:val="20"/>
                <w:color w:val="auto"/>
              </w:rPr>
            </w:pPr>
            <w:r>
              <w:rPr>
                <w:rFonts w:ascii="Arial" w:cs="Arial" w:eastAsia="Arial" w:hAnsi="Arial"/>
                <w:sz w:val="18"/>
                <w:szCs w:val="18"/>
                <w:color w:val="auto"/>
              </w:rPr>
              <w:t>Prepaid research and development expenses</w:t>
            </w:r>
          </w:p>
        </w:tc>
        <w:tc>
          <w:tcPr>
            <w:tcW w:w="3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5,009</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1,399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w:t>
            </w:r>
          </w:p>
        </w:tc>
        <w:tc>
          <w:tcPr>
            <w:tcW w:w="316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2,471</w:t>
            </w:r>
          </w:p>
        </w:tc>
        <w:tc>
          <w:tcPr>
            <w:tcW w:w="2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2,409</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00" w:type="dxa"/>
            <w:vAlign w:val="bottom"/>
          </w:tcPr>
          <w:p>
            <w:pPr>
              <w:ind w:left="20"/>
              <w:spacing w:after="0"/>
              <w:rPr>
                <w:sz w:val="20"/>
                <w:szCs w:val="20"/>
                <w:color w:val="auto"/>
              </w:rPr>
            </w:pPr>
            <w:r>
              <w:rPr>
                <w:rFonts w:ascii="Arial" w:cs="Arial" w:eastAsia="Arial" w:hAnsi="Arial"/>
                <w:sz w:val="18"/>
                <w:szCs w:val="18"/>
                <w:color w:val="auto"/>
              </w:rPr>
              <w:t>Prepaid expenses and other current assets</w:t>
            </w:r>
          </w:p>
        </w:tc>
        <w:tc>
          <w:tcPr>
            <w:tcW w:w="3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8,180</w:t>
            </w: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5,625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3160" w:type="dxa"/>
            <w:vAlign w:val="bottom"/>
            <w:vMerge w:val="restart"/>
          </w:tcPr>
          <w:p>
            <w:pPr>
              <w:jc w:val="right"/>
              <w:ind w:right="1990"/>
              <w:spacing w:after="0"/>
              <w:rPr>
                <w:sz w:val="20"/>
                <w:szCs w:val="20"/>
                <w:color w:val="auto"/>
              </w:rPr>
            </w:pPr>
            <w:r>
              <w:rPr>
                <w:rFonts w:ascii="Arial" w:cs="Arial" w:eastAsia="Arial" w:hAnsi="Arial"/>
                <w:sz w:val="18"/>
                <w:szCs w:val="18"/>
                <w:color w:val="auto"/>
              </w:rPr>
              <w:t>7</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5"/>
        </w:trPr>
        <w:tc>
          <w:tcPr>
            <w:tcW w:w="4600" w:type="dxa"/>
            <w:vAlign w:val="bottom"/>
          </w:tcPr>
          <w:p>
            <w:pPr>
              <w:spacing w:after="0"/>
              <w:rPr>
                <w:sz w:val="24"/>
                <w:szCs w:val="24"/>
                <w:color w:val="auto"/>
              </w:rPr>
            </w:pPr>
          </w:p>
        </w:tc>
        <w:tc>
          <w:tcPr>
            <w:tcW w:w="31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5"/>
        </w:trPr>
        <w:tc>
          <w:tcPr>
            <w:tcW w:w="4600" w:type="dxa"/>
            <w:vAlign w:val="bottom"/>
            <w:tcBorders>
              <w:bottom w:val="single" w:sz="8" w:color="9A9A9A"/>
            </w:tcBorders>
          </w:tcPr>
          <w:p>
            <w:pPr>
              <w:spacing w:after="0"/>
              <w:rPr>
                <w:sz w:val="24"/>
                <w:szCs w:val="24"/>
                <w:color w:val="auto"/>
              </w:rPr>
            </w:pPr>
          </w:p>
        </w:tc>
        <w:tc>
          <w:tcPr>
            <w:tcW w:w="31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-1207770</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-1207770</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47"/>
        </w:trPr>
        <w:tc>
          <w:tcPr>
            <w:tcW w:w="5820" w:type="dxa"/>
            <w:vAlign w:val="bottom"/>
          </w:tcPr>
          <w:p>
            <w:pPr>
              <w:spacing w:after="0"/>
              <w:rPr>
                <w:sz w:val="20"/>
                <w:szCs w:val="20"/>
                <w:color w:val="auto"/>
              </w:rPr>
            </w:pPr>
            <w:r>
              <w:rPr>
                <w:rFonts w:ascii="Arial" w:cs="Arial" w:eastAsia="Arial" w:hAnsi="Arial"/>
                <w:sz w:val="18"/>
                <w:szCs w:val="18"/>
                <w:b w:val="1"/>
                <w:bCs w:val="1"/>
                <w:color w:val="auto"/>
              </w:rPr>
              <w:t>6. Marketable Securities</w:t>
            </w: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5820" w:type="dxa"/>
            <w:vAlign w:val="bottom"/>
          </w:tcPr>
          <w:p>
            <w:pPr>
              <w:ind w:left="520"/>
              <w:spacing w:after="0"/>
              <w:rPr>
                <w:sz w:val="20"/>
                <w:szCs w:val="20"/>
                <w:color w:val="auto"/>
              </w:rPr>
            </w:pPr>
            <w:r>
              <w:rPr>
                <w:rFonts w:ascii="Arial" w:cs="Arial" w:eastAsia="Arial" w:hAnsi="Arial"/>
                <w:sz w:val="18"/>
                <w:szCs w:val="18"/>
                <w:color w:val="auto"/>
              </w:rPr>
              <w:t>Marketable securities consist of the following (in thousands):</w:t>
            </w:r>
          </w:p>
        </w:tc>
        <w:tc>
          <w:tcPr>
            <w:tcW w:w="1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500" w:type="dxa"/>
            <w:vAlign w:val="bottom"/>
            <w:gridSpan w:val="7"/>
            <w:vMerge w:val="restart"/>
          </w:tcPr>
          <w:p>
            <w:pPr>
              <w:jc w:val="center"/>
              <w:ind w:right="600"/>
              <w:spacing w:after="0"/>
              <w:rPr>
                <w:sz w:val="20"/>
                <w:szCs w:val="20"/>
                <w:color w:val="auto"/>
              </w:rPr>
            </w:pPr>
            <w:r>
              <w:rPr>
                <w:rFonts w:ascii="Arial" w:cs="Arial" w:eastAsia="Arial" w:hAnsi="Arial"/>
                <w:sz w:val="18"/>
                <w:szCs w:val="18"/>
                <w:b w:val="1"/>
                <w:bCs w:val="1"/>
                <w:color w:val="auto"/>
              </w:rPr>
              <w:t>June 30, 2024</w:t>
            </w: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2"/>
        </w:trPr>
        <w:tc>
          <w:tcPr>
            <w:tcW w:w="58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gridSpan w:val="7"/>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5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center"/>
              <w:ind w:right="90"/>
              <w:spacing w:after="0" w:line="191" w:lineRule="exact"/>
              <w:rPr>
                <w:sz w:val="20"/>
                <w:szCs w:val="20"/>
                <w:color w:val="auto"/>
              </w:rPr>
            </w:pPr>
            <w:r>
              <w:rPr>
                <w:rFonts w:ascii="Arial" w:cs="Arial" w:eastAsia="Arial" w:hAnsi="Arial"/>
                <w:sz w:val="18"/>
                <w:szCs w:val="18"/>
                <w:b w:val="1"/>
                <w:bCs w:val="1"/>
                <w:color w:val="auto"/>
                <w:w w:val="99"/>
              </w:rPr>
              <w:t>Amortized</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center"/>
              <w:spacing w:after="0" w:line="191" w:lineRule="exact"/>
              <w:rPr>
                <w:sz w:val="20"/>
                <w:szCs w:val="20"/>
                <w:color w:val="auto"/>
              </w:rPr>
            </w:pPr>
            <w:r>
              <w:rPr>
                <w:rFonts w:ascii="Arial" w:cs="Arial" w:eastAsia="Arial" w:hAnsi="Arial"/>
                <w:sz w:val="18"/>
                <w:szCs w:val="18"/>
                <w:b w:val="1"/>
                <w:bCs w:val="1"/>
                <w:color w:val="auto"/>
              </w:rPr>
              <w:t>Unrealized</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4"/>
          </w:tcPr>
          <w:p>
            <w:pPr>
              <w:jc w:val="center"/>
              <w:ind w:right="280"/>
              <w:spacing w:after="0" w:line="191" w:lineRule="exact"/>
              <w:rPr>
                <w:sz w:val="20"/>
                <w:szCs w:val="20"/>
                <w:color w:val="auto"/>
              </w:rPr>
            </w:pPr>
            <w:r>
              <w:rPr>
                <w:rFonts w:ascii="Arial" w:cs="Arial" w:eastAsia="Arial" w:hAnsi="Arial"/>
                <w:sz w:val="18"/>
                <w:szCs w:val="18"/>
                <w:b w:val="1"/>
                <w:bCs w:val="1"/>
                <w:color w:val="auto"/>
              </w:rPr>
              <w:t>Unrealized</w:t>
            </w:r>
          </w:p>
        </w:tc>
        <w:tc>
          <w:tcPr>
            <w:tcW w:w="120" w:type="dxa"/>
            <w:vAlign w:val="bottom"/>
          </w:tcPr>
          <w:p>
            <w:pPr>
              <w:spacing w:after="0"/>
              <w:rPr>
                <w:sz w:val="16"/>
                <w:szCs w:val="16"/>
                <w:color w:val="auto"/>
              </w:rPr>
            </w:pPr>
          </w:p>
        </w:tc>
        <w:tc>
          <w:tcPr>
            <w:tcW w:w="1000" w:type="dxa"/>
            <w:vAlign w:val="bottom"/>
          </w:tcPr>
          <w:p>
            <w:pPr>
              <w:jc w:val="right"/>
              <w:ind w:right="50"/>
              <w:spacing w:after="0" w:line="191" w:lineRule="exact"/>
              <w:rPr>
                <w:sz w:val="20"/>
                <w:szCs w:val="20"/>
                <w:color w:val="auto"/>
              </w:rPr>
            </w:pPr>
            <w:r>
              <w:rPr>
                <w:rFonts w:ascii="Arial" w:cs="Arial" w:eastAsia="Arial" w:hAnsi="Arial"/>
                <w:sz w:val="18"/>
                <w:szCs w:val="18"/>
                <w:b w:val="1"/>
                <w:bCs w:val="1"/>
                <w:color w:val="auto"/>
                <w:w w:val="97"/>
              </w:rPr>
              <w:t>Fair Value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5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center"/>
              <w:ind w:right="50"/>
              <w:spacing w:after="0"/>
              <w:rPr>
                <w:sz w:val="20"/>
                <w:szCs w:val="20"/>
                <w:color w:val="auto"/>
              </w:rPr>
            </w:pPr>
            <w:r>
              <w:rPr>
                <w:rFonts w:ascii="Arial" w:cs="Arial" w:eastAsia="Arial" w:hAnsi="Arial"/>
                <w:sz w:val="18"/>
                <w:szCs w:val="18"/>
                <w:b w:val="1"/>
                <w:bCs w:val="1"/>
                <w:color w:val="auto"/>
                <w:w w:val="99"/>
              </w:rPr>
              <w:t>Cost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center"/>
              <w:ind w:right="130"/>
              <w:spacing w:after="0"/>
              <w:rPr>
                <w:sz w:val="20"/>
                <w:szCs w:val="20"/>
                <w:color w:val="auto"/>
              </w:rPr>
            </w:pPr>
            <w:r>
              <w:rPr>
                <w:rFonts w:ascii="Arial" w:cs="Arial" w:eastAsia="Arial" w:hAnsi="Arial"/>
                <w:sz w:val="18"/>
                <w:szCs w:val="18"/>
                <w:b w:val="1"/>
                <w:bCs w:val="1"/>
                <w:color w:val="auto"/>
                <w:w w:val="99"/>
              </w:rPr>
              <w:t>Gains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3"/>
          </w:tcPr>
          <w:p>
            <w:pPr>
              <w:jc w:val="center"/>
              <w:ind w:right="400"/>
              <w:spacing w:after="0"/>
              <w:rPr>
                <w:sz w:val="20"/>
                <w:szCs w:val="20"/>
                <w:color w:val="auto"/>
              </w:rPr>
            </w:pPr>
            <w:r>
              <w:rPr>
                <w:rFonts w:ascii="Arial" w:cs="Arial" w:eastAsia="Arial" w:hAnsi="Arial"/>
                <w:sz w:val="18"/>
                <w:szCs w:val="18"/>
                <w:b w:val="1"/>
                <w:bCs w:val="1"/>
                <w:color w:val="auto"/>
                <w:w w:val="99"/>
              </w:rPr>
              <w:t>Losses</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820" w:type="dxa"/>
            <w:vAlign w:val="bottom"/>
          </w:tcPr>
          <w:p>
            <w:pPr>
              <w:ind w:left="20"/>
              <w:spacing w:after="0"/>
              <w:rPr>
                <w:sz w:val="20"/>
                <w:szCs w:val="20"/>
                <w:color w:val="auto"/>
              </w:rPr>
            </w:pPr>
            <w:r>
              <w:rPr>
                <w:rFonts w:ascii="Arial" w:cs="Arial" w:eastAsia="Arial" w:hAnsi="Arial"/>
                <w:sz w:val="18"/>
                <w:szCs w:val="18"/>
                <w:color w:val="auto"/>
              </w:rPr>
              <w:t>U.S. Government agencies</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157,298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(158</w:t>
            </w:r>
          </w:p>
        </w:tc>
        <w:tc>
          <w:tcPr>
            <w:tcW w:w="1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157,140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Asset-backed securities</w:t>
            </w: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(25 )</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20" w:type="dxa"/>
            <w:vAlign w:val="bottom"/>
          </w:tcPr>
          <w:p>
            <w:pPr>
              <w:ind w:left="20"/>
              <w:spacing w:after="0"/>
              <w:rPr>
                <w:sz w:val="20"/>
                <w:szCs w:val="20"/>
                <w:color w:val="auto"/>
              </w:rPr>
            </w:pPr>
            <w:r>
              <w:rPr>
                <w:rFonts w:ascii="Arial" w:cs="Arial" w:eastAsia="Arial" w:hAnsi="Arial"/>
                <w:sz w:val="18"/>
                <w:szCs w:val="18"/>
                <w:color w:val="auto"/>
              </w:rPr>
              <w:t>Total</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157,524</w:t>
            </w:r>
          </w:p>
        </w:tc>
        <w:tc>
          <w:tcPr>
            <w:tcW w:w="120" w:type="dxa"/>
            <w:vAlign w:val="bottom"/>
          </w:tcPr>
          <w:p>
            <w:pPr>
              <w:spacing w:after="0"/>
              <w:rPr>
                <w:sz w:val="19"/>
                <w:szCs w:val="19"/>
                <w:color w:val="auto"/>
              </w:rPr>
            </w:pPr>
          </w:p>
        </w:tc>
        <w:tc>
          <w:tcPr>
            <w:tcW w:w="3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(183 )</w:t>
            </w:r>
          </w:p>
        </w:tc>
        <w:tc>
          <w:tcPr>
            <w:tcW w:w="1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157,341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6"/>
        </w:trPr>
        <w:tc>
          <w:tcPr>
            <w:tcW w:w="58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7"/>
          </w:tcPr>
          <w:p>
            <w:pPr>
              <w:jc w:val="center"/>
              <w:ind w:right="600"/>
              <w:spacing w:after="0"/>
              <w:rPr>
                <w:sz w:val="20"/>
                <w:szCs w:val="20"/>
                <w:color w:val="auto"/>
              </w:rPr>
            </w:pPr>
            <w:r>
              <w:rPr>
                <w:rFonts w:ascii="Arial" w:cs="Arial" w:eastAsia="Arial" w:hAnsi="Arial"/>
                <w:sz w:val="18"/>
                <w:szCs w:val="18"/>
                <w:b w:val="1"/>
                <w:bCs w:val="1"/>
                <w:color w:val="auto"/>
                <w:w w:val="99"/>
              </w:rPr>
              <w:t>December 31, 2023</w:t>
            </w: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5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center"/>
              <w:ind w:right="90"/>
              <w:spacing w:after="0" w:line="191" w:lineRule="exact"/>
              <w:rPr>
                <w:sz w:val="20"/>
                <w:szCs w:val="20"/>
                <w:color w:val="auto"/>
              </w:rPr>
            </w:pPr>
            <w:r>
              <w:rPr>
                <w:rFonts w:ascii="Arial" w:cs="Arial" w:eastAsia="Arial" w:hAnsi="Arial"/>
                <w:sz w:val="18"/>
                <w:szCs w:val="18"/>
                <w:b w:val="1"/>
                <w:bCs w:val="1"/>
                <w:color w:val="auto"/>
                <w:w w:val="99"/>
              </w:rPr>
              <w:t>Amortized</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jc w:val="center"/>
              <w:spacing w:after="0" w:line="191" w:lineRule="exact"/>
              <w:rPr>
                <w:sz w:val="20"/>
                <w:szCs w:val="20"/>
                <w:color w:val="auto"/>
              </w:rPr>
            </w:pPr>
            <w:r>
              <w:rPr>
                <w:rFonts w:ascii="Arial" w:cs="Arial" w:eastAsia="Arial" w:hAnsi="Arial"/>
                <w:sz w:val="18"/>
                <w:szCs w:val="18"/>
                <w:b w:val="1"/>
                <w:bCs w:val="1"/>
                <w:color w:val="auto"/>
              </w:rPr>
              <w:t>Unrealized</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4"/>
          </w:tcPr>
          <w:p>
            <w:pPr>
              <w:jc w:val="center"/>
              <w:ind w:right="280"/>
              <w:spacing w:after="0" w:line="191" w:lineRule="exact"/>
              <w:rPr>
                <w:sz w:val="20"/>
                <w:szCs w:val="20"/>
                <w:color w:val="auto"/>
              </w:rPr>
            </w:pPr>
            <w:r>
              <w:rPr>
                <w:rFonts w:ascii="Arial" w:cs="Arial" w:eastAsia="Arial" w:hAnsi="Arial"/>
                <w:sz w:val="18"/>
                <w:szCs w:val="18"/>
                <w:b w:val="1"/>
                <w:bCs w:val="1"/>
                <w:color w:val="auto"/>
              </w:rPr>
              <w:t>Unrealized</w:t>
            </w:r>
          </w:p>
        </w:tc>
        <w:tc>
          <w:tcPr>
            <w:tcW w:w="120" w:type="dxa"/>
            <w:vAlign w:val="bottom"/>
          </w:tcPr>
          <w:p>
            <w:pPr>
              <w:spacing w:after="0"/>
              <w:rPr>
                <w:sz w:val="16"/>
                <w:szCs w:val="16"/>
                <w:color w:val="auto"/>
              </w:rPr>
            </w:pPr>
          </w:p>
        </w:tc>
        <w:tc>
          <w:tcPr>
            <w:tcW w:w="1000" w:type="dxa"/>
            <w:vAlign w:val="bottom"/>
          </w:tcPr>
          <w:p>
            <w:pPr>
              <w:jc w:val="right"/>
              <w:ind w:right="50"/>
              <w:spacing w:after="0" w:line="191" w:lineRule="exact"/>
              <w:rPr>
                <w:sz w:val="20"/>
                <w:szCs w:val="20"/>
                <w:color w:val="auto"/>
              </w:rPr>
            </w:pPr>
            <w:r>
              <w:rPr>
                <w:rFonts w:ascii="Arial" w:cs="Arial" w:eastAsia="Arial" w:hAnsi="Arial"/>
                <w:sz w:val="18"/>
                <w:szCs w:val="18"/>
                <w:b w:val="1"/>
                <w:bCs w:val="1"/>
                <w:color w:val="auto"/>
                <w:w w:val="97"/>
              </w:rPr>
              <w:t>Fair Value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58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9"/>
              </w:rPr>
              <w:t>Cost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9"/>
              </w:rPr>
              <w:t>Gains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9"/>
              </w:rPr>
              <w:t>Losses</w:t>
            </w:r>
          </w:p>
        </w:tc>
        <w:tc>
          <w:tcPr>
            <w:tcW w:w="240" w:type="dxa"/>
            <w:vAlign w:val="bottom"/>
            <w:gridSpan w:val="2"/>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Commercial paper</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9,144</w:t>
            </w:r>
          </w:p>
        </w:tc>
        <w:tc>
          <w:tcPr>
            <w:tcW w:w="480" w:type="dxa"/>
            <w:vAlign w:val="bottom"/>
            <w:gridSpan w:val="3"/>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(7 )</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9,137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20" w:type="dxa"/>
            <w:vAlign w:val="bottom"/>
          </w:tcPr>
          <w:p>
            <w:pPr>
              <w:ind w:left="20"/>
              <w:spacing w:after="0"/>
              <w:rPr>
                <w:sz w:val="20"/>
                <w:szCs w:val="20"/>
                <w:color w:val="auto"/>
              </w:rPr>
            </w:pPr>
            <w:r>
              <w:rPr>
                <w:rFonts w:ascii="Arial" w:cs="Arial" w:eastAsia="Arial" w:hAnsi="Arial"/>
                <w:sz w:val="18"/>
                <w:szCs w:val="18"/>
                <w:color w:val="auto"/>
              </w:rPr>
              <w:t>Corporate bonds</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6,186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(2 )</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6,187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U.S. Government agencies</w:t>
            </w: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165,453</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563</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(14 )</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166,002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20" w:type="dxa"/>
            <w:vAlign w:val="bottom"/>
          </w:tcPr>
          <w:p>
            <w:pPr>
              <w:ind w:left="140"/>
              <w:spacing w:after="0"/>
              <w:rPr>
                <w:sz w:val="20"/>
                <w:szCs w:val="20"/>
                <w:color w:val="auto"/>
              </w:rPr>
            </w:pPr>
            <w:r>
              <w:rPr>
                <w:rFonts w:ascii="Arial" w:cs="Arial" w:eastAsia="Arial" w:hAnsi="Arial"/>
                <w:sz w:val="18"/>
                <w:szCs w:val="18"/>
                <w:color w:val="auto"/>
              </w:rPr>
              <w:t>Yankee bonds</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2,985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(3 )</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Asset-backed securities</w:t>
            </w: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780</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(1 )</w:t>
            </w:r>
          </w:p>
        </w:tc>
        <w:tc>
          <w:tcPr>
            <w:tcW w:w="1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20" w:type="dxa"/>
            <w:vAlign w:val="bottom"/>
          </w:tcPr>
          <w:p>
            <w:pPr>
              <w:ind w:left="20"/>
              <w:spacing w:after="0"/>
              <w:rPr>
                <w:sz w:val="20"/>
                <w:szCs w:val="20"/>
                <w:color w:val="auto"/>
              </w:rPr>
            </w:pPr>
            <w:r>
              <w:rPr>
                <w:rFonts w:ascii="Arial" w:cs="Arial" w:eastAsia="Arial" w:hAnsi="Arial"/>
                <w:sz w:val="18"/>
                <w:szCs w:val="18"/>
                <w:color w:val="auto"/>
              </w:rPr>
              <w:t>Total</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184,548</w:t>
            </w:r>
          </w:p>
        </w:tc>
        <w:tc>
          <w:tcPr>
            <w:tcW w:w="120" w:type="dxa"/>
            <w:vAlign w:val="bottom"/>
          </w:tcPr>
          <w:p>
            <w:pPr>
              <w:spacing w:after="0"/>
              <w:rPr>
                <w:sz w:val="19"/>
                <w:szCs w:val="19"/>
                <w:color w:val="auto"/>
              </w:rPr>
            </w:pPr>
          </w:p>
        </w:tc>
        <w:tc>
          <w:tcPr>
            <w:tcW w:w="36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566</w:t>
            </w:r>
          </w:p>
        </w:tc>
        <w:tc>
          <w:tcPr>
            <w:tcW w:w="100" w:type="dxa"/>
            <w:vAlign w:val="bottom"/>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(27 )</w:t>
            </w:r>
          </w:p>
        </w:tc>
        <w:tc>
          <w:tcPr>
            <w:tcW w:w="1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185,087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-1833880</wp:posOffset>
            </wp:positionV>
            <wp:extent cx="7747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-1833880</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-1833880</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-1833880</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4471035</wp:posOffset>
            </wp:positionH>
            <wp:positionV relativeFrom="paragraph">
              <wp:posOffset>-179070</wp:posOffset>
            </wp:positionV>
            <wp:extent cx="7747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-179070</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-179070</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5"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As of June 30, 2024, the unrealized losses on the Company’s investments in U.S. government agencies securities and asset-backed securities were caused by interest rate increases. The current credit ratings are all within the guidelines of the investment policy of the Company and the Company does not expect the issuers to settle any security at a price less than the amortized cost basis of the investment. The Company does not intend to sell the investments and it is not probable that the Company will be required to sell the investments before recovery of their amortized cost basis.</w:t>
      </w:r>
    </w:p>
    <w:p>
      <w:pPr>
        <w:spacing w:after="0" w:line="28"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As of June 30, 2024, twelve marketable securities with contractual maturities of one year or less were in an unrealized loss position totaling $0.1 million.</w:t>
      </w:r>
    </w:p>
    <w:p>
      <w:pPr>
        <w:spacing w:after="0" w:line="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June 30, 2024, the Company had marketable securities with a fair value of $39.4 million that had maturities of one to two years.</w:t>
      </w:r>
    </w:p>
    <w:p>
      <w:pPr>
        <w:spacing w:after="0" w:line="7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There were no impairments of the Company’s assets measured and carried at fair value during the six months ended June 30, 2024.</w:t>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7760" w:type="dxa"/>
            <w:vAlign w:val="bottom"/>
          </w:tcPr>
          <w:p>
            <w:pPr>
              <w:spacing w:after="0"/>
              <w:rPr>
                <w:sz w:val="20"/>
                <w:szCs w:val="20"/>
                <w:color w:val="auto"/>
              </w:rPr>
            </w:pPr>
            <w:r>
              <w:rPr>
                <w:rFonts w:ascii="Arial" w:cs="Arial" w:eastAsia="Arial" w:hAnsi="Arial"/>
                <w:sz w:val="18"/>
                <w:szCs w:val="18"/>
                <w:b w:val="1"/>
                <w:bCs w:val="1"/>
                <w:color w:val="auto"/>
              </w:rPr>
              <w:t>7. Accrued Expenses and Other Current Liabilities</w:t>
            </w:r>
          </w:p>
        </w:tc>
        <w:tc>
          <w:tcPr>
            <w:tcW w:w="2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7760" w:type="dxa"/>
            <w:vAlign w:val="bottom"/>
          </w:tcPr>
          <w:p>
            <w:pPr>
              <w:ind w:left="520"/>
              <w:spacing w:after="0"/>
              <w:rPr>
                <w:sz w:val="20"/>
                <w:szCs w:val="20"/>
                <w:color w:val="auto"/>
              </w:rPr>
            </w:pPr>
            <w:r>
              <w:rPr>
                <w:rFonts w:ascii="Arial" w:cs="Arial" w:eastAsia="Arial" w:hAnsi="Arial"/>
                <w:sz w:val="18"/>
                <w:szCs w:val="18"/>
                <w:color w:val="auto"/>
              </w:rPr>
              <w:t>Accrued expenses and other current liabilities consisted of the following (in thousands):</w:t>
            </w:r>
          </w:p>
        </w:tc>
        <w:tc>
          <w:tcPr>
            <w:tcW w:w="260" w:type="dxa"/>
            <w:vAlign w:val="bottom"/>
          </w:tcPr>
          <w:p>
            <w:pPr>
              <w:spacing w:after="0"/>
              <w:rPr>
                <w:sz w:val="22"/>
                <w:szCs w:val="22"/>
                <w:color w:val="auto"/>
              </w:rPr>
            </w:pPr>
          </w:p>
        </w:tc>
        <w:tc>
          <w:tcPr>
            <w:tcW w:w="1300" w:type="dxa"/>
            <w:vAlign w:val="bottom"/>
            <w:vMerge w:val="restart"/>
          </w:tcPr>
          <w:p>
            <w:pPr>
              <w:jc w:val="right"/>
              <w:ind w:right="330"/>
              <w:spacing w:after="0"/>
              <w:rPr>
                <w:sz w:val="20"/>
                <w:szCs w:val="20"/>
                <w:color w:val="auto"/>
              </w:rPr>
            </w:pPr>
            <w:r>
              <w:rPr>
                <w:rFonts w:ascii="Arial" w:cs="Arial" w:eastAsia="Arial" w:hAnsi="Arial"/>
                <w:sz w:val="18"/>
                <w:szCs w:val="18"/>
                <w:b w:val="1"/>
                <w:bCs w:val="1"/>
                <w:color w:val="auto"/>
              </w:rPr>
              <w:t>June 30,</w:t>
            </w:r>
          </w:p>
        </w:tc>
        <w:tc>
          <w:tcPr>
            <w:tcW w:w="2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0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180"/>
        </w:trPr>
        <w:tc>
          <w:tcPr>
            <w:tcW w:w="7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0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77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2024</w:t>
            </w:r>
          </w:p>
        </w:tc>
        <w:tc>
          <w:tcPr>
            <w:tcW w:w="2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Accrued research and development expenses</w:t>
            </w: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2,303</w:t>
            </w:r>
          </w:p>
        </w:tc>
        <w:tc>
          <w:tcPr>
            <w:tcW w:w="4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3,445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tcPr>
          <w:p>
            <w:pPr>
              <w:ind w:left="20"/>
              <w:spacing w:after="0"/>
              <w:rPr>
                <w:sz w:val="20"/>
                <w:szCs w:val="20"/>
                <w:color w:val="auto"/>
              </w:rPr>
            </w:pPr>
            <w:r>
              <w:rPr>
                <w:rFonts w:ascii="Arial" w:cs="Arial" w:eastAsia="Arial" w:hAnsi="Arial"/>
                <w:sz w:val="18"/>
                <w:szCs w:val="18"/>
                <w:color w:val="auto"/>
              </w:rPr>
              <w:t>Accrued compensation</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3,264</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3,503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768</w:t>
            </w:r>
          </w:p>
        </w:tc>
        <w:tc>
          <w:tcPr>
            <w:tcW w:w="2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935</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60" w:type="dxa"/>
            <w:vAlign w:val="bottom"/>
          </w:tcPr>
          <w:p>
            <w:pPr>
              <w:ind w:left="20"/>
              <w:spacing w:after="0"/>
              <w:rPr>
                <w:sz w:val="20"/>
                <w:szCs w:val="20"/>
                <w:color w:val="auto"/>
              </w:rPr>
            </w:pPr>
            <w:r>
              <w:rPr>
                <w:rFonts w:ascii="Arial" w:cs="Arial" w:eastAsia="Arial" w:hAnsi="Arial"/>
                <w:sz w:val="18"/>
                <w:szCs w:val="18"/>
                <w:color w:val="auto"/>
              </w:rPr>
              <w:t>Accrued expenses and other current liabilities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6,335</w:t>
            </w: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7,883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-179070</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Equity</w:t>
      </w:r>
    </w:p>
    <w:p>
      <w:pPr>
        <w:spacing w:after="0" w:line="77"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The Company had 150,000,000 authorized shares of common stock, par value $0.00001 per share, of which 49,583,358 and 49,350,788 shares were issued and outstanding at June 30, 2024 and December 31, 2023, respectively.</w:t>
      </w:r>
    </w:p>
    <w:p>
      <w:pPr>
        <w:spacing w:after="0" w:line="5"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In addition, the Company had 10,000,000 authorized shares of preferred stock, par value $0.00001 per share, all of which shares of preferred stock are undesignated. No authorized shares of preferred stock were issued and outstanding at June 30, 2024 and December 31, 2023.</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467995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Financings</w:t>
      </w:r>
    </w:p>
    <w:p>
      <w:pPr>
        <w:spacing w:after="0" w:line="63"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On November 9, 2023, the Company issued and sold 11,000,000 shares of common stock at a price to the public of $9.00 per share for aggregate gross proceeds of $99.0 million in the 2023 Follow-On Offering. The Company received approximately $92.6 million in net proceeds from the 2023 Follow-On Offering after deducting underwriting discounts and commissions and offering expenses.</w:t>
      </w:r>
    </w:p>
    <w:p>
      <w:pPr>
        <w:spacing w:after="0" w:line="34"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On March 27, 2024, the Company filed the 2024 Shelf with the SEC in relation to the registration of up to an aggregate offering price of $350.0 million of common stock, preferred stock, debt securities, warrants and units or any combination thereof, which superseded the 2022 Shelf. The 2024 Shelf included a prospectus supplement to provide for offerings in the ATM under the Sales Agreement. The Company issued no shares of common stock during the six months ended June 30, 2024 under the ATM.</w:t>
      </w:r>
    </w:p>
    <w:p>
      <w:pPr>
        <w:spacing w:after="0" w:line="25"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On November 1, 2022, the Company filed the 2022 Shelf with the SEC in relation to the registration of up to an aggregate offering price of $250.0 million of common stock, preferred stock, debt securities, warrants and units or any combination thereof. The Company also simultaneously entered into the Sales Agreement with the Sales Agent to provide for the offering, issuance and sale by the Company of up to an aggregate of $75.0 million of common stock from time to time in the ATM under the 2022 Shelf and subject to the limitations thereof. The Company issued 261,807 shares of common stock at an average price of $12.49 for aggregate gross proceeds of $3.3 million during the year ended December 31, 2023 under the ATM.</w:t>
      </w: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Stock-Based Compensation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2018 Stock Option and Incentive Plan</w:t>
      </w:r>
    </w:p>
    <w:p>
      <w:pPr>
        <w:spacing w:after="0" w:line="198" w:lineRule="exact"/>
        <w:rPr>
          <w:sz w:val="20"/>
          <w:szCs w:val="20"/>
          <w:color w:val="auto"/>
        </w:rPr>
      </w:pPr>
    </w:p>
    <w:p>
      <w:pPr>
        <w:jc w:val="both"/>
        <w:ind w:firstLine="384"/>
        <w:spacing w:after="0" w:line="247" w:lineRule="auto"/>
        <w:rPr>
          <w:sz w:val="20"/>
          <w:szCs w:val="20"/>
          <w:color w:val="auto"/>
        </w:rPr>
      </w:pPr>
      <w:r>
        <w:rPr>
          <w:rFonts w:ascii="Arial" w:cs="Arial" w:eastAsia="Arial" w:hAnsi="Arial"/>
          <w:sz w:val="18"/>
          <w:szCs w:val="18"/>
          <w:color w:val="auto"/>
        </w:rPr>
        <w:t>On December 12, 2018, the Company adopted the Aura Biosciences, Inc. 2018 Equity Incentive Plan, or the 2018 Plan. The 2018 Plan will expire in 2028. Under the 2018 Plan, Aura may grant incentive stock options, non-qualified stock options, restricted and unrestricted stock awards and stock rights. The Board of Directors, or the Board, has determined not to make any further awards under the 2018 Plan as of November 2, 2021. However, the 2018 Plan will continue to govern outstanding equity awards granted thereunder.</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2021 Stock Option and Incentive Plan</w:t>
      </w:r>
    </w:p>
    <w:p>
      <w:pPr>
        <w:spacing w:after="0" w:line="198" w:lineRule="exact"/>
        <w:rPr>
          <w:sz w:val="20"/>
          <w:szCs w:val="20"/>
          <w:color w:val="auto"/>
        </w:rPr>
      </w:pPr>
    </w:p>
    <w:p>
      <w:pPr>
        <w:jc w:val="both"/>
        <w:ind w:firstLine="303"/>
        <w:spacing w:after="0" w:line="239" w:lineRule="auto"/>
        <w:rPr>
          <w:sz w:val="20"/>
          <w:szCs w:val="20"/>
          <w:color w:val="auto"/>
        </w:rPr>
      </w:pPr>
      <w:r>
        <w:rPr>
          <w:rFonts w:ascii="Arial" w:cs="Arial" w:eastAsia="Arial" w:hAnsi="Arial"/>
          <w:sz w:val="18"/>
          <w:szCs w:val="18"/>
          <w:color w:val="auto"/>
        </w:rPr>
        <w:t>The 2021 Stock Option and Incentive Plan, or the 2021 Plan, was adopted by the Board on October 7, 2021, approved by the Company’s stockholders on October 22, 2021 and became effective on November 1, 2021. The 2021 Plan permits the granting of both options to purchase common stock intended to qualify as incentive stock options under Section 422 of the Code and options that do not so qualify. The number of shares initially reserved for issuance under the 2021 Plan was 3,352,166, which increased on January 1, 2022 and will continue to increase each January 1 thereafter, by 5% of the outstanding number of shares of common stock on the immediately preceding December 31 or such lesser number of shares as determined by the Company’s compensation committee. The maximum number of shares of common stock that may be issued in the form of incentive stock options shall not exceed the initial limit, cumulatively increased on January 1, 2022 and on each January 1 thereafter by the lesser of the annual increase for such year or 3,352,166 shares of common stock. On January 1, 2024, the shares reserved for issuance was increased to 9,414,162 shares. With the transfer of the available options from the 2018 Plan to the 2021 Plan, there were 3,870,664 options and restricted stock units available for grant under the 2021 Plan at June 30, 2024.</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2021 Employee Stock Purchase Plan</w:t>
      </w:r>
    </w:p>
    <w:p>
      <w:pPr>
        <w:spacing w:after="0" w:line="198" w:lineRule="exact"/>
        <w:rPr>
          <w:sz w:val="20"/>
          <w:szCs w:val="20"/>
          <w:color w:val="auto"/>
        </w:rPr>
      </w:pPr>
    </w:p>
    <w:p>
      <w:pPr>
        <w:jc w:val="both"/>
        <w:ind w:firstLine="486"/>
        <w:spacing w:after="0" w:line="239" w:lineRule="auto"/>
        <w:rPr>
          <w:sz w:val="20"/>
          <w:szCs w:val="20"/>
          <w:color w:val="auto"/>
        </w:rPr>
      </w:pPr>
      <w:r>
        <w:rPr>
          <w:rFonts w:ascii="Arial" w:cs="Arial" w:eastAsia="Arial" w:hAnsi="Arial"/>
          <w:sz w:val="18"/>
          <w:szCs w:val="18"/>
          <w:color w:val="auto"/>
        </w:rPr>
        <w:t>The 2021 Employee Stock Purchase Plan, or the ESPP, was adopted by the Board on October 7, 2021, approved by the Company’s stockholders on October 22, 2021 and became effective on November 1, 2021. A total of 335,217 shares of common stock were initially reserved for issuance under this plan, which increased on January 1, 2022 and will continue to increase each January 1 thereafter through January 1, 2031, by the least of (i) 335,217 shares of common stock, (ii) 1% of the outstanding number of shares of common stock on the immediately preceding December 31 or (iii) such lesser number of shares of common stock as determined by the administrator of the ESPP. On January 1, 2024, the shares reserved for issuance was increased to 1,282,856 shares. The purchase price of the shares under the ESPP are at 85% of the lower of the fair market value of the Company’s common stock on the first trading day of the offering period or on the purchase date. As of June 30, 2024, 1,270,542 shares were available to be issued under the ESPP. The Company recognized $0.02 million share-based compensation expense related to the ESPP for the three months ended June 30, 2024. The Company recognized $0.05 million share-based compensation expense related to the ESPP for the six months ended June 30, 2024.</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Stock Options</w:t>
      </w:r>
    </w:p>
    <w:p>
      <w:pPr>
        <w:spacing w:after="0" w:line="212" w:lineRule="exact"/>
        <w:rPr>
          <w:sz w:val="20"/>
          <w:szCs w:val="20"/>
          <w:color w:val="auto"/>
        </w:rPr>
      </w:pPr>
    </w:p>
    <w:p>
      <w:pPr>
        <w:ind w:right="60" w:firstLine="509"/>
        <w:spacing w:after="0" w:line="258" w:lineRule="auto"/>
        <w:rPr>
          <w:sz w:val="20"/>
          <w:szCs w:val="20"/>
          <w:color w:val="auto"/>
        </w:rPr>
      </w:pPr>
      <w:r>
        <w:rPr>
          <w:rFonts w:ascii="Arial" w:cs="Arial" w:eastAsia="Arial" w:hAnsi="Arial"/>
          <w:sz w:val="18"/>
          <w:szCs w:val="18"/>
          <w:color w:val="auto"/>
        </w:rPr>
        <w:t>The Board is authorized to administer the 2021 Plan. In accordance with the provisions of the 2021 Plan, the Board determines the terms of Aura options and other awards issued pursuant thereto, including the following:</w:t>
      </w:r>
    </w:p>
    <w:p>
      <w:pPr>
        <w:ind w:left="1020" w:hanging="368"/>
        <w:spacing w:after="0"/>
        <w:tabs>
          <w:tab w:leader="none" w:pos="102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which employees, directors and consultants shall be granted awards;</w:t>
      </w:r>
    </w:p>
    <w:p>
      <w:pPr>
        <w:spacing w:after="0" w:line="35"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the number of shares of common stock subject to options and other awards;</w:t>
      </w:r>
    </w:p>
    <w:p>
      <w:pPr>
        <w:spacing w:after="0" w:line="48" w:lineRule="exact"/>
        <w:rPr>
          <w:rFonts w:ascii="Times New Roman" w:cs="Times New Roman" w:eastAsia="Times New Roman" w:hAnsi="Times New Roman"/>
          <w:sz w:val="18"/>
          <w:szCs w:val="18"/>
          <w:color w:val="auto"/>
        </w:rPr>
      </w:pPr>
    </w:p>
    <w:p>
      <w:pPr>
        <w:ind w:left="1020" w:right="60" w:hanging="368"/>
        <w:spacing w:after="0" w:line="257" w:lineRule="auto"/>
        <w:tabs>
          <w:tab w:leader="none" w:pos="102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the exercise price of each option, which generally shall not be less than fair market value of the common stock on the date of grant;</w:t>
      </w:r>
    </w:p>
    <w:p>
      <w:pPr>
        <w:spacing w:after="0" w:line="1"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the termination or cancellation provisions applicable to options;</w:t>
      </w:r>
    </w:p>
    <w:p>
      <w:pPr>
        <w:spacing w:after="0" w:line="35" w:lineRule="exact"/>
        <w:rPr>
          <w:rFonts w:ascii="Times New Roman" w:cs="Times New Roman" w:eastAsia="Times New Roman" w:hAnsi="Times New Roman"/>
          <w:sz w:val="18"/>
          <w:szCs w:val="18"/>
          <w:color w:val="auto"/>
        </w:rPr>
      </w:pPr>
    </w:p>
    <w:p>
      <w:pPr>
        <w:ind w:left="1020" w:right="60" w:hanging="368"/>
        <w:spacing w:after="0" w:line="257" w:lineRule="auto"/>
        <w:tabs>
          <w:tab w:leader="none" w:pos="102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the terms and conditions of other awards, including conditions for repurchase, termination or cancellation, issue price and repurchase price; and</w:t>
      </w:r>
    </w:p>
    <w:p>
      <w:pPr>
        <w:spacing w:after="0" w:line="1" w:lineRule="exact"/>
        <w:rPr>
          <w:rFonts w:ascii="Times New Roman" w:cs="Times New Roman" w:eastAsia="Times New Roman" w:hAnsi="Times New Roman"/>
          <w:sz w:val="18"/>
          <w:szCs w:val="18"/>
          <w:color w:val="auto"/>
        </w:rPr>
      </w:pPr>
    </w:p>
    <w:p>
      <w:pPr>
        <w:ind w:left="1020" w:hanging="368"/>
        <w:spacing w:after="0"/>
        <w:tabs>
          <w:tab w:leader="none" w:pos="102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all other terms and conditions upon which each award may be granted in accordance with the 2021 Plan.</w:t>
      </w:r>
    </w:p>
    <w:p>
      <w:pPr>
        <w:spacing w:after="0" w:line="224" w:lineRule="exact"/>
        <w:rPr>
          <w:sz w:val="20"/>
          <w:szCs w:val="20"/>
          <w:color w:val="auto"/>
        </w:rPr>
      </w:pPr>
    </w:p>
    <w:p>
      <w:pPr>
        <w:jc w:val="both"/>
        <w:ind w:right="60" w:firstLine="509"/>
        <w:spacing w:after="0" w:line="253" w:lineRule="auto"/>
        <w:rPr>
          <w:sz w:val="20"/>
          <w:szCs w:val="20"/>
          <w:color w:val="auto"/>
        </w:rPr>
      </w:pPr>
      <w:r>
        <w:rPr>
          <w:rFonts w:ascii="Arial" w:cs="Arial" w:eastAsia="Arial" w:hAnsi="Arial"/>
          <w:sz w:val="18"/>
          <w:szCs w:val="18"/>
          <w:color w:val="auto"/>
        </w:rPr>
        <w:t>In addition, the Board may award restricted shares of common stock and restricted stock units to participants subject to such conditions and restrictions as it may determine. The Board or any committee to which the Board delegates authority may, with the consent of the affected plan participants, re-price or otherwise amend outstanding awards consistent with the terms of the 2021 Plan.</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following table summarizes stock option activity under the 2018 Plan and 2021 Plan for the six months ended June 30, 2024:</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rPr>
              <w:t>Weighted-</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58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rPr>
              <w:t>Average</w:t>
            </w:r>
          </w:p>
        </w:tc>
        <w:tc>
          <w:tcPr>
            <w:tcW w:w="240" w:type="dxa"/>
            <w:vAlign w:val="bottom"/>
          </w:tcPr>
          <w:p>
            <w:pPr>
              <w:spacing w:after="0"/>
              <w:rPr>
                <w:sz w:val="17"/>
                <w:szCs w:val="17"/>
                <w:color w:val="auto"/>
              </w:rPr>
            </w:pPr>
          </w:p>
        </w:tc>
        <w:tc>
          <w:tcPr>
            <w:tcW w:w="1240" w:type="dxa"/>
            <w:vAlign w:val="bottom"/>
            <w:gridSpan w:val="3"/>
          </w:tcPr>
          <w:p>
            <w:pPr>
              <w:jc w:val="center"/>
              <w:ind w:right="160"/>
              <w:spacing w:after="0" w:line="202" w:lineRule="exact"/>
              <w:rPr>
                <w:sz w:val="20"/>
                <w:szCs w:val="20"/>
                <w:color w:val="auto"/>
              </w:rPr>
            </w:pPr>
            <w:r>
              <w:rPr>
                <w:rFonts w:ascii="Arial" w:cs="Arial" w:eastAsia="Arial" w:hAnsi="Arial"/>
                <w:sz w:val="18"/>
                <w:szCs w:val="18"/>
                <w:b w:val="1"/>
                <w:bCs w:val="1"/>
                <w:color w:val="auto"/>
                <w:w w:val="98"/>
              </w:rPr>
              <w:t>Aggregate</w:t>
            </w:r>
          </w:p>
        </w:tc>
      </w:tr>
      <w:tr>
        <w:trPr>
          <w:trHeight w:val="203"/>
        </w:trPr>
        <w:tc>
          <w:tcPr>
            <w:tcW w:w="58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center"/>
              <w:ind w:right="30"/>
              <w:spacing w:after="0" w:line="202" w:lineRule="exact"/>
              <w:rPr>
                <w:sz w:val="20"/>
                <w:szCs w:val="20"/>
                <w:color w:val="auto"/>
              </w:rPr>
            </w:pPr>
            <w:r>
              <w:rPr>
                <w:rFonts w:ascii="Arial" w:cs="Arial" w:eastAsia="Arial" w:hAnsi="Arial"/>
                <w:sz w:val="18"/>
                <w:szCs w:val="18"/>
                <w:b w:val="1"/>
                <w:bCs w:val="1"/>
                <w:color w:val="auto"/>
              </w:rPr>
              <w:t>Weighted-</w:t>
            </w:r>
          </w:p>
        </w:tc>
        <w:tc>
          <w:tcPr>
            <w:tcW w:w="220" w:type="dxa"/>
            <w:vAlign w:val="bottom"/>
          </w:tcPr>
          <w:p>
            <w:pPr>
              <w:spacing w:after="0"/>
              <w:rPr>
                <w:sz w:val="17"/>
                <w:szCs w:val="17"/>
                <w:color w:val="auto"/>
              </w:rPr>
            </w:pPr>
          </w:p>
        </w:tc>
        <w:tc>
          <w:tcPr>
            <w:tcW w:w="116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Remaining</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center"/>
              <w:ind w:right="260"/>
              <w:spacing w:after="0" w:line="202" w:lineRule="exact"/>
              <w:rPr>
                <w:sz w:val="20"/>
                <w:szCs w:val="20"/>
                <w:color w:val="auto"/>
              </w:rPr>
            </w:pPr>
            <w:r>
              <w:rPr>
                <w:rFonts w:ascii="Arial" w:cs="Arial" w:eastAsia="Arial" w:hAnsi="Arial"/>
                <w:sz w:val="18"/>
                <w:szCs w:val="18"/>
                <w:b w:val="1"/>
                <w:bCs w:val="1"/>
                <w:color w:val="auto"/>
                <w:w w:val="99"/>
              </w:rPr>
              <w:t>Intrinsic</w:t>
            </w:r>
          </w:p>
        </w:tc>
      </w:tr>
      <w:tr>
        <w:trPr>
          <w:trHeight w:val="203"/>
        </w:trPr>
        <w:tc>
          <w:tcPr>
            <w:tcW w:w="58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center"/>
              <w:ind w:right="50"/>
              <w:spacing w:after="0" w:line="202" w:lineRule="exact"/>
              <w:rPr>
                <w:sz w:val="20"/>
                <w:szCs w:val="20"/>
                <w:color w:val="auto"/>
              </w:rPr>
            </w:pPr>
            <w:r>
              <w:rPr>
                <w:rFonts w:ascii="Arial" w:cs="Arial" w:eastAsia="Arial" w:hAnsi="Arial"/>
                <w:sz w:val="18"/>
                <w:szCs w:val="18"/>
                <w:b w:val="1"/>
                <w:bCs w:val="1"/>
                <w:color w:val="auto"/>
                <w:w w:val="98"/>
              </w:rPr>
              <w:t>Average</w:t>
            </w:r>
          </w:p>
        </w:tc>
        <w:tc>
          <w:tcPr>
            <w:tcW w:w="220" w:type="dxa"/>
            <w:vAlign w:val="bottom"/>
          </w:tcPr>
          <w:p>
            <w:pPr>
              <w:spacing w:after="0"/>
              <w:rPr>
                <w:sz w:val="17"/>
                <w:szCs w:val="17"/>
                <w:color w:val="auto"/>
              </w:rPr>
            </w:pPr>
          </w:p>
        </w:tc>
        <w:tc>
          <w:tcPr>
            <w:tcW w:w="116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Contractual</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center"/>
              <w:ind w:right="260"/>
              <w:spacing w:after="0" w:line="202" w:lineRule="exact"/>
              <w:rPr>
                <w:sz w:val="20"/>
                <w:szCs w:val="20"/>
                <w:color w:val="auto"/>
              </w:rPr>
            </w:pPr>
            <w:r>
              <w:rPr>
                <w:rFonts w:ascii="Arial" w:cs="Arial" w:eastAsia="Arial" w:hAnsi="Arial"/>
                <w:sz w:val="18"/>
                <w:szCs w:val="18"/>
                <w:b w:val="1"/>
                <w:bCs w:val="1"/>
                <w:color w:val="auto"/>
                <w:w w:val="95"/>
              </w:rPr>
              <w:t>Value</w:t>
            </w:r>
          </w:p>
        </w:tc>
      </w:tr>
      <w:tr>
        <w:trPr>
          <w:trHeight w:val="203"/>
        </w:trPr>
        <w:tc>
          <w:tcPr>
            <w:tcW w:w="58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center"/>
              <w:ind w:right="50"/>
              <w:spacing w:after="0" w:line="202" w:lineRule="exact"/>
              <w:rPr>
                <w:sz w:val="20"/>
                <w:szCs w:val="20"/>
                <w:color w:val="auto"/>
              </w:rPr>
            </w:pPr>
            <w:r>
              <w:rPr>
                <w:rFonts w:ascii="Arial" w:cs="Arial" w:eastAsia="Arial" w:hAnsi="Arial"/>
                <w:sz w:val="18"/>
                <w:szCs w:val="18"/>
                <w:b w:val="1"/>
                <w:bCs w:val="1"/>
                <w:color w:val="auto"/>
                <w:w w:val="99"/>
              </w:rPr>
              <w:t>Exercise</w:t>
            </w:r>
          </w:p>
        </w:tc>
        <w:tc>
          <w:tcPr>
            <w:tcW w:w="220" w:type="dxa"/>
            <w:vAlign w:val="bottom"/>
          </w:tcPr>
          <w:p>
            <w:pPr>
              <w:spacing w:after="0"/>
              <w:rPr>
                <w:sz w:val="17"/>
                <w:szCs w:val="17"/>
                <w:color w:val="auto"/>
              </w:rPr>
            </w:pPr>
          </w:p>
        </w:tc>
        <w:tc>
          <w:tcPr>
            <w:tcW w:w="116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Term</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center"/>
              <w:ind w:right="300"/>
              <w:spacing w:after="0" w:line="202" w:lineRule="exact"/>
              <w:rPr>
                <w:sz w:val="20"/>
                <w:szCs w:val="20"/>
                <w:color w:val="auto"/>
              </w:rPr>
            </w:pPr>
            <w:r>
              <w:rPr>
                <w:rFonts w:ascii="Arial" w:cs="Arial" w:eastAsia="Arial" w:hAnsi="Arial"/>
                <w:sz w:val="18"/>
                <w:szCs w:val="18"/>
                <w:b w:val="1"/>
                <w:bCs w:val="1"/>
                <w:color w:val="auto"/>
                <w:w w:val="99"/>
              </w:rPr>
              <w:t>(in</w:t>
            </w:r>
          </w:p>
        </w:tc>
      </w:tr>
      <w:tr>
        <w:trPr>
          <w:trHeight w:val="235"/>
        </w:trPr>
        <w:tc>
          <w:tcPr>
            <w:tcW w:w="5800" w:type="dxa"/>
            <w:vAlign w:val="bottom"/>
          </w:tcPr>
          <w:p>
            <w:pPr>
              <w:spacing w:after="0"/>
              <w:rPr>
                <w:sz w:val="20"/>
                <w:szCs w:val="20"/>
                <w:color w:val="auto"/>
              </w:rPr>
            </w:pPr>
          </w:p>
        </w:tc>
        <w:tc>
          <w:tcPr>
            <w:tcW w:w="12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Options</w:t>
            </w:r>
          </w:p>
        </w:tc>
        <w:tc>
          <w:tcPr>
            <w:tcW w:w="2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9"/>
              </w:rPr>
              <w:t>Price</w:t>
            </w:r>
          </w:p>
        </w:tc>
        <w:tc>
          <w:tcPr>
            <w:tcW w:w="220" w:type="dxa"/>
            <w:vAlign w:val="bottom"/>
          </w:tcPr>
          <w:p>
            <w:pPr>
              <w:spacing w:after="0"/>
              <w:rPr>
                <w:sz w:val="20"/>
                <w:szCs w:val="20"/>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(years)</w:t>
            </w:r>
          </w:p>
        </w:tc>
        <w:tc>
          <w:tcPr>
            <w:tcW w:w="240" w:type="dxa"/>
            <w:vAlign w:val="bottom"/>
          </w:tcPr>
          <w:p>
            <w:pPr>
              <w:spacing w:after="0"/>
              <w:rPr>
                <w:sz w:val="20"/>
                <w:szCs w:val="20"/>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8"/>
              </w:rPr>
              <w:t>thousands)</w:t>
            </w:r>
          </w:p>
        </w:tc>
        <w:tc>
          <w:tcPr>
            <w:tcW w:w="100" w:type="dxa"/>
            <w:vAlign w:val="bottom"/>
          </w:tcPr>
          <w:p>
            <w:pPr>
              <w:spacing w:after="0"/>
              <w:rPr>
                <w:sz w:val="20"/>
                <w:szCs w:val="20"/>
                <w:color w:val="auto"/>
              </w:rPr>
            </w:pPr>
          </w:p>
        </w:tc>
      </w:tr>
      <w:tr>
        <w:trPr>
          <w:trHeight w:val="223"/>
        </w:trPr>
        <w:tc>
          <w:tcPr>
            <w:tcW w:w="5800" w:type="dxa"/>
            <w:vAlign w:val="bottom"/>
            <w:shd w:val="clear" w:color="auto" w:fill="CFF0FC"/>
          </w:tcPr>
          <w:p>
            <w:pPr>
              <w:ind w:left="20"/>
              <w:spacing w:after="0"/>
              <w:rPr>
                <w:sz w:val="20"/>
                <w:szCs w:val="20"/>
                <w:color w:val="auto"/>
              </w:rPr>
            </w:pPr>
            <w:r>
              <w:rPr>
                <w:rFonts w:ascii="Arial" w:cs="Arial" w:eastAsia="Arial" w:hAnsi="Arial"/>
                <w:sz w:val="18"/>
                <w:szCs w:val="18"/>
                <w:color w:val="auto"/>
              </w:rPr>
              <w:t>Outstanding at December 31, 2023</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5,030,351</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8.46</w:t>
            </w:r>
          </w:p>
        </w:tc>
        <w:tc>
          <w:tcPr>
            <w:tcW w:w="1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7.54</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10,353</w:t>
            </w:r>
          </w:p>
        </w:tc>
        <w:tc>
          <w:tcPr>
            <w:tcW w:w="100" w:type="dxa"/>
            <w:vAlign w:val="bottom"/>
            <w:shd w:val="clear" w:color="auto" w:fill="CFF0FC"/>
          </w:tcPr>
          <w:p>
            <w:pPr>
              <w:spacing w:after="0"/>
              <w:rPr>
                <w:sz w:val="19"/>
                <w:szCs w:val="19"/>
                <w:color w:val="auto"/>
              </w:rPr>
            </w:pPr>
          </w:p>
        </w:tc>
      </w:tr>
      <w:tr>
        <w:trPr>
          <w:trHeight w:val="230"/>
        </w:trPr>
        <w:tc>
          <w:tcPr>
            <w:tcW w:w="5800" w:type="dxa"/>
            <w:vAlign w:val="bottom"/>
          </w:tcPr>
          <w:p>
            <w:pPr>
              <w:ind w:left="20"/>
              <w:spacing w:after="0"/>
              <w:rPr>
                <w:sz w:val="20"/>
                <w:szCs w:val="20"/>
                <w:color w:val="auto"/>
              </w:rPr>
            </w:pPr>
            <w:r>
              <w:rPr>
                <w:rFonts w:ascii="Arial" w:cs="Arial" w:eastAsia="Arial" w:hAnsi="Arial"/>
                <w:sz w:val="18"/>
                <w:szCs w:val="18"/>
                <w:color w:val="auto"/>
              </w:rPr>
              <w:t>Granted</w:t>
            </w:r>
          </w:p>
        </w:tc>
        <w:tc>
          <w:tcPr>
            <w:tcW w:w="1200" w:type="dxa"/>
            <w:vAlign w:val="bottom"/>
          </w:tcPr>
          <w:p>
            <w:pPr>
              <w:jc w:val="right"/>
              <w:spacing w:after="0"/>
              <w:rPr>
                <w:sz w:val="20"/>
                <w:szCs w:val="20"/>
                <w:color w:val="auto"/>
              </w:rPr>
            </w:pPr>
            <w:r>
              <w:rPr>
                <w:rFonts w:ascii="Arial" w:cs="Arial" w:eastAsia="Arial" w:hAnsi="Arial"/>
                <w:sz w:val="18"/>
                <w:szCs w:val="18"/>
                <w:color w:val="auto"/>
              </w:rPr>
              <w:t>1,313,580</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7.74</w:t>
            </w: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80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Exercised</w:t>
            </w:r>
          </w:p>
        </w:tc>
        <w:tc>
          <w:tcPr>
            <w:tcW w:w="14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(75,425 )</w:t>
            </w: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3.21</w:t>
            </w:r>
          </w:p>
        </w:tc>
        <w:tc>
          <w:tcPr>
            <w:tcW w:w="2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800" w:type="dxa"/>
            <w:vAlign w:val="bottom"/>
          </w:tcPr>
          <w:p>
            <w:pPr>
              <w:ind w:left="20"/>
              <w:spacing w:after="0"/>
              <w:rPr>
                <w:sz w:val="20"/>
                <w:szCs w:val="20"/>
                <w:color w:val="auto"/>
              </w:rPr>
            </w:pPr>
            <w:r>
              <w:rPr>
                <w:rFonts w:ascii="Arial" w:cs="Arial" w:eastAsia="Arial" w:hAnsi="Arial"/>
                <w:sz w:val="18"/>
                <w:szCs w:val="18"/>
                <w:color w:val="auto"/>
              </w:rPr>
              <w:t>Cancelled/Forfeited</w:t>
            </w: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(218,677 )</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11.12</w:t>
            </w: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63"/>
        </w:trPr>
        <w:tc>
          <w:tcPr>
            <w:tcW w:w="58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Outstanding at June 30, 2024</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6,049,829</w:t>
            </w:r>
          </w:p>
        </w:tc>
        <w:tc>
          <w:tcPr>
            <w:tcW w:w="26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8.27</w:t>
            </w:r>
          </w:p>
        </w:tc>
        <w:tc>
          <w:tcPr>
            <w:tcW w:w="220" w:type="dxa"/>
            <w:vAlign w:val="bottom"/>
            <w:tcBorders>
              <w:bottom w:val="single" w:sz="8" w:color="CFF0FC"/>
            </w:tcBorders>
            <w:shd w:val="clear" w:color="auto" w:fill="CFF0FC"/>
          </w:tcPr>
          <w:p>
            <w:pPr>
              <w:spacing w:after="0"/>
              <w:rPr>
                <w:sz w:val="22"/>
                <w:szCs w:val="22"/>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7.50</w:t>
            </w:r>
          </w:p>
        </w:tc>
        <w:tc>
          <w:tcPr>
            <w:tcW w:w="24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6,881</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10"/>
        </w:trPr>
        <w:tc>
          <w:tcPr>
            <w:tcW w:w="5800" w:type="dxa"/>
            <w:vAlign w:val="bottom"/>
          </w:tcPr>
          <w:p>
            <w:pPr>
              <w:ind w:left="20"/>
              <w:spacing w:after="0"/>
              <w:rPr>
                <w:sz w:val="20"/>
                <w:szCs w:val="20"/>
                <w:color w:val="auto"/>
              </w:rPr>
            </w:pPr>
            <w:r>
              <w:rPr>
                <w:rFonts w:ascii="Arial" w:cs="Arial" w:eastAsia="Arial" w:hAnsi="Arial"/>
                <w:sz w:val="18"/>
                <w:szCs w:val="18"/>
                <w:color w:val="auto"/>
              </w:rPr>
              <w:t>Exercisable at June 30, 2024</w:t>
            </w:r>
          </w:p>
        </w:tc>
        <w:tc>
          <w:tcPr>
            <w:tcW w:w="1200" w:type="dxa"/>
            <w:vAlign w:val="bottom"/>
          </w:tcPr>
          <w:p>
            <w:pPr>
              <w:jc w:val="right"/>
              <w:spacing w:after="0"/>
              <w:rPr>
                <w:sz w:val="20"/>
                <w:szCs w:val="20"/>
                <w:color w:val="auto"/>
              </w:rPr>
            </w:pPr>
            <w:r>
              <w:rPr>
                <w:rFonts w:ascii="Arial" w:cs="Arial" w:eastAsia="Arial" w:hAnsi="Arial"/>
                <w:sz w:val="18"/>
                <w:szCs w:val="18"/>
                <w:color w:val="auto"/>
              </w:rPr>
              <w:t>3,097,674</w:t>
            </w: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7.56</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6.26</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6,155</w:t>
            </w:r>
          </w:p>
        </w:tc>
        <w:tc>
          <w:tcPr>
            <w:tcW w:w="100" w:type="dxa"/>
            <w:vAlign w:val="bottom"/>
          </w:tcPr>
          <w:p>
            <w:pPr>
              <w:spacing w:after="0"/>
              <w:rPr>
                <w:sz w:val="18"/>
                <w:szCs w:val="18"/>
                <w:color w:val="auto"/>
              </w:rPr>
            </w:pPr>
          </w:p>
        </w:tc>
      </w:tr>
      <w:tr>
        <w:trPr>
          <w:trHeight w:val="20"/>
        </w:trPr>
        <w:tc>
          <w:tcPr>
            <w:tcW w:w="58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4445635</wp:posOffset>
            </wp:positionH>
            <wp:positionV relativeFrom="paragraph">
              <wp:posOffset>-196215</wp:posOffset>
            </wp:positionV>
            <wp:extent cx="7747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-179070</wp:posOffset>
            </wp:positionV>
            <wp:extent cx="7747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-196215</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-179070</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-196215</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-179070</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-196215</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jc w:val="both"/>
        <w:ind w:right="60" w:firstLine="509"/>
        <w:spacing w:after="0" w:line="247" w:lineRule="auto"/>
        <w:rPr>
          <w:sz w:val="20"/>
          <w:szCs w:val="20"/>
          <w:color w:val="auto"/>
        </w:rPr>
      </w:pPr>
      <w:r>
        <w:rPr>
          <w:rFonts w:ascii="Arial" w:cs="Arial" w:eastAsia="Arial" w:hAnsi="Arial"/>
          <w:sz w:val="18"/>
          <w:szCs w:val="18"/>
          <w:color w:val="auto"/>
        </w:rPr>
        <w:t>The weighted-average grant date fair value of stock options granted during the six months ended June 30, 2024 and 2023 was $5.84 and $7.66 per share, respectively. The fair value of options vested during the six months ended June 30, 2024 and 2023 was $4.3 million and $3.4 million, respectively. The total intrinsic value of options exercised was $0.4 million and $0.9 million for the six months ended June 30, 2024 and 2023, respectively.</w:t>
      </w:r>
    </w:p>
    <w:p>
      <w:pPr>
        <w:spacing w:after="0" w:line="174" w:lineRule="exact"/>
        <w:rPr>
          <w:sz w:val="20"/>
          <w:szCs w:val="20"/>
          <w:color w:val="auto"/>
        </w:rPr>
      </w:pPr>
    </w:p>
    <w:p>
      <w:pPr>
        <w:jc w:val="both"/>
        <w:ind w:right="60" w:firstLine="509"/>
        <w:spacing w:after="0" w:line="253" w:lineRule="auto"/>
        <w:rPr>
          <w:sz w:val="20"/>
          <w:szCs w:val="20"/>
          <w:color w:val="auto"/>
        </w:rPr>
      </w:pPr>
      <w:r>
        <w:rPr>
          <w:rFonts w:ascii="Arial" w:cs="Arial" w:eastAsia="Arial" w:hAnsi="Arial"/>
          <w:sz w:val="18"/>
          <w:szCs w:val="18"/>
          <w:color w:val="auto"/>
        </w:rPr>
        <w:t>The fair value of the stock options issued for the three and six months ended June 30, 2024 and 2023 was measured with the following weighted-average assumptions:</w:t>
      </w:r>
    </w:p>
    <w:tbl>
      <w:tblPr>
        <w:tblLayout w:type="fixed"/>
        <w:tblInd w:w="0" w:type="dxa"/>
        <w:tblCellMar>
          <w:top w:w="0" w:type="dxa"/>
          <w:left w:w="0" w:type="dxa"/>
          <w:bottom w:w="0" w:type="dxa"/>
          <w:right w:w="0" w:type="dxa"/>
        </w:tblCellMar>
      </w:tblPr>
      <w:tr>
        <w:trPr>
          <w:trHeight w:val="185"/>
        </w:trPr>
        <w:tc>
          <w:tcPr>
            <w:tcW w:w="6000" w:type="dxa"/>
            <w:vAlign w:val="bottom"/>
          </w:tcPr>
          <w:p>
            <w:pPr>
              <w:spacing w:after="0"/>
              <w:rPr>
                <w:sz w:val="16"/>
                <w:szCs w:val="16"/>
                <w:color w:val="auto"/>
              </w:rPr>
            </w:pPr>
          </w:p>
        </w:tc>
        <w:tc>
          <w:tcPr>
            <w:tcW w:w="2940" w:type="dxa"/>
            <w:vAlign w:val="bottom"/>
            <w:gridSpan w:val="5"/>
          </w:tcPr>
          <w:p>
            <w:pPr>
              <w:jc w:val="center"/>
              <w:ind w:right="150"/>
              <w:spacing w:after="0" w:line="185" w:lineRule="exact"/>
              <w:rPr>
                <w:sz w:val="20"/>
                <w:szCs w:val="20"/>
                <w:color w:val="auto"/>
              </w:rPr>
            </w:pPr>
            <w:r>
              <w:rPr>
                <w:rFonts w:ascii="Arial" w:cs="Arial" w:eastAsia="Arial" w:hAnsi="Arial"/>
                <w:sz w:val="18"/>
                <w:szCs w:val="18"/>
                <w:b w:val="1"/>
                <w:bCs w:val="1"/>
                <w:color w:val="auto"/>
                <w:w w:val="99"/>
              </w:rPr>
              <w:t>Three Months Ended</w:t>
            </w:r>
          </w:p>
        </w:tc>
        <w:tc>
          <w:tcPr>
            <w:tcW w:w="2360" w:type="dxa"/>
            <w:vAlign w:val="bottom"/>
            <w:gridSpan w:val="5"/>
          </w:tcPr>
          <w:p>
            <w:pPr>
              <w:ind w:left="320"/>
              <w:spacing w:after="0" w:line="185" w:lineRule="exact"/>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5"/>
        </w:trPr>
        <w:tc>
          <w:tcPr>
            <w:tcW w:w="6000" w:type="dxa"/>
            <w:vAlign w:val="bottom"/>
          </w:tcPr>
          <w:p>
            <w:pPr>
              <w:spacing w:after="0"/>
              <w:rPr>
                <w:sz w:val="20"/>
                <w:szCs w:val="20"/>
                <w:color w:val="auto"/>
              </w:rPr>
            </w:pPr>
          </w:p>
        </w:tc>
        <w:tc>
          <w:tcPr>
            <w:tcW w:w="1800" w:type="dxa"/>
            <w:vAlign w:val="bottom"/>
            <w:tcBorders>
              <w:bottom w:val="single" w:sz="8" w:color="auto"/>
            </w:tcBorders>
            <w:gridSpan w:val="3"/>
          </w:tcPr>
          <w:p>
            <w:pPr>
              <w:jc w:val="center"/>
              <w:ind w:left="830"/>
              <w:spacing w:after="0"/>
              <w:rPr>
                <w:sz w:val="20"/>
                <w:szCs w:val="20"/>
                <w:color w:val="auto"/>
              </w:rPr>
            </w:pPr>
            <w:r>
              <w:rPr>
                <w:rFonts w:ascii="Arial" w:cs="Arial" w:eastAsia="Arial" w:hAnsi="Arial"/>
                <w:sz w:val="18"/>
                <w:szCs w:val="18"/>
                <w:b w:val="1"/>
                <w:bCs w:val="1"/>
                <w:color w:val="auto"/>
                <w:w w:val="99"/>
              </w:rPr>
              <w:t>June 30,</w:t>
            </w:r>
          </w:p>
        </w:tc>
        <w:tc>
          <w:tcPr>
            <w:tcW w:w="9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520" w:type="dxa"/>
            <w:vAlign w:val="bottom"/>
            <w:tcBorders>
              <w:bottom w:val="single" w:sz="8" w:color="auto"/>
            </w:tcBorders>
            <w:gridSpan w:val="3"/>
          </w:tcPr>
          <w:p>
            <w:pPr>
              <w:ind w:left="740"/>
              <w:spacing w:after="0"/>
              <w:rPr>
                <w:sz w:val="20"/>
                <w:szCs w:val="20"/>
                <w:color w:val="auto"/>
              </w:rPr>
            </w:pPr>
            <w:r>
              <w:rPr>
                <w:rFonts w:ascii="Arial" w:cs="Arial" w:eastAsia="Arial" w:hAnsi="Arial"/>
                <w:sz w:val="18"/>
                <w:szCs w:val="18"/>
                <w:b w:val="1"/>
                <w:bCs w:val="1"/>
                <w:color w:val="auto"/>
              </w:rPr>
              <w:t>June 30,</w:t>
            </w:r>
          </w:p>
        </w:tc>
        <w:tc>
          <w:tcPr>
            <w:tcW w:w="6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000" w:type="dxa"/>
            <w:vAlign w:val="bottom"/>
            <w:vMerge w:val="restart"/>
          </w:tcPr>
          <w:p>
            <w:pPr>
              <w:ind w:left="20"/>
              <w:spacing w:after="0"/>
              <w:rPr>
                <w:sz w:val="20"/>
                <w:szCs w:val="20"/>
                <w:color w:val="auto"/>
              </w:rPr>
            </w:pPr>
            <w:r>
              <w:rPr>
                <w:rFonts w:ascii="Arial" w:cs="Arial" w:eastAsia="Arial" w:hAnsi="Arial"/>
                <w:sz w:val="18"/>
                <w:szCs w:val="18"/>
                <w:color w:val="auto"/>
              </w:rPr>
              <w:t>Risk-free interest rate</w:t>
            </w:r>
          </w:p>
        </w:tc>
        <w:tc>
          <w:tcPr>
            <w:tcW w:w="12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2024</w:t>
            </w:r>
          </w:p>
        </w:tc>
        <w:tc>
          <w:tcPr>
            <w:tcW w:w="2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2023</w:t>
            </w:r>
          </w:p>
        </w:tc>
        <w:tc>
          <w:tcPr>
            <w:tcW w:w="220" w:type="dxa"/>
            <w:vAlign w:val="bottom"/>
          </w:tcPr>
          <w:p>
            <w:pPr>
              <w:spacing w:after="0"/>
              <w:rPr>
                <w:sz w:val="19"/>
                <w:szCs w:val="19"/>
                <w:color w:val="auto"/>
              </w:rPr>
            </w:pPr>
          </w:p>
        </w:tc>
        <w:tc>
          <w:tcPr>
            <w:tcW w:w="104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rPr>
              <w:t>2024</w:t>
            </w:r>
          </w:p>
        </w:tc>
        <w:tc>
          <w:tcPr>
            <w:tcW w:w="340" w:type="dxa"/>
            <w:vAlign w:val="bottom"/>
            <w:vMerge w:val="restart"/>
          </w:tcPr>
          <w:p>
            <w:pPr>
              <w:jc w:val="right"/>
              <w:ind w:right="70"/>
              <w:spacing w:after="0"/>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2023</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00" w:type="dxa"/>
            <w:vAlign w:val="bottom"/>
            <w:vMerge w:val="continue"/>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4.37</w:t>
            </w:r>
          </w:p>
        </w:tc>
        <w:tc>
          <w:tcPr>
            <w:tcW w:w="24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3.69</w:t>
            </w:r>
          </w:p>
        </w:tc>
        <w:tc>
          <w:tcPr>
            <w:tcW w:w="22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3.93</w:t>
            </w:r>
          </w:p>
        </w:tc>
        <w:tc>
          <w:tcPr>
            <w:tcW w:w="34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3.57</w:t>
            </w:r>
          </w:p>
        </w:tc>
        <w:tc>
          <w:tcPr>
            <w:tcW w:w="16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30"/>
        </w:trPr>
        <w:tc>
          <w:tcPr>
            <w:tcW w:w="6000" w:type="dxa"/>
            <w:vAlign w:val="bottom"/>
          </w:tcPr>
          <w:p>
            <w:pPr>
              <w:ind w:left="20"/>
              <w:spacing w:after="0"/>
              <w:rPr>
                <w:sz w:val="20"/>
                <w:szCs w:val="20"/>
                <w:color w:val="auto"/>
              </w:rPr>
            </w:pPr>
            <w:r>
              <w:rPr>
                <w:rFonts w:ascii="Arial" w:cs="Arial" w:eastAsia="Arial" w:hAnsi="Arial"/>
                <w:sz w:val="18"/>
                <w:szCs w:val="18"/>
                <w:color w:val="auto"/>
              </w:rPr>
              <w:t>Expected term (years)</w:t>
            </w:r>
          </w:p>
        </w:tc>
        <w:tc>
          <w:tcPr>
            <w:tcW w:w="1240" w:type="dxa"/>
            <w:vAlign w:val="bottom"/>
          </w:tcPr>
          <w:p>
            <w:pPr>
              <w:jc w:val="right"/>
              <w:spacing w:after="0"/>
              <w:rPr>
                <w:sz w:val="20"/>
                <w:szCs w:val="20"/>
                <w:color w:val="auto"/>
              </w:rPr>
            </w:pPr>
            <w:r>
              <w:rPr>
                <w:rFonts w:ascii="Arial" w:cs="Arial" w:eastAsia="Arial" w:hAnsi="Arial"/>
                <w:sz w:val="18"/>
                <w:szCs w:val="18"/>
                <w:color w:val="auto"/>
              </w:rPr>
              <w:t>5.97</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5.91</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6.04</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6.02</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00" w:type="dxa"/>
            <w:vAlign w:val="bottom"/>
          </w:tcPr>
          <w:p>
            <w:pPr>
              <w:ind w:left="20"/>
              <w:spacing w:after="0"/>
              <w:rPr>
                <w:sz w:val="20"/>
                <w:szCs w:val="20"/>
                <w:color w:val="auto"/>
              </w:rPr>
            </w:pPr>
            <w:r>
              <w:rPr>
                <w:rFonts w:ascii="Arial" w:cs="Arial" w:eastAsia="Arial" w:hAnsi="Arial"/>
                <w:sz w:val="18"/>
                <w:szCs w:val="18"/>
                <w:color w:val="auto"/>
              </w:rPr>
              <w:t>Expected volatility of the underlying stock</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89.10 %</w:t>
            </w:r>
          </w:p>
        </w:tc>
        <w:tc>
          <w:tcPr>
            <w:tcW w:w="32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85.43 %</w:t>
            </w:r>
          </w:p>
        </w:tc>
        <w:tc>
          <w:tcPr>
            <w:tcW w:w="1380" w:type="dxa"/>
            <w:vAlign w:val="bottom"/>
            <w:gridSpan w:val="2"/>
          </w:tcPr>
          <w:p>
            <w:pPr>
              <w:jc w:val="right"/>
              <w:ind w:right="70"/>
              <w:spacing w:after="0"/>
              <w:rPr>
                <w:sz w:val="20"/>
                <w:szCs w:val="20"/>
                <w:color w:val="auto"/>
              </w:rPr>
            </w:pPr>
            <w:r>
              <w:rPr>
                <w:rFonts w:ascii="Arial" w:cs="Arial" w:eastAsia="Arial" w:hAnsi="Arial"/>
                <w:sz w:val="18"/>
                <w:szCs w:val="18"/>
                <w:color w:val="auto"/>
              </w:rPr>
              <w:t>88.59 %</w:t>
            </w:r>
          </w:p>
        </w:tc>
        <w:tc>
          <w:tcPr>
            <w:tcW w:w="14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84.97 %</w:t>
            </w:r>
          </w:p>
        </w:tc>
        <w:tc>
          <w:tcPr>
            <w:tcW w:w="0" w:type="dxa"/>
            <w:vAlign w:val="bottom"/>
          </w:tcPr>
          <w:p>
            <w:pPr>
              <w:spacing w:after="0"/>
              <w:rPr>
                <w:sz w:val="1"/>
                <w:szCs w:val="1"/>
                <w:color w:val="auto"/>
              </w:rPr>
            </w:pPr>
          </w:p>
        </w:tc>
      </w:tr>
      <w:tr>
        <w:trPr>
          <w:trHeight w:val="239"/>
        </w:trPr>
        <w:tc>
          <w:tcPr>
            <w:tcW w:w="6000" w:type="dxa"/>
            <w:vAlign w:val="bottom"/>
          </w:tcPr>
          <w:p>
            <w:pPr>
              <w:ind w:left="20"/>
              <w:spacing w:after="0"/>
              <w:rPr>
                <w:sz w:val="20"/>
                <w:szCs w:val="20"/>
                <w:color w:val="auto"/>
              </w:rPr>
            </w:pPr>
            <w:r>
              <w:rPr>
                <w:rFonts w:ascii="Arial" w:cs="Arial" w:eastAsia="Arial" w:hAnsi="Arial"/>
                <w:sz w:val="18"/>
                <w:szCs w:val="18"/>
                <w:color w:val="auto"/>
              </w:rPr>
              <w:t>Expected dividend rate</w:t>
            </w:r>
          </w:p>
        </w:tc>
        <w:tc>
          <w:tcPr>
            <w:tcW w:w="1800" w:type="dxa"/>
            <w:vAlign w:val="bottom"/>
            <w:gridSpan w:val="3"/>
          </w:tcPr>
          <w:p>
            <w:pPr>
              <w:jc w:val="right"/>
              <w:ind w:right="400"/>
              <w:spacing w:after="0"/>
              <w:rPr>
                <w:sz w:val="20"/>
                <w:szCs w:val="20"/>
                <w:color w:val="auto"/>
              </w:rPr>
            </w:pPr>
            <w:r>
              <w:rPr>
                <w:rFonts w:ascii="Arial" w:cs="Arial" w:eastAsia="Arial" w:hAnsi="Arial"/>
                <w:sz w:val="18"/>
                <w:szCs w:val="18"/>
                <w:color w:val="auto"/>
              </w:rPr>
              <w:t>— %</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1520" w:type="dxa"/>
            <w:vAlign w:val="bottom"/>
            <w:gridSpan w:val="3"/>
          </w:tcPr>
          <w:p>
            <w:pPr>
              <w:jc w:val="right"/>
              <w:ind w:right="300"/>
              <w:spacing w:after="0"/>
              <w:rPr>
                <w:sz w:val="20"/>
                <w:szCs w:val="20"/>
                <w:color w:val="auto"/>
              </w:rPr>
            </w:pPr>
            <w:r>
              <w:rPr>
                <w:rFonts w:ascii="Arial" w:cs="Arial" w:eastAsia="Arial" w:hAnsi="Arial"/>
                <w:sz w:val="18"/>
                <w:szCs w:val="18"/>
                <w:color w:val="auto"/>
              </w:rPr>
              <w:t>— %</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-588010</wp:posOffset>
            </wp:positionV>
            <wp:extent cx="7132320" cy="14541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1460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96" w:lineRule="exact"/>
        <w:rPr>
          <w:sz w:val="20"/>
          <w:szCs w:val="20"/>
          <w:color w:val="auto"/>
        </w:rPr>
      </w:pPr>
    </w:p>
    <w:p>
      <w:pPr>
        <w:ind w:right="80" w:firstLine="509"/>
        <w:spacing w:after="0" w:line="271" w:lineRule="auto"/>
        <w:rPr>
          <w:sz w:val="20"/>
          <w:szCs w:val="20"/>
          <w:color w:val="auto"/>
        </w:rPr>
      </w:pPr>
      <w:r>
        <w:rPr>
          <w:rFonts w:ascii="Arial" w:cs="Arial" w:eastAsia="Arial" w:hAnsi="Arial"/>
          <w:sz w:val="18"/>
          <w:szCs w:val="18"/>
          <w:color w:val="auto"/>
        </w:rPr>
        <w:t>The Company has granted restricted stock units with service-based vesting conditions. Unvested restricted stock units may not be sold or transferred by the holder.</w:t>
      </w:r>
    </w:p>
    <w:p>
      <w:pPr>
        <w:spacing w:after="0" w:line="14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summary of the restricted stock units activity during the six months ended June 30, 2024 is as follows:</w:t>
      </w:r>
    </w:p>
    <w:p>
      <w:pPr>
        <w:spacing w:after="0" w:line="212"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467995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985" w:right="27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07"/>
        </w:trPr>
        <w:tc>
          <w:tcPr>
            <w:tcW w:w="77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rPr>
              <w:t>Weighted-</w:t>
            </w:r>
          </w:p>
        </w:tc>
      </w:tr>
      <w:tr>
        <w:trPr>
          <w:trHeight w:val="203"/>
        </w:trPr>
        <w:tc>
          <w:tcPr>
            <w:tcW w:w="77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gridSpan w:val="2"/>
          </w:tcPr>
          <w:p>
            <w:pPr>
              <w:jc w:val="center"/>
              <w:ind w:right="320"/>
              <w:spacing w:after="0" w:line="202" w:lineRule="exact"/>
              <w:rPr>
                <w:sz w:val="20"/>
                <w:szCs w:val="20"/>
                <w:color w:val="auto"/>
              </w:rPr>
            </w:pPr>
            <w:r>
              <w:rPr>
                <w:rFonts w:ascii="Arial" w:cs="Arial" w:eastAsia="Arial" w:hAnsi="Arial"/>
                <w:sz w:val="18"/>
                <w:szCs w:val="18"/>
                <w:b w:val="1"/>
                <w:bCs w:val="1"/>
                <w:color w:val="auto"/>
                <w:w w:val="98"/>
              </w:rPr>
              <w:t>Average</w:t>
            </w:r>
          </w:p>
        </w:tc>
      </w:tr>
      <w:tr>
        <w:trPr>
          <w:trHeight w:val="203"/>
        </w:trPr>
        <w:tc>
          <w:tcPr>
            <w:tcW w:w="7700" w:type="dxa"/>
            <w:vAlign w:val="bottom"/>
          </w:tcPr>
          <w:p>
            <w:pPr>
              <w:spacing w:after="0"/>
              <w:rPr>
                <w:sz w:val="17"/>
                <w:szCs w:val="17"/>
                <w:color w:val="auto"/>
              </w:rPr>
            </w:pPr>
          </w:p>
        </w:tc>
        <w:tc>
          <w:tcPr>
            <w:tcW w:w="1900" w:type="dxa"/>
            <w:vAlign w:val="bottom"/>
            <w:gridSpan w:val="2"/>
          </w:tcPr>
          <w:p>
            <w:pPr>
              <w:jc w:val="right"/>
              <w:ind w:right="400"/>
              <w:spacing w:after="0" w:line="202" w:lineRule="exact"/>
              <w:rPr>
                <w:sz w:val="20"/>
                <w:szCs w:val="20"/>
                <w:color w:val="auto"/>
              </w:rPr>
            </w:pPr>
            <w:r>
              <w:rPr>
                <w:rFonts w:ascii="Arial" w:cs="Arial" w:eastAsia="Arial" w:hAnsi="Arial"/>
                <w:sz w:val="18"/>
                <w:szCs w:val="18"/>
                <w:b w:val="1"/>
                <w:bCs w:val="1"/>
                <w:color w:val="auto"/>
              </w:rPr>
              <w:t>Restricted Stock</w:t>
            </w:r>
          </w:p>
        </w:tc>
        <w:tc>
          <w:tcPr>
            <w:tcW w:w="1640" w:type="dxa"/>
            <w:vAlign w:val="bottom"/>
            <w:gridSpan w:val="3"/>
          </w:tcPr>
          <w:p>
            <w:pPr>
              <w:jc w:val="center"/>
              <w:ind w:right="180"/>
              <w:spacing w:after="0" w:line="202" w:lineRule="exact"/>
              <w:rPr>
                <w:sz w:val="20"/>
                <w:szCs w:val="20"/>
                <w:color w:val="auto"/>
              </w:rPr>
            </w:pPr>
            <w:r>
              <w:rPr>
                <w:rFonts w:ascii="Arial" w:cs="Arial" w:eastAsia="Arial" w:hAnsi="Arial"/>
                <w:sz w:val="18"/>
                <w:szCs w:val="18"/>
                <w:b w:val="1"/>
                <w:bCs w:val="1"/>
                <w:color w:val="auto"/>
                <w:w w:val="99"/>
              </w:rPr>
              <w:t>Grant Date Fair</w:t>
            </w:r>
          </w:p>
        </w:tc>
      </w:tr>
      <w:tr>
        <w:trPr>
          <w:trHeight w:val="235"/>
        </w:trPr>
        <w:tc>
          <w:tcPr>
            <w:tcW w:w="7700" w:type="dxa"/>
            <w:vAlign w:val="bottom"/>
          </w:tcPr>
          <w:p>
            <w:pPr>
              <w:spacing w:after="0"/>
              <w:rPr>
                <w:sz w:val="20"/>
                <w:szCs w:val="20"/>
                <w:color w:val="auto"/>
              </w:rPr>
            </w:pPr>
          </w:p>
        </w:tc>
        <w:tc>
          <w:tcPr>
            <w:tcW w:w="1900" w:type="dxa"/>
            <w:vAlign w:val="bottom"/>
            <w:gridSpan w:val="2"/>
          </w:tcPr>
          <w:p>
            <w:pPr>
              <w:jc w:val="right"/>
              <w:ind w:right="860"/>
              <w:spacing w:after="0"/>
              <w:rPr>
                <w:sz w:val="20"/>
                <w:szCs w:val="20"/>
                <w:color w:val="auto"/>
              </w:rPr>
            </w:pPr>
            <w:r>
              <w:rPr>
                <w:rFonts w:ascii="Arial" w:cs="Arial" w:eastAsia="Arial" w:hAnsi="Arial"/>
                <w:sz w:val="18"/>
                <w:szCs w:val="18"/>
                <w:b w:val="1"/>
                <w:bCs w:val="1"/>
                <w:color w:val="auto"/>
              </w:rPr>
              <w:t>Units</w:t>
            </w:r>
          </w:p>
        </w:tc>
        <w:tc>
          <w:tcPr>
            <w:tcW w:w="220" w:type="dxa"/>
            <w:vAlign w:val="bottom"/>
          </w:tcPr>
          <w:p>
            <w:pPr>
              <w:spacing w:after="0"/>
              <w:rPr>
                <w:sz w:val="20"/>
                <w:szCs w:val="20"/>
                <w:color w:val="auto"/>
              </w:rPr>
            </w:pPr>
          </w:p>
        </w:tc>
        <w:tc>
          <w:tcPr>
            <w:tcW w:w="14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9"/>
              </w:rPr>
              <w:t>Value</w:t>
            </w:r>
          </w:p>
        </w:tc>
      </w:tr>
      <w:tr>
        <w:trPr>
          <w:trHeight w:val="223"/>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Unvested at December 31, 2023</w:t>
            </w:r>
          </w:p>
        </w:tc>
        <w:tc>
          <w:tcPr>
            <w:tcW w:w="1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1,093,402</w:t>
            </w:r>
          </w:p>
        </w:tc>
        <w:tc>
          <w:tcPr>
            <w:tcW w:w="280" w:type="dxa"/>
            <w:vAlign w:val="bottom"/>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10.27</w:t>
            </w:r>
          </w:p>
        </w:tc>
        <w:tc>
          <w:tcPr>
            <w:tcW w:w="100" w:type="dxa"/>
            <w:vAlign w:val="bottom"/>
            <w:shd w:val="clear" w:color="auto" w:fill="CFF0FC"/>
          </w:tcPr>
          <w:p>
            <w:pPr>
              <w:spacing w:after="0"/>
              <w:rPr>
                <w:sz w:val="19"/>
                <w:szCs w:val="19"/>
                <w:color w:val="auto"/>
              </w:rPr>
            </w:pPr>
          </w:p>
        </w:tc>
      </w:tr>
      <w:tr>
        <w:trPr>
          <w:trHeight w:val="229"/>
        </w:trPr>
        <w:tc>
          <w:tcPr>
            <w:tcW w:w="7700" w:type="dxa"/>
            <w:vAlign w:val="bottom"/>
          </w:tcPr>
          <w:p>
            <w:pPr>
              <w:ind w:left="20"/>
              <w:spacing w:after="0"/>
              <w:rPr>
                <w:sz w:val="20"/>
                <w:szCs w:val="20"/>
                <w:color w:val="auto"/>
              </w:rPr>
            </w:pPr>
            <w:r>
              <w:rPr>
                <w:rFonts w:ascii="Arial" w:cs="Arial" w:eastAsia="Arial" w:hAnsi="Arial"/>
                <w:sz w:val="18"/>
                <w:szCs w:val="18"/>
                <w:color w:val="auto"/>
              </w:rPr>
              <w:t>Granted</w:t>
            </w:r>
          </w:p>
        </w:tc>
        <w:tc>
          <w:tcPr>
            <w:tcW w:w="1620" w:type="dxa"/>
            <w:vAlign w:val="bottom"/>
          </w:tcPr>
          <w:p>
            <w:pPr>
              <w:jc w:val="right"/>
              <w:spacing w:after="0"/>
              <w:rPr>
                <w:sz w:val="20"/>
                <w:szCs w:val="20"/>
                <w:color w:val="auto"/>
              </w:rPr>
            </w:pPr>
            <w:r>
              <w:rPr>
                <w:rFonts w:ascii="Arial" w:cs="Arial" w:eastAsia="Arial" w:hAnsi="Arial"/>
                <w:sz w:val="18"/>
                <w:szCs w:val="18"/>
                <w:color w:val="auto"/>
              </w:rPr>
              <w:t>887,645</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7.74</w:t>
            </w:r>
          </w:p>
        </w:tc>
        <w:tc>
          <w:tcPr>
            <w:tcW w:w="100" w:type="dxa"/>
            <w:vAlign w:val="bottom"/>
          </w:tcPr>
          <w:p>
            <w:pPr>
              <w:spacing w:after="0"/>
              <w:rPr>
                <w:sz w:val="19"/>
                <w:szCs w:val="19"/>
                <w:color w:val="auto"/>
              </w:rPr>
            </w:pPr>
          </w:p>
        </w:tc>
      </w:tr>
      <w:tr>
        <w:trPr>
          <w:trHeight w:val="230"/>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Vested/Released</w:t>
            </w:r>
          </w:p>
        </w:tc>
        <w:tc>
          <w:tcPr>
            <w:tcW w:w="19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(144,831 )</w:t>
            </w: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10.09</w:t>
            </w:r>
          </w:p>
        </w:tc>
        <w:tc>
          <w:tcPr>
            <w:tcW w:w="100" w:type="dxa"/>
            <w:vAlign w:val="bottom"/>
            <w:shd w:val="clear" w:color="auto" w:fill="CFF0FC"/>
          </w:tcPr>
          <w:p>
            <w:pPr>
              <w:spacing w:after="0"/>
              <w:rPr>
                <w:sz w:val="19"/>
                <w:szCs w:val="19"/>
                <w:color w:val="auto"/>
              </w:rPr>
            </w:pPr>
          </w:p>
        </w:tc>
      </w:tr>
      <w:tr>
        <w:trPr>
          <w:trHeight w:val="229"/>
        </w:trPr>
        <w:tc>
          <w:tcPr>
            <w:tcW w:w="7700" w:type="dxa"/>
            <w:vAlign w:val="bottom"/>
          </w:tcPr>
          <w:p>
            <w:pPr>
              <w:ind w:left="20"/>
              <w:spacing w:after="0"/>
              <w:rPr>
                <w:sz w:val="20"/>
                <w:szCs w:val="20"/>
                <w:color w:val="auto"/>
              </w:rPr>
            </w:pPr>
            <w:r>
              <w:rPr>
                <w:rFonts w:ascii="Arial" w:cs="Arial" w:eastAsia="Arial" w:hAnsi="Arial"/>
                <w:sz w:val="18"/>
                <w:szCs w:val="18"/>
                <w:color w:val="auto"/>
              </w:rPr>
              <w:t>Forfeited</w:t>
            </w:r>
          </w:p>
        </w:tc>
        <w:tc>
          <w:tcPr>
            <w:tcW w:w="1900" w:type="dxa"/>
            <w:vAlign w:val="bottom"/>
            <w:gridSpan w:val="2"/>
          </w:tcPr>
          <w:p>
            <w:pPr>
              <w:jc w:val="right"/>
              <w:ind w:right="200"/>
              <w:spacing w:after="0"/>
              <w:rPr>
                <w:sz w:val="20"/>
                <w:szCs w:val="20"/>
                <w:color w:val="auto"/>
              </w:rPr>
            </w:pPr>
            <w:r>
              <w:rPr>
                <w:rFonts w:ascii="Arial" w:cs="Arial" w:eastAsia="Arial" w:hAnsi="Arial"/>
                <w:sz w:val="18"/>
                <w:szCs w:val="18"/>
                <w:color w:val="auto"/>
              </w:rPr>
              <w:t>(77,802 )</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9.99</w:t>
            </w:r>
          </w:p>
        </w:tc>
        <w:tc>
          <w:tcPr>
            <w:tcW w:w="100" w:type="dxa"/>
            <w:vAlign w:val="bottom"/>
          </w:tcPr>
          <w:p>
            <w:pPr>
              <w:spacing w:after="0"/>
              <w:rPr>
                <w:sz w:val="19"/>
                <w:szCs w:val="19"/>
                <w:color w:val="auto"/>
              </w:rPr>
            </w:pPr>
          </w:p>
        </w:tc>
      </w:tr>
      <w:tr>
        <w:trPr>
          <w:trHeight w:val="263"/>
        </w:trPr>
        <w:tc>
          <w:tcPr>
            <w:tcW w:w="7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Unvested at June 30, 2024</w:t>
            </w:r>
          </w:p>
        </w:tc>
        <w:tc>
          <w:tcPr>
            <w:tcW w:w="1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1,758,414</w:t>
            </w:r>
          </w:p>
        </w:tc>
        <w:tc>
          <w:tcPr>
            <w:tcW w:w="28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9.02</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-24765</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-7620</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4" w:lineRule="exact"/>
        <w:rPr>
          <w:sz w:val="20"/>
          <w:szCs w:val="20"/>
          <w:color w:val="auto"/>
        </w:rPr>
      </w:pPr>
    </w:p>
    <w:p>
      <w:pPr>
        <w:ind w:right="360" w:firstLine="509"/>
        <w:spacing w:after="0" w:line="271" w:lineRule="auto"/>
        <w:rPr>
          <w:sz w:val="20"/>
          <w:szCs w:val="20"/>
          <w:color w:val="auto"/>
        </w:rPr>
      </w:pPr>
      <w:r>
        <w:rPr>
          <w:rFonts w:ascii="Arial" w:cs="Arial" w:eastAsia="Arial" w:hAnsi="Arial"/>
          <w:sz w:val="18"/>
          <w:szCs w:val="18"/>
          <w:color w:val="auto"/>
        </w:rPr>
        <w:t>As a result of the 2021 Plan, the Company granted restricted stock units which vest in increments of 25% annually over a period of four years. For the six months ended June 30, 2024, 144,831 restricted stock units vested with a fair value of $1.5 million.</w:t>
      </w: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9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recorded stock-based compensation expense as follows (in thousands):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380" w:type="dxa"/>
            <w:vAlign w:val="bottom"/>
            <w:gridSpan w:val="4"/>
          </w:tcPr>
          <w:p>
            <w:pPr>
              <w:jc w:val="right"/>
              <w:ind w:right="350"/>
              <w:spacing w:after="0"/>
              <w:rPr>
                <w:sz w:val="20"/>
                <w:szCs w:val="20"/>
                <w:color w:val="auto"/>
              </w:rPr>
            </w:pPr>
            <w:r>
              <w:rPr>
                <w:rFonts w:ascii="Arial" w:cs="Arial" w:eastAsia="Arial" w:hAnsi="Arial"/>
                <w:sz w:val="18"/>
                <w:szCs w:val="18"/>
                <w:b w:val="1"/>
                <w:bCs w:val="1"/>
                <w:color w:val="auto"/>
              </w:rPr>
              <w:t>Three Months Ended</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960" w:type="dxa"/>
            <w:vAlign w:val="bottom"/>
            <w:gridSpan w:val="4"/>
          </w:tcPr>
          <w:p>
            <w:pPr>
              <w:jc w:val="right"/>
              <w:ind w:right="210"/>
              <w:spacing w:after="0"/>
              <w:rPr>
                <w:sz w:val="20"/>
                <w:szCs w:val="20"/>
                <w:color w:val="auto"/>
              </w:rPr>
            </w:pPr>
            <w:r>
              <w:rPr>
                <w:rFonts w:ascii="Arial" w:cs="Arial" w:eastAsia="Arial" w:hAnsi="Arial"/>
                <w:sz w:val="18"/>
                <w:szCs w:val="18"/>
                <w:b w:val="1"/>
                <w:bCs w:val="1"/>
                <w:color w:val="auto"/>
              </w:rPr>
              <w:t>Six Months Ended</w:t>
            </w:r>
          </w:p>
        </w:tc>
        <w:tc>
          <w:tcPr>
            <w:tcW w:w="100" w:type="dxa"/>
            <w:vAlign w:val="bottom"/>
          </w:tcPr>
          <w:p>
            <w:pPr>
              <w:spacing w:after="0"/>
              <w:rPr>
                <w:sz w:val="17"/>
                <w:szCs w:val="17"/>
                <w:color w:val="auto"/>
              </w:rPr>
            </w:pPr>
          </w:p>
        </w:tc>
      </w:tr>
      <w:tr>
        <w:trPr>
          <w:trHeight w:val="229"/>
        </w:trPr>
        <w:tc>
          <w:tcPr>
            <w:tcW w:w="6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5"/>
        </w:trPr>
        <w:tc>
          <w:tcPr>
            <w:tcW w:w="60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2024</w:t>
            </w:r>
          </w:p>
        </w:tc>
        <w:tc>
          <w:tcPr>
            <w:tcW w:w="2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2024</w:t>
            </w:r>
          </w:p>
        </w:tc>
        <w:tc>
          <w:tcPr>
            <w:tcW w:w="2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4"/>
              </w:rPr>
              <w:t>2023</w:t>
            </w:r>
          </w:p>
        </w:tc>
        <w:tc>
          <w:tcPr>
            <w:tcW w:w="100" w:type="dxa"/>
            <w:vAlign w:val="bottom"/>
          </w:tcPr>
          <w:p>
            <w:pPr>
              <w:spacing w:after="0"/>
              <w:rPr>
                <w:sz w:val="20"/>
                <w:szCs w:val="20"/>
                <w:color w:val="auto"/>
              </w:rPr>
            </w:pPr>
          </w:p>
        </w:tc>
      </w:tr>
      <w:tr>
        <w:trPr>
          <w:trHeight w:val="223"/>
        </w:trPr>
        <w:tc>
          <w:tcPr>
            <w:tcW w:w="602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Research and development</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1,541</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709</w:t>
            </w:r>
          </w:p>
        </w:tc>
        <w:tc>
          <w:tcPr>
            <w:tcW w:w="100" w:type="dxa"/>
            <w:vAlign w:val="bottom"/>
            <w:shd w:val="clear" w:color="auto" w:fill="CFF0FC"/>
          </w:tcPr>
          <w:p>
            <w:pPr>
              <w:spacing w:after="0"/>
              <w:rPr>
                <w:sz w:val="19"/>
                <w:szCs w:val="19"/>
                <w:color w:val="auto"/>
              </w:rPr>
            </w:pPr>
          </w:p>
        </w:tc>
        <w:tc>
          <w:tcPr>
            <w:tcW w:w="240" w:type="dxa"/>
            <w:vAlign w:val="bottom"/>
            <w:shd w:val="clear" w:color="auto" w:fill="CCECFF"/>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3,019</w:t>
            </w:r>
          </w:p>
        </w:tc>
        <w:tc>
          <w:tcPr>
            <w:tcW w:w="2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1,476</w:t>
            </w:r>
          </w:p>
        </w:tc>
        <w:tc>
          <w:tcPr>
            <w:tcW w:w="100" w:type="dxa"/>
            <w:vAlign w:val="bottom"/>
            <w:shd w:val="clear" w:color="auto" w:fill="CFF0FC"/>
          </w:tcPr>
          <w:p>
            <w:pPr>
              <w:spacing w:after="0"/>
              <w:rPr>
                <w:sz w:val="19"/>
                <w:szCs w:val="19"/>
                <w:color w:val="auto"/>
              </w:rPr>
            </w:pPr>
          </w:p>
        </w:tc>
      </w:tr>
      <w:tr>
        <w:trPr>
          <w:trHeight w:val="229"/>
        </w:trPr>
        <w:tc>
          <w:tcPr>
            <w:tcW w:w="602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1,585</w:t>
            </w:r>
          </w:p>
        </w:tc>
        <w:tc>
          <w:tcPr>
            <w:tcW w:w="2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3,016</w:t>
            </w:r>
          </w:p>
        </w:tc>
        <w:tc>
          <w:tcPr>
            <w:tcW w:w="2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2,368</w:t>
            </w:r>
          </w:p>
        </w:tc>
        <w:tc>
          <w:tcPr>
            <w:tcW w:w="100" w:type="dxa"/>
            <w:vAlign w:val="bottom"/>
          </w:tcPr>
          <w:p>
            <w:pPr>
              <w:spacing w:after="0"/>
              <w:rPr>
                <w:sz w:val="19"/>
                <w:szCs w:val="19"/>
                <w:color w:val="auto"/>
              </w:rPr>
            </w:pPr>
          </w:p>
        </w:tc>
      </w:tr>
      <w:tr>
        <w:trPr>
          <w:trHeight w:val="263"/>
        </w:trPr>
        <w:tc>
          <w:tcPr>
            <w:tcW w:w="60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3,126</w:t>
            </w:r>
          </w:p>
        </w:tc>
        <w:tc>
          <w:tcPr>
            <w:tcW w:w="26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1,931</w:t>
            </w:r>
          </w:p>
        </w:tc>
        <w:tc>
          <w:tcPr>
            <w:tcW w:w="10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CCECFF"/>
            </w:tcBorders>
            <w:shd w:val="clear" w:color="auto" w:fill="CCECFF"/>
          </w:tcPr>
          <w:p>
            <w:pPr>
              <w:spacing w:after="0"/>
              <w:rPr>
                <w:sz w:val="22"/>
                <w:szCs w:val="22"/>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6,035</w:t>
            </w:r>
          </w:p>
        </w:tc>
        <w:tc>
          <w:tcPr>
            <w:tcW w:w="24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3,844</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-24765</wp:posOffset>
            </wp:positionV>
            <wp:extent cx="7747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-7620</wp:posOffset>
            </wp:positionV>
            <wp:extent cx="7747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-24765</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-7620</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-24765</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-7620</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4"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As of June 30, 2024, there was $17.7 million of unrecognized compensation expense related to stock options, which is expected to be recognized over a weighted-average period of 2.66 years.</w:t>
      </w:r>
    </w:p>
    <w:p>
      <w:pPr>
        <w:spacing w:after="0" w:line="140"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As of June 30, 2024, there was $13.5 million of unrecognized compensation expense related to restricted stock units, which is expected to be recognized over a weighted-average period of 3.11 years.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Common Stock Warrants</w:t>
      </w:r>
    </w:p>
    <w:p>
      <w:pPr>
        <w:spacing w:after="0" w:line="63"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In February 2015 and May 2015, the Company issued warrants to purchase 1,650,098 and 887,536 shares of Series B convertible preferred stock, respectively, at an exercise price of $1.24235 per share (the “Series B Warrants”). Each Series B Warrant was immediately exercisable and expires ten years from the original date of issuance. Pursuant to FASB ASC Topic 480, Distinguishing Liabilities from Equity, the Series B Warrants were classified as a liability and were re-measured to fair value at each balance sheet date. A total of 173,827 of the Series B Warrants were outstanding and were converted into warrants to purchase 12,686 shares of common stock with an exercise price of $17.03 upon the completion of the IPO in November 2021. As a result, the 12,686 common stock warrants were converted into equity instruments and remain outstanding as of June 30, 2024.</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Compensation</w:t>
      </w:r>
    </w:p>
    <w:p>
      <w:pPr>
        <w:spacing w:after="0" w:line="77"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In January 2012, the Company adopted the Aura Biosciences 401(k) Profit Sharing Plan and Trust (the “401(k) Plan”) for its employees, which is designed to be qualified under Section 401(k) of the Internal Revenue Code. Eligible employees are permitted to contribute to the 401(k) Plan within statutory and 401(k) Plan limits. The Company makes matching contributions of 100% of the first 6% of employee contributions. The Company made matching contributions in the amount of $0.2 million for the three months ended June 30, 2024 and 2023. The Company made matching contributions in the amount of $0.4 million for the six months ended June 30, 2024 and 2023.</w:t>
      </w:r>
    </w:p>
    <w:p>
      <w:pPr>
        <w:spacing w:after="0" w:line="176" w:lineRule="exact"/>
        <w:rPr>
          <w:sz w:val="20"/>
          <w:szCs w:val="20"/>
          <w:color w:val="auto"/>
        </w:rPr>
      </w:pPr>
    </w:p>
    <w:p>
      <w:pPr>
        <w:ind w:left="520" w:right="8080" w:hanging="512"/>
        <w:spacing w:after="0" w:line="331" w:lineRule="auto"/>
        <w:tabs>
          <w:tab w:leader="none" w:pos="311" w:val="left"/>
        </w:tabs>
        <w:numPr>
          <w:ilvl w:val="0"/>
          <w:numId w:val="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Commitments and Contingencies </w:t>
      </w:r>
      <w:r>
        <w:rPr>
          <w:rFonts w:ascii="Arial" w:cs="Arial" w:eastAsia="Arial" w:hAnsi="Arial"/>
          <w:sz w:val="17"/>
          <w:szCs w:val="17"/>
          <w:b w:val="1"/>
          <w:bCs w:val="1"/>
          <w:i w:val="1"/>
          <w:iCs w:val="1"/>
          <w:color w:val="auto"/>
        </w:rPr>
        <w:t>Lease Commitments</w:t>
      </w:r>
    </w:p>
    <w:p>
      <w:pPr>
        <w:spacing w:after="0" w:line="1" w:lineRule="exact"/>
        <w:rPr>
          <w:sz w:val="20"/>
          <w:szCs w:val="20"/>
          <w:color w:val="auto"/>
        </w:rPr>
      </w:pPr>
    </w:p>
    <w:p>
      <w:pPr>
        <w:ind w:right="20" w:firstLine="509"/>
        <w:spacing w:after="0" w:line="271" w:lineRule="auto"/>
        <w:rPr>
          <w:sz w:val="20"/>
          <w:szCs w:val="20"/>
          <w:color w:val="auto"/>
        </w:rPr>
      </w:pPr>
      <w:r>
        <w:rPr>
          <w:rFonts w:ascii="Arial" w:cs="Arial" w:eastAsia="Arial" w:hAnsi="Arial"/>
          <w:sz w:val="18"/>
          <w:szCs w:val="18"/>
          <w:color w:val="auto"/>
        </w:rPr>
        <w:t>The Company has historically entered into lease arrangements for its facilities. The Company has one operating lease for its office and laboratory facility with required future minimum payments as of June 30, 2024.</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467995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4" w:right="339" w:bottom="1440" w:gutter="0" w:footer="0" w:header="0"/>
        </w:sectPr>
      </w:pPr>
    </w:p>
    <w:bookmarkStart w:id="15" w:name="page16"/>
    <w:bookmarkEnd w:id="15"/>
    <w:p>
      <w:pPr>
        <w:jc w:val="both"/>
        <w:ind w:right="60" w:firstLine="509"/>
        <w:spacing w:after="0" w:line="242" w:lineRule="auto"/>
        <w:rPr>
          <w:sz w:val="20"/>
          <w:szCs w:val="20"/>
          <w:color w:val="auto"/>
        </w:rPr>
      </w:pPr>
      <w:r>
        <w:rPr>
          <w:rFonts w:ascii="Arial" w:cs="Arial" w:eastAsia="Arial" w:hAnsi="Arial"/>
          <w:sz w:val="18"/>
          <w:szCs w:val="18"/>
          <w:color w:val="auto"/>
        </w:rPr>
        <w:t>On May 16, 2022, the Company entered into an office and laboratory lease in Boston, Massachusetts with an initial 10-year term and one renewal option to extend the lease for an additional seven years. The lease commenced on August 1, 2022, and estimated payments due under the initial term total $35.2 million. The lease requires a letter of credit totaling $0.8 million which is classified as long-term restricted cash and deposits on the consolidated balance sheet. The landlord will reimburse the Company up to $0.5 million for certain costs related to expansion of the laboratory space. As of June 30, 2024, the Company has incurred $0.5 million of expenses related to the expansion, and has been reimbursed $0.1 million for these expenses.</w:t>
      </w:r>
    </w:p>
    <w:p>
      <w:pPr>
        <w:spacing w:after="0" w:line="17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contains a summary of the lease costs recognized under ASC 842 and other information pertaining to the</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Company’s leases for the three and six months ended June 30, 2024 and 2023 (in thousands):</w:t>
      </w:r>
    </w:p>
    <w:tbl>
      <w:tblPr>
        <w:tblLayout w:type="fixed"/>
        <w:tblInd w:w="0" w:type="dxa"/>
        <w:tblCellMar>
          <w:top w:w="0" w:type="dxa"/>
          <w:left w:w="0" w:type="dxa"/>
          <w:bottom w:w="0" w:type="dxa"/>
          <w:right w:w="0" w:type="dxa"/>
        </w:tblCellMar>
      </w:tblPr>
      <w:tr>
        <w:trPr>
          <w:trHeight w:val="194"/>
        </w:trPr>
        <w:tc>
          <w:tcPr>
            <w:tcW w:w="5220" w:type="dxa"/>
            <w:vAlign w:val="bottom"/>
          </w:tcPr>
          <w:p>
            <w:pPr>
              <w:spacing w:after="0"/>
              <w:rPr>
                <w:sz w:val="16"/>
                <w:szCs w:val="16"/>
                <w:color w:val="auto"/>
              </w:rPr>
            </w:pPr>
          </w:p>
        </w:tc>
        <w:tc>
          <w:tcPr>
            <w:tcW w:w="2700" w:type="dxa"/>
            <w:vAlign w:val="bottom"/>
            <w:gridSpan w:val="4"/>
          </w:tcPr>
          <w:p>
            <w:pPr>
              <w:jc w:val="right"/>
              <w:ind w:right="130"/>
              <w:spacing w:after="0" w:line="194" w:lineRule="exact"/>
              <w:rPr>
                <w:sz w:val="20"/>
                <w:szCs w:val="20"/>
                <w:color w:val="auto"/>
              </w:rPr>
            </w:pPr>
            <w:r>
              <w:rPr>
                <w:rFonts w:ascii="Arial" w:cs="Arial" w:eastAsia="Arial" w:hAnsi="Arial"/>
                <w:sz w:val="18"/>
                <w:szCs w:val="18"/>
                <w:b w:val="1"/>
                <w:bCs w:val="1"/>
                <w:color w:val="auto"/>
              </w:rPr>
              <w:t>Three Months Ended</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360" w:type="dxa"/>
            <w:vAlign w:val="bottom"/>
            <w:gridSpan w:val="6"/>
          </w:tcPr>
          <w:p>
            <w:pPr>
              <w:jc w:val="right"/>
              <w:ind w:right="580"/>
              <w:spacing w:after="0" w:line="194" w:lineRule="exact"/>
              <w:rPr>
                <w:sz w:val="20"/>
                <w:szCs w:val="20"/>
                <w:color w:val="auto"/>
              </w:rPr>
            </w:pPr>
            <w:r>
              <w:rPr>
                <w:rFonts w:ascii="Arial" w:cs="Arial" w:eastAsia="Arial" w:hAnsi="Arial"/>
                <w:sz w:val="18"/>
                <w:szCs w:val="18"/>
                <w:b w:val="1"/>
                <w:bCs w:val="1"/>
                <w:color w:val="auto"/>
              </w:rPr>
              <w:t>Six Months Ended</w:t>
            </w:r>
          </w:p>
        </w:tc>
      </w:tr>
      <w:tr>
        <w:trPr>
          <w:trHeight w:val="229"/>
        </w:trPr>
        <w:tc>
          <w:tcPr>
            <w:tcW w:w="5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720" w:type="dxa"/>
            <w:vAlign w:val="bottom"/>
            <w:gridSpan w:val="3"/>
          </w:tcPr>
          <w:p>
            <w:pPr>
              <w:jc w:val="right"/>
              <w:ind w:right="650"/>
              <w:spacing w:after="0"/>
              <w:rPr>
                <w:sz w:val="20"/>
                <w:szCs w:val="20"/>
                <w:color w:val="auto"/>
              </w:rPr>
            </w:pPr>
            <w:r>
              <w:rPr>
                <w:rFonts w:ascii="Arial" w:cs="Arial" w:eastAsia="Arial" w:hAnsi="Arial"/>
                <w:sz w:val="18"/>
                <w:szCs w:val="18"/>
                <w:b w:val="1"/>
                <w:bCs w:val="1"/>
                <w:color w:val="auto"/>
              </w:rPr>
              <w:t>June 30,</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5"/>
        </w:trPr>
        <w:tc>
          <w:tcPr>
            <w:tcW w:w="5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2024</w:t>
            </w:r>
          </w:p>
        </w:tc>
        <w:tc>
          <w:tcPr>
            <w:tcW w:w="500" w:type="dxa"/>
            <w:vAlign w:val="bottom"/>
          </w:tcPr>
          <w:p>
            <w:pPr>
              <w:spacing w:after="0"/>
              <w:rPr>
                <w:sz w:val="20"/>
                <w:szCs w:val="20"/>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b w:val="1"/>
                <w:bCs w:val="1"/>
                <w:color w:val="auto"/>
              </w:rPr>
              <w:t>2023</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210"/>
              <w:spacing w:after="0"/>
              <w:rPr>
                <w:sz w:val="20"/>
                <w:szCs w:val="20"/>
                <w:color w:val="auto"/>
              </w:rPr>
            </w:pPr>
            <w:r>
              <w:rPr>
                <w:rFonts w:ascii="Arial" w:cs="Arial" w:eastAsia="Arial" w:hAnsi="Arial"/>
                <w:sz w:val="18"/>
                <w:szCs w:val="18"/>
                <w:b w:val="1"/>
                <w:bCs w:val="1"/>
                <w:color w:val="auto"/>
              </w:rPr>
              <w:t>2024</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23"/>
        </w:trPr>
        <w:tc>
          <w:tcPr>
            <w:tcW w:w="52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Lease Cost</w:t>
            </w:r>
          </w:p>
        </w:tc>
        <w:tc>
          <w:tcPr>
            <w:tcW w:w="980" w:type="dxa"/>
            <w:vAlign w:val="bottom"/>
            <w:tcBorders>
              <w:top w:val="single" w:sz="8" w:color="auto"/>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50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tcPr>
          <w:p>
            <w:pPr>
              <w:spacing w:after="0"/>
              <w:rPr>
                <w:sz w:val="19"/>
                <w:szCs w:val="19"/>
                <w:color w:val="auto"/>
              </w:rPr>
            </w:pPr>
          </w:p>
        </w:tc>
      </w:tr>
      <w:tr>
        <w:trPr>
          <w:trHeight w:val="229"/>
        </w:trPr>
        <w:tc>
          <w:tcPr>
            <w:tcW w:w="5220" w:type="dxa"/>
            <w:vAlign w:val="bottom"/>
          </w:tcPr>
          <w:p>
            <w:pPr>
              <w:ind w:left="20"/>
              <w:spacing w:after="0"/>
              <w:rPr>
                <w:sz w:val="20"/>
                <w:szCs w:val="20"/>
                <w:color w:val="auto"/>
              </w:rPr>
            </w:pPr>
            <w:r>
              <w:rPr>
                <w:rFonts w:ascii="Arial" w:cs="Arial" w:eastAsia="Arial" w:hAnsi="Arial"/>
                <w:sz w:val="18"/>
                <w:szCs w:val="18"/>
                <w:color w:val="auto"/>
              </w:rPr>
              <w:t>Operating lease costs</w:t>
            </w:r>
          </w:p>
        </w:tc>
        <w:tc>
          <w:tcPr>
            <w:tcW w:w="980" w:type="dxa"/>
            <w:vAlign w:val="bottom"/>
          </w:tcPr>
          <w:p>
            <w:pPr>
              <w:jc w:val="right"/>
              <w:ind w:right="770"/>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867</w:t>
            </w:r>
          </w:p>
        </w:tc>
        <w:tc>
          <w:tcPr>
            <w:tcW w:w="1220" w:type="dxa"/>
            <w:vAlign w:val="bottom"/>
            <w:gridSpan w:val="2"/>
          </w:tcPr>
          <w:p>
            <w:pPr>
              <w:jc w:val="right"/>
              <w:ind w:right="77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881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1,776</w:t>
            </w:r>
          </w:p>
        </w:tc>
        <w:tc>
          <w:tcPr>
            <w:tcW w:w="5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1,761</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0"/>
        </w:trPr>
        <w:tc>
          <w:tcPr>
            <w:tcW w:w="5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Variable lease costs</w:t>
            </w:r>
          </w:p>
        </w:tc>
        <w:tc>
          <w:tcPr>
            <w:tcW w:w="98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279</w:t>
            </w: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w:t>
            </w:r>
          </w:p>
        </w:tc>
        <w:tc>
          <w:tcPr>
            <w:tcW w:w="100" w:type="dxa"/>
            <w:vAlign w:val="bottom"/>
            <w:shd w:val="clear" w:color="auto" w:fill="CFF0FC"/>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640</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443</w:t>
            </w:r>
          </w:p>
        </w:tc>
        <w:tc>
          <w:tcPr>
            <w:tcW w:w="100" w:type="dxa"/>
            <w:vAlign w:val="bottom"/>
            <w:shd w:val="clear" w:color="auto" w:fill="CFF0FC"/>
          </w:tcPr>
          <w:p>
            <w:pPr>
              <w:spacing w:after="0"/>
              <w:rPr>
                <w:sz w:val="19"/>
                <w:szCs w:val="19"/>
                <w:color w:val="auto"/>
              </w:rPr>
            </w:pPr>
          </w:p>
        </w:tc>
        <w:tc>
          <w:tcPr>
            <w:tcW w:w="60" w:type="dxa"/>
            <w:vAlign w:val="bottom"/>
          </w:tcPr>
          <w:p>
            <w:pPr>
              <w:spacing w:after="0"/>
              <w:rPr>
                <w:sz w:val="19"/>
                <w:szCs w:val="19"/>
                <w:color w:val="auto"/>
              </w:rPr>
            </w:pPr>
          </w:p>
        </w:tc>
      </w:tr>
      <w:tr>
        <w:trPr>
          <w:trHeight w:val="229"/>
        </w:trPr>
        <w:tc>
          <w:tcPr>
            <w:tcW w:w="5220" w:type="dxa"/>
            <w:vAlign w:val="bottom"/>
          </w:tcPr>
          <w:p>
            <w:pPr>
              <w:ind w:left="20"/>
              <w:spacing w:after="0"/>
              <w:rPr>
                <w:sz w:val="20"/>
                <w:szCs w:val="20"/>
                <w:color w:val="auto"/>
              </w:rPr>
            </w:pPr>
            <w:r>
              <w:rPr>
                <w:rFonts w:ascii="Arial" w:cs="Arial" w:eastAsia="Arial" w:hAnsi="Arial"/>
                <w:sz w:val="18"/>
                <w:szCs w:val="18"/>
                <w:color w:val="auto"/>
              </w:rPr>
              <w:t>Short-term lease costs</w:t>
            </w:r>
          </w:p>
        </w:tc>
        <w:tc>
          <w:tcPr>
            <w:tcW w:w="9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63"/>
        </w:trPr>
        <w:tc>
          <w:tcPr>
            <w:tcW w:w="52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lease costs</w:t>
            </w:r>
          </w:p>
        </w:tc>
        <w:tc>
          <w:tcPr>
            <w:tcW w:w="980" w:type="dxa"/>
            <w:vAlign w:val="bottom"/>
            <w:tcBorders>
              <w:bottom w:val="single" w:sz="8" w:color="auto"/>
            </w:tcBorders>
            <w:shd w:val="clear" w:color="auto" w:fill="CFF0FC"/>
          </w:tcPr>
          <w:p>
            <w:pPr>
              <w:jc w:val="right"/>
              <w:ind w:right="77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1,146</w:t>
            </w:r>
          </w:p>
        </w:tc>
        <w:tc>
          <w:tcPr>
            <w:tcW w:w="240" w:type="dxa"/>
            <w:vAlign w:val="bottom"/>
            <w:tcBorders>
              <w:bottom w:val="single" w:sz="8" w:color="CFF0FC"/>
            </w:tcBorders>
            <w:shd w:val="clear" w:color="auto" w:fill="CFF0FC"/>
          </w:tcPr>
          <w:p>
            <w:pPr>
              <w:spacing w:after="0"/>
              <w:rPr>
                <w:sz w:val="22"/>
                <w:szCs w:val="22"/>
                <w:color w:val="auto"/>
              </w:rPr>
            </w:pPr>
          </w:p>
        </w:tc>
        <w:tc>
          <w:tcPr>
            <w:tcW w:w="980" w:type="dxa"/>
            <w:vAlign w:val="bottom"/>
            <w:tcBorders>
              <w:bottom w:val="single" w:sz="8" w:color="auto"/>
            </w:tcBorders>
            <w:shd w:val="clear" w:color="auto" w:fill="CFF0FC"/>
          </w:tcPr>
          <w:p>
            <w:pPr>
              <w:jc w:val="right"/>
              <w:ind w:right="77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1,100</w:t>
            </w:r>
          </w:p>
        </w:tc>
        <w:tc>
          <w:tcPr>
            <w:tcW w:w="100" w:type="dxa"/>
            <w:vAlign w:val="bottom"/>
            <w:tcBorders>
              <w:bottom w:val="single" w:sz="8" w:color="CFF0FC"/>
            </w:tcBorders>
            <w:shd w:val="clear" w:color="auto" w:fill="CFF0FC"/>
          </w:tcPr>
          <w:p>
            <w:pPr>
              <w:spacing w:after="0"/>
              <w:rPr>
                <w:sz w:val="22"/>
                <w:szCs w:val="22"/>
                <w:color w:val="auto"/>
              </w:rPr>
            </w:pPr>
          </w:p>
        </w:tc>
        <w:tc>
          <w:tcPr>
            <w:tcW w:w="200" w:type="dxa"/>
            <w:vAlign w:val="bottom"/>
          </w:tcPr>
          <w:p>
            <w:pPr>
              <w:spacing w:after="0"/>
              <w:rPr>
                <w:sz w:val="22"/>
                <w:szCs w:val="22"/>
                <w:color w:val="auto"/>
              </w:rPr>
            </w:pPr>
          </w:p>
        </w:tc>
        <w:tc>
          <w:tcPr>
            <w:tcW w:w="2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2,416</w:t>
            </w:r>
          </w:p>
        </w:tc>
        <w:tc>
          <w:tcPr>
            <w:tcW w:w="260" w:type="dxa"/>
            <w:vAlign w:val="bottom"/>
            <w:tcBorders>
              <w:bottom w:val="single" w:sz="8" w:color="CFF0FC"/>
            </w:tcBorders>
            <w:shd w:val="clear" w:color="auto" w:fill="CFF0FC"/>
          </w:tcPr>
          <w:p>
            <w:pPr>
              <w:spacing w:after="0"/>
              <w:rPr>
                <w:sz w:val="22"/>
                <w:szCs w:val="22"/>
                <w:color w:val="auto"/>
              </w:rPr>
            </w:pP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2,208</w:t>
            </w:r>
          </w:p>
        </w:tc>
        <w:tc>
          <w:tcPr>
            <w:tcW w:w="100" w:type="dxa"/>
            <w:vAlign w:val="bottom"/>
            <w:tcBorders>
              <w:bottom w:val="single" w:sz="8" w:color="CFF0FC"/>
            </w:tcBorders>
            <w:shd w:val="clear" w:color="auto" w:fill="CFF0FC"/>
          </w:tcPr>
          <w:p>
            <w:pPr>
              <w:spacing w:after="0"/>
              <w:rPr>
                <w:sz w:val="22"/>
                <w:szCs w:val="22"/>
                <w:color w:val="auto"/>
              </w:rPr>
            </w:pPr>
          </w:p>
        </w:tc>
        <w:tc>
          <w:tcPr>
            <w:tcW w:w="60" w:type="dxa"/>
            <w:vAlign w:val="bottom"/>
          </w:tcPr>
          <w:p>
            <w:pPr>
              <w:spacing w:after="0"/>
              <w:rPr>
                <w:sz w:val="22"/>
                <w:szCs w:val="22"/>
                <w:color w:val="auto"/>
              </w:rPr>
            </w:pPr>
          </w:p>
        </w:tc>
      </w:tr>
      <w:tr>
        <w:trPr>
          <w:trHeight w:val="386"/>
        </w:trPr>
        <w:tc>
          <w:tcPr>
            <w:tcW w:w="5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97"/>
        </w:trPr>
        <w:tc>
          <w:tcPr>
            <w:tcW w:w="5220" w:type="dxa"/>
            <w:vAlign w:val="bottom"/>
            <w:shd w:val="clear" w:color="auto" w:fill="CFF0FC"/>
          </w:tcPr>
          <w:p>
            <w:pPr>
              <w:ind w:left="20"/>
              <w:spacing w:after="0" w:line="197" w:lineRule="exact"/>
              <w:rPr>
                <w:sz w:val="20"/>
                <w:szCs w:val="20"/>
                <w:color w:val="auto"/>
              </w:rPr>
            </w:pPr>
            <w:r>
              <w:rPr>
                <w:rFonts w:ascii="Arial" w:cs="Arial" w:eastAsia="Arial" w:hAnsi="Arial"/>
                <w:sz w:val="18"/>
                <w:szCs w:val="18"/>
                <w:color w:val="auto"/>
              </w:rPr>
              <w:t>Cash paid for amounts included in the measurement of</w:t>
            </w:r>
          </w:p>
        </w:tc>
        <w:tc>
          <w:tcPr>
            <w:tcW w:w="98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tcPr>
          <w:p>
            <w:pPr>
              <w:spacing w:after="0"/>
              <w:rPr>
                <w:sz w:val="17"/>
                <w:szCs w:val="17"/>
                <w:color w:val="auto"/>
              </w:rPr>
            </w:pPr>
          </w:p>
        </w:tc>
      </w:tr>
      <w:tr>
        <w:trPr>
          <w:trHeight w:val="235"/>
        </w:trPr>
        <w:tc>
          <w:tcPr>
            <w:tcW w:w="5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lease liabilities—operating leases</w:t>
            </w:r>
          </w:p>
        </w:tc>
        <w:tc>
          <w:tcPr>
            <w:tcW w:w="98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6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1,585</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1,537</w:t>
            </w: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197"/>
        </w:trPr>
        <w:tc>
          <w:tcPr>
            <w:tcW w:w="5220" w:type="dxa"/>
            <w:vAlign w:val="bottom"/>
          </w:tcPr>
          <w:p>
            <w:pPr>
              <w:ind w:left="20"/>
              <w:spacing w:after="0" w:line="197" w:lineRule="exact"/>
              <w:rPr>
                <w:sz w:val="20"/>
                <w:szCs w:val="20"/>
                <w:color w:val="auto"/>
              </w:rPr>
            </w:pPr>
            <w:r>
              <w:rPr>
                <w:rFonts w:ascii="Arial" w:cs="Arial" w:eastAsia="Arial" w:hAnsi="Arial"/>
                <w:sz w:val="18"/>
                <w:szCs w:val="18"/>
                <w:color w:val="auto"/>
              </w:rPr>
              <w:t>Weighted-average remaining lease term—operating leases</w:t>
            </w:r>
          </w:p>
        </w:tc>
        <w:tc>
          <w:tcPr>
            <w:tcW w:w="9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5"/>
        </w:trPr>
        <w:tc>
          <w:tcPr>
            <w:tcW w:w="5220" w:type="dxa"/>
            <w:vAlign w:val="bottom"/>
          </w:tcPr>
          <w:p>
            <w:pPr>
              <w:ind w:left="20"/>
              <w:spacing w:after="0"/>
              <w:rPr>
                <w:sz w:val="20"/>
                <w:szCs w:val="20"/>
                <w:color w:val="auto"/>
              </w:rPr>
            </w:pPr>
            <w:r>
              <w:rPr>
                <w:rFonts w:ascii="Arial" w:cs="Arial" w:eastAsia="Arial" w:hAnsi="Arial"/>
                <w:sz w:val="18"/>
                <w:szCs w:val="18"/>
                <w:color w:val="auto"/>
              </w:rPr>
              <w:t>(years)</w:t>
            </w:r>
          </w:p>
        </w:tc>
        <w:tc>
          <w:tcPr>
            <w:tcW w:w="9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90"/>
              <w:spacing w:after="0"/>
              <w:rPr>
                <w:sz w:val="20"/>
                <w:szCs w:val="20"/>
                <w:color w:val="auto"/>
              </w:rPr>
            </w:pPr>
            <w:r>
              <w:rPr>
                <w:rFonts w:ascii="Arial" w:cs="Arial" w:eastAsia="Arial" w:hAnsi="Arial"/>
                <w:sz w:val="18"/>
                <w:szCs w:val="18"/>
                <w:color w:val="auto"/>
              </w:rPr>
              <w:t>8.09</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9.09</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29"/>
        </w:trPr>
        <w:tc>
          <w:tcPr>
            <w:tcW w:w="5220" w:type="dxa"/>
            <w:vAlign w:val="bottom"/>
          </w:tcPr>
          <w:p>
            <w:pPr>
              <w:ind w:left="20"/>
              <w:spacing w:after="0"/>
              <w:rPr>
                <w:sz w:val="20"/>
                <w:szCs w:val="20"/>
                <w:color w:val="auto"/>
              </w:rPr>
            </w:pPr>
            <w:r>
              <w:rPr>
                <w:rFonts w:ascii="Arial" w:cs="Arial" w:eastAsia="Arial" w:hAnsi="Arial"/>
                <w:sz w:val="18"/>
                <w:szCs w:val="18"/>
                <w:color w:val="auto"/>
              </w:rPr>
              <w:t>Weighted-average discount rate—operating leases</w:t>
            </w:r>
          </w:p>
        </w:tc>
        <w:tc>
          <w:tcPr>
            <w:tcW w:w="9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10.71 %</w:t>
            </w:r>
          </w:p>
        </w:tc>
        <w:tc>
          <w:tcPr>
            <w:tcW w:w="2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10.71 %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4248150</wp:posOffset>
            </wp:positionH>
            <wp:positionV relativeFrom="paragraph">
              <wp:posOffset>-976630</wp:posOffset>
            </wp:positionV>
            <wp:extent cx="7683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-959485</wp:posOffset>
            </wp:positionV>
            <wp:extent cx="7683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-976630</wp:posOffset>
            </wp:positionV>
            <wp:extent cx="6858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5345430</wp:posOffset>
            </wp:positionH>
            <wp:positionV relativeFrom="paragraph">
              <wp:posOffset>-959485</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-976630</wp:posOffset>
            </wp:positionV>
            <wp:extent cx="6858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-959485</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-976630</wp:posOffset>
            </wp:positionV>
            <wp:extent cx="6858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-959485</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-144780</wp:posOffset>
            </wp:positionV>
            <wp:extent cx="7132320" cy="14541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4" w:lineRule="exact"/>
        <w:rPr>
          <w:sz w:val="20"/>
          <w:szCs w:val="20"/>
          <w:color w:val="auto"/>
        </w:rPr>
      </w:pPr>
    </w:p>
    <w:p>
      <w:pPr>
        <w:jc w:val="both"/>
        <w:ind w:right="60" w:firstLine="509"/>
        <w:spacing w:after="0" w:line="253" w:lineRule="auto"/>
        <w:rPr>
          <w:sz w:val="20"/>
          <w:szCs w:val="20"/>
          <w:color w:val="auto"/>
        </w:rPr>
      </w:pPr>
      <w:r>
        <w:rPr>
          <w:rFonts w:ascii="Arial" w:cs="Arial" w:eastAsia="Arial" w:hAnsi="Arial"/>
          <w:sz w:val="18"/>
          <w:szCs w:val="18"/>
          <w:color w:val="auto"/>
        </w:rPr>
        <w:t>The following table reconciles the future minimum commitments to the Company’s operating lease liabilities at June 30, 2024 (in thousands):</w:t>
      </w:r>
    </w:p>
    <w:tbl>
      <w:tblPr>
        <w:tblLayout w:type="fixed"/>
        <w:tblInd w:w="0" w:type="dxa"/>
        <w:tblCellMar>
          <w:top w:w="0" w:type="dxa"/>
          <w:left w:w="0" w:type="dxa"/>
          <w:bottom w:w="0" w:type="dxa"/>
          <w:right w:w="0" w:type="dxa"/>
        </w:tblCellMar>
      </w:tblPr>
      <w:tr>
        <w:trPr>
          <w:trHeight w:val="185"/>
        </w:trPr>
        <w:tc>
          <w:tcPr>
            <w:tcW w:w="9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40" w:type="dxa"/>
            <w:vAlign w:val="bottom"/>
            <w:gridSpan w:val="2"/>
          </w:tcPr>
          <w:p>
            <w:pPr>
              <w:jc w:val="center"/>
              <w:ind w:right="340"/>
              <w:spacing w:after="0" w:line="185" w:lineRule="exact"/>
              <w:rPr>
                <w:sz w:val="20"/>
                <w:szCs w:val="20"/>
                <w:color w:val="auto"/>
              </w:rPr>
            </w:pPr>
            <w:r>
              <w:rPr>
                <w:rFonts w:ascii="Arial" w:cs="Arial" w:eastAsia="Arial" w:hAnsi="Arial"/>
                <w:sz w:val="18"/>
                <w:szCs w:val="18"/>
                <w:b w:val="1"/>
                <w:bCs w:val="1"/>
                <w:color w:val="auto"/>
                <w:w w:val="99"/>
              </w:rPr>
              <w:t>Operating lease</w:t>
            </w:r>
          </w:p>
        </w:tc>
      </w:tr>
      <w:tr>
        <w:trPr>
          <w:trHeight w:val="203"/>
        </w:trPr>
        <w:tc>
          <w:tcPr>
            <w:tcW w:w="9220" w:type="dxa"/>
            <w:vAlign w:val="bottom"/>
          </w:tcPr>
          <w:p>
            <w:pPr>
              <w:spacing w:after="0"/>
              <w:rPr>
                <w:sz w:val="17"/>
                <w:szCs w:val="17"/>
                <w:color w:val="auto"/>
              </w:rPr>
            </w:pPr>
          </w:p>
        </w:tc>
        <w:tc>
          <w:tcPr>
            <w:tcW w:w="2020" w:type="dxa"/>
            <w:vAlign w:val="bottom"/>
            <w:gridSpan w:val="3"/>
          </w:tcPr>
          <w:p>
            <w:pPr>
              <w:jc w:val="center"/>
              <w:ind w:right="160"/>
              <w:spacing w:after="0" w:line="202" w:lineRule="exact"/>
              <w:rPr>
                <w:sz w:val="20"/>
                <w:szCs w:val="20"/>
                <w:color w:val="auto"/>
              </w:rPr>
            </w:pPr>
            <w:r>
              <w:rPr>
                <w:rFonts w:ascii="Arial" w:cs="Arial" w:eastAsia="Arial" w:hAnsi="Arial"/>
                <w:sz w:val="18"/>
                <w:szCs w:val="18"/>
                <w:b w:val="1"/>
                <w:bCs w:val="1"/>
                <w:color w:val="auto"/>
                <w:w w:val="99"/>
              </w:rPr>
              <w:t>payments as of June</w:t>
            </w:r>
          </w:p>
        </w:tc>
      </w:tr>
      <w:tr>
        <w:trPr>
          <w:trHeight w:val="235"/>
        </w:trPr>
        <w:tc>
          <w:tcPr>
            <w:tcW w:w="9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9"/>
              </w:rPr>
              <w:t>30, 2024</w:t>
            </w:r>
          </w:p>
        </w:tc>
        <w:tc>
          <w:tcPr>
            <w:tcW w:w="100" w:type="dxa"/>
            <w:vAlign w:val="bottom"/>
          </w:tcPr>
          <w:p>
            <w:pPr>
              <w:spacing w:after="0"/>
              <w:rPr>
                <w:sz w:val="20"/>
                <w:szCs w:val="20"/>
                <w:color w:val="auto"/>
              </w:rPr>
            </w:pPr>
          </w:p>
        </w:tc>
      </w:tr>
      <w:tr>
        <w:trPr>
          <w:trHeight w:val="223"/>
        </w:trPr>
        <w:tc>
          <w:tcPr>
            <w:tcW w:w="9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2024</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1,236</w:t>
            </w:r>
          </w:p>
        </w:tc>
        <w:tc>
          <w:tcPr>
            <w:tcW w:w="100" w:type="dxa"/>
            <w:vAlign w:val="bottom"/>
            <w:shd w:val="clear" w:color="auto" w:fill="CFF0FC"/>
          </w:tcPr>
          <w:p>
            <w:pPr>
              <w:spacing w:after="0"/>
              <w:rPr>
                <w:sz w:val="19"/>
                <w:szCs w:val="19"/>
                <w:color w:val="auto"/>
              </w:rPr>
            </w:pPr>
          </w:p>
        </w:tc>
      </w:tr>
      <w:tr>
        <w:trPr>
          <w:trHeight w:val="230"/>
        </w:trPr>
        <w:tc>
          <w:tcPr>
            <w:tcW w:w="9220" w:type="dxa"/>
            <w:vAlign w:val="bottom"/>
          </w:tcPr>
          <w:p>
            <w:pPr>
              <w:ind w:left="20"/>
              <w:spacing w:after="0"/>
              <w:rPr>
                <w:sz w:val="20"/>
                <w:szCs w:val="20"/>
                <w:color w:val="auto"/>
              </w:rPr>
            </w:pPr>
            <w:r>
              <w:rPr>
                <w:rFonts w:ascii="Arial" w:cs="Arial" w:eastAsia="Arial" w:hAnsi="Arial"/>
                <w:sz w:val="18"/>
                <w:szCs w:val="18"/>
                <w:color w:val="auto"/>
              </w:rPr>
              <w:t>2025</w:t>
            </w:r>
          </w:p>
        </w:tc>
        <w:tc>
          <w:tcPr>
            <w:tcW w:w="18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3,306</w:t>
            </w:r>
          </w:p>
        </w:tc>
        <w:tc>
          <w:tcPr>
            <w:tcW w:w="100" w:type="dxa"/>
            <w:vAlign w:val="bottom"/>
          </w:tcPr>
          <w:p>
            <w:pPr>
              <w:spacing w:after="0"/>
              <w:rPr>
                <w:sz w:val="19"/>
                <w:szCs w:val="19"/>
                <w:color w:val="auto"/>
              </w:rPr>
            </w:pPr>
          </w:p>
        </w:tc>
      </w:tr>
      <w:tr>
        <w:trPr>
          <w:trHeight w:val="230"/>
        </w:trPr>
        <w:tc>
          <w:tcPr>
            <w:tcW w:w="9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2026</w:t>
            </w:r>
          </w:p>
        </w:tc>
        <w:tc>
          <w:tcPr>
            <w:tcW w:w="180" w:type="dxa"/>
            <w:vAlign w:val="bottom"/>
            <w:shd w:val="clear" w:color="auto" w:fill="CFF0FC"/>
          </w:tcPr>
          <w:p>
            <w:pPr>
              <w:spacing w:after="0"/>
              <w:rPr>
                <w:sz w:val="19"/>
                <w:szCs w:val="19"/>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3,405</w:t>
            </w:r>
          </w:p>
        </w:tc>
        <w:tc>
          <w:tcPr>
            <w:tcW w:w="100" w:type="dxa"/>
            <w:vAlign w:val="bottom"/>
            <w:shd w:val="clear" w:color="auto" w:fill="CFF0FC"/>
          </w:tcPr>
          <w:p>
            <w:pPr>
              <w:spacing w:after="0"/>
              <w:rPr>
                <w:sz w:val="19"/>
                <w:szCs w:val="19"/>
                <w:color w:val="auto"/>
              </w:rPr>
            </w:pPr>
          </w:p>
        </w:tc>
      </w:tr>
      <w:tr>
        <w:trPr>
          <w:trHeight w:val="229"/>
        </w:trPr>
        <w:tc>
          <w:tcPr>
            <w:tcW w:w="9220" w:type="dxa"/>
            <w:vAlign w:val="bottom"/>
          </w:tcPr>
          <w:p>
            <w:pPr>
              <w:ind w:left="20"/>
              <w:spacing w:after="0"/>
              <w:rPr>
                <w:sz w:val="20"/>
                <w:szCs w:val="20"/>
                <w:color w:val="auto"/>
              </w:rPr>
            </w:pPr>
            <w:r>
              <w:rPr>
                <w:rFonts w:ascii="Arial" w:cs="Arial" w:eastAsia="Arial" w:hAnsi="Arial"/>
                <w:sz w:val="18"/>
                <w:szCs w:val="18"/>
                <w:color w:val="auto"/>
              </w:rPr>
              <w:t>2027</w:t>
            </w:r>
          </w:p>
        </w:tc>
        <w:tc>
          <w:tcPr>
            <w:tcW w:w="18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3,507</w:t>
            </w:r>
          </w:p>
        </w:tc>
        <w:tc>
          <w:tcPr>
            <w:tcW w:w="100" w:type="dxa"/>
            <w:vAlign w:val="bottom"/>
          </w:tcPr>
          <w:p>
            <w:pPr>
              <w:spacing w:after="0"/>
              <w:rPr>
                <w:sz w:val="19"/>
                <w:szCs w:val="19"/>
                <w:color w:val="auto"/>
              </w:rPr>
            </w:pPr>
          </w:p>
        </w:tc>
      </w:tr>
      <w:tr>
        <w:trPr>
          <w:trHeight w:val="230"/>
        </w:trPr>
        <w:tc>
          <w:tcPr>
            <w:tcW w:w="9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2028</w:t>
            </w:r>
          </w:p>
        </w:tc>
        <w:tc>
          <w:tcPr>
            <w:tcW w:w="180" w:type="dxa"/>
            <w:vAlign w:val="bottom"/>
            <w:shd w:val="clear" w:color="auto" w:fill="CFF0FC"/>
          </w:tcPr>
          <w:p>
            <w:pPr>
              <w:spacing w:after="0"/>
              <w:rPr>
                <w:sz w:val="19"/>
                <w:szCs w:val="19"/>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3,611</w:t>
            </w:r>
          </w:p>
        </w:tc>
        <w:tc>
          <w:tcPr>
            <w:tcW w:w="100" w:type="dxa"/>
            <w:vAlign w:val="bottom"/>
            <w:shd w:val="clear" w:color="auto" w:fill="CFF0FC"/>
          </w:tcPr>
          <w:p>
            <w:pPr>
              <w:spacing w:after="0"/>
              <w:rPr>
                <w:sz w:val="19"/>
                <w:szCs w:val="19"/>
                <w:color w:val="auto"/>
              </w:rPr>
            </w:pPr>
          </w:p>
        </w:tc>
      </w:tr>
      <w:tr>
        <w:trPr>
          <w:trHeight w:val="230"/>
        </w:trPr>
        <w:tc>
          <w:tcPr>
            <w:tcW w:w="922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18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13,862</w:t>
            </w:r>
          </w:p>
        </w:tc>
        <w:tc>
          <w:tcPr>
            <w:tcW w:w="100" w:type="dxa"/>
            <w:vAlign w:val="bottom"/>
          </w:tcPr>
          <w:p>
            <w:pPr>
              <w:spacing w:after="0"/>
              <w:rPr>
                <w:sz w:val="19"/>
                <w:szCs w:val="19"/>
                <w:color w:val="auto"/>
              </w:rPr>
            </w:pPr>
          </w:p>
        </w:tc>
      </w:tr>
      <w:tr>
        <w:trPr>
          <w:trHeight w:val="223"/>
        </w:trPr>
        <w:tc>
          <w:tcPr>
            <w:tcW w:w="9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lease payments</w:t>
            </w:r>
          </w:p>
        </w:tc>
        <w:tc>
          <w:tcPr>
            <w:tcW w:w="180" w:type="dxa"/>
            <w:vAlign w:val="bottom"/>
            <w:shd w:val="clear" w:color="auto" w:fill="CFF0FC"/>
          </w:tcPr>
          <w:p>
            <w:pPr>
              <w:spacing w:after="0"/>
              <w:rPr>
                <w:sz w:val="19"/>
                <w:szCs w:val="19"/>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28,928</w:t>
            </w:r>
          </w:p>
        </w:tc>
        <w:tc>
          <w:tcPr>
            <w:tcW w:w="100" w:type="dxa"/>
            <w:vAlign w:val="bottom"/>
            <w:shd w:val="clear" w:color="auto" w:fill="CFF0FC"/>
          </w:tcPr>
          <w:p>
            <w:pPr>
              <w:spacing w:after="0"/>
              <w:rPr>
                <w:sz w:val="19"/>
                <w:szCs w:val="19"/>
                <w:color w:val="auto"/>
              </w:rPr>
            </w:pPr>
          </w:p>
        </w:tc>
      </w:tr>
      <w:tr>
        <w:trPr>
          <w:trHeight w:val="230"/>
        </w:trPr>
        <w:tc>
          <w:tcPr>
            <w:tcW w:w="9220" w:type="dxa"/>
            <w:vAlign w:val="bottom"/>
          </w:tcPr>
          <w:p>
            <w:pPr>
              <w:ind w:left="20"/>
              <w:spacing w:after="0"/>
              <w:rPr>
                <w:sz w:val="20"/>
                <w:szCs w:val="20"/>
                <w:color w:val="auto"/>
              </w:rPr>
            </w:pPr>
            <w:r>
              <w:rPr>
                <w:rFonts w:ascii="Arial" w:cs="Arial" w:eastAsia="Arial" w:hAnsi="Arial"/>
                <w:sz w:val="18"/>
                <w:szCs w:val="18"/>
                <w:color w:val="auto"/>
              </w:rPr>
              <w:t>Less: interest</w:t>
            </w:r>
          </w:p>
        </w:tc>
        <w:tc>
          <w:tcPr>
            <w:tcW w:w="180" w:type="dxa"/>
            <w:vAlign w:val="bottom"/>
          </w:tcPr>
          <w:p>
            <w:pPr>
              <w:spacing w:after="0"/>
              <w:rPr>
                <w:sz w:val="19"/>
                <w:szCs w:val="19"/>
                <w:color w:val="auto"/>
              </w:rPr>
            </w:pPr>
          </w:p>
        </w:tc>
        <w:tc>
          <w:tcPr>
            <w:tcW w:w="1840" w:type="dxa"/>
            <w:vAlign w:val="bottom"/>
            <w:gridSpan w:val="2"/>
          </w:tcPr>
          <w:p>
            <w:pPr>
              <w:jc w:val="right"/>
              <w:ind w:right="40"/>
              <w:spacing w:after="0"/>
              <w:rPr>
                <w:sz w:val="20"/>
                <w:szCs w:val="20"/>
                <w:color w:val="auto"/>
              </w:rPr>
            </w:pPr>
            <w:r>
              <w:rPr>
                <w:rFonts w:ascii="Arial" w:cs="Arial" w:eastAsia="Arial" w:hAnsi="Arial"/>
                <w:sz w:val="18"/>
                <w:szCs w:val="18"/>
                <w:color w:val="auto"/>
              </w:rPr>
              <w:t>(9,894 )</w:t>
            </w:r>
          </w:p>
        </w:tc>
      </w:tr>
      <w:tr>
        <w:trPr>
          <w:trHeight w:val="223"/>
        </w:trPr>
        <w:tc>
          <w:tcPr>
            <w:tcW w:w="92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lease liabilities at June 30, 2024</w:t>
            </w: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1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19,034</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9220" w:type="dxa"/>
            <w:vAlign w:val="bottom"/>
          </w:tcPr>
          <w:p>
            <w:pPr>
              <w:ind w:left="20"/>
              <w:spacing w:after="0"/>
              <w:rPr>
                <w:sz w:val="20"/>
                <w:szCs w:val="20"/>
                <w:color w:val="auto"/>
              </w:rPr>
            </w:pPr>
            <w:r>
              <w:rPr>
                <w:rFonts w:ascii="Arial" w:cs="Arial" w:eastAsia="Arial" w:hAnsi="Arial"/>
                <w:sz w:val="18"/>
                <w:szCs w:val="18"/>
                <w:color w:val="auto"/>
              </w:rPr>
              <w:t>Less: current portion of lease liabilities</w:t>
            </w:r>
          </w:p>
        </w:tc>
        <w:tc>
          <w:tcPr>
            <w:tcW w:w="18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2,754</w:t>
            </w:r>
          </w:p>
        </w:tc>
        <w:tc>
          <w:tcPr>
            <w:tcW w:w="100" w:type="dxa"/>
            <w:vAlign w:val="bottom"/>
          </w:tcPr>
          <w:p>
            <w:pPr>
              <w:spacing w:after="0"/>
              <w:rPr>
                <w:sz w:val="19"/>
                <w:szCs w:val="19"/>
                <w:color w:val="auto"/>
              </w:rPr>
            </w:pPr>
          </w:p>
        </w:tc>
      </w:tr>
      <w:tr>
        <w:trPr>
          <w:trHeight w:val="263"/>
        </w:trPr>
        <w:tc>
          <w:tcPr>
            <w:tcW w:w="92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Lease liabilities, net of current portion</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16,280</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-334010</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82"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License Agreements</w:t>
      </w:r>
    </w:p>
    <w:p>
      <w:pPr>
        <w:spacing w:after="0" w:line="6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has entered into the following key agreements that relate to the core technology under development:</w:t>
      </w:r>
    </w:p>
    <w:p>
      <w:pPr>
        <w:spacing w:after="0" w:line="214"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Rakuten License and Supply Agreement</w:t>
      </w:r>
    </w:p>
    <w:p>
      <w:pPr>
        <w:spacing w:after="0" w:line="75" w:lineRule="exact"/>
        <w:rPr>
          <w:sz w:val="20"/>
          <w:szCs w:val="20"/>
          <w:color w:val="auto"/>
        </w:rPr>
      </w:pPr>
    </w:p>
    <w:p>
      <w:pPr>
        <w:jc w:val="both"/>
        <w:ind w:right="60" w:firstLine="509"/>
        <w:spacing w:after="0" w:line="247" w:lineRule="auto"/>
        <w:rPr>
          <w:sz w:val="20"/>
          <w:szCs w:val="20"/>
          <w:color w:val="auto"/>
        </w:rPr>
      </w:pPr>
      <w:r>
        <w:rPr>
          <w:rFonts w:ascii="Arial" w:cs="Arial" w:eastAsia="Arial" w:hAnsi="Arial"/>
          <w:sz w:val="18"/>
          <w:szCs w:val="18"/>
          <w:color w:val="auto"/>
        </w:rPr>
        <w:t>In May 2024, the Company received notice from LI-COR, Inc., or LI-COR, that as of April 16, 2024, LI-COR assigned, and Rakuten Medical, Inc., or Rakuten, assumed, the 2014 Exclusive Agreement and the 2014 Non-Exclusive Agreement (each described below), each originally entered into by and between the Company and LI-COR. The 2014 Exclusive Agreement and 2014 Non-Exclusive Agreement were not otherwise modified by this assignment and assumption and remain in effect.</w:t>
      </w:r>
    </w:p>
    <w:p>
      <w:pPr>
        <w:spacing w:after="0" w:line="174"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459105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201" w:right="279" w:bottom="1440" w:gutter="0" w:footer="0" w:header="0"/>
        </w:sectPr>
      </w:pPr>
    </w:p>
    <w:bookmarkStart w:id="16" w:name="page17"/>
    <w:bookmarkEnd w:id="16"/>
    <w:p>
      <w:pPr>
        <w:ind w:left="1020"/>
        <w:spacing w:after="0"/>
        <w:rPr>
          <w:sz w:val="20"/>
          <w:szCs w:val="20"/>
          <w:color w:val="auto"/>
        </w:rPr>
      </w:pPr>
      <w:r>
        <w:rPr>
          <w:rFonts w:ascii="Arial" w:cs="Arial" w:eastAsia="Arial" w:hAnsi="Arial"/>
          <w:sz w:val="18"/>
          <w:szCs w:val="18"/>
          <w:u w:val="single" w:color="auto"/>
          <w:color w:val="auto"/>
        </w:rPr>
        <w:t>2014 Exclusive Agreement</w:t>
      </w:r>
    </w:p>
    <w:p>
      <w:pPr>
        <w:spacing w:after="0" w:line="63"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In January 2014, the Company entered into an Exclusive License and Supply Agreement, or the 2014 Exclusive Agreement, with LI-COR for the license of IRDye 700DC and related licensed patent (now expired) for the treatment and diagnosis of ocular cancers in humans, as amended in January 2016, July 2017, April 2018 and April 2019. The 2014 Exclusive Agreement required a one-time upfront license issue fee of $0.1 million and aggregate milestone payments of up to $0.2 million upon certain regulatory and development milestones. The Company is also required to pay Rakuten low-single digit royalties on net sales. The term of the 2014 Exclusive Agreement expires on a country-by-country basis, until the longer of (i) ten years from the first commercial sale of a licensed product in such country and (ii) the last to expire valid claim in such country.</w:t>
      </w:r>
    </w:p>
    <w:p>
      <w:pPr>
        <w:spacing w:after="0" w:line="50"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The Company recognized no expenses related to this agreement and related amendments for the six months ended June 30, 2024 and 2023, respectively.</w:t>
      </w:r>
    </w:p>
    <w:p>
      <w:pPr>
        <w:spacing w:after="0" w:line="154" w:lineRule="exact"/>
        <w:rPr>
          <w:sz w:val="20"/>
          <w:szCs w:val="20"/>
          <w:color w:val="auto"/>
        </w:rPr>
      </w:pPr>
    </w:p>
    <w:p>
      <w:pPr>
        <w:ind w:left="1020"/>
        <w:spacing w:after="0"/>
        <w:rPr>
          <w:sz w:val="20"/>
          <w:szCs w:val="20"/>
          <w:color w:val="auto"/>
        </w:rPr>
      </w:pPr>
      <w:r>
        <w:rPr>
          <w:rFonts w:ascii="Arial" w:cs="Arial" w:eastAsia="Arial" w:hAnsi="Arial"/>
          <w:sz w:val="18"/>
          <w:szCs w:val="18"/>
          <w:u w:val="single" w:color="auto"/>
          <w:color w:val="auto"/>
        </w:rPr>
        <w:t>2014 Non-Exclusive Agreement</w:t>
      </w:r>
    </w:p>
    <w:p>
      <w:pPr>
        <w:spacing w:after="0" w:line="63"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In December 2014, the Company entered into a Non-Exclusive License Agreement, or the 2014 Non-Exclusive Agreement, with LI-COR for the supply of IRDye 700DX to the Company for the treatment and diagnosis of non-ocular solid tumor cancers in humans. Under the 2014 Non-Exclusive Agreement, the Company paid a license issue fee of $0.03 million on the effective date. The Company must also pay Rakuten a non-refundable, non-creditable fee of $0.03 million per each licensed product upon pre-IND designation, as defined of such licensed product, aggregate milestone payments of up to $0.3 million upon certain regulatory and development milestones; and during the term, the Company must pay Rakuten a low-single digit percentage royalty on net sales. Rakuten receives 10% of all sublicensee income within 30 days of the Company’s receipt from the sublicensee. The 2014 Non-Exclusive Agreement also required the Company to make certain payments upon the achievement of specified development and commercial milestones of up to $0.4 million in aggregate. During the six months ended June 30, 2024 and 2023, the Company recognized no milestones related to this agreement.</w:t>
      </w:r>
    </w:p>
    <w:p>
      <w:pPr>
        <w:spacing w:after="0" w:line="185"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Life Technologies Corporation License Agreements</w:t>
      </w:r>
    </w:p>
    <w:p>
      <w:pPr>
        <w:spacing w:after="0" w:line="61"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In December 2014, the Company entered into a non-exclusive, perpetual license agreement with Life Technologies Corporation, or the Life Technologies, which allows for five licensed products. Under this agreement the Company is required to pay an initial license fee of $0.1 million for each product. An annual development fee of $0.1 million is due within a year from payment of the initial license fee and due annually or earlier of (i) payment of a commercialization fee or (ii) all development work is terminated. The commercialization fee is a one-time, non-refundable, non-creditable fee of $0.3 million due upon receipt of approval of a licensed product. In the event of a change of control, there will be a change of control fee of $0.2 million.</w:t>
      </w:r>
    </w:p>
    <w:p>
      <w:pPr>
        <w:spacing w:after="0" w:line="179"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In January 2022, the Company entered into the First Amendment to the non-exclusive, perpetual license agreement with Life Technologies for use of the license in an additional indication. The cost of this amendment was a one-time fee of $0.05 million. During the six months ended June 30, 2024 and 2023, the Company recognized no expenses related to this agreement.</w:t>
      </w:r>
    </w:p>
    <w:p>
      <w:pPr>
        <w:spacing w:after="0" w:line="169"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Effective in September 2022, the Company entered into a new non-exclusive, perpetual license agreement with Life Technologies for licensed products. Under this agreement, the Company is required to pay an initial license fee of $0.4 million for the first licensed product and $0.5 million for each additional licensed product. In addition, the agreement allows the Company the right to sublicense which would lead to a $0.2 million payment for each sublicense per licensed product and a $0.03 million payment for use of the cell line document package. In the event of a change of control, there will be a change of control fee of $0.5 million. During the three months ended June 30, 2024 and 2023, the Company recognized no expenses related to this agreement.</w:t>
      </w:r>
    </w:p>
    <w:p>
      <w:pPr>
        <w:spacing w:after="0" w:line="181"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National Institute of Health (NIH)-Collaboration Research and Development Agreement</w:t>
      </w:r>
    </w:p>
    <w:p>
      <w:pPr>
        <w:spacing w:after="0" w:line="75"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In July 2011, the Company entered into a Collaboration Research and Development Agreement, or CRADA, with Dr. John Schiller at the NIH, for a period of two years with the rights to an exclusive license to all technology generated within the collaboration. Under this agreement, the Company is required to make annual payments of $0.03 million to fund the research activities, the first payment of which was paid within 30 days of the effective date. Subsequent payments are due within 30 days of the anniversary of the effective date. This agreement was first amended in 2012, 2013, 2014, 2015, 2016, 2018 and in September of 2020. During the six months ended June 30, 2024 and 2023, the Company paid no research collaboration fees related to this agreement.</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459105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7" w:right="339" w:bottom="1440" w:gutter="0" w:footer="0" w:header="0"/>
        </w:sectPr>
      </w:pPr>
    </w:p>
    <w:bookmarkStart w:id="17" w:name="page18"/>
    <w:bookmarkEnd w:id="17"/>
    <w:p>
      <w:pPr>
        <w:jc w:val="both"/>
        <w:ind w:firstLine="509"/>
        <w:spacing w:after="0" w:line="247" w:lineRule="auto"/>
        <w:rPr>
          <w:sz w:val="20"/>
          <w:szCs w:val="20"/>
          <w:color w:val="auto"/>
        </w:rPr>
      </w:pPr>
      <w:r>
        <w:rPr>
          <w:rFonts w:ascii="Arial" w:cs="Arial" w:eastAsia="Arial" w:hAnsi="Arial"/>
          <w:sz w:val="18"/>
          <w:szCs w:val="18"/>
          <w:color w:val="auto"/>
        </w:rPr>
        <w:t>A seventh amendment was made in October 2020, requiring payment of $0.04 million within 30 days of October 1, 2020, and another $0.03 million within 30 days of the 10th anniversary of the CRADA, which was paid in July 2021. This seventh amendment extended the term of the CRADA to September 30, 2022. The Company recognized no milestones related to this agreement and related amendments for the six months ended June 30, 2024 and 2023.</w:t>
      </w:r>
    </w:p>
    <w:p>
      <w:pPr>
        <w:spacing w:after="0" w:line="174"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An eighth amendment was effective in September 2022, requiring payment of $0.04 million within 30 days of November 1, 2022, and payment of another $0.03 million within 30 days of the 12th anniversary of the CRADA, which was in August 2023. This eighth amendment extended the term of the CRADA to September 30, 2024. During the six months ended June 30, 2024 and 2023, the Company recognized no expenses related to this agreement.</w:t>
      </w:r>
    </w:p>
    <w:p>
      <w:pPr>
        <w:spacing w:after="0" w:line="176"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National Institute of Health (NIH)-Exclusive Patent License Agreement</w:t>
      </w:r>
    </w:p>
    <w:p>
      <w:pPr>
        <w:spacing w:after="0" w:line="61"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In September 2013, the Company entered into an exclusive patent license agreement, or the NIH Exclusive License Agreement, with the NIH, that required the Company to pay a license issue royalty of $0.1 million and reimburse the NIH for any patent expenses incurred. Under the agreement, the Company is required to make low single-digit percentage royalty payments based on specified levels of annual net sales of licensed products subject to certain specified reductions. The Company is required to make development and regulatory milestone payments of up to $0.7 million in aggregate and sales milestone payments up to $0.6 million in the aggregate. The Company is also required to pay the NIH a mid-single to low teen-digit percentage of any sublicensing revenue the Company receives. Additionally, the Company’s payment obligations to the NIH are subject to an annual minimum royalty payment of low five figures. The Company recognized no patent licensing fees for the six months ended June 30, 2024 and 2023, respectively.</w:t>
      </w:r>
    </w:p>
    <w:p>
      <w:pPr>
        <w:spacing w:after="0" w:line="180"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In 2015, 2018 and 2019, the Company amended its exclusive patent license to include updates on the status of the commercial development and update/expand the list of licensed patents and patent applications. Each of those amendments required a $0.03 million payment that the Company paid.</w:t>
      </w:r>
    </w:p>
    <w:p>
      <w:pPr>
        <w:spacing w:after="0" w:line="171"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Inserm-Transfert License Agreement</w:t>
      </w:r>
    </w:p>
    <w:p>
      <w:pPr>
        <w:spacing w:after="0" w:line="75"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In November 2009, the Company entered into an exclusive, royalty-bearing patent license agreement with Inserm-Transfert of France. The agreement expires on a country by country basis based on the last to expire any patent encompassed within the scope of the patent rights or 10 years from the date of the first commercial sales by the Company, whichever is later. The IND filing milestone of €0.01 million was accrued in 2016 and paid in 2017 by the Company. The milestones for the successful Phase I, II and III clinical trials are based on receiving a final report and achieving the primary endpoints defined in that trial; the Phase I and Phase II milestones have been achieved as of June 30, 2024. Upon the sublicense by the Company of a product for which royalties are payable under the agreement, low- to mid-single-digit royalty payments would be due by the Company. The non-milestone payments in this agreement are subject to an anti-stacking clause. The Company incurred approximately $0.1 million and $0 million in expenses related to milestones in the six months ended June 30, 2024 and 2023, respectively.</w:t>
      </w:r>
    </w:p>
    <w:p>
      <w:pPr>
        <w:spacing w:after="0" w:line="185"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Clearside License Agreement</w:t>
      </w:r>
    </w:p>
    <w:p>
      <w:pPr>
        <w:spacing w:after="0" w:line="61"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In July 2019, the Company entered into an exclusive license agreement, or the Clearside License Agreement, with Clearside Biomedical, Inc., or Clearside, for the license of Clearside’s Suprachoroidal Microneedle Technology for use in the treatment of indeterminate lesions and choroidal tumors. Upon execution of the Clearside License Agreement, the Company paid Clearside an upfront payment of $0.1 million which was expensed as incurred. Under the Clearside License Agreement, the Company is required to pay milestones up to $21.0 million in the aggregate upon the achievement of specified regulatory and development milestones, and upon the achievement of certain commercial sales milestones. The Company is also required to pay low to mid-single digit royalties on net sales. If the Company sublicenses a product for which royalties are payable, then the Company is required to pay the greater of 20% received or low single digit royalties on net sales.</w:t>
      </w:r>
    </w:p>
    <w:p>
      <w:pPr>
        <w:spacing w:after="0" w:line="180" w:lineRule="exact"/>
        <w:rPr>
          <w:sz w:val="20"/>
          <w:szCs w:val="20"/>
          <w:color w:val="auto"/>
        </w:rPr>
      </w:pPr>
    </w:p>
    <w:p>
      <w:pPr>
        <w:jc w:val="both"/>
        <w:ind w:right="20" w:firstLine="509"/>
        <w:spacing w:after="0" w:line="271" w:lineRule="auto"/>
        <w:rPr>
          <w:sz w:val="20"/>
          <w:szCs w:val="20"/>
          <w:color w:val="auto"/>
        </w:rPr>
      </w:pPr>
      <w:r>
        <w:rPr>
          <w:rFonts w:ascii="Arial" w:cs="Arial" w:eastAsia="Arial" w:hAnsi="Arial"/>
          <w:sz w:val="18"/>
          <w:szCs w:val="18"/>
          <w:color w:val="auto"/>
        </w:rPr>
        <w:t>The Clearside License Agreement expires on a country-by-country basis upon the later of the last to expire patent or ten years from the date of the first commercial sale of a product.</w:t>
      </w:r>
    </w:p>
    <w:p>
      <w:pPr>
        <w:spacing w:after="0" w:line="154"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The Company recognized $0 million and $0.4 million in expenses related to this agreement and related amendments for the six months ended June 30, 2024 and 2023, respectively.</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13. Net Loss Per Share</w:t>
      </w:r>
    </w:p>
    <w:p>
      <w:pPr>
        <w:spacing w:after="0" w:line="63"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Basic net loss per share is calculated by dividing the net loss per common share by the weighted average number of shares of common stock outstanding during the period, without consideration for potentially dilutive securities. Diluted net loss per share is the same as basic net loss per share for the periods presented since the effects of potentially dilutive securities are antidilutive given the net loss of the Company.</w:t>
      </w:r>
    </w:p>
    <w:p>
      <w:pPr>
        <w:spacing w:after="0" w:line="174" w:lineRule="exact"/>
        <w:rPr>
          <w:sz w:val="20"/>
          <w:szCs w:val="20"/>
          <w:color w:val="auto"/>
        </w:rPr>
      </w:pPr>
    </w:p>
    <w:p>
      <w:pPr>
        <w:jc w:val="both"/>
        <w:ind w:firstLine="509"/>
        <w:spacing w:after="0" w:line="254" w:lineRule="auto"/>
        <w:rPr>
          <w:sz w:val="20"/>
          <w:szCs w:val="20"/>
          <w:color w:val="auto"/>
        </w:rPr>
      </w:pPr>
      <w:r>
        <w:rPr>
          <w:rFonts w:ascii="Arial" w:cs="Arial" w:eastAsia="Arial" w:hAnsi="Arial"/>
          <w:sz w:val="18"/>
          <w:szCs w:val="18"/>
          <w:color w:val="auto"/>
        </w:rPr>
        <w:t>The Company has calculated basic and diluted net loss per share for the three and six months ended June 30, 2024 and 2023 as follows (in thousands, except share and per share data):</w:t>
      </w:r>
    </w:p>
    <w:tbl>
      <w:tblPr>
        <w:tblLayout w:type="fixed"/>
        <w:tblInd w:w="0" w:type="dxa"/>
        <w:tblCellMar>
          <w:top w:w="0" w:type="dxa"/>
          <w:left w:w="0" w:type="dxa"/>
          <w:bottom w:w="0" w:type="dxa"/>
          <w:right w:w="0" w:type="dxa"/>
        </w:tblCellMar>
      </w:tblPr>
      <w:tr>
        <w:trPr>
          <w:trHeight w:val="174"/>
        </w:trPr>
        <w:tc>
          <w:tcPr>
            <w:tcW w:w="5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700" w:type="dxa"/>
            <w:vAlign w:val="bottom"/>
            <w:gridSpan w:val="6"/>
          </w:tcPr>
          <w:p>
            <w:pPr>
              <w:ind w:left="300"/>
              <w:spacing w:after="0" w:line="175" w:lineRule="exact"/>
              <w:rPr>
                <w:sz w:val="20"/>
                <w:szCs w:val="20"/>
                <w:color w:val="auto"/>
              </w:rPr>
            </w:pPr>
            <w:r>
              <w:rPr>
                <w:rFonts w:ascii="Arial" w:cs="Arial" w:eastAsia="Arial" w:hAnsi="Arial"/>
                <w:sz w:val="16"/>
                <w:szCs w:val="16"/>
                <w:b w:val="1"/>
                <w:bCs w:val="1"/>
                <w:color w:val="auto"/>
              </w:rPr>
              <w:t>Three Months Ended</w:t>
            </w:r>
          </w:p>
        </w:tc>
        <w:tc>
          <w:tcPr>
            <w:tcW w:w="260" w:type="dxa"/>
            <w:vAlign w:val="bottom"/>
          </w:tcPr>
          <w:p>
            <w:pPr>
              <w:spacing w:after="0"/>
              <w:rPr>
                <w:sz w:val="15"/>
                <w:szCs w:val="15"/>
                <w:color w:val="auto"/>
              </w:rPr>
            </w:pPr>
          </w:p>
        </w:tc>
        <w:tc>
          <w:tcPr>
            <w:tcW w:w="2420" w:type="dxa"/>
            <w:vAlign w:val="bottom"/>
            <w:gridSpan w:val="5"/>
          </w:tcPr>
          <w:p>
            <w:pPr>
              <w:jc w:val="center"/>
              <w:ind w:right="279"/>
              <w:spacing w:after="0" w:line="175" w:lineRule="exact"/>
              <w:rPr>
                <w:sz w:val="20"/>
                <w:szCs w:val="20"/>
                <w:color w:val="auto"/>
              </w:rPr>
            </w:pPr>
            <w:r>
              <w:rPr>
                <w:rFonts w:ascii="Arial" w:cs="Arial" w:eastAsia="Arial" w:hAnsi="Arial"/>
                <w:sz w:val="16"/>
                <w:szCs w:val="16"/>
                <w:b w:val="1"/>
                <w:bCs w:val="1"/>
                <w:color w:val="auto"/>
              </w:rPr>
              <w:t>Six Months Ended</w:t>
            </w:r>
          </w:p>
        </w:tc>
      </w:tr>
      <w:tr>
        <w:trPr>
          <w:trHeight w:val="217"/>
        </w:trPr>
        <w:tc>
          <w:tcPr>
            <w:tcW w:w="55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3"/>
          </w:tcPr>
          <w:p>
            <w:pPr>
              <w:jc w:val="right"/>
              <w:ind w:right="59"/>
              <w:spacing w:after="0"/>
              <w:rPr>
                <w:sz w:val="20"/>
                <w:szCs w:val="20"/>
                <w:color w:val="auto"/>
              </w:rPr>
            </w:pPr>
            <w:r>
              <w:rPr>
                <w:rFonts w:ascii="Arial" w:cs="Arial" w:eastAsia="Arial" w:hAnsi="Arial"/>
                <w:sz w:val="16"/>
                <w:szCs w:val="16"/>
                <w:b w:val="1"/>
                <w:bCs w:val="1"/>
                <w:color w:val="auto"/>
              </w:rPr>
              <w:t>June 30,</w:t>
            </w:r>
          </w:p>
        </w:tc>
        <w:tc>
          <w:tcPr>
            <w:tcW w:w="9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3"/>
          </w:tcPr>
          <w:p>
            <w:pPr>
              <w:jc w:val="center"/>
              <w:ind w:left="559"/>
              <w:spacing w:after="0"/>
              <w:rPr>
                <w:sz w:val="20"/>
                <w:szCs w:val="20"/>
                <w:color w:val="auto"/>
              </w:rPr>
            </w:pPr>
            <w:r>
              <w:rPr>
                <w:rFonts w:ascii="Arial" w:cs="Arial" w:eastAsia="Arial" w:hAnsi="Arial"/>
                <w:sz w:val="16"/>
                <w:szCs w:val="16"/>
                <w:b w:val="1"/>
                <w:bCs w:val="1"/>
                <w:color w:val="auto"/>
              </w:rPr>
              <w:t>June 30,</w:t>
            </w:r>
          </w:p>
        </w:tc>
        <w:tc>
          <w:tcPr>
            <w:tcW w:w="9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55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2024</w:t>
            </w:r>
          </w:p>
        </w:tc>
        <w:tc>
          <w:tcPr>
            <w:tcW w:w="3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2024</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2023</w:t>
            </w:r>
          </w:p>
        </w:tc>
        <w:tc>
          <w:tcPr>
            <w:tcW w:w="100" w:type="dxa"/>
            <w:vAlign w:val="bottom"/>
          </w:tcPr>
          <w:p>
            <w:pPr>
              <w:spacing w:after="0"/>
              <w:rPr>
                <w:sz w:val="18"/>
                <w:szCs w:val="18"/>
                <w:color w:val="auto"/>
              </w:rPr>
            </w:pPr>
          </w:p>
        </w:tc>
      </w:tr>
      <w:tr>
        <w:trPr>
          <w:trHeight w:val="223"/>
        </w:trPr>
        <w:tc>
          <w:tcPr>
            <w:tcW w:w="5560" w:type="dxa"/>
            <w:vAlign w:val="bottom"/>
            <w:shd w:val="clear" w:color="auto" w:fill="CFF0FC"/>
          </w:tcPr>
          <w:p>
            <w:pPr>
              <w:ind w:left="20"/>
              <w:spacing w:after="0"/>
              <w:rPr>
                <w:sz w:val="20"/>
                <w:szCs w:val="20"/>
                <w:color w:val="auto"/>
              </w:rPr>
            </w:pPr>
            <w:r>
              <w:rPr>
                <w:rFonts w:ascii="Arial" w:cs="Arial" w:eastAsia="Arial" w:hAnsi="Arial"/>
                <w:sz w:val="16"/>
                <w:szCs w:val="16"/>
                <w:color w:val="auto"/>
              </w:rPr>
              <w:t>Numerator:</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15"/>
        </w:trPr>
        <w:tc>
          <w:tcPr>
            <w:tcW w:w="5560" w:type="dxa"/>
            <w:vAlign w:val="bottom"/>
          </w:tcPr>
          <w:p>
            <w:pPr>
              <w:ind w:left="20"/>
              <w:spacing w:after="0"/>
              <w:rPr>
                <w:sz w:val="20"/>
                <w:szCs w:val="20"/>
                <w:color w:val="auto"/>
              </w:rPr>
            </w:pPr>
            <w:r>
              <w:rPr>
                <w:rFonts w:ascii="Arial" w:cs="Arial" w:eastAsia="Arial" w:hAnsi="Arial"/>
                <w:sz w:val="16"/>
                <w:szCs w:val="16"/>
                <w:color w:val="auto"/>
              </w:rPr>
              <w:t>Net loss</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340" w:type="dxa"/>
            <w:vAlign w:val="bottom"/>
            <w:gridSpan w:val="2"/>
          </w:tcPr>
          <w:p>
            <w:pPr>
              <w:jc w:val="right"/>
              <w:ind w:right="159"/>
              <w:spacing w:after="0"/>
              <w:rPr>
                <w:sz w:val="20"/>
                <w:szCs w:val="20"/>
                <w:color w:val="auto"/>
              </w:rPr>
            </w:pPr>
            <w:r>
              <w:rPr>
                <w:rFonts w:ascii="Arial" w:cs="Arial" w:eastAsia="Arial" w:hAnsi="Arial"/>
                <w:sz w:val="16"/>
                <w:szCs w:val="16"/>
                <w:color w:val="auto"/>
              </w:rPr>
              <w:t>(20,337 )</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(18,299 )</w:t>
            </w:r>
          </w:p>
        </w:tc>
        <w:tc>
          <w:tcPr>
            <w:tcW w:w="100" w:type="dxa"/>
            <w:vAlign w:val="bottom"/>
          </w:tcPr>
          <w:p>
            <w:pPr>
              <w:spacing w:after="0"/>
              <w:rPr>
                <w:sz w:val="18"/>
                <w:szCs w:val="18"/>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79"/>
              <w:spacing w:after="0"/>
              <w:rPr>
                <w:sz w:val="20"/>
                <w:szCs w:val="20"/>
                <w:color w:val="auto"/>
              </w:rPr>
            </w:pPr>
            <w:r>
              <w:rPr>
                <w:rFonts w:ascii="Arial" w:cs="Arial" w:eastAsia="Arial" w:hAnsi="Arial"/>
                <w:sz w:val="16"/>
                <w:szCs w:val="16"/>
                <w:color w:val="auto"/>
              </w:rPr>
              <w:t>(40,043 )</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(35,765 )</w:t>
            </w:r>
          </w:p>
        </w:tc>
      </w:tr>
      <w:tr>
        <w:trPr>
          <w:trHeight w:val="20"/>
        </w:trPr>
        <w:tc>
          <w:tcPr>
            <w:tcW w:w="55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1"/>
        </w:trPr>
        <w:tc>
          <w:tcPr>
            <w:tcW w:w="5560" w:type="dxa"/>
            <w:vAlign w:val="bottom"/>
            <w:shd w:val="clear" w:color="auto" w:fill="CFF0FC"/>
          </w:tcPr>
          <w:p>
            <w:pPr>
              <w:ind w:left="20"/>
              <w:spacing w:after="0"/>
              <w:rPr>
                <w:sz w:val="20"/>
                <w:szCs w:val="20"/>
                <w:color w:val="auto"/>
              </w:rPr>
            </w:pPr>
            <w:r>
              <w:rPr>
                <w:rFonts w:ascii="Arial" w:cs="Arial" w:eastAsia="Arial" w:hAnsi="Arial"/>
                <w:sz w:val="16"/>
                <w:szCs w:val="16"/>
                <w:color w:val="auto"/>
              </w:rPr>
              <w:t>Denominator:</w:t>
            </w:r>
          </w:p>
        </w:tc>
        <w:tc>
          <w:tcPr>
            <w:tcW w:w="3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5"/>
        </w:trPr>
        <w:tc>
          <w:tcPr>
            <w:tcW w:w="5560" w:type="dxa"/>
            <w:vAlign w:val="bottom"/>
          </w:tcPr>
          <w:p>
            <w:pPr>
              <w:ind w:left="20"/>
              <w:spacing w:after="0"/>
              <w:rPr>
                <w:sz w:val="20"/>
                <w:szCs w:val="20"/>
                <w:color w:val="auto"/>
              </w:rPr>
            </w:pPr>
            <w:r>
              <w:rPr>
                <w:rFonts w:ascii="Arial" w:cs="Arial" w:eastAsia="Arial" w:hAnsi="Arial"/>
                <w:sz w:val="16"/>
                <w:szCs w:val="16"/>
                <w:color w:val="auto"/>
              </w:rPr>
              <w:t>Weighted-average common stock outstanding—basic and diluted</w:t>
            </w: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49,548,120</w:t>
            </w:r>
          </w:p>
        </w:tc>
        <w:tc>
          <w:tcPr>
            <w:tcW w:w="3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37,855,533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49,500,032</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37,820,104</w:t>
            </w:r>
          </w:p>
        </w:tc>
        <w:tc>
          <w:tcPr>
            <w:tcW w:w="100" w:type="dxa"/>
            <w:vAlign w:val="bottom"/>
          </w:tcPr>
          <w:p>
            <w:pPr>
              <w:spacing w:after="0"/>
              <w:rPr>
                <w:sz w:val="18"/>
                <w:szCs w:val="18"/>
                <w:color w:val="auto"/>
              </w:rPr>
            </w:pPr>
          </w:p>
        </w:tc>
      </w:tr>
      <w:tr>
        <w:trPr>
          <w:trHeight w:val="20"/>
        </w:trPr>
        <w:tc>
          <w:tcPr>
            <w:tcW w:w="55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r>
      <w:tr>
        <w:trPr>
          <w:trHeight w:val="237"/>
        </w:trPr>
        <w:tc>
          <w:tcPr>
            <w:tcW w:w="55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Net loss per common share—basic and diluted</w:t>
            </w:r>
          </w:p>
        </w:tc>
        <w:tc>
          <w:tcPr>
            <w:tcW w:w="300" w:type="dxa"/>
            <w:vAlign w:val="bottom"/>
            <w:tcBorders>
              <w:top w:val="single" w:sz="8" w:color="auto"/>
              <w:bottom w:val="single" w:sz="8" w:color="auto"/>
            </w:tcBorders>
            <w:shd w:val="clear" w:color="auto" w:fill="CFF0FC"/>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(0.41</w:t>
            </w:r>
          </w:p>
        </w:tc>
        <w:tc>
          <w:tcPr>
            <w:tcW w:w="300" w:type="dxa"/>
            <w:vAlign w:val="bottom"/>
            <w:tcBorders>
              <w:bottom w:val="single" w:sz="8" w:color="CFF0FC"/>
            </w:tcBorders>
            <w:shd w:val="clear" w:color="auto" w:fill="CFF0FC"/>
          </w:tcPr>
          <w:p>
            <w:pPr>
              <w:jc w:val="right"/>
              <w:ind w:right="159"/>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(0.48</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20"/>
                <w:szCs w:val="20"/>
                <w:color w:val="auto"/>
              </w:rPr>
            </w:pPr>
          </w:p>
        </w:tc>
        <w:tc>
          <w:tcPr>
            <w:tcW w:w="260" w:type="dxa"/>
            <w:vAlign w:val="bottom"/>
            <w:tcBorders>
              <w:top w:val="single" w:sz="8" w:color="auto"/>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(0.81</w:t>
            </w:r>
          </w:p>
        </w:tc>
        <w:tc>
          <w:tcPr>
            <w:tcW w:w="220" w:type="dxa"/>
            <w:vAlign w:val="bottom"/>
            <w:tcBorders>
              <w:bottom w:val="single" w:sz="8" w:color="CFF0FC"/>
            </w:tcBorders>
            <w:shd w:val="clear" w:color="auto" w:fill="CFF0FC"/>
          </w:tcPr>
          <w:p>
            <w:pPr>
              <w:jc w:val="center"/>
              <w:ind w:right="79"/>
              <w:spacing w:after="0"/>
              <w:rPr>
                <w:sz w:val="20"/>
                <w:szCs w:val="20"/>
                <w:color w:val="auto"/>
              </w:rPr>
            </w:pPr>
            <w:r>
              <w:rPr>
                <w:rFonts w:ascii="Arial" w:cs="Arial" w:eastAsia="Arial" w:hAnsi="Arial"/>
                <w:sz w:val="16"/>
                <w:szCs w:val="16"/>
                <w:color w:val="auto"/>
              </w:rPr>
              <w:t>)</w:t>
            </w:r>
          </w:p>
        </w:tc>
        <w:tc>
          <w:tcPr>
            <w:tcW w:w="220" w:type="dxa"/>
            <w:vAlign w:val="bottom"/>
            <w:tcBorders>
              <w:top w:val="single" w:sz="8" w:color="auto"/>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(0.95</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4377055</wp:posOffset>
            </wp:positionH>
            <wp:positionV relativeFrom="paragraph">
              <wp:posOffset>-24765</wp:posOffset>
            </wp:positionV>
            <wp:extent cx="7683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-7620</wp:posOffset>
            </wp:positionV>
            <wp:extent cx="7683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-24765</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-7620</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-24765</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-7620</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66"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The following potentially dilutive securities were excluded from the computation of the diluted net loss per share for the periods presented because their effect would have been antidilutive:</w:t>
      </w:r>
    </w:p>
    <w:p>
      <w:pPr>
        <w:jc w:val="center"/>
        <w:ind w:left="7000"/>
        <w:spacing w:after="0" w:line="234" w:lineRule="auto"/>
        <w:rPr>
          <w:sz w:val="20"/>
          <w:szCs w:val="20"/>
          <w:color w:val="auto"/>
        </w:rPr>
      </w:pPr>
      <w:r>
        <w:rPr>
          <w:rFonts w:ascii="Arial" w:cs="Arial" w:eastAsia="Arial" w:hAnsi="Arial"/>
          <w:sz w:val="18"/>
          <w:szCs w:val="18"/>
          <w:b w:val="1"/>
          <w:bCs w:val="1"/>
          <w:color w:val="auto"/>
        </w:rPr>
        <w:t>Six Months Ended</w:t>
      </w:r>
    </w:p>
    <w:p>
      <w:pPr>
        <w:spacing w:after="0" w:line="1" w:lineRule="exact"/>
        <w:rPr>
          <w:sz w:val="20"/>
          <w:szCs w:val="20"/>
          <w:color w:val="auto"/>
        </w:rPr>
      </w:pPr>
    </w:p>
    <w:p>
      <w:pPr>
        <w:jc w:val="center"/>
        <w:ind w:left="7000"/>
        <w:spacing w:after="0"/>
        <w:rPr>
          <w:sz w:val="20"/>
          <w:szCs w:val="20"/>
          <w:color w:val="auto"/>
        </w:rPr>
      </w:pPr>
      <w:r>
        <w:rPr>
          <w:rFonts w:ascii="Arial" w:cs="Arial" w:eastAsia="Arial" w:hAnsi="Arial"/>
          <w:sz w:val="18"/>
          <w:szCs w:val="18"/>
          <w:b w:val="1"/>
          <w:bCs w:val="1"/>
          <w:color w:val="auto"/>
        </w:rPr>
        <w:t>June 30,</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140" w:type="dxa"/>
            <w:vAlign w:val="bottom"/>
          </w:tcPr>
          <w:p>
            <w:pPr>
              <w:spacing w:after="0"/>
              <w:rPr>
                <w:sz w:val="19"/>
                <w:szCs w:val="19"/>
                <w:color w:val="auto"/>
              </w:rPr>
            </w:pPr>
          </w:p>
        </w:tc>
        <w:tc>
          <w:tcPr>
            <w:tcW w:w="1880" w:type="dxa"/>
            <w:vAlign w:val="bottom"/>
            <w:tcBorders>
              <w:top w:val="single" w:sz="8" w:color="auto"/>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2024</w:t>
            </w:r>
          </w:p>
        </w:tc>
        <w:tc>
          <w:tcPr>
            <w:tcW w:w="240" w:type="dxa"/>
            <w:vAlign w:val="bottom"/>
            <w:tcBorders>
              <w:top w:val="single" w:sz="8" w:color="auto"/>
            </w:tcBorders>
          </w:tcPr>
          <w:p>
            <w:pPr>
              <w:spacing w:after="0"/>
              <w:rPr>
                <w:sz w:val="19"/>
                <w:szCs w:val="19"/>
                <w:color w:val="auto"/>
              </w:rPr>
            </w:pPr>
          </w:p>
        </w:tc>
        <w:tc>
          <w:tcPr>
            <w:tcW w:w="1880" w:type="dxa"/>
            <w:vAlign w:val="bottom"/>
            <w:tcBorders>
              <w:top w:val="single" w:sz="8" w:color="auto"/>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19"/>
                <w:szCs w:val="19"/>
                <w:color w:val="auto"/>
              </w:rPr>
            </w:pPr>
          </w:p>
        </w:tc>
      </w:tr>
      <w:tr>
        <w:trPr>
          <w:trHeight w:val="223"/>
        </w:trPr>
        <w:tc>
          <w:tcPr>
            <w:tcW w:w="714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 options to purchase common stock</w:t>
            </w:r>
          </w:p>
        </w:tc>
        <w:tc>
          <w:tcPr>
            <w:tcW w:w="1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6,049,829</w:t>
            </w:r>
          </w:p>
        </w:tc>
        <w:tc>
          <w:tcPr>
            <w:tcW w:w="2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4,627,518</w:t>
            </w:r>
          </w:p>
        </w:tc>
        <w:tc>
          <w:tcPr>
            <w:tcW w:w="100" w:type="dxa"/>
            <w:vAlign w:val="bottom"/>
            <w:shd w:val="clear" w:color="auto" w:fill="CFF0FC"/>
          </w:tcPr>
          <w:p>
            <w:pPr>
              <w:spacing w:after="0"/>
              <w:rPr>
                <w:sz w:val="19"/>
                <w:szCs w:val="19"/>
                <w:color w:val="auto"/>
              </w:rPr>
            </w:pPr>
          </w:p>
        </w:tc>
      </w:tr>
      <w:tr>
        <w:trPr>
          <w:trHeight w:val="229"/>
        </w:trPr>
        <w:tc>
          <w:tcPr>
            <w:tcW w:w="7140" w:type="dxa"/>
            <w:vAlign w:val="bottom"/>
          </w:tcPr>
          <w:p>
            <w:pPr>
              <w:ind w:left="20"/>
              <w:spacing w:after="0"/>
              <w:rPr>
                <w:sz w:val="20"/>
                <w:szCs w:val="20"/>
                <w:color w:val="auto"/>
              </w:rPr>
            </w:pPr>
            <w:r>
              <w:rPr>
                <w:rFonts w:ascii="Arial" w:cs="Arial" w:eastAsia="Arial" w:hAnsi="Arial"/>
                <w:sz w:val="18"/>
                <w:szCs w:val="18"/>
                <w:color w:val="auto"/>
              </w:rPr>
              <w:t>Restricted stock units that vest into common stock</w:t>
            </w:r>
          </w:p>
        </w:tc>
        <w:tc>
          <w:tcPr>
            <w:tcW w:w="1880" w:type="dxa"/>
            <w:vAlign w:val="bottom"/>
          </w:tcPr>
          <w:p>
            <w:pPr>
              <w:jc w:val="right"/>
              <w:spacing w:after="0"/>
              <w:rPr>
                <w:sz w:val="20"/>
                <w:szCs w:val="20"/>
                <w:color w:val="auto"/>
              </w:rPr>
            </w:pPr>
            <w:r>
              <w:rPr>
                <w:rFonts w:ascii="Arial" w:cs="Arial" w:eastAsia="Arial" w:hAnsi="Arial"/>
                <w:sz w:val="18"/>
                <w:szCs w:val="18"/>
                <w:color w:val="auto"/>
              </w:rPr>
              <w:t>1,758,414</w:t>
            </w:r>
          </w:p>
        </w:tc>
        <w:tc>
          <w:tcPr>
            <w:tcW w:w="2120" w:type="dxa"/>
            <w:vAlign w:val="bottom"/>
            <w:gridSpan w:val="2"/>
          </w:tcPr>
          <w:p>
            <w:pPr>
              <w:jc w:val="right"/>
              <w:spacing w:after="0"/>
              <w:rPr>
                <w:sz w:val="20"/>
                <w:szCs w:val="20"/>
                <w:color w:val="auto"/>
              </w:rPr>
            </w:pPr>
            <w:r>
              <w:rPr>
                <w:rFonts w:ascii="Arial" w:cs="Arial" w:eastAsia="Arial" w:hAnsi="Arial"/>
                <w:sz w:val="18"/>
                <w:szCs w:val="18"/>
                <w:color w:val="auto"/>
              </w:rPr>
              <w:t>643,108</w:t>
            </w:r>
          </w:p>
        </w:tc>
        <w:tc>
          <w:tcPr>
            <w:tcW w:w="100" w:type="dxa"/>
            <w:vAlign w:val="bottom"/>
          </w:tcPr>
          <w:p>
            <w:pPr>
              <w:spacing w:after="0"/>
              <w:rPr>
                <w:sz w:val="19"/>
                <w:szCs w:val="19"/>
                <w:color w:val="auto"/>
              </w:rPr>
            </w:pPr>
          </w:p>
        </w:tc>
      </w:tr>
      <w:tr>
        <w:trPr>
          <w:trHeight w:val="230"/>
        </w:trPr>
        <w:tc>
          <w:tcPr>
            <w:tcW w:w="71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Warrants to purchase common stock</w:t>
            </w:r>
          </w:p>
        </w:tc>
        <w:tc>
          <w:tcPr>
            <w:tcW w:w="1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12,686</w:t>
            </w:r>
          </w:p>
        </w:tc>
        <w:tc>
          <w:tcPr>
            <w:tcW w:w="240" w:type="dxa"/>
            <w:vAlign w:val="bottom"/>
            <w:tcBorders>
              <w:bottom w:val="single" w:sz="8" w:color="CFF0FC"/>
            </w:tcBorders>
            <w:shd w:val="clear" w:color="auto" w:fill="CFF0FC"/>
          </w:tcPr>
          <w:p>
            <w:pPr>
              <w:spacing w:after="0"/>
              <w:rPr>
                <w:sz w:val="19"/>
                <w:szCs w:val="19"/>
                <w:color w:val="auto"/>
              </w:rPr>
            </w:pPr>
          </w:p>
        </w:tc>
        <w:tc>
          <w:tcPr>
            <w:tcW w:w="1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12,686</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7140" w:type="dxa"/>
            <w:vAlign w:val="bottom"/>
          </w:tcPr>
          <w:p>
            <w:pPr>
              <w:ind w:left="20"/>
              <w:spacing w:after="0"/>
              <w:rPr>
                <w:sz w:val="20"/>
                <w:szCs w:val="20"/>
                <w:color w:val="auto"/>
              </w:rPr>
            </w:pPr>
            <w:r>
              <w:rPr>
                <w:rFonts w:ascii="Arial" w:cs="Arial" w:eastAsia="Arial" w:hAnsi="Arial"/>
                <w:sz w:val="18"/>
                <w:szCs w:val="18"/>
                <w:color w:val="auto"/>
              </w:rPr>
              <w:t>Total potential dilutive shares</w:t>
            </w:r>
          </w:p>
        </w:tc>
        <w:tc>
          <w:tcPr>
            <w:tcW w:w="1880" w:type="dxa"/>
            <w:vAlign w:val="bottom"/>
          </w:tcPr>
          <w:p>
            <w:pPr>
              <w:jc w:val="right"/>
              <w:spacing w:after="0"/>
              <w:rPr>
                <w:sz w:val="20"/>
                <w:szCs w:val="20"/>
                <w:color w:val="auto"/>
              </w:rPr>
            </w:pPr>
            <w:r>
              <w:rPr>
                <w:rFonts w:ascii="Arial" w:cs="Arial" w:eastAsia="Arial" w:hAnsi="Arial"/>
                <w:sz w:val="18"/>
                <w:szCs w:val="18"/>
                <w:color w:val="auto"/>
              </w:rPr>
              <w:t>7,820,929</w:t>
            </w:r>
          </w:p>
        </w:tc>
        <w:tc>
          <w:tcPr>
            <w:tcW w:w="2120" w:type="dxa"/>
            <w:vAlign w:val="bottom"/>
            <w:gridSpan w:val="2"/>
          </w:tcPr>
          <w:p>
            <w:pPr>
              <w:jc w:val="right"/>
              <w:spacing w:after="0"/>
              <w:rPr>
                <w:sz w:val="20"/>
                <w:szCs w:val="20"/>
                <w:color w:val="auto"/>
              </w:rPr>
            </w:pPr>
            <w:r>
              <w:rPr>
                <w:rFonts w:ascii="Arial" w:cs="Arial" w:eastAsia="Arial" w:hAnsi="Arial"/>
                <w:sz w:val="18"/>
                <w:szCs w:val="18"/>
                <w:color w:val="auto"/>
              </w:rPr>
              <w:t>5,283,312</w:t>
            </w:r>
          </w:p>
        </w:tc>
        <w:tc>
          <w:tcPr>
            <w:tcW w:w="100" w:type="dxa"/>
            <w:vAlign w:val="bottom"/>
          </w:tcPr>
          <w:p>
            <w:pPr>
              <w:spacing w:after="0"/>
              <w:rPr>
                <w:sz w:val="19"/>
                <w:szCs w:val="19"/>
                <w:color w:val="auto"/>
              </w:rPr>
            </w:pPr>
          </w:p>
        </w:tc>
      </w:tr>
      <w:tr>
        <w:trPr>
          <w:trHeight w:val="20"/>
        </w:trPr>
        <w:tc>
          <w:tcPr>
            <w:tcW w:w="7140" w:type="dxa"/>
            <w:vAlign w:val="bottom"/>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5722620</wp:posOffset>
            </wp:positionH>
            <wp:positionV relativeFrom="paragraph">
              <wp:posOffset>-179070</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Income Taxes</w:t>
      </w:r>
    </w:p>
    <w:p>
      <w:pPr>
        <w:spacing w:after="0" w:line="77"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For the six months ended June 30, 2024 and 2023, the Company recorded a tax provision of $0.05 million and $0 million, resulting in an effective tax rate of 0.1% and 0.0%, respectively. The income tax provision for the six months ended June 30, 2024 is attributable to state income taxes. The difference in the statutory rate and the effective tax rate is primarily the result of the valuation allowance recorded against the Company’s net deferred tax assets.</w:t>
      </w:r>
    </w:p>
    <w:p>
      <w:pPr>
        <w:spacing w:after="0" w:line="174"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Due to the Company’s history of losses since inception, there is not enough positive evidence at this time to support a position that the Company will generate future income of a sufficient amount and nature to utilize the benefits of its net deferred tax assets. Accordingly, the deferred tax assets have been reduced by a full valuation allowance, since the Company does not currently believe that realization of its deferred tax assets is more likely than not.</w:t>
      </w:r>
    </w:p>
    <w:p>
      <w:pPr>
        <w:spacing w:after="0" w:line="174"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As of June 30, 2024, the Company had no unrecognized income tax benefits that would reduce the Company’s effective tax rate if recognized.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Subsequent Events</w:t>
      </w:r>
    </w:p>
    <w:p>
      <w:pPr>
        <w:spacing w:after="0" w:line="63"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Subsequent events have been evaluated through the date of filing of the unaudited condensed consolidated financial statements. The Company has identified no subsequent events that require disclosure.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79"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i w:val="1"/>
          <w:iCs w:val="1"/>
          <w:color w:val="auto"/>
        </w:rPr>
        <w:t>The following discussion and analysis should be read in conjunction with the unaudited condensed consolidated financial statements and related notes included elsewhere in this Quarterly Report. This discussion and analysis and other parts of this Quarterly Report contain forward-looking statements based upon current beliefs, plans and expectations that involve risks, uncertainties and assumptions, such as statements regarding our plans, objectives, expectations, intentions and projections. Our actual results and the timing of selected events could differ materially from those anticipated in these forward-looking statements as a result of several factors, including those set forth under Part II, Item 1A, “Risk Factors” and elsewhere in this Quarterly Report. You should carefully read the “Risk Factors” section of this Quarterly Report to gain an understanding of the important factors that could cause actual results to differ materially from our forward-looking statements. Please also see the section titled “Special Note Regarding Forward-Looking Statements.”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63"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We are a clinical-stage biotechnology company developing precision therapies to treat solid tumors designed to preserve organ function. Our proprietary platform is designed to enable the targeting of a broad range of solid tumors using Virus-Like Particles, or VLPs, that can be conjugated with drugs or loaded with nucleic acids to create Virus-Like Drug Conjugates, or VDCs. VDCs are a novel class of drugs with a dual mechanism of action that promote cancer cell death by both the delivery of the cytotoxic payload to generate acute necrosis and activation of a secondary immune mediated response. Bel-sar, our lead VDC candidate, consists of a human papilloma virus, or HPV, derived VLP conjugated to hundreds of infrared laser-activated molecules. The VDC is designed in a way that prevents the conjugation from interfering with tumor binding enabling its selectivity to tumor cells but not to normal cells. Laser activation of bel-sar is designed to result in precise tumor cell killing with minimal damage to surrounding healthy tissues.</w:t>
      </w:r>
    </w:p>
    <w:p>
      <w:pPr>
        <w:spacing w:after="0" w:line="180"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We are evaluating the safety and efficacy of bel-sar as a potential vision-sparing therapy in an ongoing global Phase 3 CoMpass trial for the first-line treatment of adult patients with small choroidal melanoma and indeterminate lesions, or early-stage choroidal melanoma. Bel-sar is also being explored for metastases to the choroid and cancers of the ocular surface and is in Phase 1 clinical development in bladder cancer. While our initial focus is in ocular and urologic oncology, we envision the potential for development of bel-sar in additional therapeutic areas.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Small Choroidal Melanoma and Indeterminate Lesions</w:t>
      </w:r>
    </w:p>
    <w:p>
      <w:pPr>
        <w:spacing w:after="0" w:line="75"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We are developing bel-sar as a potential first line vision-sparing treatment option for early intervention in small choroidal melanoma and indeterminate lesions, avoiding the need for radiotherapy and reducing the risk for metastasis for these patients. There are no U.S Food and Drug Administration, or FDA, -approved therapies for primary choroidal melanoma. There are three common treatments routinely used as standard of care, or SoC, for local control of choroidal melanoma: plaque brachytherapy; proton beam irradiation; and enucleation, or removal of the affected eye, each of which represent invasive surgical procedures and are associated with significant vision loss. We have received Orphan Drug Designation, or ODD, for the treatment of choroidal (also referred to as uveal) melanoma from the FDA and the European Medicines Agency, or EMA, and Fast Track designation from the FDA for the treatment of choroidal melanoma.</w:t>
      </w:r>
    </w:p>
    <w:p>
      <w:pPr>
        <w:spacing w:after="0" w:line="185"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Our ongoing Phase 3 CoMpass trial in adult patients with small choroidal melanoma and indeterminate lesions is designed as a superiority trial comparing bel-sar versus sham delivered via suprachoroidal, or SC, injection followed by laser light activation. The trial is a global, randomized, multi-center, masked study. It is intended to enroll approximately 100 patients randomized 2:1:2 to receive the high dose regimen of bel-sar, low dose regimen of bel-sar or a sham control. The primary endpoint is time to tumor progression, and the first key secondary endpoint is a composite time to event analysis. Endpoints will only compare the bel-sar high dose regimen to sham when the last patient completes 15 months of follow up. The trial has a power of &gt;90% to meet the primary endpoint. (ClinicalTrials.gov ID: NCT06007690)</w:t>
      </w:r>
    </w:p>
    <w:p>
      <w:pPr>
        <w:spacing w:after="0" w:line="179"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We have received written agreement from the FDA under a Special Protocol Assessment, or SPA, for the design and planned analysis of the global Phase 3 CoMpass trial. Since there is no drug approved for the treatment of primary choroidal melanoma, we have aligned with FDA that a statistically significant difference on the primary endpoint will provide support from a regulatory perspective to meet the requirement of clinical effectiveness. Based on the SPA, the FDA has agreed that the design and planned analysis of the study can adequately address objectives in support of a regulatory submission.</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0" w:name="page21"/>
    <w:bookmarkEnd w:id="20"/>
    <w:p>
      <w:pPr>
        <w:jc w:val="both"/>
        <w:ind w:firstLine="509"/>
        <w:spacing w:after="0" w:line="238" w:lineRule="auto"/>
        <w:rPr>
          <w:sz w:val="20"/>
          <w:szCs w:val="20"/>
          <w:color w:val="auto"/>
        </w:rPr>
      </w:pPr>
      <w:r>
        <w:rPr>
          <w:rFonts w:ascii="Arial" w:cs="Arial" w:eastAsia="Arial" w:hAnsi="Arial"/>
          <w:sz w:val="18"/>
          <w:szCs w:val="18"/>
          <w:color w:val="auto"/>
        </w:rPr>
        <w:t>Bel-sar has shown clinical benefit and has been generally well-tolerated in clinical trials to date. Interim 12-month results from a Phase 2 trial (ClinicalTrials.gov ID: NCT04417530) that evaluated 22 patients with small choroidal melanoma and indeterminate lesions in an open label dose escalation study of bel-sar delivered via SC injection followed by laser light activation was presented at the 2023 American Academy of Ophthalmology. The results demonstrated that patients who received three cycles of bel -sar therapy showed a local complete response with a tumor control rate of 80% (8/10) and a visual acuity preservation rate of 90% (9/10). The majority of patients were at high-risk for vision loss with tumors close to the fovea or optic disk. For 80% of patients that showed a local complete response, data showed a statistically significant reduction in tumor growth rate (-0.382 mm/yr, p = &lt;0.0001) compared to each patient’s documented growth rate at study entry. The overall tolerability profile of bel-sar was favorable, with no dose-limiting toxicities, treatment-related serious adverse events or significant adverse events reported as of August 3, 2023. The interim Phase 2 results demonstrated an improved risk-benefit profile over intravitreal therapy, or IVT, administration and confirmed the SC delivery route of administration for the Phase 3 program. Phase 2 end of study data in early-stage choroidal melanoma will be presented at the Retina Society Annual Meeting taking place September 11-15, 2024.</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Metastases to the Choroid</w:t>
      </w:r>
    </w:p>
    <w:p>
      <w:pPr>
        <w:spacing w:after="0" w:line="63"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Metastases to the choroid, where different types of primary cancers from elsewhere in the body (e.g., breast and lung cancer) metastasize to the eye, is an even more common cause of intraocular malignancy than primary choroidal melanoma. There is a high unmet need in these patients, as current therapy consists primarily of external radiotherapy, which comes with a very high treatment burden and ocular morbidity. As such, an easier-to-apply treatment that preserves vision is needed. These patients are treated by the same ocular oncologists that treat choroidal melanoma, and SC administration of bel-sar followed by laser light activation will be the mode of administration studied in this indication. We have an open Investigational New Drug application, or IND, in the United States and have received Fast Track designation from the FDA’s Division of Oncology. We plan to initiate a Phase 2 clinical trial in metastases to the choroid in 2024, with initial data expected by the end of 2024.</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Cancers of the Ocular Surface</w:t>
      </w:r>
    </w:p>
    <w:p>
      <w:pPr>
        <w:spacing w:after="0" w:line="77"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212121"/>
        </w:rPr>
        <w:t>We are also evaluating the development of bel-sar in other eye cancer indications like cancers of the ocular surface. Ocular surface tumors are tumors that start in the conjunctiva and are treated by the same ocular oncologists that treat choroidal melanoma and metastases to the choroid. These tumors are life threatening and are diagnosed early, when they are not yet metastatic, not unlike choroidal melanoma. Ocular surface tumors are known to be immunologically ‘hot’, that is, susceptible to control through normal immune mechanisms and immune-modulating therapies. This could allow us to benefit from the immune activation that is part of our mechanism of action, as we have demonstrated with bladder tumors. There are currently no drugs approved for cancers of the ocular surface, and patients are treated with surgery and off-label chemotherapy</w:t>
      </w:r>
      <w:r>
        <w:rPr>
          <w:rFonts w:ascii="Arial" w:cs="Arial" w:eastAsia="Arial" w:hAnsi="Arial"/>
          <w:sz w:val="18"/>
          <w:szCs w:val="18"/>
          <w:color w:val="242424"/>
        </w:rPr>
        <w: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Bladder Cancer</w:t>
      </w:r>
    </w:p>
    <w:p>
      <w:pPr>
        <w:spacing w:after="0" w:line="63"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We are developing bel-sar for bladder cancer and have an ongoing Phase 1 clinical trial for the treatment of non-muscle invasive bladder cancer, or NMIBC, and muscle invasive bladder cancer, or MIBC. Bladder cancer is the most common malignancy involving the urinary system and is the eighth most common cause of cancer death in men in the United States. While metastatic bladder cancer has several approved therapies, there are limited options for the treatment of intermediate and high-risk NMIBC.</w:t>
      </w:r>
    </w:p>
    <w:p>
      <w:pPr>
        <w:spacing w:after="0" w:line="174"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We have generated nonclinical in vivo data that supports that bel-sar’s dual mechanism of action can lead to cytotoxicity and long-term antitumor immunity which may further reduce the risk of recurrence and metastases. We have also shown that bel-sar is highly synergistic with checkpoint inhibitors that are already approved for a subset of patients with NMIBC. We believe this immune response can play an important role in bladder cancer, given that bladder cancer has a well-documented response to immune activation.</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1" w:name="page22"/>
    <w:bookmarkEnd w:id="21"/>
    <w:p>
      <w:pPr>
        <w:jc w:val="both"/>
        <w:ind w:firstLine="509"/>
        <w:spacing w:after="0" w:line="239" w:lineRule="auto"/>
        <w:rPr>
          <w:sz w:val="20"/>
          <w:szCs w:val="20"/>
          <w:color w:val="auto"/>
        </w:rPr>
      </w:pPr>
      <w:r>
        <w:rPr>
          <w:rFonts w:ascii="Arial" w:cs="Arial" w:eastAsia="Arial" w:hAnsi="Arial"/>
          <w:sz w:val="18"/>
          <w:szCs w:val="18"/>
          <w:color w:val="auto"/>
        </w:rPr>
        <w:t>We received Fast Track designation from the FDA for bel-sar for the treatment of NMIBC in June 2022, and in September 2023 we updated the protocol to include patients with MIBC. The ongoing Phase 1 multi-center, open-label clinical trial is expected to enroll approximately 21 adult patients and will evaluate the feasibility and safety of local administration, and early tumor response by histopathology. (ClinicalTrials.gov ID: NCT05483868) The trial has completed enrollment of the bel-sar only cohort (bel-sar injection without light activation). Protocol mandated safety review found no safety issues and the study has proceeded to the bel-sar injection plus light activation cohorts in patients with either NMIBC or MIBC. Preliminary data from the first patient in the light activated cohort of the trial, utilizing a single dose of bel-sar with light activation, produced a clinical complete response demonstrated by absence of cancer cells on histopathology with evidence of extensive necrosis and immune activation. The Phase 1 trial of bel-sar for the treatment of bladder cancer continues to enroll. We plan to host a virtual urologic oncology investor event featuring key opinion leaders in October 2024. Early NMIBC data from the ongoing Phase 1 trial is expected to be presented at this event.</w:t>
      </w:r>
    </w:p>
    <w:p>
      <w:pPr>
        <w:spacing w:after="0" w:line="180" w:lineRule="exact"/>
        <w:rPr>
          <w:sz w:val="20"/>
          <w:szCs w:val="20"/>
          <w:color w:val="auto"/>
        </w:rPr>
      </w:pPr>
    </w:p>
    <w:p>
      <w:pPr>
        <w:jc w:val="both"/>
        <w:ind w:firstLine="509"/>
        <w:spacing w:after="0" w:line="234" w:lineRule="auto"/>
        <w:rPr>
          <w:sz w:val="20"/>
          <w:szCs w:val="20"/>
          <w:color w:val="auto"/>
        </w:rPr>
      </w:pPr>
      <w:r>
        <w:rPr>
          <w:rFonts w:ascii="Arial" w:cs="Arial" w:eastAsia="Arial" w:hAnsi="Arial"/>
          <w:sz w:val="18"/>
          <w:szCs w:val="18"/>
          <w:color w:val="auto"/>
        </w:rPr>
        <w:t>We were incorporated as a Delaware corporation in 2009 and our headquarters are located in Boston, Massachusetts. Since our inception, we have focused our efforts on identifying and developing potential product candidates, conducting preclinical studies and clinical trials, organizing and staffing our company, business planning, establishing our intellectual property portfolio, raising capital, conducting discovery, research and development activities and providing general and administrative support for these operations. We do not have any product candidates approved for sale and have not generated any revenue to date. We have funded our operations primarily through the sale of convertible preferred stock, common stock, and warrants. From inception through June 30, 2024, we have raised an aggregate of approximately $418.7 million of gross proceeds primarily from private placements of our equity and convertible preferred stock as well as through the issuance of our common stock. On November 9, 2023, we issued and sold 11,000,000 shares of common stock at a price to the public of $9.00 per share for aggregate gross proceeds of $99.0 million, or the 2023 Follow-On Offering. We received approximately $92.6 million in net proceeds from the 2023 Follow-On Offering after deducting underwriting discounts and commissions and offering expenses. On December 5, 2022, we issued and sold 7,705,000 shares of common stock, including the full exercise of the underwriters’ option to purchase additional shares at a price to the public of $12.00 per share, for aggregate gross proceeds of $92.5 million, or the 2022 Follow-On Offering. We received approximately $86.7 million in net proceeds from the 2022 Follow-On Offering after deducting underwriting discounts, commissions and offering expenses. On November 1, 2022, we filed a shelf registration statement on Form S-3, or the 2022 Shelf, with the Securities and Exchange Commission, or the SEC, in relation to the registration of up to an aggregate offering price of $250.0 million of common stock, preferred stock, debt securities, warrants and units or any combination thereof. We also simultaneously entered into an Open Market Sale Agreement</w:t>
      </w:r>
      <w:r>
        <w:rPr>
          <w:rFonts w:ascii="Arial" w:cs="Arial" w:eastAsia="Arial" w:hAnsi="Arial"/>
          <w:sz w:val="24"/>
          <w:szCs w:val="24"/>
          <w:color w:val="auto"/>
          <w:vertAlign w:val="superscript"/>
        </w:rPr>
        <w:t>SM</w:t>
      </w:r>
      <w:r>
        <w:rPr>
          <w:rFonts w:ascii="Arial" w:cs="Arial" w:eastAsia="Arial" w:hAnsi="Arial"/>
          <w:sz w:val="18"/>
          <w:szCs w:val="18"/>
          <w:color w:val="auto"/>
        </w:rPr>
        <w:t>, or the Sales Agreement, with Jefferies LLC, or the Sales Agent, to provide for the offering, issuance and sale by us of up to an aggregate of $ 75.0 million of its common stock from time to time in “at-the-market” offerings, or the ATM, under the 2022 Shelf and subject to the limitations thereof. In connection with the 2023 Follow-On Offering, on November 6, 2023, we delivered written notice to Jefferies that we were suspending and terminating the prospectus related to the shares issuable in the ATM pursuant to the terms of the Sales Agreement. Other than the termination of the prospectus, the Sales Agreement remains in full force and effect. As of November 6, 2023, we had issued 993,996 shares of common stock at an average price of $12.50 under the ATM. On March 27, 2024, we filed a new shelf registration statement on Form S-3, or the 2024 Shelf, with the SEC in relation to the registration of up to an aggregate offering price of $350.0 million of common stock, preferred stock, debt securities, warrants and units or any combination thereof, which superseded the 2022 Shelf. The 2024 Shelf included a prospectus supplement to provide for offerings in the ATM under the Sales Agreement. We issued no shares of common stock during the six months ended June 30, 2024 under the ATM.</w:t>
      </w:r>
    </w:p>
    <w:p>
      <w:pPr>
        <w:spacing w:after="0" w:line="194"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We have incurred significant operating losses in every year since our inception in 2009 and have not generated any revenue. We expect to continue to incur significant expenses and operating losses for the foreseeable future. Our ability to generate product revenue sufficient to achieve profitability will depend on the successful development and commercialization of one or more of our product candidates. Our net losses were $40.0 million and $35.8 million for the six months ended June 30, 2024 and 2023, respectively. As of June 30, 2024, we had an accumulated deficit of $327.4 million. In addition, our losses from operations may fluctuate significantly from quarter-to-quarter and year-to-year, depending on the timing of our clinical trials and our expenditures on other research and development activities.</w:t>
      </w:r>
    </w:p>
    <w:p>
      <w:pPr>
        <w:spacing w:after="0" w:line="179" w:lineRule="exact"/>
        <w:rPr>
          <w:sz w:val="20"/>
          <w:szCs w:val="20"/>
          <w:color w:val="auto"/>
        </w:rPr>
      </w:pPr>
    </w:p>
    <w:p>
      <w:pPr>
        <w:jc w:val="both"/>
        <w:ind w:firstLine="509"/>
        <w:spacing w:after="0" w:line="246" w:lineRule="auto"/>
        <w:rPr>
          <w:sz w:val="20"/>
          <w:szCs w:val="20"/>
          <w:color w:val="auto"/>
        </w:rPr>
      </w:pPr>
      <w:r>
        <w:rPr>
          <w:rFonts w:ascii="Arial" w:cs="Arial" w:eastAsia="Arial" w:hAnsi="Arial"/>
          <w:sz w:val="18"/>
          <w:szCs w:val="18"/>
          <w:color w:val="auto"/>
        </w:rPr>
        <w:t>We anticipate that our expenses and capital requirements will increase substantially in connection with our ongoing activities, particularly as we advance the preclinical studies and clinical trials of our product candidates. In addition, we incur additional costs associated with operating as a public company. We expect that our expenses and capital requirements will increase substantially if and as we:</w:t>
      </w:r>
    </w:p>
    <w:p>
      <w:pPr>
        <w:spacing w:after="0" w:line="2" w:lineRule="exact"/>
        <w:rPr>
          <w:sz w:val="20"/>
          <w:szCs w:val="20"/>
          <w:color w:val="auto"/>
        </w:rPr>
      </w:pPr>
    </w:p>
    <w:p>
      <w:pPr>
        <w:ind w:left="1160" w:hanging="508"/>
        <w:spacing w:after="0"/>
        <w:tabs>
          <w:tab w:leader="none" w:pos="116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conduct our current and future clinical trials of bel-sar;</w:t>
      </w:r>
    </w:p>
    <w:p>
      <w:pPr>
        <w:spacing w:after="0" w:line="35" w:lineRule="exact"/>
        <w:rPr>
          <w:rFonts w:ascii="Times New Roman" w:cs="Times New Roman" w:eastAsia="Times New Roman" w:hAnsi="Times New Roman"/>
          <w:sz w:val="18"/>
          <w:szCs w:val="18"/>
          <w:color w:val="auto"/>
        </w:rPr>
      </w:pPr>
    </w:p>
    <w:p>
      <w:pPr>
        <w:ind w:left="1160" w:hanging="508"/>
        <w:spacing w:after="0"/>
        <w:tabs>
          <w:tab w:leader="none" w:pos="116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progress the preclinical and clinical development of new indications;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2" w:name="page23"/>
    <w:bookmarkEnd w:id="22"/>
    <w:p>
      <w:pPr>
        <w:ind w:left="1160" w:hanging="508"/>
        <w:spacing w:after="0"/>
        <w:tabs>
          <w:tab w:leader="none" w:pos="116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establish our manufacturing capability, including developing our contract development and manufacturing relationships;</w:t>
      </w:r>
    </w:p>
    <w:p>
      <w:pPr>
        <w:spacing w:after="0" w:line="35" w:lineRule="exact"/>
        <w:rPr>
          <w:rFonts w:ascii="Times New Roman" w:cs="Times New Roman" w:eastAsia="Times New Roman" w:hAnsi="Times New Roman"/>
          <w:sz w:val="18"/>
          <w:szCs w:val="18"/>
          <w:color w:val="auto"/>
        </w:rPr>
      </w:pPr>
    </w:p>
    <w:p>
      <w:pPr>
        <w:ind w:left="1160" w:hanging="508"/>
        <w:spacing w:after="0"/>
        <w:tabs>
          <w:tab w:leader="none" w:pos="116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seek to identify and develop additional product candidates;</w:t>
      </w:r>
    </w:p>
    <w:p>
      <w:pPr>
        <w:spacing w:after="0" w:line="48" w:lineRule="exact"/>
        <w:rPr>
          <w:rFonts w:ascii="Times New Roman" w:cs="Times New Roman" w:eastAsia="Times New Roman" w:hAnsi="Times New Roman"/>
          <w:sz w:val="18"/>
          <w:szCs w:val="18"/>
          <w:color w:val="auto"/>
        </w:rPr>
      </w:pPr>
    </w:p>
    <w:p>
      <w:pPr>
        <w:ind w:left="1160" w:hanging="508"/>
        <w:spacing w:after="0"/>
        <w:tabs>
          <w:tab w:leader="none" w:pos="116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seek regulatory approval of our current and future product candidates;</w:t>
      </w:r>
    </w:p>
    <w:p>
      <w:pPr>
        <w:spacing w:after="0" w:line="48" w:lineRule="exact"/>
        <w:rPr>
          <w:rFonts w:ascii="Times New Roman" w:cs="Times New Roman" w:eastAsia="Times New Roman" w:hAnsi="Times New Roman"/>
          <w:sz w:val="18"/>
          <w:szCs w:val="18"/>
          <w:color w:val="auto"/>
        </w:rPr>
      </w:pPr>
    </w:p>
    <w:p>
      <w:pPr>
        <w:ind w:left="1160" w:right="20" w:hanging="508"/>
        <w:spacing w:after="0" w:line="255" w:lineRule="auto"/>
        <w:tabs>
          <w:tab w:leader="none" w:pos="116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expand our operational, financial, and management systems and increase personnel, including personnel to support our preclinical and clinical development, manufacturing and commercialization efforts;</w:t>
      </w:r>
    </w:p>
    <w:p>
      <w:pPr>
        <w:ind w:left="1160" w:hanging="508"/>
        <w:spacing w:after="0"/>
        <w:tabs>
          <w:tab w:leader="none" w:pos="116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maintain, expand and protect our intellectual property portfolio; and</w:t>
      </w:r>
    </w:p>
    <w:p>
      <w:pPr>
        <w:spacing w:after="0" w:line="39" w:lineRule="exact"/>
        <w:rPr>
          <w:rFonts w:ascii="Times New Roman" w:cs="Times New Roman" w:eastAsia="Times New Roman" w:hAnsi="Times New Roman"/>
          <w:sz w:val="18"/>
          <w:szCs w:val="18"/>
          <w:color w:val="auto"/>
        </w:rPr>
      </w:pPr>
    </w:p>
    <w:p>
      <w:pPr>
        <w:ind w:left="1160" w:right="20" w:hanging="508"/>
        <w:spacing w:after="0" w:line="270" w:lineRule="auto"/>
        <w:tabs>
          <w:tab w:leader="none" w:pos="116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incur additional legal, accounting, or other expenses in operating our business, including the additional costs associated with operating as a public company.</w:t>
      </w:r>
    </w:p>
    <w:p>
      <w:pPr>
        <w:spacing w:after="0" w:line="154"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As a result, we will need substantial additional funding to support our continuing operations and pursue our growth strategy. Until we can generate significant revenue from product sales, if ever, we expect to finance our operations through a combination of equity offerings, debt financings, collaborations or other strategic transactions. We may be unable to raise additional funds or enter into such other agreements or arrangements when needed on favorable terms, or at all. If we fail to raise capital or enter into such agreements as, and when, needed, we may have to significantly delay, scale back or discontinue the development and commercialization of one or more of our product candidates.</w:t>
      </w:r>
    </w:p>
    <w:p>
      <w:pPr>
        <w:spacing w:after="0" w:line="179"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We will not generate revenue from product sales unless and until we successfully complete clinical development and obtain marketing approval for our product candidates. The lengthy process of securing marketing approvals for new drugs requires the expenditure of substantial resources. Any delay or failure to obtain regulatory approvals would materially adversely affect the development efforts of our product candidates and our business overall. Because of the numerous risks and uncertainties associated with product development, we are unable to predict the timing or amount of increased expenses or when or if we will be able to achieve or maintain profitability. Even if we are able to generate revenue from product sales, we may not become profitable. If we fail to become profitable or are unable to sustain profitability on a continuing basis, then we may be unable to continue our operations at planned levels and be forced to reduce or terminate our operations.</w:t>
      </w:r>
    </w:p>
    <w:p>
      <w:pPr>
        <w:spacing w:after="0" w:line="180"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 xml:space="preserve">As of June 30, 2024, we had cash and cash equivalents and marketable securities of $187.4 million. We believe that our existing cash and cash equivalents and marketable securities will enable us to fund our operating expenses and capital expenditure requirements into the second half of 2026. We have based this estimate on assumptions that may prove to be wrong, and we could exhaust our available capital resources sooner than we expect. See </w:t>
      </w:r>
      <w:r>
        <w:rPr>
          <w:rFonts w:ascii="Arial" w:cs="Arial" w:eastAsia="Arial" w:hAnsi="Arial"/>
          <w:sz w:val="18"/>
          <w:szCs w:val="18"/>
          <w:i w:val="1"/>
          <w:iCs w:val="1"/>
          <w:color w:val="auto"/>
        </w:rPr>
        <w:t>“Liquidity and Capital Resources</w:t>
      </w:r>
      <w:r>
        <w:rPr>
          <w:rFonts w:ascii="Arial" w:cs="Arial" w:eastAsia="Arial" w:hAnsi="Arial"/>
          <w:sz w:val="18"/>
          <w:szCs w:val="18"/>
          <w:color w:val="auto"/>
        </w:rPr>
        <w:t>” below.</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6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Revenue</w:t>
      </w:r>
    </w:p>
    <w:p>
      <w:pPr>
        <w:spacing w:after="0" w:line="75"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Since inception, we have not generated any revenue and do not expect to generate any revenue from the sale of products in the foreseeable future. If our development efforts for one or more of our product candidates are successful and result in regulatory approval, or if we enter into collaboration or license agreements with third parties, we may generate revenue in the future from a combination of product sales or payments from collaboration or license agreements. We cannot predict if, and when, or to what extent, we will generate revenue from the commercialization and sale of our product candidates. We may never succeed in obtaining regulatory approval for any of our product candidates.</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63"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Research and Development Expenses</w:t>
      </w:r>
    </w:p>
    <w:p>
      <w:pPr>
        <w:spacing w:after="0" w:line="61" w:lineRule="exact"/>
        <w:rPr>
          <w:sz w:val="20"/>
          <w:szCs w:val="20"/>
          <w:color w:val="auto"/>
        </w:rPr>
      </w:pPr>
    </w:p>
    <w:p>
      <w:pPr>
        <w:jc w:val="both"/>
        <w:ind w:right="20" w:firstLine="509"/>
        <w:spacing w:after="0" w:line="258" w:lineRule="auto"/>
        <w:rPr>
          <w:sz w:val="20"/>
          <w:szCs w:val="20"/>
          <w:color w:val="auto"/>
        </w:rPr>
      </w:pPr>
      <w:r>
        <w:rPr>
          <w:rFonts w:ascii="Arial" w:cs="Arial" w:eastAsia="Arial" w:hAnsi="Arial"/>
          <w:sz w:val="18"/>
          <w:szCs w:val="18"/>
          <w:color w:val="auto"/>
        </w:rPr>
        <w:t>Research and development expenses consist primarily of costs incurred for our research activities, including our discovery efforts and the development of our bel-sar program, and include:</w:t>
      </w:r>
    </w:p>
    <w:p>
      <w:pPr>
        <w:ind w:left="1160" w:right="20" w:hanging="508"/>
        <w:spacing w:after="0" w:line="257" w:lineRule="auto"/>
        <w:tabs>
          <w:tab w:leader="none" w:pos="116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employee-related expenses, including salaries, benefits and stock-based compensation expense for employees engaged in research and development functions;</w:t>
      </w:r>
    </w:p>
    <w:p>
      <w:pPr>
        <w:spacing w:after="0" w:line="1" w:lineRule="exact"/>
        <w:rPr>
          <w:rFonts w:ascii="Times New Roman" w:cs="Times New Roman" w:eastAsia="Times New Roman" w:hAnsi="Times New Roman"/>
          <w:sz w:val="18"/>
          <w:szCs w:val="18"/>
          <w:color w:val="auto"/>
        </w:rPr>
      </w:pPr>
    </w:p>
    <w:p>
      <w:pPr>
        <w:ind w:left="1160" w:hanging="508"/>
        <w:spacing w:after="0"/>
        <w:tabs>
          <w:tab w:leader="none" w:pos="116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fees paid to consultants for services directly related to our product development and regulatory efforts;</w:t>
      </w:r>
    </w:p>
    <w:p>
      <w:pPr>
        <w:spacing w:after="0" w:line="35" w:lineRule="exact"/>
        <w:rPr>
          <w:rFonts w:ascii="Times New Roman" w:cs="Times New Roman" w:eastAsia="Times New Roman" w:hAnsi="Times New Roman"/>
          <w:sz w:val="18"/>
          <w:szCs w:val="18"/>
          <w:color w:val="auto"/>
        </w:rPr>
      </w:pPr>
    </w:p>
    <w:p>
      <w:pPr>
        <w:ind w:left="1160" w:hanging="508"/>
        <w:spacing w:after="0" w:line="257" w:lineRule="auto"/>
        <w:tabs>
          <w:tab w:leader="none" w:pos="116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expenses associated with conducting preclinical studies and clinical trials performed by ourselves, outside vendors or academic collaborators;</w:t>
      </w:r>
    </w:p>
    <w:p>
      <w:pPr>
        <w:spacing w:after="0" w:line="1" w:lineRule="exact"/>
        <w:rPr>
          <w:rFonts w:ascii="Times New Roman" w:cs="Times New Roman" w:eastAsia="Times New Roman" w:hAnsi="Times New Roman"/>
          <w:sz w:val="18"/>
          <w:szCs w:val="18"/>
          <w:color w:val="auto"/>
        </w:rPr>
      </w:pPr>
    </w:p>
    <w:p>
      <w:pPr>
        <w:ind w:left="1160" w:hanging="508"/>
        <w:spacing w:after="0" w:line="257" w:lineRule="auto"/>
        <w:tabs>
          <w:tab w:leader="none" w:pos="116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expenses incurred under agreements with contract research organizations, or CROs, as well as consultants that conduct and provide supplies for our preclinical studies and clinical trials;</w:t>
      </w:r>
    </w:p>
    <w:p>
      <w:pPr>
        <w:spacing w:after="0" w:line="1" w:lineRule="exact"/>
        <w:rPr>
          <w:rFonts w:ascii="Times New Roman" w:cs="Times New Roman" w:eastAsia="Times New Roman" w:hAnsi="Times New Roman"/>
          <w:sz w:val="18"/>
          <w:szCs w:val="18"/>
          <w:color w:val="auto"/>
        </w:rPr>
      </w:pPr>
    </w:p>
    <w:p>
      <w:pPr>
        <w:jc w:val="both"/>
        <w:ind w:left="1160" w:hanging="508"/>
        <w:spacing w:after="0" w:line="252" w:lineRule="auto"/>
        <w:tabs>
          <w:tab w:leader="none" w:pos="116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the cost of manufacturing bel-sar, including the potential cost of CDMOs that manufacture product for use in our preclinical studies and clinical trials and perform analytical testing, scale-up and other services in connection with our development activities;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5" w:right="339" w:bottom="1440" w:gutter="0" w:footer="0" w:header="0"/>
        </w:sectPr>
      </w:pPr>
    </w:p>
    <w:bookmarkStart w:id="23" w:name="page24"/>
    <w:bookmarkEnd w:id="23"/>
    <w:p>
      <w:pPr>
        <w:ind w:left="1160" w:hanging="508"/>
        <w:spacing w:after="0"/>
        <w:tabs>
          <w:tab w:leader="none" w:pos="116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costs associated with preclinical activities and clinical development activities;</w:t>
      </w:r>
    </w:p>
    <w:p>
      <w:pPr>
        <w:spacing w:after="0" w:line="35" w:lineRule="exact"/>
        <w:rPr>
          <w:rFonts w:ascii="Times New Roman" w:cs="Times New Roman" w:eastAsia="Times New Roman" w:hAnsi="Times New Roman"/>
          <w:sz w:val="18"/>
          <w:szCs w:val="18"/>
          <w:color w:val="auto"/>
        </w:rPr>
      </w:pPr>
    </w:p>
    <w:p>
      <w:pPr>
        <w:ind w:left="1160" w:hanging="508"/>
        <w:spacing w:after="0"/>
        <w:tabs>
          <w:tab w:leader="none" w:pos="116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costs associated with our intellectual property portfolio;</w:t>
      </w:r>
    </w:p>
    <w:p>
      <w:pPr>
        <w:spacing w:after="0" w:line="48" w:lineRule="exact"/>
        <w:rPr>
          <w:rFonts w:ascii="Times New Roman" w:cs="Times New Roman" w:eastAsia="Times New Roman" w:hAnsi="Times New Roman"/>
          <w:sz w:val="18"/>
          <w:szCs w:val="18"/>
          <w:color w:val="auto"/>
        </w:rPr>
      </w:pPr>
    </w:p>
    <w:p>
      <w:pPr>
        <w:ind w:left="1160" w:hanging="508"/>
        <w:spacing w:after="0"/>
        <w:tabs>
          <w:tab w:leader="none" w:pos="116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costs related to compliance with regulatory requirements; and</w:t>
      </w:r>
    </w:p>
    <w:p>
      <w:pPr>
        <w:spacing w:after="0" w:line="48" w:lineRule="exact"/>
        <w:rPr>
          <w:rFonts w:ascii="Times New Roman" w:cs="Times New Roman" w:eastAsia="Times New Roman" w:hAnsi="Times New Roman"/>
          <w:sz w:val="18"/>
          <w:szCs w:val="18"/>
          <w:color w:val="auto"/>
        </w:rPr>
      </w:pPr>
    </w:p>
    <w:p>
      <w:pPr>
        <w:ind w:left="1160" w:hanging="508"/>
        <w:spacing w:after="0"/>
        <w:tabs>
          <w:tab w:leader="none" w:pos="116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allocated expenses for utilities and other facility-related costs.</w:t>
      </w:r>
    </w:p>
    <w:p>
      <w:pPr>
        <w:spacing w:after="0" w:line="224"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We expense research and development costs as incurred. Costs for external development activities are recognized based on an evaluation of the progress to completion of specific tasks using information provided to us by our vendors. Payments for these activities are based on the terms of the individual agreements, which may differ from the pattern of costs incurred, and are reflected in our financial statements as prepaid or accrued research and development expenses. We allocate our direct external research and development costs across the entire bel-sar program. Preclinical expenses consist of external research and development costs associated with activities to support our current and future clinical programs, but are not allocated by specific indications due to the overlap of the potential benefit of those efforts across the entire bel-sar program.</w:t>
      </w:r>
    </w:p>
    <w:p>
      <w:pPr>
        <w:spacing w:after="0" w:line="185"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Research and development activities are central to our business. We expect that our research and development expenses will increase for the foreseeable future as we continue clinical development for bel-sar and continue to discover and develop additional product candidates. If any of our product candidates enter into later stages of clinical development, they will generally have higher development costs than those in earlier stages of clinical development, primarily due to the increased size and duration of later-stage clinical trials.</w:t>
      </w:r>
    </w:p>
    <w:p>
      <w:pPr>
        <w:spacing w:after="0" w:line="176"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General and Administrative Expenses</w:t>
      </w:r>
    </w:p>
    <w:p>
      <w:pPr>
        <w:spacing w:after="0" w:line="61"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General and administrative expenses consist primarily of salaries and other related costs, including stock-based compensation, for personnel in our executive and finance functions. General and administrative expenses also include professional fees for legal, accounting, auditing, tax and consulting services; travel expenses; and facility-related expenses, which include allocated expenses for rent and maintenance of facilities and other operating costs not included in research and development.</w:t>
      </w:r>
    </w:p>
    <w:p>
      <w:pPr>
        <w:spacing w:after="0" w:line="174"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We expect that our general and administrative expenses will increase in the near-term as we continue to build a team to support our administrative, accounting and finance, communications, legal and business development efforts. We expect to incur increased expenses associated with our growth, including costs of accounting, audit, legal, regulatory and tax compliance services; director and officer insurance costs; and investor and public relations costs.</w:t>
      </w:r>
    </w:p>
    <w:p>
      <w:pPr>
        <w:spacing w:after="0" w:line="176"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Other Income (Expense)</w:t>
      </w:r>
    </w:p>
    <w:p>
      <w:pPr>
        <w:spacing w:after="0" w:line="61" w:lineRule="exact"/>
        <w:rPr>
          <w:sz w:val="20"/>
          <w:szCs w:val="20"/>
          <w:color w:val="auto"/>
        </w:rPr>
      </w:pPr>
    </w:p>
    <w:p>
      <w:pPr>
        <w:jc w:val="both"/>
        <w:ind w:right="20" w:firstLine="509"/>
        <w:spacing w:after="0" w:line="271" w:lineRule="auto"/>
        <w:rPr>
          <w:sz w:val="20"/>
          <w:szCs w:val="20"/>
          <w:color w:val="auto"/>
        </w:rPr>
      </w:pPr>
      <w:r>
        <w:rPr>
          <w:rFonts w:ascii="Arial" w:cs="Arial" w:eastAsia="Arial" w:hAnsi="Arial"/>
          <w:sz w:val="18"/>
          <w:szCs w:val="18"/>
          <w:color w:val="auto"/>
        </w:rPr>
        <w:t>Our other income (expense) consists of accretion, interest income and realized losses on marketable securities, interest income on our invested cash balances, and gains and losses on disposals of equipment.</w:t>
      </w:r>
    </w:p>
    <w:p>
      <w:pPr>
        <w:spacing w:after="0" w:line="156"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Income Tax Benefit (Provision), Net</w:t>
      </w:r>
    </w:p>
    <w:p>
      <w:pPr>
        <w:spacing w:after="0" w:line="75"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For the year ending December 31, 2023, we recorded a $0.1 million tax provision related to the current state income taxes. Since our inception, we have not recorded any U.S. federal benefits for our net operating loss carryforwards or research and development tax credits, due to the uncertainty of realizing a benefit from those items. As of December 31, 2023, we had federal gross operating loss carryforwards of approximately $174.4 million which may be available to offset future taxable income, of which $44.2 million begin to expire in 2029 and go through 2037 and $ 130.2 million do not expire. The state gross operating loss carryforwards of $148.5 million, which may be available to offset future taxable income and which would begin to expire in 2030, except for $0.7 million of state NOLs that do not expire. We had foreign gross operating loss carryforwards of $0.1 million, which may be available to offset future taxable income and which do not expire. As of December 31, 2023, we had federal and state research and experimentation credit carryforwards of $ 8.2 million and $2.3 million, respectively, which may be available to offset future income tax liabilities and which would begin to expire in 2029 and 2028, respectively. Due to the degree of uncertainty related to the ultimate use of the deferred tax assets, we have fully reserved these tax benefits, as the determination of the realization of the deferred tax benefits was not determined to be more likely than not.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5"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Results of Operations</w:t>
      </w:r>
    </w:p>
    <w:p>
      <w:pPr>
        <w:spacing w:after="0" w:line="6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Comparison of the Three Months Ended June 30, 2024 and 2023</w:t>
      </w:r>
    </w:p>
    <w:p>
      <w:pPr>
        <w:spacing w:after="0" w:line="7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results of operations for the three months ended June 30, 2024 and 2023:</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80" w:type="dxa"/>
            <w:vAlign w:val="bottom"/>
            <w:gridSpan w:val="5"/>
          </w:tcPr>
          <w:p>
            <w:pPr>
              <w:jc w:val="right"/>
              <w:ind w:right="700"/>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68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June 30,</w:t>
            </w:r>
          </w:p>
        </w:tc>
        <w:tc>
          <w:tcPr>
            <w:tcW w:w="90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vMerge w:val="restart"/>
          </w:tcPr>
          <w:p>
            <w:pPr>
              <w:jc w:val="right"/>
              <w:ind w:right="270"/>
              <w:spacing w:after="0"/>
              <w:rPr>
                <w:sz w:val="20"/>
                <w:szCs w:val="20"/>
                <w:color w:val="auto"/>
              </w:rPr>
            </w:pPr>
            <w:r>
              <w:rPr>
                <w:rFonts w:ascii="Arial" w:cs="Arial" w:eastAsia="Arial" w:hAnsi="Arial"/>
                <w:sz w:val="18"/>
                <w:szCs w:val="18"/>
                <w:b w:val="1"/>
                <w:bCs w:val="1"/>
                <w:color w:val="auto"/>
              </w:rPr>
              <w:t>Change</w:t>
            </w:r>
          </w:p>
        </w:tc>
        <w:tc>
          <w:tcPr>
            <w:tcW w:w="10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8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2024</w:t>
            </w:r>
          </w:p>
        </w:tc>
        <w:tc>
          <w:tcPr>
            <w:tcW w:w="2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2023</w:t>
            </w:r>
          </w:p>
        </w:tc>
        <w:tc>
          <w:tcPr>
            <w:tcW w:w="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ind w:right="170"/>
              <w:spacing w:after="0"/>
              <w:rPr>
                <w:sz w:val="20"/>
                <w:szCs w:val="20"/>
                <w:color w:val="auto"/>
              </w:rPr>
            </w:pPr>
            <w:r>
              <w:rPr>
                <w:rFonts w:ascii="Arial" w:cs="Arial" w:eastAsia="Arial" w:hAnsi="Arial"/>
                <w:sz w:val="18"/>
                <w:szCs w:val="18"/>
                <w:b w:val="1"/>
                <w:bCs w:val="1"/>
                <w:color w:val="auto"/>
              </w:rPr>
              <w:t>(in</w:t>
            </w:r>
          </w:p>
        </w:tc>
        <w:tc>
          <w:tcPr>
            <w:tcW w:w="1500" w:type="dxa"/>
            <w:vAlign w:val="bottom"/>
            <w:gridSpan w:val="3"/>
          </w:tcPr>
          <w:p>
            <w:pPr>
              <w:jc w:val="right"/>
              <w:ind w:right="650"/>
              <w:spacing w:after="0"/>
              <w:rPr>
                <w:sz w:val="20"/>
                <w:szCs w:val="20"/>
                <w:color w:val="auto"/>
              </w:rPr>
            </w:pPr>
            <w:r>
              <w:rPr>
                <w:rFonts w:ascii="Arial" w:cs="Arial" w:eastAsia="Arial" w:hAnsi="Arial"/>
                <w:sz w:val="18"/>
                <w:szCs w:val="18"/>
                <w:b w:val="1"/>
                <w:bCs w:val="1"/>
                <w:color w:val="auto"/>
                <w:w w:val="76"/>
              </w:rPr>
              <w:t>thousands)</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expenses:</w:t>
            </w: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40" w:type="dxa"/>
            <w:vAlign w:val="bottom"/>
          </w:tcPr>
          <w:p>
            <w:pPr>
              <w:ind w:left="280"/>
              <w:spacing w:after="0"/>
              <w:rPr>
                <w:sz w:val="20"/>
                <w:szCs w:val="20"/>
                <w:color w:val="auto"/>
              </w:rPr>
            </w:pPr>
            <w:r>
              <w:rPr>
                <w:rFonts w:ascii="Arial" w:cs="Arial" w:eastAsia="Arial" w:hAnsi="Arial"/>
                <w:sz w:val="18"/>
                <w:szCs w:val="18"/>
                <w:color w:val="auto"/>
              </w:rPr>
              <w:t>Research and development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16,879</w:t>
            </w:r>
          </w:p>
        </w:tc>
        <w:tc>
          <w:tcPr>
            <w:tcW w:w="28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15,120</w:t>
            </w:r>
          </w:p>
        </w:tc>
        <w:tc>
          <w:tcPr>
            <w:tcW w:w="24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1,759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4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General and administrative</w:t>
            </w:r>
          </w:p>
        </w:tc>
        <w:tc>
          <w:tcPr>
            <w:tcW w:w="26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5,883</w:t>
            </w:r>
          </w:p>
        </w:tc>
        <w:tc>
          <w:tcPr>
            <w:tcW w:w="28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5,156</w:t>
            </w:r>
          </w:p>
        </w:tc>
        <w:tc>
          <w:tcPr>
            <w:tcW w:w="2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727</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40" w:type="dxa"/>
            <w:vAlign w:val="bottom"/>
          </w:tcPr>
          <w:p>
            <w:pPr>
              <w:ind w:left="52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22,762</w:t>
            </w:r>
          </w:p>
        </w:tc>
        <w:tc>
          <w:tcPr>
            <w:tcW w:w="2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20,276</w:t>
            </w:r>
          </w:p>
        </w:tc>
        <w:tc>
          <w:tcPr>
            <w:tcW w:w="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4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Loss from operations</w:t>
            </w:r>
          </w:p>
        </w:tc>
        <w:tc>
          <w:tcPr>
            <w:tcW w:w="2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(22,762 )</w:t>
            </w:r>
          </w:p>
        </w:tc>
        <w:tc>
          <w:tcPr>
            <w:tcW w:w="3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(20,276 )</w:t>
            </w:r>
          </w:p>
        </w:tc>
        <w:tc>
          <w:tcPr>
            <w:tcW w:w="2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(2,486 )</w:t>
            </w:r>
          </w:p>
        </w:tc>
        <w:tc>
          <w:tcPr>
            <w:tcW w:w="0" w:type="dxa"/>
            <w:vAlign w:val="bottom"/>
          </w:tcPr>
          <w:p>
            <w:pPr>
              <w:spacing w:after="0"/>
              <w:rPr>
                <w:sz w:val="1"/>
                <w:szCs w:val="1"/>
                <w:color w:val="auto"/>
              </w:rPr>
            </w:pPr>
          </w:p>
        </w:tc>
      </w:tr>
      <w:tr>
        <w:trPr>
          <w:trHeight w:val="223"/>
        </w:trPr>
        <w:tc>
          <w:tcPr>
            <w:tcW w:w="684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Other income (expense):</w:t>
            </w:r>
          </w:p>
        </w:tc>
        <w:tc>
          <w:tcPr>
            <w:tcW w:w="2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280" w:type="dxa"/>
            <w:vAlign w:val="bottom"/>
            <w:tcBorders>
              <w:top w:val="single" w:sz="8" w:color="CFF0FC"/>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40" w:type="dxa"/>
            <w:vAlign w:val="bottom"/>
            <w:tcBorders>
              <w:top w:val="single" w:sz="8" w:color="CFF0FC"/>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Interest income, including amortization of discount</w:t>
            </w: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2,451</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2,009</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40" w:type="dxa"/>
            <w:vAlign w:val="bottom"/>
          </w:tcPr>
          <w:p>
            <w:pPr>
              <w:ind w:left="280"/>
              <w:spacing w:after="0"/>
              <w:rPr>
                <w:sz w:val="20"/>
                <w:szCs w:val="20"/>
                <w:color w:val="auto"/>
              </w:rPr>
            </w:pPr>
            <w:r>
              <w:rPr>
                <w:rFonts w:ascii="Arial" w:cs="Arial" w:eastAsia="Arial" w:hAnsi="Arial"/>
                <w:sz w:val="18"/>
                <w:szCs w:val="18"/>
                <w:color w:val="auto"/>
              </w:rPr>
              <w:t>Other income (expense):</w:t>
            </w:r>
          </w:p>
        </w:tc>
        <w:tc>
          <w:tcPr>
            <w:tcW w:w="260" w:type="dxa"/>
            <w:vAlign w:val="bottom"/>
          </w:tcPr>
          <w:p>
            <w:pPr>
              <w:spacing w:after="0"/>
              <w:rPr>
                <w:sz w:val="19"/>
                <w:szCs w:val="19"/>
                <w:color w:val="auto"/>
              </w:rPr>
            </w:pPr>
          </w:p>
        </w:tc>
        <w:tc>
          <w:tcPr>
            <w:tcW w:w="1220" w:type="dxa"/>
            <w:vAlign w:val="bottom"/>
            <w:gridSpan w:val="2"/>
          </w:tcPr>
          <w:p>
            <w:pPr>
              <w:jc w:val="right"/>
              <w:ind w:right="110"/>
              <w:spacing w:after="0"/>
              <w:rPr>
                <w:sz w:val="20"/>
                <w:szCs w:val="20"/>
                <w:color w:val="auto"/>
              </w:rPr>
            </w:pPr>
            <w:r>
              <w:rPr>
                <w:rFonts w:ascii="Arial" w:cs="Arial" w:eastAsia="Arial" w:hAnsi="Arial"/>
                <w:sz w:val="18"/>
                <w:szCs w:val="18"/>
                <w:color w:val="auto"/>
              </w:rPr>
              <w:t>(26 )</w:t>
            </w:r>
          </w:p>
        </w:tc>
        <w:tc>
          <w:tcPr>
            <w:tcW w:w="32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(32 )</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4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Total other income (expense)</w:t>
            </w: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2,425</w:t>
            </w:r>
          </w:p>
        </w:tc>
        <w:tc>
          <w:tcPr>
            <w:tcW w:w="28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1,977</w:t>
            </w:r>
          </w:p>
        </w:tc>
        <w:tc>
          <w:tcPr>
            <w:tcW w:w="2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448</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40" w:type="dxa"/>
            <w:vAlign w:val="bottom"/>
          </w:tcPr>
          <w:p>
            <w:pPr>
              <w:ind w:left="20"/>
              <w:spacing w:after="0"/>
              <w:rPr>
                <w:sz w:val="20"/>
                <w:szCs w:val="20"/>
                <w:color w:val="auto"/>
              </w:rPr>
            </w:pPr>
            <w:r>
              <w:rPr>
                <w:rFonts w:ascii="Arial" w:cs="Arial" w:eastAsia="Arial" w:hAnsi="Arial"/>
                <w:sz w:val="18"/>
                <w:szCs w:val="18"/>
                <w:color w:val="auto"/>
              </w:rPr>
              <w:t>Loss before income taxes</w:t>
            </w:r>
          </w:p>
        </w:tc>
        <w:tc>
          <w:tcPr>
            <w:tcW w:w="260" w:type="dxa"/>
            <w:vAlign w:val="bottom"/>
          </w:tcPr>
          <w:p>
            <w:pPr>
              <w:spacing w:after="0"/>
              <w:rPr>
                <w:sz w:val="19"/>
                <w:szCs w:val="19"/>
                <w:color w:val="auto"/>
              </w:rPr>
            </w:pPr>
          </w:p>
        </w:tc>
        <w:tc>
          <w:tcPr>
            <w:tcW w:w="1220" w:type="dxa"/>
            <w:vAlign w:val="bottom"/>
            <w:gridSpan w:val="2"/>
          </w:tcPr>
          <w:p>
            <w:pPr>
              <w:jc w:val="right"/>
              <w:ind w:right="110"/>
              <w:spacing w:after="0"/>
              <w:rPr>
                <w:sz w:val="20"/>
                <w:szCs w:val="20"/>
                <w:color w:val="auto"/>
              </w:rPr>
            </w:pPr>
            <w:r>
              <w:rPr>
                <w:rFonts w:ascii="Arial" w:cs="Arial" w:eastAsia="Arial" w:hAnsi="Arial"/>
                <w:sz w:val="18"/>
                <w:szCs w:val="18"/>
                <w:color w:val="auto"/>
              </w:rPr>
              <w:t>(20,337 )</w:t>
            </w:r>
          </w:p>
        </w:tc>
        <w:tc>
          <w:tcPr>
            <w:tcW w:w="32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(18,299 )</w:t>
            </w:r>
          </w:p>
        </w:tc>
        <w:tc>
          <w:tcPr>
            <w:tcW w:w="240" w:type="dxa"/>
            <w:vAlign w:val="bottom"/>
          </w:tcPr>
          <w:p>
            <w:pPr>
              <w:spacing w:after="0"/>
              <w:rPr>
                <w:sz w:val="19"/>
                <w:szCs w:val="19"/>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(2,038 )</w:t>
            </w:r>
          </w:p>
        </w:tc>
        <w:tc>
          <w:tcPr>
            <w:tcW w:w="0" w:type="dxa"/>
            <w:vAlign w:val="bottom"/>
          </w:tcPr>
          <w:p>
            <w:pPr>
              <w:spacing w:after="0"/>
              <w:rPr>
                <w:sz w:val="1"/>
                <w:szCs w:val="1"/>
                <w:color w:val="auto"/>
              </w:rPr>
            </w:pPr>
          </w:p>
        </w:tc>
      </w:tr>
      <w:tr>
        <w:trPr>
          <w:trHeight w:val="223"/>
        </w:trPr>
        <w:tc>
          <w:tcPr>
            <w:tcW w:w="684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Income tax benefit (provision), net</w:t>
            </w: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40" w:type="dxa"/>
            <w:vAlign w:val="bottom"/>
          </w:tcPr>
          <w:p>
            <w:pPr>
              <w:ind w:left="20"/>
              <w:spacing w:after="0"/>
              <w:rPr>
                <w:sz w:val="20"/>
                <w:szCs w:val="20"/>
                <w:color w:val="auto"/>
              </w:rPr>
            </w:pPr>
            <w:r>
              <w:rPr>
                <w:rFonts w:ascii="Arial" w:cs="Arial" w:eastAsia="Arial" w:hAnsi="Arial"/>
                <w:sz w:val="18"/>
                <w:szCs w:val="18"/>
                <w:color w:val="auto"/>
              </w:rPr>
              <w:t>Net loss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110"/>
              <w:spacing w:after="0"/>
              <w:rPr>
                <w:sz w:val="20"/>
                <w:szCs w:val="20"/>
                <w:color w:val="auto"/>
              </w:rPr>
            </w:pPr>
            <w:r>
              <w:rPr>
                <w:rFonts w:ascii="Arial" w:cs="Arial" w:eastAsia="Arial" w:hAnsi="Arial"/>
                <w:sz w:val="18"/>
                <w:szCs w:val="18"/>
                <w:color w:val="auto"/>
              </w:rPr>
              <w:t>(20,337 )</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(18,299 )</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(2,038 )</w:t>
            </w:r>
          </w:p>
        </w:tc>
        <w:tc>
          <w:tcPr>
            <w:tcW w:w="0" w:type="dxa"/>
            <w:vAlign w:val="bottom"/>
          </w:tcPr>
          <w:p>
            <w:pPr>
              <w:spacing w:after="0"/>
              <w:rPr>
                <w:sz w:val="1"/>
                <w:szCs w:val="1"/>
                <w:color w:val="auto"/>
              </w:rPr>
            </w:pPr>
          </w:p>
        </w:tc>
      </w:tr>
      <w:tr>
        <w:trPr>
          <w:trHeight w:val="20"/>
        </w:trPr>
        <w:tc>
          <w:tcPr>
            <w:tcW w:w="68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5105400</wp:posOffset>
            </wp:positionH>
            <wp:positionV relativeFrom="paragraph">
              <wp:posOffset>-1397000</wp:posOffset>
            </wp:positionV>
            <wp:extent cx="76835"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-1397000</wp:posOffset>
            </wp:positionV>
            <wp:extent cx="6858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-1397000</wp:posOffset>
            </wp:positionV>
            <wp:extent cx="6858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-1087755</wp:posOffset>
            </wp:positionV>
            <wp:extent cx="7683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-1087755</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-1087755</wp:posOffset>
            </wp:positionV>
            <wp:extent cx="685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-487680</wp:posOffset>
            </wp:positionV>
            <wp:extent cx="7683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-487680</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-487680</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-179070</wp:posOffset>
            </wp:positionV>
            <wp:extent cx="7683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-179070</wp:posOffset>
            </wp:positionV>
            <wp:extent cx="68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93"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Research and Development Expenses</w:t>
      </w:r>
    </w:p>
    <w:p>
      <w:pPr>
        <w:spacing w:after="0" w:line="7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research and development expenses for the three months ended June 30, 2024 and 2023:</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20" w:type="dxa"/>
            <w:vAlign w:val="bottom"/>
            <w:gridSpan w:val="4"/>
          </w:tcPr>
          <w:p>
            <w:pPr>
              <w:jc w:val="right"/>
              <w:ind w:right="470"/>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66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b w:val="1"/>
                <w:bCs w:val="1"/>
                <w:color w:val="auto"/>
              </w:rPr>
              <w:t>June 30,</w:t>
            </w:r>
          </w:p>
        </w:tc>
        <w:tc>
          <w:tcPr>
            <w:tcW w:w="98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vMerge w:val="restart"/>
          </w:tcPr>
          <w:p>
            <w:pPr>
              <w:jc w:val="right"/>
              <w:ind w:right="250"/>
              <w:spacing w:after="0"/>
              <w:rPr>
                <w:sz w:val="20"/>
                <w:szCs w:val="20"/>
                <w:color w:val="auto"/>
              </w:rPr>
            </w:pPr>
            <w:r>
              <w:rPr>
                <w:rFonts w:ascii="Arial" w:cs="Arial" w:eastAsia="Arial" w:hAnsi="Arial"/>
                <w:sz w:val="18"/>
                <w:szCs w:val="18"/>
                <w:b w:val="1"/>
                <w:bCs w:val="1"/>
                <w:color w:val="auto"/>
              </w:rPr>
              <w:t>Change</w:t>
            </w:r>
          </w:p>
        </w:tc>
        <w:tc>
          <w:tcPr>
            <w:tcW w:w="10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6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2024</w:t>
            </w:r>
          </w:p>
        </w:tc>
        <w:tc>
          <w:tcPr>
            <w:tcW w:w="2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2023</w:t>
            </w:r>
          </w:p>
        </w:tc>
        <w:tc>
          <w:tcPr>
            <w:tcW w:w="2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ind w:right="190"/>
              <w:spacing w:after="0"/>
              <w:rPr>
                <w:sz w:val="20"/>
                <w:szCs w:val="20"/>
                <w:color w:val="auto"/>
              </w:rPr>
            </w:pPr>
            <w:r>
              <w:rPr>
                <w:rFonts w:ascii="Arial" w:cs="Arial" w:eastAsia="Arial" w:hAnsi="Arial"/>
                <w:sz w:val="18"/>
                <w:szCs w:val="18"/>
                <w:b w:val="1"/>
                <w:bCs w:val="1"/>
                <w:color w:val="auto"/>
              </w:rPr>
              <w:t>(in</w:t>
            </w:r>
          </w:p>
        </w:tc>
        <w:tc>
          <w:tcPr>
            <w:tcW w:w="1580" w:type="dxa"/>
            <w:vAlign w:val="bottom"/>
            <w:gridSpan w:val="3"/>
          </w:tcPr>
          <w:p>
            <w:pPr>
              <w:jc w:val="right"/>
              <w:ind w:right="750"/>
              <w:spacing w:after="0"/>
              <w:rPr>
                <w:sz w:val="20"/>
                <w:szCs w:val="20"/>
                <w:color w:val="auto"/>
              </w:rPr>
            </w:pPr>
            <w:r>
              <w:rPr>
                <w:rFonts w:ascii="Arial" w:cs="Arial" w:eastAsia="Arial" w:hAnsi="Arial"/>
                <w:sz w:val="18"/>
                <w:szCs w:val="18"/>
                <w:b w:val="1"/>
                <w:bCs w:val="1"/>
                <w:color w:val="auto"/>
                <w:w w:val="74"/>
              </w:rPr>
              <w:t>thousands)</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Preclinical</w:t>
            </w:r>
          </w:p>
        </w:tc>
        <w:tc>
          <w:tcPr>
            <w:tcW w:w="3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60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w:t>
            </w:r>
          </w:p>
        </w:tc>
        <w:tc>
          <w:tcPr>
            <w:tcW w:w="46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(115 )</w:t>
            </w:r>
          </w:p>
        </w:tc>
        <w:tc>
          <w:tcPr>
            <w:tcW w:w="0" w:type="dxa"/>
            <w:vAlign w:val="bottom"/>
          </w:tcPr>
          <w:p>
            <w:pPr>
              <w:spacing w:after="0"/>
              <w:rPr>
                <w:sz w:val="1"/>
                <w:szCs w:val="1"/>
                <w:color w:val="auto"/>
              </w:rPr>
            </w:pPr>
          </w:p>
        </w:tc>
      </w:tr>
      <w:tr>
        <w:trPr>
          <w:trHeight w:val="229"/>
        </w:trPr>
        <w:tc>
          <w:tcPr>
            <w:tcW w:w="6660" w:type="dxa"/>
            <w:vAlign w:val="bottom"/>
          </w:tcPr>
          <w:p>
            <w:pPr>
              <w:ind w:left="280"/>
              <w:spacing w:after="0"/>
              <w:rPr>
                <w:sz w:val="20"/>
                <w:szCs w:val="20"/>
                <w:color w:val="auto"/>
              </w:rPr>
            </w:pPr>
            <w:r>
              <w:rPr>
                <w:rFonts w:ascii="Arial" w:cs="Arial" w:eastAsia="Arial" w:hAnsi="Arial"/>
                <w:sz w:val="18"/>
                <w:szCs w:val="18"/>
                <w:color w:val="auto"/>
              </w:rPr>
              <w:t>Clinical trials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3,964</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4,734</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(770 )</w:t>
            </w:r>
          </w:p>
        </w:tc>
        <w:tc>
          <w:tcPr>
            <w:tcW w:w="0" w:type="dxa"/>
            <w:vAlign w:val="bottom"/>
          </w:tcPr>
          <w:p>
            <w:pPr>
              <w:spacing w:after="0"/>
              <w:rPr>
                <w:sz w:val="1"/>
                <w:szCs w:val="1"/>
                <w:color w:val="auto"/>
              </w:rPr>
            </w:pPr>
          </w:p>
        </w:tc>
      </w:tr>
      <w:tr>
        <w:trPr>
          <w:trHeight w:val="230"/>
        </w:trPr>
        <w:tc>
          <w:tcPr>
            <w:tcW w:w="66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Manufacturing development</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2,051</w:t>
            </w: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2,586</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(535 )</w:t>
            </w:r>
          </w:p>
        </w:tc>
        <w:tc>
          <w:tcPr>
            <w:tcW w:w="0" w:type="dxa"/>
            <w:vAlign w:val="bottom"/>
          </w:tcPr>
          <w:p>
            <w:pPr>
              <w:spacing w:after="0"/>
              <w:rPr>
                <w:sz w:val="1"/>
                <w:szCs w:val="1"/>
                <w:color w:val="auto"/>
              </w:rPr>
            </w:pPr>
          </w:p>
        </w:tc>
      </w:tr>
      <w:tr>
        <w:trPr>
          <w:trHeight w:val="230"/>
        </w:trPr>
        <w:tc>
          <w:tcPr>
            <w:tcW w:w="6660" w:type="dxa"/>
            <w:vAlign w:val="bottom"/>
          </w:tcPr>
          <w:p>
            <w:pPr>
              <w:ind w:left="280"/>
              <w:spacing w:after="0"/>
              <w:rPr>
                <w:sz w:val="20"/>
                <w:szCs w:val="20"/>
                <w:color w:val="auto"/>
              </w:rPr>
            </w:pPr>
            <w:r>
              <w:rPr>
                <w:rFonts w:ascii="Arial" w:cs="Arial" w:eastAsia="Arial" w:hAnsi="Arial"/>
                <w:sz w:val="18"/>
                <w:szCs w:val="18"/>
                <w:color w:val="auto"/>
              </w:rPr>
              <w:t>Personnel/overhead expenses</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10,832</w:t>
            </w:r>
          </w:p>
        </w:tc>
        <w:tc>
          <w:tcPr>
            <w:tcW w:w="2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7,653</w:t>
            </w:r>
          </w:p>
        </w:tc>
        <w:tc>
          <w:tcPr>
            <w:tcW w:w="2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6660" w:type="dxa"/>
            <w:vAlign w:val="bottom"/>
            <w:tcBorders>
              <w:bottom w:val="single" w:sz="8" w:color="CFF0FC"/>
            </w:tcBorders>
            <w:shd w:val="clear" w:color="auto" w:fill="CFF0FC"/>
          </w:tcPr>
          <w:p>
            <w:pPr>
              <w:ind w:left="520"/>
              <w:spacing w:after="0"/>
              <w:rPr>
                <w:sz w:val="20"/>
                <w:szCs w:val="20"/>
                <w:color w:val="auto"/>
              </w:rPr>
            </w:pPr>
            <w:r>
              <w:rPr>
                <w:rFonts w:ascii="Arial" w:cs="Arial" w:eastAsia="Arial" w:hAnsi="Arial"/>
                <w:sz w:val="18"/>
                <w:szCs w:val="18"/>
                <w:color w:val="auto"/>
              </w:rPr>
              <w:t>Total research and development expenses</w:t>
            </w:r>
          </w:p>
        </w:tc>
        <w:tc>
          <w:tcPr>
            <w:tcW w:w="3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16,879</w:t>
            </w:r>
          </w:p>
        </w:tc>
        <w:tc>
          <w:tcPr>
            <w:tcW w:w="260" w:type="dxa"/>
            <w:vAlign w:val="bottom"/>
            <w:tcBorders>
              <w:bottom w:val="single" w:sz="8" w:color="CFF0FC"/>
            </w:tcBorders>
            <w:shd w:val="clear" w:color="auto" w:fill="CFF0FC"/>
          </w:tcPr>
          <w:p>
            <w:pPr>
              <w:spacing w:after="0"/>
              <w:rPr>
                <w:sz w:val="22"/>
                <w:szCs w:val="22"/>
                <w:color w:val="auto"/>
              </w:rPr>
            </w:pPr>
          </w:p>
        </w:tc>
        <w:tc>
          <w:tcPr>
            <w:tcW w:w="34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15,120</w:t>
            </w:r>
          </w:p>
        </w:tc>
        <w:tc>
          <w:tcPr>
            <w:tcW w:w="24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1,759</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-24765</wp:posOffset>
            </wp:positionV>
            <wp:extent cx="7747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-7620</wp:posOffset>
            </wp:positionV>
            <wp:extent cx="7747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-24765</wp:posOffset>
            </wp:positionV>
            <wp:extent cx="68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-7620</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80"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Research and development expenses increased to $16.9 million for the three months ended June 30, 2024 from $15.1 million for the three months ended June 30, 2023, primarily due to higher personnel expenses related to growth of our company.</w:t>
      </w:r>
    </w:p>
    <w:p>
      <w:pPr>
        <w:spacing w:after="0" w:line="156"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General and Administrative Expenses</w:t>
      </w:r>
    </w:p>
    <w:p>
      <w:pPr>
        <w:spacing w:after="0" w:line="61" w:lineRule="exact"/>
        <w:rPr>
          <w:sz w:val="20"/>
          <w:szCs w:val="20"/>
          <w:color w:val="auto"/>
        </w:rPr>
      </w:pPr>
    </w:p>
    <w:p>
      <w:pPr>
        <w:jc w:val="both"/>
        <w:ind w:right="20" w:firstLine="509"/>
        <w:spacing w:after="0" w:line="253" w:lineRule="auto"/>
        <w:rPr>
          <w:sz w:val="20"/>
          <w:szCs w:val="20"/>
          <w:color w:val="auto"/>
        </w:rPr>
      </w:pPr>
      <w:r>
        <w:rPr>
          <w:rFonts w:ascii="Arial" w:cs="Arial" w:eastAsia="Arial" w:hAnsi="Arial"/>
          <w:sz w:val="18"/>
          <w:szCs w:val="18"/>
          <w:color w:val="auto"/>
        </w:rPr>
        <w:t>General and administrative expenses increased to $5.9 million for the three months ended June 30, 2024 from $5.2 million for the three months ended June 30, 2023, primarily driven by personnel expenses, as well as increases in general corporate expenses related to growth of our company.</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5" w:name="page26"/>
    <w:bookmarkEnd w:id="25"/>
    <w:p>
      <w:pPr>
        <w:ind w:left="520"/>
        <w:spacing w:after="0"/>
        <w:rPr>
          <w:sz w:val="20"/>
          <w:szCs w:val="20"/>
          <w:color w:val="auto"/>
        </w:rPr>
      </w:pPr>
      <w:r>
        <w:rPr>
          <w:rFonts w:ascii="Arial" w:cs="Arial" w:eastAsia="Arial" w:hAnsi="Arial"/>
          <w:sz w:val="18"/>
          <w:szCs w:val="18"/>
          <w:b w:val="1"/>
          <w:bCs w:val="1"/>
          <w:i w:val="1"/>
          <w:iCs w:val="1"/>
          <w:color w:val="auto"/>
        </w:rPr>
        <w:t>Comparison of the Six Months Ended June 30, 2024 and 2023</w:t>
      </w:r>
    </w:p>
    <w:p>
      <w:pPr>
        <w:spacing w:after="0" w:line="7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results of operations for the six months ended June 30, 2024 and 2023:</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80" w:type="dxa"/>
            <w:vAlign w:val="bottom"/>
            <w:gridSpan w:val="5"/>
          </w:tcPr>
          <w:p>
            <w:pPr>
              <w:jc w:val="center"/>
              <w:ind w:right="520"/>
              <w:spacing w:after="0"/>
              <w:rPr>
                <w:sz w:val="20"/>
                <w:szCs w:val="20"/>
                <w:color w:val="auto"/>
              </w:rPr>
            </w:pPr>
            <w:r>
              <w:rPr>
                <w:rFonts w:ascii="Arial" w:cs="Arial" w:eastAsia="Arial" w:hAnsi="Arial"/>
                <w:sz w:val="18"/>
                <w:szCs w:val="18"/>
                <w:b w:val="1"/>
                <w:bCs w:val="1"/>
                <w:color w:val="auto"/>
                <w:w w:val="99"/>
              </w:rPr>
              <w:t>Six Months Ended</w:t>
            </w: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68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3"/>
          </w:tcPr>
          <w:p>
            <w:pPr>
              <w:jc w:val="center"/>
              <w:ind w:left="530"/>
              <w:spacing w:after="0"/>
              <w:rPr>
                <w:sz w:val="20"/>
                <w:szCs w:val="20"/>
                <w:color w:val="auto"/>
              </w:rPr>
            </w:pPr>
            <w:r>
              <w:rPr>
                <w:rFonts w:ascii="Arial" w:cs="Arial" w:eastAsia="Arial" w:hAnsi="Arial"/>
                <w:sz w:val="18"/>
                <w:szCs w:val="18"/>
                <w:b w:val="1"/>
                <w:bCs w:val="1"/>
                <w:color w:val="auto"/>
                <w:w w:val="99"/>
              </w:rPr>
              <w:t>June 30,</w:t>
            </w:r>
          </w:p>
        </w:tc>
        <w:tc>
          <w:tcPr>
            <w:tcW w:w="90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vMerge w:val="restart"/>
          </w:tcPr>
          <w:p>
            <w:pPr>
              <w:jc w:val="right"/>
              <w:ind w:right="270"/>
              <w:spacing w:after="0"/>
              <w:rPr>
                <w:sz w:val="20"/>
                <w:szCs w:val="20"/>
                <w:color w:val="auto"/>
              </w:rPr>
            </w:pPr>
            <w:r>
              <w:rPr>
                <w:rFonts w:ascii="Arial" w:cs="Arial" w:eastAsia="Arial" w:hAnsi="Arial"/>
                <w:sz w:val="18"/>
                <w:szCs w:val="18"/>
                <w:b w:val="1"/>
                <w:bCs w:val="1"/>
                <w:color w:val="auto"/>
              </w:rPr>
              <w:t>Change</w:t>
            </w:r>
          </w:p>
        </w:tc>
        <w:tc>
          <w:tcPr>
            <w:tcW w:w="10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8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2024</w:t>
            </w:r>
          </w:p>
        </w:tc>
        <w:tc>
          <w:tcPr>
            <w:tcW w:w="2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2023</w:t>
            </w:r>
          </w:p>
        </w:tc>
        <w:tc>
          <w:tcPr>
            <w:tcW w:w="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68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80" w:type="dxa"/>
            <w:vAlign w:val="bottom"/>
            <w:gridSpan w:val="5"/>
          </w:tcPr>
          <w:p>
            <w:pPr>
              <w:jc w:val="center"/>
              <w:ind w:right="520"/>
              <w:spacing w:after="0"/>
              <w:rPr>
                <w:sz w:val="20"/>
                <w:szCs w:val="20"/>
                <w:color w:val="auto"/>
              </w:rPr>
            </w:pPr>
            <w:r>
              <w:rPr>
                <w:rFonts w:ascii="Arial" w:cs="Arial" w:eastAsia="Arial" w:hAnsi="Arial"/>
                <w:sz w:val="18"/>
                <w:szCs w:val="18"/>
                <w:b w:val="1"/>
                <w:bCs w:val="1"/>
                <w:color w:val="auto"/>
                <w:w w:val="99"/>
              </w:rPr>
              <w:t>(in thousands)</w:t>
            </w: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84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expenses:</w:t>
            </w: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40" w:type="dxa"/>
            <w:vAlign w:val="bottom"/>
          </w:tcPr>
          <w:p>
            <w:pPr>
              <w:ind w:left="280"/>
              <w:spacing w:after="0"/>
              <w:rPr>
                <w:sz w:val="20"/>
                <w:szCs w:val="20"/>
                <w:color w:val="auto"/>
              </w:rPr>
            </w:pPr>
            <w:r>
              <w:rPr>
                <w:rFonts w:ascii="Arial" w:cs="Arial" w:eastAsia="Arial" w:hAnsi="Arial"/>
                <w:sz w:val="18"/>
                <w:szCs w:val="18"/>
                <w:color w:val="auto"/>
              </w:rPr>
              <w:t>Research and development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33,932</w:t>
            </w:r>
          </w:p>
        </w:tc>
        <w:tc>
          <w:tcPr>
            <w:tcW w:w="28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29,524</w:t>
            </w:r>
          </w:p>
        </w:tc>
        <w:tc>
          <w:tcPr>
            <w:tcW w:w="24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4,408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General and administrative</w:t>
            </w:r>
          </w:p>
        </w:tc>
        <w:tc>
          <w:tcPr>
            <w:tcW w:w="26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11,145</w:t>
            </w:r>
          </w:p>
        </w:tc>
        <w:tc>
          <w:tcPr>
            <w:tcW w:w="28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10,196</w:t>
            </w:r>
          </w:p>
        </w:tc>
        <w:tc>
          <w:tcPr>
            <w:tcW w:w="2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949</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40" w:type="dxa"/>
            <w:vAlign w:val="bottom"/>
          </w:tcPr>
          <w:p>
            <w:pPr>
              <w:ind w:left="520"/>
              <w:spacing w:after="0"/>
              <w:rPr>
                <w:sz w:val="20"/>
                <w:szCs w:val="20"/>
                <w:color w:val="auto"/>
              </w:rPr>
            </w:pPr>
            <w:r>
              <w:rPr>
                <w:rFonts w:ascii="Arial" w:cs="Arial" w:eastAsia="Arial" w:hAnsi="Arial"/>
                <w:sz w:val="18"/>
                <w:szCs w:val="18"/>
                <w:color w:val="auto"/>
              </w:rPr>
              <w:t>Total operating expenses</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45,077</w:t>
            </w:r>
          </w:p>
        </w:tc>
        <w:tc>
          <w:tcPr>
            <w:tcW w:w="2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39,720</w:t>
            </w:r>
          </w:p>
        </w:tc>
        <w:tc>
          <w:tcPr>
            <w:tcW w:w="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4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Loss from operations</w:t>
            </w:r>
          </w:p>
        </w:tc>
        <w:tc>
          <w:tcPr>
            <w:tcW w:w="2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(45,077 )</w:t>
            </w:r>
          </w:p>
        </w:tc>
        <w:tc>
          <w:tcPr>
            <w:tcW w:w="3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(39,720 )</w:t>
            </w:r>
          </w:p>
        </w:tc>
        <w:tc>
          <w:tcPr>
            <w:tcW w:w="2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(5,357 )</w:t>
            </w:r>
          </w:p>
        </w:tc>
        <w:tc>
          <w:tcPr>
            <w:tcW w:w="0" w:type="dxa"/>
            <w:vAlign w:val="bottom"/>
          </w:tcPr>
          <w:p>
            <w:pPr>
              <w:spacing w:after="0"/>
              <w:rPr>
                <w:sz w:val="1"/>
                <w:szCs w:val="1"/>
                <w:color w:val="auto"/>
              </w:rPr>
            </w:pPr>
          </w:p>
        </w:tc>
      </w:tr>
      <w:tr>
        <w:trPr>
          <w:trHeight w:val="223"/>
        </w:trPr>
        <w:tc>
          <w:tcPr>
            <w:tcW w:w="684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Other income (expense):</w:t>
            </w:r>
          </w:p>
        </w:tc>
        <w:tc>
          <w:tcPr>
            <w:tcW w:w="2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280" w:type="dxa"/>
            <w:vAlign w:val="bottom"/>
            <w:tcBorders>
              <w:top w:val="single" w:sz="8" w:color="CFF0FC"/>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240" w:type="dxa"/>
            <w:vAlign w:val="bottom"/>
            <w:tcBorders>
              <w:top w:val="single" w:sz="8" w:color="CFF0FC"/>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Interest income, including amortization of discount</w:t>
            </w: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5,137</w:t>
            </w:r>
          </w:p>
        </w:tc>
        <w:tc>
          <w:tcPr>
            <w:tcW w:w="2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4,000</w:t>
            </w: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40" w:type="dxa"/>
            <w:vAlign w:val="bottom"/>
          </w:tcPr>
          <w:p>
            <w:pPr>
              <w:ind w:left="280"/>
              <w:spacing w:after="0"/>
              <w:rPr>
                <w:sz w:val="20"/>
                <w:szCs w:val="20"/>
                <w:color w:val="auto"/>
              </w:rPr>
            </w:pPr>
            <w:r>
              <w:rPr>
                <w:rFonts w:ascii="Arial" w:cs="Arial" w:eastAsia="Arial" w:hAnsi="Arial"/>
                <w:sz w:val="18"/>
                <w:szCs w:val="18"/>
                <w:color w:val="auto"/>
              </w:rPr>
              <w:t>Other income (expense):</w:t>
            </w:r>
          </w:p>
        </w:tc>
        <w:tc>
          <w:tcPr>
            <w:tcW w:w="26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(57 )</w:t>
            </w:r>
          </w:p>
        </w:tc>
        <w:tc>
          <w:tcPr>
            <w:tcW w:w="32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(45 )</w:t>
            </w:r>
          </w:p>
        </w:tc>
        <w:tc>
          <w:tcPr>
            <w:tcW w:w="240" w:type="dxa"/>
            <w:vAlign w:val="bottom"/>
          </w:tcPr>
          <w:p>
            <w:pPr>
              <w:spacing w:after="0"/>
              <w:rPr>
                <w:sz w:val="19"/>
                <w:szCs w:val="19"/>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r>
        <w:trPr>
          <w:trHeight w:val="223"/>
        </w:trPr>
        <w:tc>
          <w:tcPr>
            <w:tcW w:w="684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Total other income (expense)</w:t>
            </w:r>
          </w:p>
        </w:tc>
        <w:tc>
          <w:tcPr>
            <w:tcW w:w="260" w:type="dxa"/>
            <w:vAlign w:val="bottom"/>
            <w:tcBorders>
              <w:top w:val="single" w:sz="8" w:color="auto"/>
              <w:bottom w:val="single" w:sz="8" w:color="auto"/>
            </w:tcBorders>
            <w:shd w:val="clear" w:color="auto" w:fill="CFF0FC"/>
          </w:tcPr>
          <w:p>
            <w:pPr>
              <w:spacing w:after="0"/>
              <w:rPr>
                <w:sz w:val="19"/>
                <w:szCs w:val="19"/>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5,080</w:t>
            </w:r>
          </w:p>
        </w:tc>
        <w:tc>
          <w:tcPr>
            <w:tcW w:w="28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3,955</w:t>
            </w:r>
          </w:p>
        </w:tc>
        <w:tc>
          <w:tcPr>
            <w:tcW w:w="2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1,125</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40" w:type="dxa"/>
            <w:vAlign w:val="bottom"/>
          </w:tcPr>
          <w:p>
            <w:pPr>
              <w:ind w:left="20"/>
              <w:spacing w:after="0"/>
              <w:rPr>
                <w:sz w:val="20"/>
                <w:szCs w:val="20"/>
                <w:color w:val="auto"/>
              </w:rPr>
            </w:pPr>
            <w:r>
              <w:rPr>
                <w:rFonts w:ascii="Arial" w:cs="Arial" w:eastAsia="Arial" w:hAnsi="Arial"/>
                <w:sz w:val="18"/>
                <w:szCs w:val="18"/>
                <w:color w:val="auto"/>
              </w:rPr>
              <w:t>Loss before income taxes</w:t>
            </w:r>
          </w:p>
        </w:tc>
        <w:tc>
          <w:tcPr>
            <w:tcW w:w="26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(39,997 )</w:t>
            </w:r>
          </w:p>
        </w:tc>
        <w:tc>
          <w:tcPr>
            <w:tcW w:w="32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(35,765 )</w:t>
            </w:r>
          </w:p>
        </w:tc>
        <w:tc>
          <w:tcPr>
            <w:tcW w:w="240" w:type="dxa"/>
            <w:vAlign w:val="bottom"/>
          </w:tcPr>
          <w:p>
            <w:pPr>
              <w:spacing w:after="0"/>
              <w:rPr>
                <w:sz w:val="19"/>
                <w:szCs w:val="19"/>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(4,232 )</w:t>
            </w:r>
          </w:p>
        </w:tc>
        <w:tc>
          <w:tcPr>
            <w:tcW w:w="0" w:type="dxa"/>
            <w:vAlign w:val="bottom"/>
          </w:tcPr>
          <w:p>
            <w:pPr>
              <w:spacing w:after="0"/>
              <w:rPr>
                <w:sz w:val="1"/>
                <w:szCs w:val="1"/>
                <w:color w:val="auto"/>
              </w:rPr>
            </w:pPr>
          </w:p>
        </w:tc>
      </w:tr>
      <w:tr>
        <w:trPr>
          <w:trHeight w:val="20"/>
        </w:trPr>
        <w:tc>
          <w:tcPr>
            <w:tcW w:w="68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8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Income tax benefit (provision), net</w:t>
            </w:r>
          </w:p>
        </w:tc>
        <w:tc>
          <w:tcPr>
            <w:tcW w:w="26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(46 )</w:t>
            </w:r>
          </w:p>
        </w:tc>
        <w:tc>
          <w:tcPr>
            <w:tcW w:w="3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(46 )</w:t>
            </w:r>
          </w:p>
        </w:tc>
        <w:tc>
          <w:tcPr>
            <w:tcW w:w="0" w:type="dxa"/>
            <w:vAlign w:val="bottom"/>
          </w:tcPr>
          <w:p>
            <w:pPr>
              <w:spacing w:after="0"/>
              <w:rPr>
                <w:sz w:val="1"/>
                <w:szCs w:val="1"/>
                <w:color w:val="auto"/>
              </w:rPr>
            </w:pPr>
          </w:p>
        </w:tc>
      </w:tr>
      <w:tr>
        <w:trPr>
          <w:trHeight w:val="20"/>
        </w:trPr>
        <w:tc>
          <w:tcPr>
            <w:tcW w:w="68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840" w:type="dxa"/>
            <w:vAlign w:val="bottom"/>
          </w:tcPr>
          <w:p>
            <w:pPr>
              <w:ind w:left="20"/>
              <w:spacing w:after="0"/>
              <w:rPr>
                <w:sz w:val="20"/>
                <w:szCs w:val="20"/>
                <w:color w:val="auto"/>
              </w:rPr>
            </w:pPr>
            <w:r>
              <w:rPr>
                <w:rFonts w:ascii="Arial" w:cs="Arial" w:eastAsia="Arial" w:hAnsi="Arial"/>
                <w:sz w:val="18"/>
                <w:szCs w:val="18"/>
                <w:color w:val="auto"/>
              </w:rPr>
              <w:t>Net loss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(40,043 )</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(35,765 )</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(4,278 )</w:t>
            </w:r>
          </w:p>
        </w:tc>
        <w:tc>
          <w:tcPr>
            <w:tcW w:w="0" w:type="dxa"/>
            <w:vAlign w:val="bottom"/>
          </w:tcPr>
          <w:p>
            <w:pPr>
              <w:spacing w:after="0"/>
              <w:rPr>
                <w:sz w:val="1"/>
                <w:szCs w:val="1"/>
                <w:color w:val="auto"/>
              </w:rPr>
            </w:pPr>
          </w:p>
        </w:tc>
      </w:tr>
      <w:tr>
        <w:trPr>
          <w:trHeight w:val="20"/>
        </w:trPr>
        <w:tc>
          <w:tcPr>
            <w:tcW w:w="68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5105400</wp:posOffset>
            </wp:positionH>
            <wp:positionV relativeFrom="paragraph">
              <wp:posOffset>-1396365</wp:posOffset>
            </wp:positionV>
            <wp:extent cx="7683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-1396365</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-1396365</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-1087755</wp:posOffset>
            </wp:positionV>
            <wp:extent cx="7683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-1087755</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-1087755</wp:posOffset>
            </wp:positionV>
            <wp:extent cx="68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-487680</wp:posOffset>
            </wp:positionV>
            <wp:extent cx="7683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-487680</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-487680</wp:posOffset>
            </wp:positionV>
            <wp:extent cx="685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5105400</wp:posOffset>
            </wp:positionH>
            <wp:positionV relativeFrom="paragraph">
              <wp:posOffset>-179070</wp:posOffset>
            </wp:positionV>
            <wp:extent cx="7683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-179070</wp:posOffset>
            </wp:positionV>
            <wp:extent cx="68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4"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Research and Development Expenses</w:t>
      </w:r>
    </w:p>
    <w:p>
      <w:pPr>
        <w:spacing w:after="0" w:line="6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research and development expenses for the six months ended June 30, 2024 and 2023:</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20" w:type="dxa"/>
            <w:vAlign w:val="bottom"/>
            <w:gridSpan w:val="4"/>
          </w:tcPr>
          <w:p>
            <w:pPr>
              <w:jc w:val="right"/>
              <w:ind w:right="590"/>
              <w:spacing w:after="0"/>
              <w:rPr>
                <w:sz w:val="20"/>
                <w:szCs w:val="20"/>
                <w:color w:val="auto"/>
              </w:rPr>
            </w:pPr>
            <w:r>
              <w:rPr>
                <w:rFonts w:ascii="Arial" w:cs="Arial" w:eastAsia="Arial" w:hAnsi="Arial"/>
                <w:sz w:val="18"/>
                <w:szCs w:val="18"/>
                <w:b w:val="1"/>
                <w:bCs w:val="1"/>
                <w:color w:val="auto"/>
              </w:rPr>
              <w:t>Six Months Ended</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66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b w:val="1"/>
                <w:bCs w:val="1"/>
                <w:color w:val="auto"/>
              </w:rPr>
              <w:t>June 30,</w:t>
            </w:r>
          </w:p>
        </w:tc>
        <w:tc>
          <w:tcPr>
            <w:tcW w:w="98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vMerge w:val="restart"/>
          </w:tcPr>
          <w:p>
            <w:pPr>
              <w:jc w:val="right"/>
              <w:ind w:right="250"/>
              <w:spacing w:after="0"/>
              <w:rPr>
                <w:sz w:val="20"/>
                <w:szCs w:val="20"/>
                <w:color w:val="auto"/>
              </w:rPr>
            </w:pPr>
            <w:r>
              <w:rPr>
                <w:rFonts w:ascii="Arial" w:cs="Arial" w:eastAsia="Arial" w:hAnsi="Arial"/>
                <w:sz w:val="18"/>
                <w:szCs w:val="18"/>
                <w:b w:val="1"/>
                <w:bCs w:val="1"/>
                <w:color w:val="auto"/>
              </w:rPr>
              <w:t>Change</w:t>
            </w:r>
          </w:p>
        </w:tc>
        <w:tc>
          <w:tcPr>
            <w:tcW w:w="10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6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2024</w:t>
            </w:r>
          </w:p>
        </w:tc>
        <w:tc>
          <w:tcPr>
            <w:tcW w:w="2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2023</w:t>
            </w:r>
          </w:p>
        </w:tc>
        <w:tc>
          <w:tcPr>
            <w:tcW w:w="2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ind w:right="190"/>
              <w:spacing w:after="0"/>
              <w:rPr>
                <w:sz w:val="20"/>
                <w:szCs w:val="20"/>
                <w:color w:val="auto"/>
              </w:rPr>
            </w:pPr>
            <w:r>
              <w:rPr>
                <w:rFonts w:ascii="Arial" w:cs="Arial" w:eastAsia="Arial" w:hAnsi="Arial"/>
                <w:sz w:val="18"/>
                <w:szCs w:val="18"/>
                <w:b w:val="1"/>
                <w:bCs w:val="1"/>
                <w:color w:val="auto"/>
              </w:rPr>
              <w:t>(in</w:t>
            </w:r>
          </w:p>
        </w:tc>
        <w:tc>
          <w:tcPr>
            <w:tcW w:w="1580" w:type="dxa"/>
            <w:vAlign w:val="bottom"/>
            <w:gridSpan w:val="3"/>
          </w:tcPr>
          <w:p>
            <w:pPr>
              <w:jc w:val="right"/>
              <w:ind w:right="750"/>
              <w:spacing w:after="0"/>
              <w:rPr>
                <w:sz w:val="20"/>
                <w:szCs w:val="20"/>
                <w:color w:val="auto"/>
              </w:rPr>
            </w:pPr>
            <w:r>
              <w:rPr>
                <w:rFonts w:ascii="Arial" w:cs="Arial" w:eastAsia="Arial" w:hAnsi="Arial"/>
                <w:sz w:val="18"/>
                <w:szCs w:val="18"/>
                <w:b w:val="1"/>
                <w:bCs w:val="1"/>
                <w:color w:val="auto"/>
                <w:w w:val="74"/>
              </w:rPr>
              <w:t>thousands)</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6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Preclinical</w:t>
            </w:r>
          </w:p>
        </w:tc>
        <w:tc>
          <w:tcPr>
            <w:tcW w:w="3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w:t>
            </w:r>
          </w:p>
        </w:tc>
        <w:tc>
          <w:tcPr>
            <w:tcW w:w="600" w:type="dxa"/>
            <w:vAlign w:val="bottom"/>
            <w:gridSpan w:val="2"/>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406</w:t>
            </w:r>
          </w:p>
        </w:tc>
        <w:tc>
          <w:tcPr>
            <w:tcW w:w="46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(341 )</w:t>
            </w:r>
          </w:p>
        </w:tc>
        <w:tc>
          <w:tcPr>
            <w:tcW w:w="0" w:type="dxa"/>
            <w:vAlign w:val="bottom"/>
          </w:tcPr>
          <w:p>
            <w:pPr>
              <w:spacing w:after="0"/>
              <w:rPr>
                <w:sz w:val="1"/>
                <w:szCs w:val="1"/>
                <w:color w:val="auto"/>
              </w:rPr>
            </w:pPr>
          </w:p>
        </w:tc>
      </w:tr>
      <w:tr>
        <w:trPr>
          <w:trHeight w:val="230"/>
        </w:trPr>
        <w:tc>
          <w:tcPr>
            <w:tcW w:w="6660" w:type="dxa"/>
            <w:vAlign w:val="bottom"/>
          </w:tcPr>
          <w:p>
            <w:pPr>
              <w:ind w:left="280"/>
              <w:spacing w:after="0"/>
              <w:rPr>
                <w:sz w:val="20"/>
                <w:szCs w:val="20"/>
                <w:color w:val="auto"/>
              </w:rPr>
            </w:pPr>
            <w:r>
              <w:rPr>
                <w:rFonts w:ascii="Arial" w:cs="Arial" w:eastAsia="Arial" w:hAnsi="Arial"/>
                <w:sz w:val="18"/>
                <w:szCs w:val="18"/>
                <w:color w:val="auto"/>
              </w:rPr>
              <w:t>Clinical trials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7,425</w:t>
            </w: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7,617</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(192 )</w:t>
            </w:r>
          </w:p>
        </w:tc>
        <w:tc>
          <w:tcPr>
            <w:tcW w:w="0" w:type="dxa"/>
            <w:vAlign w:val="bottom"/>
          </w:tcPr>
          <w:p>
            <w:pPr>
              <w:spacing w:after="0"/>
              <w:rPr>
                <w:sz w:val="1"/>
                <w:szCs w:val="1"/>
                <w:color w:val="auto"/>
              </w:rPr>
            </w:pPr>
          </w:p>
        </w:tc>
      </w:tr>
      <w:tr>
        <w:trPr>
          <w:trHeight w:val="229"/>
        </w:trPr>
        <w:tc>
          <w:tcPr>
            <w:tcW w:w="66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Manufacturing development</w:t>
            </w:r>
          </w:p>
        </w:tc>
        <w:tc>
          <w:tcPr>
            <w:tcW w:w="30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5,037</w:t>
            </w:r>
          </w:p>
        </w:tc>
        <w:tc>
          <w:tcPr>
            <w:tcW w:w="2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6,554</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(1,517 )</w:t>
            </w:r>
          </w:p>
        </w:tc>
        <w:tc>
          <w:tcPr>
            <w:tcW w:w="0" w:type="dxa"/>
            <w:vAlign w:val="bottom"/>
          </w:tcPr>
          <w:p>
            <w:pPr>
              <w:spacing w:after="0"/>
              <w:rPr>
                <w:sz w:val="1"/>
                <w:szCs w:val="1"/>
                <w:color w:val="auto"/>
              </w:rPr>
            </w:pPr>
          </w:p>
        </w:tc>
      </w:tr>
      <w:tr>
        <w:trPr>
          <w:trHeight w:val="230"/>
        </w:trPr>
        <w:tc>
          <w:tcPr>
            <w:tcW w:w="6660" w:type="dxa"/>
            <w:vAlign w:val="bottom"/>
          </w:tcPr>
          <w:p>
            <w:pPr>
              <w:ind w:left="280"/>
              <w:spacing w:after="0"/>
              <w:rPr>
                <w:sz w:val="20"/>
                <w:szCs w:val="20"/>
                <w:color w:val="auto"/>
              </w:rPr>
            </w:pPr>
            <w:r>
              <w:rPr>
                <w:rFonts w:ascii="Arial" w:cs="Arial" w:eastAsia="Arial" w:hAnsi="Arial"/>
                <w:sz w:val="18"/>
                <w:szCs w:val="18"/>
                <w:color w:val="auto"/>
              </w:rPr>
              <w:t>Personnel/overhead expenses</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21,405</w:t>
            </w:r>
          </w:p>
        </w:tc>
        <w:tc>
          <w:tcPr>
            <w:tcW w:w="2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14,947</w:t>
            </w:r>
          </w:p>
        </w:tc>
        <w:tc>
          <w:tcPr>
            <w:tcW w:w="2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6660" w:type="dxa"/>
            <w:vAlign w:val="bottom"/>
            <w:tcBorders>
              <w:bottom w:val="single" w:sz="8" w:color="CFF0FC"/>
            </w:tcBorders>
            <w:shd w:val="clear" w:color="auto" w:fill="CFF0FC"/>
          </w:tcPr>
          <w:p>
            <w:pPr>
              <w:ind w:left="520"/>
              <w:spacing w:after="0"/>
              <w:rPr>
                <w:sz w:val="20"/>
                <w:szCs w:val="20"/>
                <w:color w:val="auto"/>
              </w:rPr>
            </w:pPr>
            <w:r>
              <w:rPr>
                <w:rFonts w:ascii="Arial" w:cs="Arial" w:eastAsia="Arial" w:hAnsi="Arial"/>
                <w:sz w:val="18"/>
                <w:szCs w:val="18"/>
                <w:color w:val="auto"/>
              </w:rPr>
              <w:t>Total research and development expenses</w:t>
            </w:r>
          </w:p>
        </w:tc>
        <w:tc>
          <w:tcPr>
            <w:tcW w:w="30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33,932</w:t>
            </w:r>
          </w:p>
        </w:tc>
        <w:tc>
          <w:tcPr>
            <w:tcW w:w="260" w:type="dxa"/>
            <w:vAlign w:val="bottom"/>
            <w:tcBorders>
              <w:bottom w:val="single" w:sz="8" w:color="CFF0FC"/>
            </w:tcBorders>
            <w:shd w:val="clear" w:color="auto" w:fill="CFF0FC"/>
          </w:tcPr>
          <w:p>
            <w:pPr>
              <w:spacing w:after="0"/>
              <w:rPr>
                <w:sz w:val="22"/>
                <w:szCs w:val="22"/>
                <w:color w:val="auto"/>
              </w:rPr>
            </w:pPr>
          </w:p>
        </w:tc>
        <w:tc>
          <w:tcPr>
            <w:tcW w:w="340" w:type="dxa"/>
            <w:vAlign w:val="bottom"/>
            <w:tcBorders>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29,524</w:t>
            </w:r>
          </w:p>
        </w:tc>
        <w:tc>
          <w:tcPr>
            <w:tcW w:w="24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4,408</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-24765</wp:posOffset>
            </wp:positionV>
            <wp:extent cx="7747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-7620</wp:posOffset>
            </wp:positionV>
            <wp:extent cx="7747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-24765</wp:posOffset>
            </wp:positionV>
            <wp:extent cx="6858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-7620</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Research and development expenses increased to $33.9 million for the six months ended June 30, 2024 from $29.5 million for the six months ended June 30, 2023, primarily due to higher personnel expenses related to growth of our company.</w:t>
      </w:r>
    </w:p>
    <w:p>
      <w:pPr>
        <w:spacing w:after="0" w:line="156"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General and Administrative Expenses</w:t>
      </w:r>
    </w:p>
    <w:p>
      <w:pPr>
        <w:spacing w:after="0" w:line="75"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General and administrative expenses increased to $11.1 million for the six months ended June 30, 2024 from $10.2 million for the six months ended June 30, 2023, primarily driven by personnel expenses, as well as increases in general corporate expenses related to growth of our company.</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4"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63"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To date we have funded our operations primarily through the sale of convertible preferred stock and warrants as well as common stock. Through June 30, 2024, we have raised an aggregate of approximately $418.7 million of gross proceeds primarily from private placements of our equity and convertible preferred stock and warrants, as well as through the issuance of our common stock. On November 9, 2023, we issued and sold 11,000,000 shares of common stock at a price to the public of $9.00 per share for aggregate gross proceeds of $99.0 million in the 2023 Follow-On Offering. We received approximately $92.6 million in net proceeds from the 2023 Follow-On Offering after deducting underwriting discounts and commissions and offering expenses. On December 5, 2022, we issued and sold 7,705,000 shares of common stock, including the full exercise of the underwriters’ option to purchase additional shares at a price to the public of $ 12.00 per share for aggregate gross proceeds of $ 92.5 million in the 2022 Follow-On Offering. We received approximately $86.7 million in net proceeds from the 2022 Follow-On Offering after deducting underwriting discounts, commissions and offering expenses. On November 1, 2022, we filed the 2022 Shelf with the SEC in relation to the registration of up to an aggregate offering price of $250.0 million of common stock, preferred stock, debt securities, warrants and units or any combination thereof. We also simultaneously entered into the Sales Agreement with the Sales Agent to provide for the offering, issuance and sale by us of up to an aggregate of $ 75.0 million of our common stock from time to time in the ATM under the 2022 Shelf and subject to the limitations thereof. In connection with the 2023 Follow-On Offering, on November 6, 2023, we delivered written notice to Jefferies that we were suspending and terminating the prospectus related to the shares issuable in the ATM pursuant to the terms of the Sales Agreement. As of November 6, 2023, we had issued 993,996 shares of common stock at an average price of $12.50 under the ATM. On March 27, 2024, we filed the 2024 Shelf with the SEC in relation to the registration of up to an aggregate offering price of $350.0 million of common stock, preferred stock, debt securities, warrants and units or any combination thereof, which superseded the 2022 Shelf. The 2024 Shelf included a prospectus supplement to provide for offerings in the ATM under the Sales Agreement. We issued no shares of common stock during the six months ended June 30, 2024 under the ATM.</w:t>
      </w:r>
    </w:p>
    <w:p>
      <w:pPr>
        <w:spacing w:after="0" w:line="19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Cash Flows</w:t>
      </w:r>
    </w:p>
    <w:p>
      <w:pPr>
        <w:spacing w:after="0" w:line="7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cash flows for each of the periods presented:</w:t>
      </w:r>
    </w:p>
    <w:p>
      <w:pPr>
        <w:spacing w:after="0" w:line="212" w:lineRule="exact"/>
        <w:rPr>
          <w:sz w:val="20"/>
          <w:szCs w:val="20"/>
          <w:color w:val="auto"/>
        </w:rPr>
      </w:pPr>
    </w:p>
    <w:p>
      <w:pPr>
        <w:jc w:val="center"/>
        <w:ind w:left="7620"/>
        <w:spacing w:after="0"/>
        <w:rPr>
          <w:sz w:val="20"/>
          <w:szCs w:val="20"/>
          <w:color w:val="auto"/>
        </w:rPr>
      </w:pPr>
      <w:r>
        <w:rPr>
          <w:rFonts w:ascii="Arial" w:cs="Arial" w:eastAsia="Arial" w:hAnsi="Arial"/>
          <w:sz w:val="18"/>
          <w:szCs w:val="18"/>
          <w:b w:val="1"/>
          <w:bCs w:val="1"/>
          <w:color w:val="auto"/>
        </w:rPr>
        <w:t>Six Months Ended</w:t>
      </w:r>
    </w:p>
    <w:p>
      <w:pPr>
        <w:spacing w:after="0" w:line="14" w:lineRule="exact"/>
        <w:rPr>
          <w:sz w:val="20"/>
          <w:szCs w:val="20"/>
          <w:color w:val="auto"/>
        </w:rPr>
      </w:pPr>
    </w:p>
    <w:p>
      <w:pPr>
        <w:jc w:val="center"/>
        <w:ind w:left="7620"/>
        <w:spacing w:after="0"/>
        <w:rPr>
          <w:sz w:val="20"/>
          <w:szCs w:val="20"/>
          <w:color w:val="auto"/>
        </w:rPr>
      </w:pPr>
      <w:r>
        <w:rPr>
          <w:rFonts w:ascii="Arial" w:cs="Arial" w:eastAsia="Arial" w:hAnsi="Arial"/>
          <w:sz w:val="18"/>
          <w:szCs w:val="18"/>
          <w:b w:val="1"/>
          <w:bCs w:val="1"/>
          <w:color w:val="auto"/>
        </w:rPr>
        <w:t>June 30,</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76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2024</w:t>
            </w:r>
          </w:p>
        </w:tc>
        <w:tc>
          <w:tcPr>
            <w:tcW w:w="280" w:type="dxa"/>
            <w:vAlign w:val="bottom"/>
            <w:tcBorders>
              <w:top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19"/>
                <w:szCs w:val="19"/>
                <w:color w:val="auto"/>
              </w:rPr>
            </w:pPr>
          </w:p>
        </w:tc>
      </w:tr>
      <w:tr>
        <w:trPr>
          <w:trHeight w:val="223"/>
        </w:trPr>
        <w:tc>
          <w:tcPr>
            <w:tcW w:w="7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ind w:right="190"/>
              <w:spacing w:after="0"/>
              <w:rPr>
                <w:sz w:val="20"/>
                <w:szCs w:val="20"/>
                <w:color w:val="auto"/>
              </w:rPr>
            </w:pPr>
            <w:r>
              <w:rPr>
                <w:rFonts w:ascii="Arial" w:cs="Arial" w:eastAsia="Arial" w:hAnsi="Arial"/>
                <w:sz w:val="18"/>
                <w:szCs w:val="18"/>
                <w:b w:val="1"/>
                <w:bCs w:val="1"/>
                <w:color w:val="auto"/>
              </w:rPr>
              <w:t>(in</w:t>
            </w:r>
          </w:p>
        </w:tc>
        <w:tc>
          <w:tcPr>
            <w:tcW w:w="800" w:type="dxa"/>
            <w:vAlign w:val="bottom"/>
            <w:gridSpan w:val="2"/>
          </w:tcPr>
          <w:p>
            <w:pPr>
              <w:jc w:val="right"/>
              <w:spacing w:after="0"/>
              <w:rPr>
                <w:sz w:val="20"/>
                <w:szCs w:val="20"/>
                <w:color w:val="auto"/>
              </w:rPr>
            </w:pPr>
            <w:r>
              <w:rPr>
                <w:rFonts w:ascii="Arial" w:cs="Arial" w:eastAsia="Arial" w:hAnsi="Arial"/>
                <w:sz w:val="18"/>
                <w:szCs w:val="18"/>
                <w:b w:val="1"/>
                <w:bCs w:val="1"/>
                <w:color w:val="auto"/>
                <w:w w:val="74"/>
              </w:rPr>
              <w:t>thousands)</w:t>
            </w: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cash used in operating activities</w:t>
            </w:r>
          </w:p>
        </w:tc>
        <w:tc>
          <w:tcPr>
            <w:tcW w:w="34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50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(40,580 )</w:t>
            </w:r>
          </w:p>
        </w:tc>
        <w:tc>
          <w:tcPr>
            <w:tcW w:w="520" w:type="dxa"/>
            <w:vAlign w:val="bottom"/>
            <w:shd w:val="clear" w:color="auto" w:fill="CFF0FC"/>
          </w:tcPr>
          <w:p>
            <w:pPr>
              <w:jc w:val="right"/>
              <w:ind w:right="33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(31,057 )</w:t>
            </w:r>
          </w:p>
        </w:tc>
      </w:tr>
      <w:tr>
        <w:trPr>
          <w:trHeight w:val="229"/>
        </w:trPr>
        <w:tc>
          <w:tcPr>
            <w:tcW w:w="7760" w:type="dxa"/>
            <w:vAlign w:val="bottom"/>
          </w:tcPr>
          <w:p>
            <w:pPr>
              <w:ind w:left="20"/>
              <w:spacing w:after="0"/>
              <w:rPr>
                <w:sz w:val="20"/>
                <w:szCs w:val="20"/>
                <w:color w:val="auto"/>
              </w:rPr>
            </w:pPr>
            <w:r>
              <w:rPr>
                <w:rFonts w:ascii="Arial" w:cs="Arial" w:eastAsia="Arial" w:hAnsi="Arial"/>
                <w:sz w:val="18"/>
                <w:szCs w:val="18"/>
                <w:color w:val="auto"/>
              </w:rPr>
              <w:t>Net cash provided by (used in) investing activities</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29,237</w:t>
            </w: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(45,472 )</w:t>
            </w:r>
          </w:p>
        </w:tc>
      </w:tr>
      <w:tr>
        <w:trPr>
          <w:trHeight w:val="230"/>
        </w:trPr>
        <w:tc>
          <w:tcPr>
            <w:tcW w:w="77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cash provided by (used in) financing activities</w:t>
            </w:r>
          </w:p>
        </w:tc>
        <w:tc>
          <w:tcPr>
            <w:tcW w:w="34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336</w:t>
            </w:r>
          </w:p>
        </w:tc>
        <w:tc>
          <w:tcPr>
            <w:tcW w:w="280" w:type="dxa"/>
            <w:vAlign w:val="bottom"/>
            <w:tcBorders>
              <w:bottom w:val="single" w:sz="8" w:color="CFF0FC"/>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2,679</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7760" w:type="dxa"/>
            <w:vAlign w:val="bottom"/>
          </w:tcPr>
          <w:p>
            <w:pPr>
              <w:ind w:left="20"/>
              <w:spacing w:after="0"/>
              <w:rPr>
                <w:sz w:val="20"/>
                <w:szCs w:val="20"/>
                <w:color w:val="auto"/>
              </w:rPr>
            </w:pPr>
            <w:r>
              <w:rPr>
                <w:rFonts w:ascii="Arial" w:cs="Arial" w:eastAsia="Arial" w:hAnsi="Arial"/>
                <w:sz w:val="18"/>
                <w:szCs w:val="18"/>
                <w:color w:val="auto"/>
              </w:rPr>
              <w:t>Net decrease in cash, cash equivalents, and restricted cash</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500" w:type="dxa"/>
            <w:vAlign w:val="bottom"/>
            <w:gridSpan w:val="2"/>
          </w:tcPr>
          <w:p>
            <w:pPr>
              <w:jc w:val="right"/>
              <w:ind w:right="110"/>
              <w:spacing w:after="0"/>
              <w:rPr>
                <w:sz w:val="20"/>
                <w:szCs w:val="20"/>
                <w:color w:val="auto"/>
              </w:rPr>
            </w:pPr>
            <w:r>
              <w:rPr>
                <w:rFonts w:ascii="Arial" w:cs="Arial" w:eastAsia="Arial" w:hAnsi="Arial"/>
                <w:sz w:val="18"/>
                <w:szCs w:val="18"/>
                <w:color w:val="auto"/>
              </w:rPr>
              <w:t>(11,007 )</w:t>
            </w: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(73,850 )</w:t>
            </w:r>
          </w:p>
        </w:tc>
      </w:tr>
      <w:tr>
        <w:trPr>
          <w:trHeight w:val="20"/>
        </w:trPr>
        <w:tc>
          <w:tcPr>
            <w:tcW w:w="77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-179705</wp:posOffset>
            </wp:positionV>
            <wp:extent cx="6858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-179705</wp:posOffset>
            </wp:positionV>
            <wp:extent cx="6858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66"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Operating Activities</w:t>
      </w:r>
    </w:p>
    <w:p>
      <w:pPr>
        <w:spacing w:after="0" w:line="61"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During the six months ended June 30, 2024, net cash used in operating activities was $ 40.6 million primarily due to our net loss of $40.0 million and a increase in prepaid expenses related to CRO costs associated with the start of our Phase 3 trial of bel-sar in early-stage choroidal melanoma, partially offset by an increase in stock compensation expense.</w:t>
      </w:r>
    </w:p>
    <w:p>
      <w:pPr>
        <w:spacing w:after="0" w:line="169"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During the six months ended June 30, 2023, net cash used in operating activities was $31.1 million, primarily due to our net loss of $35.8 million and a decrease in accounts payable related to timing of vendor invoicing and payments, partially offset by an increase in stock compensation expense and prepaid expenses related to CRO costs associated with the start of our Phase 3 trial of bel-sar in early-stage choroidal melanoma.</w:t>
      </w:r>
    </w:p>
    <w:p>
      <w:pPr>
        <w:spacing w:after="0" w:line="176"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Investing Activities</w:t>
      </w:r>
    </w:p>
    <w:p>
      <w:pPr>
        <w:spacing w:after="0" w:line="61"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Net cash provided by investing activities during the six months ended June 30, 2024 was $29.2 million primarily due to maturities of marketable securities partially offset by purchases of marketable securities and property and equipment.</w:t>
      </w:r>
    </w:p>
    <w:p>
      <w:pPr>
        <w:spacing w:after="0" w:line="154" w:lineRule="exact"/>
        <w:rPr>
          <w:sz w:val="20"/>
          <w:szCs w:val="20"/>
          <w:color w:val="auto"/>
        </w:rPr>
      </w:pPr>
    </w:p>
    <w:p>
      <w:pPr>
        <w:jc w:val="both"/>
        <w:ind w:right="20" w:firstLine="509"/>
        <w:spacing w:after="0" w:line="271" w:lineRule="auto"/>
        <w:rPr>
          <w:sz w:val="20"/>
          <w:szCs w:val="20"/>
          <w:color w:val="auto"/>
        </w:rPr>
      </w:pPr>
      <w:r>
        <w:rPr>
          <w:rFonts w:ascii="Arial" w:cs="Arial" w:eastAsia="Arial" w:hAnsi="Arial"/>
          <w:sz w:val="18"/>
          <w:szCs w:val="18"/>
          <w:color w:val="auto"/>
        </w:rPr>
        <w:t>Net cash used in investing activities during the six months ended June 30, 2023 was $45.5 million primarily due to purchases of marketable securities and property and equipment, partially offset by proceeds from sale and maturities of marketable securities.</w:t>
      </w:r>
    </w:p>
    <w:p>
      <w:pPr>
        <w:spacing w:after="0" w:line="156" w:lineRule="exact"/>
        <w:rPr>
          <w:sz w:val="20"/>
          <w:szCs w:val="20"/>
          <w:color w:val="auto"/>
        </w:rPr>
      </w:pPr>
    </w:p>
    <w:p>
      <w:pPr>
        <w:ind w:left="1020"/>
        <w:spacing w:after="0"/>
        <w:rPr>
          <w:sz w:val="20"/>
          <w:szCs w:val="20"/>
          <w:color w:val="auto"/>
        </w:rPr>
      </w:pPr>
      <w:r>
        <w:rPr>
          <w:rFonts w:ascii="Arial" w:cs="Arial" w:eastAsia="Arial" w:hAnsi="Arial"/>
          <w:sz w:val="18"/>
          <w:szCs w:val="18"/>
          <w:i w:val="1"/>
          <w:iCs w:val="1"/>
          <w:color w:val="auto"/>
        </w:rPr>
        <w:t>Financing Activities</w:t>
      </w:r>
    </w:p>
    <w:p>
      <w:pPr>
        <w:spacing w:after="0" w:line="75"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During the six months ended June 30, 2024, net cash provided by financing activities was $0.3 million from proceeds from stock options exercises and issuance of common stock under the ESPP.</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7" w:name="page28"/>
    <w:bookmarkEnd w:id="27"/>
    <w:p>
      <w:pPr>
        <w:jc w:val="both"/>
        <w:ind w:firstLine="509"/>
        <w:spacing w:after="0" w:line="271" w:lineRule="auto"/>
        <w:rPr>
          <w:sz w:val="20"/>
          <w:szCs w:val="20"/>
          <w:color w:val="auto"/>
        </w:rPr>
      </w:pPr>
      <w:r>
        <w:rPr>
          <w:rFonts w:ascii="Arial" w:cs="Arial" w:eastAsia="Arial" w:hAnsi="Arial"/>
          <w:sz w:val="18"/>
          <w:szCs w:val="18"/>
          <w:color w:val="auto"/>
        </w:rPr>
        <w:t>During the six months ended June 30, 2023, net cash provided by financing activities was $2.7 million from proceeds from stock options exercises and issuance of common stock under the ATM and ESPP.</w:t>
      </w:r>
    </w:p>
    <w:p>
      <w:pPr>
        <w:spacing w:after="0" w:line="156"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61"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Our plan of operation is to continue implementing our business strategy, continue research and development of bel-sar and any other product candidates we may acquire or develop and continue to expand our research pipeline and our internal research and development capabilities. We expect our expenses to increase substantially in connection with our ongoing activities, particularly as we advance the preclinical activities and clinical trials of our current and future product candidates. In addition, we expect to incur additional costs associated with operating as a public company. Accordingly, we will need to obtain substantial additional funding in connection with our continuing operations. If we are unable to raise capital when needed or on attractive terms, we would be forced to delay, reduce or terminate our research and development programs or future commercialization efforts. Our future capital requirements will depend on many factors, including:</w:t>
      </w:r>
    </w:p>
    <w:p>
      <w:pPr>
        <w:spacing w:after="0" w:line="5" w:lineRule="exact"/>
        <w:rPr>
          <w:sz w:val="20"/>
          <w:szCs w:val="20"/>
          <w:color w:val="auto"/>
        </w:rPr>
      </w:pPr>
    </w:p>
    <w:p>
      <w:pPr>
        <w:ind w:left="1160" w:hanging="508"/>
        <w:spacing w:after="0" w:line="257" w:lineRule="auto"/>
        <w:tabs>
          <w:tab w:leader="none" w:pos="116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the scope, timing, progress, costs, and results of discovery, preclinical development, and clinical trials for our current and future product candidates;</w:t>
      </w:r>
    </w:p>
    <w:p>
      <w:pPr>
        <w:spacing w:after="0" w:line="1" w:lineRule="exact"/>
        <w:rPr>
          <w:rFonts w:ascii="Times New Roman" w:cs="Times New Roman" w:eastAsia="Times New Roman" w:hAnsi="Times New Roman"/>
          <w:sz w:val="18"/>
          <w:szCs w:val="18"/>
          <w:color w:val="auto"/>
        </w:rPr>
      </w:pPr>
    </w:p>
    <w:p>
      <w:pPr>
        <w:ind w:left="1160" w:hanging="508"/>
        <w:spacing w:after="0"/>
        <w:tabs>
          <w:tab w:leader="none" w:pos="116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the number of clinical trials required for regulatory approval of our current and future product candidates;</w:t>
      </w:r>
    </w:p>
    <w:p>
      <w:pPr>
        <w:spacing w:after="0" w:line="35" w:lineRule="exact"/>
        <w:rPr>
          <w:rFonts w:ascii="Times New Roman" w:cs="Times New Roman" w:eastAsia="Times New Roman" w:hAnsi="Times New Roman"/>
          <w:sz w:val="18"/>
          <w:szCs w:val="18"/>
          <w:color w:val="auto"/>
        </w:rPr>
      </w:pPr>
    </w:p>
    <w:p>
      <w:pPr>
        <w:ind w:left="1160" w:hanging="508"/>
        <w:spacing w:after="0"/>
        <w:tabs>
          <w:tab w:leader="none" w:pos="116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the costs, timing, and outcome of regulatory review of any of our current and future product candidates;</w:t>
      </w:r>
    </w:p>
    <w:p>
      <w:pPr>
        <w:spacing w:after="0" w:line="48" w:lineRule="exact"/>
        <w:rPr>
          <w:rFonts w:ascii="Times New Roman" w:cs="Times New Roman" w:eastAsia="Times New Roman" w:hAnsi="Times New Roman"/>
          <w:sz w:val="18"/>
          <w:szCs w:val="18"/>
          <w:color w:val="auto"/>
        </w:rPr>
      </w:pPr>
    </w:p>
    <w:p>
      <w:pPr>
        <w:ind w:left="1160" w:hanging="508"/>
        <w:spacing w:after="0"/>
        <w:tabs>
          <w:tab w:leader="none" w:pos="116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the cost of manufacturing clinical and commercial supplies of our current and future product candidates;</w:t>
      </w:r>
    </w:p>
    <w:p>
      <w:pPr>
        <w:spacing w:after="0" w:line="48" w:lineRule="exact"/>
        <w:rPr>
          <w:rFonts w:ascii="Times New Roman" w:cs="Times New Roman" w:eastAsia="Times New Roman" w:hAnsi="Times New Roman"/>
          <w:sz w:val="18"/>
          <w:szCs w:val="18"/>
          <w:color w:val="auto"/>
        </w:rPr>
      </w:pPr>
    </w:p>
    <w:p>
      <w:pPr>
        <w:ind w:left="1160" w:hanging="508"/>
        <w:spacing w:after="0" w:line="255" w:lineRule="auto"/>
        <w:tabs>
          <w:tab w:leader="none" w:pos="116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the costs and timing of future commercialization activities, including manufacturing, marketing, sales, and distribution, for any of our product candidates for which we receive marketing approval;</w:t>
      </w:r>
    </w:p>
    <w:p>
      <w:pPr>
        <w:jc w:val="both"/>
        <w:ind w:left="1160" w:hanging="508"/>
        <w:spacing w:after="0" w:line="246" w:lineRule="auto"/>
        <w:tabs>
          <w:tab w:leader="none" w:pos="116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the costs and timing of preparing, filing, and prosecuting patent applications, maintaining and enforcing our intellectual property rights, and defending any intellectual property-related claims, including any claims by third parties that we are infringing upon their intellectual property rights;</w:t>
      </w:r>
    </w:p>
    <w:p>
      <w:pPr>
        <w:spacing w:after="0" w:line="1" w:lineRule="exact"/>
        <w:rPr>
          <w:rFonts w:ascii="Times New Roman" w:cs="Times New Roman" w:eastAsia="Times New Roman" w:hAnsi="Times New Roman"/>
          <w:sz w:val="18"/>
          <w:szCs w:val="18"/>
          <w:color w:val="auto"/>
        </w:rPr>
      </w:pPr>
    </w:p>
    <w:p>
      <w:pPr>
        <w:jc w:val="both"/>
        <w:ind w:left="1160" w:hanging="508"/>
        <w:spacing w:after="0" w:line="250" w:lineRule="auto"/>
        <w:tabs>
          <w:tab w:leader="none" w:pos="116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maintain existing, and establish new, strategic collaborations, licensing, or other arrangements and the financial terms of any such agreements, including the timing and amount of any future milestone, royalty, or other payments due under any such agreement;</w:t>
      </w:r>
    </w:p>
    <w:p>
      <w:pPr>
        <w:ind w:left="1160" w:hanging="508"/>
        <w:spacing w:after="0"/>
        <w:tabs>
          <w:tab w:leader="none" w:pos="116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the revenue, if any, received from commercial sales of our product candidates for which we receive marketing approval;</w:t>
      </w:r>
    </w:p>
    <w:p>
      <w:pPr>
        <w:spacing w:after="0" w:line="35" w:lineRule="exact"/>
        <w:rPr>
          <w:rFonts w:ascii="Times New Roman" w:cs="Times New Roman" w:eastAsia="Times New Roman" w:hAnsi="Times New Roman"/>
          <w:sz w:val="18"/>
          <w:szCs w:val="18"/>
          <w:color w:val="auto"/>
        </w:rPr>
      </w:pPr>
    </w:p>
    <w:p>
      <w:pPr>
        <w:ind w:left="1160" w:hanging="508"/>
        <w:spacing w:after="0"/>
        <w:tabs>
          <w:tab w:leader="none" w:pos="116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expenses to attract, hire and retain, skilled personnel;</w:t>
      </w:r>
    </w:p>
    <w:p>
      <w:pPr>
        <w:spacing w:after="0" w:line="48" w:lineRule="exact"/>
        <w:rPr>
          <w:rFonts w:ascii="Times New Roman" w:cs="Times New Roman" w:eastAsia="Times New Roman" w:hAnsi="Times New Roman"/>
          <w:sz w:val="18"/>
          <w:szCs w:val="18"/>
          <w:color w:val="auto"/>
        </w:rPr>
      </w:pPr>
    </w:p>
    <w:p>
      <w:pPr>
        <w:ind w:left="1160" w:hanging="508"/>
        <w:spacing w:after="0"/>
        <w:tabs>
          <w:tab w:leader="none" w:pos="116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the costs of operating as a public company;</w:t>
      </w:r>
    </w:p>
    <w:p>
      <w:pPr>
        <w:spacing w:after="0" w:line="48" w:lineRule="exact"/>
        <w:rPr>
          <w:rFonts w:ascii="Times New Roman" w:cs="Times New Roman" w:eastAsia="Times New Roman" w:hAnsi="Times New Roman"/>
          <w:sz w:val="18"/>
          <w:szCs w:val="18"/>
          <w:color w:val="auto"/>
        </w:rPr>
      </w:pPr>
    </w:p>
    <w:p>
      <w:pPr>
        <w:ind w:left="1160" w:hanging="508"/>
        <w:spacing w:after="0" w:line="255" w:lineRule="auto"/>
        <w:tabs>
          <w:tab w:leader="none" w:pos="116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if our product candidates are approved, our ability to establish a commercially viable pricing structure and obtain approval for coverage and adequate reimbursement from third-party and government payors;</w:t>
      </w:r>
    </w:p>
    <w:p>
      <w:pPr>
        <w:ind w:left="1160" w:hanging="508"/>
        <w:spacing w:after="0"/>
        <w:tabs>
          <w:tab w:leader="none" w:pos="116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the effect of competing technological and market developments;</w:t>
      </w:r>
    </w:p>
    <w:p>
      <w:pPr>
        <w:spacing w:after="0" w:line="39" w:lineRule="exact"/>
        <w:rPr>
          <w:rFonts w:ascii="Times New Roman" w:cs="Times New Roman" w:eastAsia="Times New Roman" w:hAnsi="Times New Roman"/>
          <w:sz w:val="18"/>
          <w:szCs w:val="18"/>
          <w:color w:val="auto"/>
        </w:rPr>
      </w:pPr>
    </w:p>
    <w:p>
      <w:pPr>
        <w:ind w:left="1160" w:hanging="508"/>
        <w:spacing w:after="0"/>
        <w:tabs>
          <w:tab w:leader="none" w:pos="116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the extent to which we acquire or invest in businesses, products, and technologies; and</w:t>
      </w:r>
    </w:p>
    <w:p>
      <w:pPr>
        <w:spacing w:after="0" w:line="48" w:lineRule="exact"/>
        <w:rPr>
          <w:rFonts w:ascii="Times New Roman" w:cs="Times New Roman" w:eastAsia="Times New Roman" w:hAnsi="Times New Roman"/>
          <w:sz w:val="18"/>
          <w:szCs w:val="18"/>
          <w:color w:val="auto"/>
        </w:rPr>
      </w:pPr>
    </w:p>
    <w:p>
      <w:pPr>
        <w:ind w:left="1160" w:hanging="508"/>
        <w:spacing w:after="0"/>
        <w:tabs>
          <w:tab w:leader="none" w:pos="116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unfavorable global economic conditions, which may exacerbate the magnitude of the factors discussed above.</w:t>
      </w:r>
    </w:p>
    <w:p>
      <w:pPr>
        <w:spacing w:after="0" w:line="224"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A change in the outcome of any of these variables with respect to the development of a product candidate could mean a significant change in the costs and timing associated with the development of that product candidate. As of June 30, 2024, we had cash and cash equivalents and marketable securities of $187.4 million. Based on our research and development plans, we believe that our existing cash and cash equivalents, will be sufficient to fund our operations into the second half of 2026. We have based this estimate on assumptions that may prove to be wrong, and we could exhaust our available capital resources sooner than we expect.</w:t>
      </w:r>
    </w:p>
    <w:p>
      <w:pPr>
        <w:spacing w:after="0" w:line="176"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Until such time as we can generate significant revenue from product sales, if ever, we expect to finance our operations from the sale of additional equity or debt financings, or other capital which comes in the form of strategic collaborations, licensing, or other arrangements. In the event that additional financing is required, we may not be able to raise it on terms acceptable to us, or at all. If we raise additional funds through the issuance of equity or convertible preferred stock, it may result in dilution to our existing stockholders. Debt financing or preferred equity financing, if available, may result in increased fixed payment obligations, and the existence of securities with rights that may be senior to those of our common stock. If we incur indebtedness, we could become subject to covenants that would restrict our operations.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8" w:name="page29"/>
    <w:bookmarkEnd w:id="28"/>
    <w:p>
      <w:pPr>
        <w:jc w:val="both"/>
        <w:ind w:firstLine="509"/>
        <w:spacing w:after="0" w:line="242" w:lineRule="auto"/>
        <w:rPr>
          <w:sz w:val="20"/>
          <w:szCs w:val="20"/>
          <w:color w:val="auto"/>
        </w:rPr>
      </w:pPr>
      <w:r>
        <w:rPr>
          <w:rFonts w:ascii="Arial" w:cs="Arial" w:eastAsia="Arial" w:hAnsi="Arial"/>
          <w:sz w:val="18"/>
          <w:szCs w:val="18"/>
          <w:color w:val="auto"/>
        </w:rPr>
        <w:t>If we raise funds through strategic collaboration, licensing or other arrangements, we may relinquish significant rights or grant licenses on terms that are not favorable to us. Our ability to raise additional funds may be adversely impacted by potential worsening global economic conditions and the recent disruptions to, and volatility in, the credit and financial markets in the United States and worldwide. If we are unable to raise additional funds through equity or debt financings when needed, we may be required to delay, limit, reduce or terminate our product development or future commercialization efforts or grant rights to develop and market products or product candidates that we would otherwise prefer to develop and market ourselves.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Cash Requirements</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contractual obligations and commitments as of June 30, 2024.</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34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5"/>
          </w:tcPr>
          <w:p>
            <w:pPr>
              <w:jc w:val="right"/>
              <w:ind w:right="70"/>
              <w:spacing w:after="0"/>
              <w:rPr>
                <w:sz w:val="20"/>
                <w:szCs w:val="20"/>
                <w:color w:val="auto"/>
              </w:rPr>
            </w:pPr>
            <w:r>
              <w:rPr>
                <w:rFonts w:ascii="Arial" w:cs="Arial" w:eastAsia="Arial" w:hAnsi="Arial"/>
                <w:sz w:val="18"/>
                <w:szCs w:val="18"/>
                <w:b w:val="1"/>
                <w:bCs w:val="1"/>
                <w:color w:val="auto"/>
              </w:rPr>
              <w:t>Payments Due by Period</w:t>
            </w:r>
          </w:p>
        </w:tc>
        <w:tc>
          <w:tcPr>
            <w:tcW w:w="4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34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60" w:type="dxa"/>
            <w:vAlign w:val="bottom"/>
          </w:tcPr>
          <w:p>
            <w:pPr>
              <w:jc w:val="right"/>
              <w:ind w:right="10"/>
              <w:spacing w:after="0" w:line="191" w:lineRule="exact"/>
              <w:rPr>
                <w:sz w:val="20"/>
                <w:szCs w:val="20"/>
                <w:color w:val="auto"/>
              </w:rPr>
            </w:pPr>
            <w:r>
              <w:rPr>
                <w:rFonts w:ascii="Arial" w:cs="Arial" w:eastAsia="Arial" w:hAnsi="Arial"/>
                <w:sz w:val="18"/>
                <w:szCs w:val="18"/>
                <w:b w:val="1"/>
                <w:bCs w:val="1"/>
                <w:color w:val="auto"/>
              </w:rPr>
              <w:t>Less than</w:t>
            </w: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center"/>
              <w:ind w:right="320"/>
              <w:spacing w:after="0" w:line="191" w:lineRule="exact"/>
              <w:rPr>
                <w:sz w:val="20"/>
                <w:szCs w:val="20"/>
                <w:color w:val="auto"/>
              </w:rPr>
            </w:pPr>
            <w:r>
              <w:rPr>
                <w:rFonts w:ascii="Arial" w:cs="Arial" w:eastAsia="Arial" w:hAnsi="Arial"/>
                <w:sz w:val="18"/>
                <w:szCs w:val="18"/>
                <w:b w:val="1"/>
                <w:bCs w:val="1"/>
                <w:color w:val="auto"/>
              </w:rPr>
              <w:t>1 to 3</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right"/>
              <w:ind w:right="250"/>
              <w:spacing w:after="0" w:line="191" w:lineRule="exact"/>
              <w:rPr>
                <w:sz w:val="20"/>
                <w:szCs w:val="20"/>
                <w:color w:val="auto"/>
              </w:rPr>
            </w:pPr>
            <w:r>
              <w:rPr>
                <w:rFonts w:ascii="Arial" w:cs="Arial" w:eastAsia="Arial" w:hAnsi="Arial"/>
                <w:sz w:val="18"/>
                <w:szCs w:val="18"/>
                <w:b w:val="1"/>
                <w:bCs w:val="1"/>
                <w:color w:val="auto"/>
              </w:rPr>
              <w:t>3 to 5</w:t>
            </w:r>
          </w:p>
        </w:tc>
        <w:tc>
          <w:tcPr>
            <w:tcW w:w="400" w:type="dxa"/>
            <w:vAlign w:val="bottom"/>
          </w:tcPr>
          <w:p>
            <w:pPr>
              <w:spacing w:after="0"/>
              <w:rPr>
                <w:sz w:val="16"/>
                <w:szCs w:val="16"/>
                <w:color w:val="auto"/>
              </w:rPr>
            </w:pPr>
          </w:p>
        </w:tc>
        <w:tc>
          <w:tcPr>
            <w:tcW w:w="110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9"/>
              </w:rPr>
              <w:t>More than</w:t>
            </w:r>
          </w:p>
        </w:tc>
        <w:tc>
          <w:tcPr>
            <w:tcW w:w="100" w:type="dxa"/>
            <w:vAlign w:val="bottom"/>
          </w:tcPr>
          <w:p>
            <w:pPr>
              <w:spacing w:after="0"/>
              <w:rPr>
                <w:sz w:val="16"/>
                <w:szCs w:val="16"/>
                <w:color w:val="auto"/>
              </w:rPr>
            </w:pPr>
          </w:p>
        </w:tc>
      </w:tr>
      <w:tr>
        <w:trPr>
          <w:trHeight w:val="235"/>
        </w:trPr>
        <w:tc>
          <w:tcPr>
            <w:tcW w:w="34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100" w:type="dxa"/>
            <w:vAlign w:val="bottom"/>
          </w:tcPr>
          <w:p>
            <w:pPr>
              <w:jc w:val="right"/>
              <w:ind w:right="250"/>
              <w:spacing w:after="0"/>
              <w:rPr>
                <w:sz w:val="20"/>
                <w:szCs w:val="20"/>
                <w:color w:val="auto"/>
              </w:rPr>
            </w:pPr>
            <w:r>
              <w:rPr>
                <w:rFonts w:ascii="Arial" w:cs="Arial" w:eastAsia="Arial" w:hAnsi="Arial"/>
                <w:sz w:val="18"/>
                <w:szCs w:val="18"/>
                <w:b w:val="1"/>
                <w:bCs w:val="1"/>
                <w:color w:val="auto"/>
              </w:rPr>
              <w:t>Total</w:t>
            </w:r>
          </w:p>
        </w:tc>
        <w:tc>
          <w:tcPr>
            <w:tcW w:w="360" w:type="dxa"/>
            <w:vAlign w:val="bottom"/>
          </w:tcPr>
          <w:p>
            <w:pPr>
              <w:spacing w:after="0"/>
              <w:rPr>
                <w:sz w:val="20"/>
                <w:szCs w:val="20"/>
                <w:color w:val="auto"/>
              </w:rPr>
            </w:pPr>
          </w:p>
        </w:tc>
        <w:tc>
          <w:tcPr>
            <w:tcW w:w="1060" w:type="dxa"/>
            <w:vAlign w:val="bottom"/>
          </w:tcPr>
          <w:p>
            <w:pPr>
              <w:jc w:val="right"/>
              <w:ind w:right="170"/>
              <w:spacing w:after="0"/>
              <w:rPr>
                <w:sz w:val="20"/>
                <w:szCs w:val="20"/>
                <w:color w:val="auto"/>
              </w:rPr>
            </w:pPr>
            <w:r>
              <w:rPr>
                <w:rFonts w:ascii="Arial" w:cs="Arial" w:eastAsia="Arial" w:hAnsi="Arial"/>
                <w:sz w:val="18"/>
                <w:szCs w:val="18"/>
                <w:b w:val="1"/>
                <w:bCs w:val="1"/>
                <w:color w:val="auto"/>
              </w:rPr>
              <w:t>1 Year</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7"/>
              </w:rPr>
              <w:t>Years</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230"/>
              <w:spacing w:after="0"/>
              <w:rPr>
                <w:sz w:val="20"/>
                <w:szCs w:val="20"/>
                <w:color w:val="auto"/>
              </w:rPr>
            </w:pPr>
            <w:r>
              <w:rPr>
                <w:rFonts w:ascii="Arial" w:cs="Arial" w:eastAsia="Arial" w:hAnsi="Arial"/>
                <w:sz w:val="18"/>
                <w:szCs w:val="18"/>
                <w:b w:val="1"/>
                <w:bCs w:val="1"/>
                <w:color w:val="auto"/>
              </w:rPr>
              <w:t>Years</w:t>
            </w:r>
          </w:p>
        </w:tc>
        <w:tc>
          <w:tcPr>
            <w:tcW w:w="400" w:type="dxa"/>
            <w:vAlign w:val="bottom"/>
          </w:tcPr>
          <w:p>
            <w:pPr>
              <w:spacing w:after="0"/>
              <w:rPr>
                <w:sz w:val="20"/>
                <w:szCs w:val="20"/>
                <w:color w:val="auto"/>
              </w:rPr>
            </w:pPr>
          </w:p>
        </w:tc>
        <w:tc>
          <w:tcPr>
            <w:tcW w:w="12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6"/>
              </w:rPr>
              <w:t>5 Years</w:t>
            </w:r>
          </w:p>
        </w:tc>
      </w:tr>
      <w:tr>
        <w:trPr>
          <w:trHeight w:val="223"/>
        </w:trPr>
        <w:tc>
          <w:tcPr>
            <w:tcW w:w="34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7"/>
              </w:rPr>
              <w:t>(in thousands)</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342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lease commitments (1)</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28,928</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2,869</w:t>
            </w:r>
          </w:p>
        </w:tc>
        <w:tc>
          <w:tcPr>
            <w:tcW w:w="46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10,370</w:t>
            </w:r>
          </w:p>
        </w:tc>
        <w:tc>
          <w:tcPr>
            <w:tcW w:w="18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7,432</w:t>
            </w:r>
          </w:p>
        </w:tc>
        <w:tc>
          <w:tcPr>
            <w:tcW w:w="4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8,257</w:t>
            </w:r>
          </w:p>
        </w:tc>
        <w:tc>
          <w:tcPr>
            <w:tcW w:w="100" w:type="dxa"/>
            <w:vAlign w:val="bottom"/>
            <w:shd w:val="clear" w:color="auto" w:fill="CFF0FC"/>
          </w:tcPr>
          <w:p>
            <w:pPr>
              <w:spacing w:after="0"/>
              <w:rPr>
                <w:sz w:val="19"/>
                <w:szCs w:val="19"/>
                <w:color w:val="auto"/>
              </w:rPr>
            </w:pPr>
          </w:p>
        </w:tc>
      </w:tr>
      <w:tr>
        <w:trPr>
          <w:trHeight w:val="20"/>
        </w:trPr>
        <w:tc>
          <w:tcPr>
            <w:tcW w:w="3420" w:type="dxa"/>
            <w:vAlign w:val="bottom"/>
            <w:shd w:val="clear" w:color="auto" w:fill="CFF0FC"/>
          </w:tcPr>
          <w:p>
            <w:pPr>
              <w:spacing w:after="0" w:line="20" w:lineRule="exact"/>
              <w:rPr>
                <w:sz w:val="1"/>
                <w:szCs w:val="1"/>
                <w:color w:val="auto"/>
              </w:rPr>
            </w:pPr>
          </w:p>
        </w:tc>
        <w:tc>
          <w:tcPr>
            <w:tcW w:w="840" w:type="dxa"/>
            <w:vAlign w:val="bottom"/>
            <w:shd w:val="clear" w:color="auto" w:fill="CFF0FC"/>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00" w:type="dxa"/>
            <w:vAlign w:val="bottom"/>
            <w:tcBorders>
              <w:right w:val="single" w:sz="8" w:color="auto"/>
            </w:tcBorders>
            <w:shd w:val="clear" w:color="auto" w:fill="CFF0FC"/>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23"/>
        </w:trPr>
        <w:tc>
          <w:tcPr>
            <w:tcW w:w="3420" w:type="dxa"/>
            <w:vAlign w:val="bottom"/>
          </w:tcPr>
          <w:p>
            <w:pPr>
              <w:ind w:left="20"/>
              <w:spacing w:after="0"/>
              <w:rPr>
                <w:sz w:val="20"/>
                <w:szCs w:val="20"/>
                <w:color w:val="auto"/>
              </w:rPr>
            </w:pPr>
            <w:r>
              <w:rPr>
                <w:rFonts w:ascii="Arial" w:cs="Arial" w:eastAsia="Arial" w:hAnsi="Arial"/>
                <w:sz w:val="18"/>
                <w:szCs w:val="18"/>
                <w:color w:val="auto"/>
              </w:rPr>
              <w:t>Total</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28,928</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2,869</w:t>
            </w:r>
          </w:p>
        </w:tc>
        <w:tc>
          <w:tcPr>
            <w:tcW w:w="4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10,370</w:t>
            </w:r>
          </w:p>
        </w:tc>
        <w:tc>
          <w:tcPr>
            <w:tcW w:w="180" w:type="dxa"/>
            <w:vAlign w:val="bottom"/>
          </w:tcPr>
          <w:p>
            <w:pPr>
              <w:spacing w:after="0"/>
              <w:rPr>
                <w:sz w:val="19"/>
                <w:szCs w:val="19"/>
                <w:color w:val="auto"/>
              </w:rPr>
            </w:pPr>
          </w:p>
        </w:tc>
        <w:tc>
          <w:tcPr>
            <w:tcW w:w="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7,432</w:t>
            </w: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8,257</w:t>
            </w:r>
          </w:p>
        </w:tc>
        <w:tc>
          <w:tcPr>
            <w:tcW w:w="100" w:type="dxa"/>
            <w:vAlign w:val="bottom"/>
          </w:tcPr>
          <w:p>
            <w:pPr>
              <w:spacing w:after="0"/>
              <w:rPr>
                <w:sz w:val="19"/>
                <w:szCs w:val="19"/>
                <w:color w:val="auto"/>
              </w:rPr>
            </w:pPr>
          </w:p>
        </w:tc>
      </w:tr>
      <w:tr>
        <w:trPr>
          <w:trHeight w:val="20"/>
        </w:trPr>
        <w:tc>
          <w:tcPr>
            <w:tcW w:w="3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3399790</wp:posOffset>
            </wp:positionH>
            <wp:positionV relativeFrom="paragraph">
              <wp:posOffset>-179070</wp:posOffset>
            </wp:positionV>
            <wp:extent cx="7683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4308475</wp:posOffset>
            </wp:positionH>
            <wp:positionV relativeFrom="paragraph">
              <wp:posOffset>-179070</wp:posOffset>
            </wp:positionV>
            <wp:extent cx="685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-179070</wp:posOffset>
            </wp:positionV>
            <wp:extent cx="685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-179070</wp:posOffset>
            </wp:positionV>
            <wp:extent cx="685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222885</wp:posOffset>
            </wp:positionV>
            <wp:extent cx="85725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857250" cy="825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ind w:left="380" w:hanging="372"/>
        <w:spacing w:after="0" w:line="271" w:lineRule="auto"/>
        <w:tabs>
          <w:tab w:leader="none" w:pos="3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Amounts in the table above reflect payments due for our lease of office and lab space in Boston, Massachusetts, that expires in August 2032.</w:t>
      </w:r>
    </w:p>
    <w:p>
      <w:pPr>
        <w:spacing w:after="0" w:line="208"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Except as disclosed in the table above, we have no long-term debt or finance leases and no material non-cancelable purchase commitments with service providers, as we have generally contracted on a cancelable, purchase-order basis. We enter into contracts in the normal course of business with equipment and reagent vendors, CROs, CDMOs and other third parties for clinical trials, preclinical research studies and testing and manufacturing services. These contracts are cancelable by us upon prior notice. Payments due upon cancellation consist only of payments for services provided or expenses incurred, including noncancelable obligations of our service providers, up to the date of cancellation. We have also acquired exclusive and non-exclusive rights to use, research, develop and offer for sale certain products and patents under license agreements. The license agreements obligate us to make payments to the licensors for license fees, milestones, license maintenance fees and royalties. These payments are not included in the preceding table as the amount and timing of such payments are not known.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63"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Our management’s discussion and analysis of financial condition and results of operations is based on our consolidated financial statements, which have been prepared in accordance with U.S. generally accepted accounting principles. The preparation of our condensed consolidated financial statements and related disclosures requires us to make estimates and assumptions that affect the reported amounts of assets and liabilities, costs and expenses and the disclosure of contingent assets and liabilities in our condensed consolidated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 During the six months ended June 30, 2024, there were no material changes to our critical accounting policies from those described in the section titled “Management’s Discussion and Analysis of Financial Condition and Operations” included in our Annual Report on Form 10-K for the year ended December 31, 2023, as filed with the SEC.</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77"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We assessed the recent accounting pronouncements for the six months ended June 30, 2024, and determined no pronouncements have material impact to the condensed consolidated financial statements.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Emerging Growth Company Status</w:t>
      </w:r>
    </w:p>
    <w:p>
      <w:pPr>
        <w:spacing w:after="0" w:line="63"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The Jumpstart Our Business Startups Act of 2012, or the JOBS Act, permits that an “emerging growth company” may take advantage of the extended transition period to comply with new or revised accounting standards applicable to public companies until those standards would otherwise apply to private companies. We have elected to use the extended transition period under the JOBS Act. Accordingly, our consolidated financial statements may not be comparable to the financial statements of public companies that comply with such new or revised accounting standards. The JOBS Act also exempts us from having to provide an auditor attestation of internal control over financial reporting under Sarbanes-Oxley Act Section 404(b).</w:t>
      </w:r>
    </w:p>
    <w:p>
      <w:pPr>
        <w:spacing w:after="0" w:line="44"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We will remain an “emerging growth company” until the earliest of: the last day of the fiscal year in which we have more than $1.235 billion in annual revenue; the date we qualify as a “large accelerated filer,” with at least $700.0 million of equity securities held by non-affiliates; the issuance, in any three-year period, by us of more than $1.0 billion in non-convertible debt securities; or the last day of the fiscal year ending after the fifth anniversary of our initial public offering, or IPO.</w:t>
      </w:r>
    </w:p>
    <w:p>
      <w:pPr>
        <w:spacing w:after="0" w:line="25" w:lineRule="exact"/>
        <w:rPr>
          <w:sz w:val="20"/>
          <w:szCs w:val="20"/>
          <w:color w:val="auto"/>
        </w:rPr>
      </w:pPr>
    </w:p>
    <w:p>
      <w:pPr>
        <w:jc w:val="both"/>
        <w:ind w:firstLine="509"/>
        <w:spacing w:after="0" w:line="266" w:lineRule="auto"/>
        <w:rPr>
          <w:sz w:val="20"/>
          <w:szCs w:val="20"/>
          <w:color w:val="auto"/>
        </w:rPr>
      </w:pPr>
      <w:r>
        <w:rPr>
          <w:rFonts w:ascii="Arial" w:cs="Arial" w:eastAsia="Arial" w:hAnsi="Arial"/>
          <w:sz w:val="17"/>
          <w:szCs w:val="17"/>
          <w:color w:val="auto"/>
        </w:rPr>
        <w:t>We are also a “smaller reporting company,” meaning that the market value of our stock held by non-affiliates is less than $700 million and our annual revenue was less than $100 million during the most recently completed fiscal year. We may continue to be a smaller reporting company if either (i) the market value of our stock held by non-affiliates is less than $250 million or (ii) our annual revenue is less than $100 million during the most recently completed fiscal year and the market value of our stock held by non-affiliates is less than $700 million.</w:t>
      </w:r>
    </w:p>
    <w:p>
      <w:pPr>
        <w:spacing w:after="0" w:line="11"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If we are a smaller reporting company at the time we cease to be an emerging growth company we may continue to rely on exemptions from certain disclosure requirements that are available to smaller reporting companies. Specifically, as a smaller reporting company we will not be required to obtain a separate attestation of internal control over financial reporting from an outside auditor.</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77"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We are a smaller reporting company as defined by Rule 12b-2 of the Exchange Act and are not required to provide the information under this item.</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65"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Disclosure Controls and Procedures</w:t>
      </w:r>
    </w:p>
    <w:p>
      <w:pPr>
        <w:spacing w:after="0" w:line="61"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We maintain “disclosure controls and procedures,” as defined in Rules 13a-15(e) and 15d-15(e) under the Exchange Act that are designed to ensure that information required to be disclosed in the reports that we file or submit under the Exchange Act is (1) recorded, processed, summarized and reported, within the time periods specified in the SEC’s rules and forms and (2) accumulated and communicated to our management, including our principal executive officer and principal financial officer, to allow timely decisions regarding required disclosure. Management recognizes that any controls and procedures, no matter how well designed and operated, can provide only reasonable assurance of achieving the desired control objectives and our management necessarily applies its judgment in evaluating the cost-benefit relationship of possible controls and procedures.</w:t>
      </w:r>
    </w:p>
    <w:p>
      <w:pPr>
        <w:spacing w:after="0" w:line="185"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Our management, with the participation of our Chief Executive Officer and Chief Financial Officer, has evaluated the effectiveness of our disclosure controls and procedures (as defined in Rules 13a-15(e) and 15d-15(e) under the Exchange Act), as of the end of the period covered by this Quarterly Report. Based on such evaluation, our Chief Executive Officer and Chief Financial Officer have concluded that as of June 30, 2024, our disclosure controls and procedures were effective to provide reasonable assurance that the information required to be disclosed by us in this Quarterly Report was (a) reported within the time periods specified by the SEC rules and regulations, and (b) communicated to our management, including our Chief Executive Officer and Chief Financial Officer, to allow timely decisions regarding any required disclosure.</w:t>
      </w:r>
    </w:p>
    <w:p>
      <w:pPr>
        <w:spacing w:after="0" w:line="214"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61"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There was no change in our internal control over financial reporting identified in connection with the evaluation required by Rule 13a-15(d) and 15d-15(d) of the Exchange Act that occurred during the period covered by this Quarterly Report that has materially affected, or is reasonably likely to materially affect, our internal control over financial reporting.</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63"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From time to time, we may become subject to various legal proceedings and claims that arise in the ordinary course of our business activities. Although the results of litigation and claims cannot be predicted with certainty, as of June 30, 2024, we do not believe we are party to any claim or litigation the outcome of which, if determined adversely to us, would individually or in the aggregate be reasonably expected to have a material adverse effect on our business. Regardless of the outcome, litigation can have an adverse impact on us because of defense and settlement costs, diversion of management resources and other factors.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79"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i w:val="1"/>
          <w:iCs w:val="1"/>
          <w:color w:val="auto"/>
        </w:rPr>
        <w:t>Investing in our common stock involves a high degree of risk. You should carefully read and consider all of the risks described below, as well as the other information in this Quarterly Report, including our unaudited condensed consolidated financial statements and related notes thereto and the section titled “Management’s Discussion and Analysis of Financial Condition and Results of Operations”. The occurrence of any of the events or developments described below could harm our business, financial condition, results of operations and growth prospects. Unless otherwise indicated, references to our business being harmed in these risk factors will include harm to our business, reputation, financial condition, results of operations and future prospects. In such an event, the market price of our common stock could decline, and you may lose all or part of your investment. Additional risks and uncertainties not presently known to us or that we currently deem immaterial also may impair our business operations and the market price of our common stock.</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Additional Capital Needs</w:t>
      </w:r>
    </w:p>
    <w:p>
      <w:pPr>
        <w:spacing w:after="0" w:line="65" w:lineRule="exact"/>
        <w:rPr>
          <w:sz w:val="20"/>
          <w:szCs w:val="20"/>
          <w:color w:val="auto"/>
        </w:rPr>
      </w:pPr>
    </w:p>
    <w:p>
      <w:pPr>
        <w:jc w:val="both"/>
        <w:ind w:right="20"/>
        <w:spacing w:after="0" w:line="272" w:lineRule="auto"/>
        <w:rPr>
          <w:sz w:val="20"/>
          <w:szCs w:val="20"/>
          <w:color w:val="auto"/>
        </w:rPr>
      </w:pPr>
      <w:r>
        <w:rPr>
          <w:rFonts w:ascii="Arial" w:cs="Arial" w:eastAsia="Arial" w:hAnsi="Arial"/>
          <w:sz w:val="18"/>
          <w:szCs w:val="18"/>
          <w:b w:val="1"/>
          <w:bCs w:val="1"/>
          <w:i w:val="1"/>
          <w:iCs w:val="1"/>
          <w:color w:val="auto"/>
        </w:rPr>
        <w:t>We have incurred significant net losses since our inception and anticipate that we will continue to incur losses for the foreseeable future.</w:t>
      </w:r>
    </w:p>
    <w:p>
      <w:pPr>
        <w:spacing w:after="0" w:line="1"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Investment in biotechnology product development is highly speculative because it entails substantial upfront capital expenditures and significant risk that a product candidate will fail to gain regulatory approval or fail to become commercially viable. Our net losses were $40.0 million and $35.8 million for the six months ended June 30, 2024 and 2023, respectively. As of June 30, 2024, we had an accumulated deficit of $327.4 million. Substantially all of our net losses have resulted from costs incurred in connection with our research and development programs and from general and administrative costs associated with our operations. We expect our research and development expenses to increase significantly as we continue clinical development for bel-sar and continue to discover and develop additional product candidates. In addition, if we obtain regulatory approval for our product candidates, we will incur significant sales, marketing and manufacturing expenses. We incur costs, and will incur additional costs, associated with operating as a public company. As a result, we expect to continue to incur significant and increasing operating losses for the foreseeable future. Because of the numerous risks and uncertainties associated with developing pharmaceutical products, we are unable to predict the extent of any future losses or when we will become profitable, if at all. To date, we have not generated any revenue from any product sales. Our ability to become profitable depends upon our ability to generate revenue. We have no products approved for commercial sale and, therefore, have never generated any revenue from product sales, and we do not expect to in the foreseeable future. Further, we do not anticipate generating any revenue from product sales until after we have received marketing approval for the commercial sale of a product candidate, if ever. Our ability to generate revenue and achieve profitability depends significantly on our success in achieving a number of goals, including:</w:t>
      </w:r>
    </w:p>
    <w:p>
      <w:pPr>
        <w:spacing w:after="0" w:line="12" w:lineRule="exact"/>
        <w:rPr>
          <w:sz w:val="20"/>
          <w:szCs w:val="20"/>
          <w:color w:val="auto"/>
        </w:rPr>
      </w:pPr>
    </w:p>
    <w:p>
      <w:pPr>
        <w:jc w:val="both"/>
        <w:ind w:left="1020" w:hanging="503"/>
        <w:spacing w:after="0" w:line="250" w:lineRule="auto"/>
        <w:tabs>
          <w:tab w:leader="none" w:pos="102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initiating and completing research regarding, and preclinical and clinical development of, bel-sar in primary choroidal melanoma and additional oncology indications, including metastases to the choroid and bladder cancer as well as any other research programs from our VDC technology platform and any future product candidates;</w:t>
      </w: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obtaining marketing approval for bel-sar and any future product candidates for which we complete clinical trials;</w:t>
      </w:r>
    </w:p>
    <w:p>
      <w:pPr>
        <w:spacing w:after="0" w:line="35" w:lineRule="exact"/>
        <w:rPr>
          <w:rFonts w:ascii="Times New Roman" w:cs="Times New Roman" w:eastAsia="Times New Roman" w:hAnsi="Times New Roman"/>
          <w:sz w:val="18"/>
          <w:szCs w:val="18"/>
          <w:color w:val="auto"/>
        </w:rPr>
      </w:pPr>
    </w:p>
    <w:p>
      <w:pPr>
        <w:jc w:val="both"/>
        <w:ind w:left="1020" w:hanging="503"/>
        <w:spacing w:after="0" w:line="257" w:lineRule="auto"/>
        <w:tabs>
          <w:tab w:leader="none" w:pos="102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transferring our manufacturing process to, and developing and maintaining it with, a CDMO for bel-sar and any future product candidates, including establishing and maintaining commercially viable supply and manufacturing relationships with third parties;</w:t>
      </w:r>
    </w:p>
    <w:p>
      <w:pPr>
        <w:spacing w:after="0" w:line="1" w:lineRule="exact"/>
        <w:rPr>
          <w:rFonts w:ascii="Times New Roman" w:cs="Times New Roman" w:eastAsia="Times New Roman" w:hAnsi="Times New Roman"/>
          <w:sz w:val="18"/>
          <w:szCs w:val="18"/>
          <w:color w:val="auto"/>
        </w:rPr>
      </w:pPr>
    </w:p>
    <w:p>
      <w:pPr>
        <w:ind w:left="1020" w:hanging="503"/>
        <w:spacing w:after="0" w:line="257" w:lineRule="auto"/>
        <w:tabs>
          <w:tab w:leader="none" w:pos="102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launching and commercializing bel-sar and any future product candidates for which we obtain marketing approvals, either directly or with a collaborator or distributor;</w:t>
      </w:r>
    </w:p>
    <w:p>
      <w:pPr>
        <w:spacing w:after="0" w:line="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obtaining market acceptance of bel-sar and any future product candidates as viable treatment options;</w:t>
      </w:r>
    </w:p>
    <w:p>
      <w:pPr>
        <w:spacing w:after="0" w:line="3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addressing any competing technological and market developments;</w:t>
      </w:r>
    </w:p>
    <w:p>
      <w:pPr>
        <w:spacing w:after="0" w:line="4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identifying, assessing, acquiring and developing new product candidates from our VDC technology platform;</w:t>
      </w:r>
    </w:p>
    <w:p>
      <w:pPr>
        <w:spacing w:after="0" w:line="4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negotiating favorable terms in any collaboration, licensing, or other arrangements into which we may enter;</w:t>
      </w:r>
    </w:p>
    <w:p>
      <w:pPr>
        <w:spacing w:after="0" w:line="35"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14"/>
        </w:numPr>
        <w:rPr>
          <w:rFonts w:ascii="Times New Roman" w:cs="Times New Roman" w:eastAsia="Times New Roman" w:hAnsi="Times New Roman"/>
          <w:sz w:val="18"/>
          <w:szCs w:val="18"/>
          <w:color w:val="auto"/>
        </w:rPr>
      </w:pPr>
      <w:r>
        <w:rPr>
          <w:rFonts w:ascii="Arial" w:cs="Arial" w:eastAsia="Arial" w:hAnsi="Arial"/>
          <w:sz w:val="18"/>
          <w:szCs w:val="18"/>
          <w:color w:val="auto"/>
        </w:rPr>
        <w:t>obtaining, maintaining, protecting, and expanding our portfolio of intellectual property rights, including patents, trade secrets, and know-how; and</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1" w:name="page32"/>
    <w:bookmarkEnd w:id="31"/>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attracting, hiring, and retaining qualified personnel.</w:t>
      </w:r>
    </w:p>
    <w:p>
      <w:pPr>
        <w:spacing w:after="0" w:line="224"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Even if bel-sar or any future product candidates that we develop are approved for commercial sale, we anticipate incurring significant costs associated with commercializing any such product candidate. Our expenses could increase beyond expectations if we are required by the FDA or comparable foreign regulatory authorities to change our manufacturing processes or assays, or to perform clinical, nonclinical, or other types of studies in addition to those that we currently anticipate.</w:t>
      </w:r>
    </w:p>
    <w:p>
      <w:pPr>
        <w:spacing w:after="0" w:line="174"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If we are successful in obtaining regulatory approvals to market bel-sar or any future product candidates, our revenue will be dependent, in part, upon the size of the markets in the territories for which we gain marketing approval, the accepted price for the product, the ability to get reimbursement at any price, and whether we own the commercial rights for that territory. If the number of our addressable patients is not as significant as we estimate, the indication approved by regulatory authorities is narrower than we expect, the labels for bel-sar and any future product candidates contain significant safety warnings, regulatory authorities impose burdensome or restrictive distribution requirements, or the reasonably accepted patient population for treatment is narrowed by competition, physician choice or treatment guidelines, we may not generate significant revenue from sales of such products, even if approved. If we are not able to generate revenue from the sale of any approved products, we could be prevented from or significantly delayed in achieving profitability.</w:t>
      </w:r>
    </w:p>
    <w:p>
      <w:pPr>
        <w:spacing w:after="0" w:line="180"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Even if we achieve profitability, we may not be able to sustain or increase profitability on a quarterly or annual basis. Our failure to become and remain profitable would depress the value of our company and could impair our ability to raise capital, expand our business, maintain our development efforts, obtain product approvals, diversify our offerings or continue our operations. A decline in the value of our company could also cause you to lose all or part of your investment.</w:t>
      </w:r>
    </w:p>
    <w:p>
      <w:pPr>
        <w:spacing w:after="0" w:line="17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We will require substantial additional capital to finance our operations. If we are unable to raise such capital when needed, or on acceptable terms, we may be forced to delay, reduce or terminate one or more of our research and development programs, future commercialization efforts, product development or other operations.</w:t>
      </w:r>
    </w:p>
    <w:p>
      <w:pPr>
        <w:spacing w:after="0" w:line="11"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Since our inception, we have used substantial amounts of cash to fund our operations, and our expenses will increase substantially in the foreseeable future in connection with our ongoing activities, particularly as we continue the research and development of, initiate and complete clinical trials of, and seek marketing approval for bel-sar. Identifying and developing pharmaceutical products, including conducting preclinical studies and clinical trials, is a very time-consuming, expensive and uncertain process that takes years to complete. Even if one or more of bel-sar or any future product candidates that we develop is approved for commercial sale, we anticipate incurring significant costs associated with sales, marketing, manufacturing and distribution activities. Our expenses could increase beyond expectations if we are required by the FDA, the EMA or other regulatory agencies to perform clinical trials or nonclinical studies in addition to those that we are currently conducting or anticipate. Other unanticipated costs may also arise. Because the design and outcome of our current and planned clinical trials are highly uncertain, we cannot reasonably estimate the actual amount of resources and funding that will be necessary to successfully complete the development and commercialization of bel-sar or any future product candidates that we develop. We also expect to incur additional costs associated with operating as a public company. Accordingly, we will need to obtain substantial additional funding in order to continue our operations.</w:t>
      </w:r>
    </w:p>
    <w:p>
      <w:pPr>
        <w:spacing w:after="0" w:line="183"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Based on our current operating plan, we believe that our existing cash and cash equivalents and marketable securities will be sufficient to fund our operating expenses and capital expenditures into the second half of 2026. Advancing the development of bel-sar and other research programs will require a significant amount of capital. Our existing cash and cash equivalents will not be sufficient to fund bel-sar through regulatory approval, and we anticipate needing to raise additional capital to complete the development and commercialization of bel-sar. Our estimate as to how long we expect our existing cash and cash equivalents to fund our operations is based on assumptions that may prove to be wrong, and we could use our available capital resources sooner than we currently expect. Changing circumstances, some of which may be beyond our control, could cause us to consume capital significantly faster than we currently anticipate, and we may need to seek additional funds sooner than planned.</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5" w:right="339" w:bottom="1440" w:gutter="0" w:footer="0" w:header="0"/>
        </w:sectPr>
      </w:pPr>
    </w:p>
    <w:bookmarkStart w:id="32" w:name="page33"/>
    <w:bookmarkEnd w:id="32"/>
    <w:p>
      <w:pPr>
        <w:jc w:val="both"/>
        <w:ind w:firstLine="509"/>
        <w:spacing w:after="0" w:line="237" w:lineRule="auto"/>
        <w:rPr>
          <w:sz w:val="20"/>
          <w:szCs w:val="20"/>
          <w:color w:val="auto"/>
        </w:rPr>
      </w:pPr>
      <w:r>
        <w:rPr>
          <w:rFonts w:ascii="Arial" w:cs="Arial" w:eastAsia="Arial" w:hAnsi="Arial"/>
          <w:sz w:val="18"/>
          <w:szCs w:val="18"/>
          <w:color w:val="auto"/>
        </w:rPr>
        <w:t>We will be required to obtain further funding through public or private equity financings, debt financings, collaborative agreements, licensing arrangements or other sources of financing, which may dilute our stockholders or restrict our operating activities. We do not have any committed external source of funds. Adequate additional financing may not be available to us on acceptable terms, or at all. Any additional fundraising efforts may divert our management from their day-to-day activities, which may adversely affect our ability to develop and commercialize product candidates. Disruptions in financial markets due to unfavorable global economic conditions and inflationary pressures may make equity and debt financings more difficult to obtain and may have a material adverse effect on our ability to meet our fundraising needs. To the extent that we raise additional capital through the sale of equity or convertible preferred stock, each investor’s ownership interests will be diluted, and the terms may include liquidation or other preferences that adversely affect each investor’s rights as a stockholder. Debt financing may result in imposition of debt covenants, increased fixed payment obligations or other restrictions that may affect our business. If we raise additional funds through upfront payments or milestone payments pursuant to strategic collaborations with third parties, we may have to relinquish valuable rights to our product candidates or grant licenses on terms that are not favorable to us. In addition, we may seek additional capital due to favorable market conditions or strategic considerations even if we believe we have sufficient funds for our current or future operating plans. Attempting to secure additional financing may divert our management from our day-to-day activities, which may adversely affect our ability to commercialize bel-sar if and when approved and develop our product candidates.</w:t>
      </w:r>
    </w:p>
    <w:p>
      <w:pPr>
        <w:spacing w:after="0" w:line="189"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Our failure to raise capital as and when needed or on acceptable terms would have a negative impact on our financial condition and our ability to pursue our business strategy, and we may have to delay, reduce the scope of, suspend or eliminate one or more of our clinical trials, research and development programs, future commercialization efforts or other operations.</w:t>
      </w:r>
    </w:p>
    <w:p>
      <w:pPr>
        <w:spacing w:after="0" w:line="171"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Recent volatility in capital markets may affect our ability to access new capital through sales of shares of our common stock or issuance of indebtedness.</w:t>
      </w:r>
    </w:p>
    <w:p>
      <w:pPr>
        <w:spacing w:after="0" w:line="1"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Our operations consume substantial amounts of cash, and we intend to continue to make significant investments to support our business growth, respond to business challenges or opportunities, develop new solutions, retain or expand our current levels of personnel, improve our existing solutions, enhance our operating infrastructure, and potentially acquire complementary businesses and technologies. Our future capital requirements may be significantly different from our current estimates and will depend on many factors, including the need to:</w:t>
      </w:r>
    </w:p>
    <w:p>
      <w:pPr>
        <w:spacing w:after="0" w:line="1" w:lineRule="exact"/>
        <w:rPr>
          <w:sz w:val="20"/>
          <w:szCs w:val="20"/>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finance unanticipated working capital requirements;</w:t>
      </w:r>
    </w:p>
    <w:p>
      <w:pPr>
        <w:spacing w:after="0" w:line="4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develop or enhance our technological infrastructure and our existing solutions;</w:t>
      </w:r>
    </w:p>
    <w:p>
      <w:pPr>
        <w:spacing w:after="0" w:line="3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pursue acquisitions or other strategic relationships; and</w:t>
      </w:r>
    </w:p>
    <w:p>
      <w:pPr>
        <w:spacing w:after="0" w:line="4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8"/>
          <w:szCs w:val="18"/>
          <w:color w:val="auto"/>
        </w:rPr>
        <w:t>respond to competitive pressures.</w:t>
      </w:r>
    </w:p>
    <w:p>
      <w:pPr>
        <w:spacing w:after="0" w:line="224"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Accordingly, we may need to pursue equity or debt financings to meet our capital needs. With uncertainty in the capital markets and other factors, such financing may not be available on terms favorable to us or at all. If we raise additional funds through further issuances of equity or convertible debt securities, our existing stockholders could suffer significant dilution, and any new equity securities we issue could have rights, preferences, and privileges superior to those of holders of our common stock. Any debt financing secured by us in the future could involve additional restrictive covenants relating to our capital-raising activities and other financial and operational matters, which may make it more difficult for us to obtain additional capital and to pursue business opportunities, including potential acquisitions. If we are unable to obtain adequate financing or financing on terms satisfactory to us, we could face significant limitations on our ability to invest in our operations and otherwise suffer harm to our businesses.</w:t>
      </w:r>
    </w:p>
    <w:p>
      <w:pPr>
        <w:spacing w:after="0" w:line="182" w:lineRule="exact"/>
        <w:rPr>
          <w:sz w:val="20"/>
          <w:szCs w:val="20"/>
          <w:color w:val="auto"/>
        </w:rPr>
      </w:pPr>
    </w:p>
    <w:p>
      <w:pPr>
        <w:jc w:val="both"/>
        <w:ind w:right="20"/>
        <w:spacing w:after="0" w:line="272" w:lineRule="auto"/>
        <w:rPr>
          <w:sz w:val="20"/>
          <w:szCs w:val="20"/>
          <w:color w:val="auto"/>
        </w:rPr>
      </w:pPr>
      <w:r>
        <w:rPr>
          <w:rFonts w:ascii="Arial" w:cs="Arial" w:eastAsia="Arial" w:hAnsi="Arial"/>
          <w:sz w:val="18"/>
          <w:szCs w:val="18"/>
          <w:b w:val="1"/>
          <w:bCs w:val="1"/>
          <w:i w:val="1"/>
          <w:iCs w:val="1"/>
          <w:color w:val="auto"/>
        </w:rPr>
        <w:t>Raising additional capital may cause dilution to our existing stockholders, restrict our operations or require us to relinquish proprietary rights to our technologies or product candidates.</w:t>
      </w:r>
    </w:p>
    <w:p>
      <w:pPr>
        <w:spacing w:after="0" w:line="1"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We do not have any committed external source of funds or other support for our development efforts and we cannot be certain that additional funding will be available on acceptable terms, or at all. Until we can generate sufficient product or royalty revenue to finance our cash requirements, which we may never do, we expect to finance our future cash needs through a combination of public or private equity offerings, debt financings, collaborations, strategic alliances, licensing arrangements and other marketing or distribution arrangements. If we raise additional funds through public or private equity offerings, the terms of these securities may include liquidation or other preferences that adversely affect our stockholders’ rights. Further, to the extent that we raise additional capital through the sale of common stock or securities convertible or exchangeable into common stock, existing stockholder ownership interest will be diluted. In addition, any debt financing may subject us to fixed payment obligations and covenants limiting or restricting our ability to take specific actions, such as incurring additional debt, making capital expenditures or declaring dividends. Such restrictions could adversely impact our ability to conduct our operations and execute our business plan.</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3" w:name="page34"/>
    <w:bookmarkEnd w:id="33"/>
    <w:p>
      <w:pPr>
        <w:jc w:val="both"/>
        <w:ind w:firstLine="509"/>
        <w:spacing w:after="0" w:line="244" w:lineRule="auto"/>
        <w:rPr>
          <w:sz w:val="20"/>
          <w:szCs w:val="20"/>
          <w:color w:val="auto"/>
        </w:rPr>
      </w:pPr>
      <w:r>
        <w:rPr>
          <w:rFonts w:ascii="Arial" w:cs="Arial" w:eastAsia="Arial" w:hAnsi="Arial"/>
          <w:sz w:val="18"/>
          <w:szCs w:val="18"/>
          <w:color w:val="auto"/>
        </w:rPr>
        <w:t>If we raise additional capital through marketing and distribution arrangements or other collaborations, strategic alliances or licensing arrangements with third parties, we may have to relinquish certain valuable rights to our product candidates, technologies, future revenue streams or research programs or grant licenses on terms that may not be favorable to us. We also could be required to seek commercial or development partners for our lead products or any future product candidate at an earlier stage than otherwise would be desirable or relinquish our rights to product candidates or technologies that we otherwise would seek to develop or commercialize ourselves.</w:t>
      </w:r>
    </w:p>
    <w:p>
      <w:pPr>
        <w:spacing w:after="0" w:line="178"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Our ability to generate revenue and achieve profitability depends significantly on our ability to achieve our objectives relating to the discovery, development, regulatory approval and commercialization of our product candidates.</w:t>
      </w:r>
    </w:p>
    <w:p>
      <w:pPr>
        <w:spacing w:after="0" w:line="1"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We rely on our team’s expertise in drug discovery, translational research and patient-driven precision medicine to develop our product candidates. Our business depends significantly on the success of this engine and the development and commercialization of the product candidates that we discover with this engine. We have no products approved for commercial sale and do not anticipate generating any revenue from product sales in the near term, if ever. Our ability to generate revenue and achieve profitability depends significantly on our ability to achieve several objectives, including:</w:t>
      </w:r>
    </w:p>
    <w:p>
      <w:pPr>
        <w:spacing w:after="0" w:line="1" w:lineRule="exact"/>
        <w:rPr>
          <w:sz w:val="20"/>
          <w:szCs w:val="20"/>
          <w:color w:val="auto"/>
        </w:rPr>
      </w:pPr>
    </w:p>
    <w:p>
      <w:pPr>
        <w:jc w:val="both"/>
        <w:ind w:left="1020" w:hanging="503"/>
        <w:spacing w:after="0" w:line="250" w:lineRule="auto"/>
        <w:tabs>
          <w:tab w:leader="none" w:pos="102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successful and timely completion of preclinical and clinical development of bel-sar in small choroidal melanoma and indeterminate lesions and additional oncology indications, including but not limited to metastases to the choroid and bladder cancer, other research programs from our VDC technology platform, and any other future programs;</w:t>
      </w:r>
    </w:p>
    <w:p>
      <w:pPr>
        <w:ind w:left="1020" w:hanging="503"/>
        <w:spacing w:after="0" w:line="255" w:lineRule="auto"/>
        <w:tabs>
          <w:tab w:leader="none" w:pos="102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establishing and maintaining relationships with CROs and clinical sites for the clinical development of bel-sar, other research programs from our VDC technology platform, and any other future programs;</w:t>
      </w:r>
    </w:p>
    <w:p>
      <w:pPr>
        <w:ind w:left="1020" w:hanging="503"/>
        <w:spacing w:after="0" w:line="252" w:lineRule="auto"/>
        <w:tabs>
          <w:tab w:leader="none" w:pos="102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timely receipt of marketing approvals from applicable regulatory authorities for any product candidates for which we successfully complete clinical development;</w:t>
      </w:r>
    </w:p>
    <w:p>
      <w:pPr>
        <w:ind w:left="1020" w:hanging="503"/>
        <w:spacing w:after="0" w:line="257" w:lineRule="auto"/>
        <w:tabs>
          <w:tab w:leader="none" w:pos="102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transferring our manufacturing process to, and developing or maintaining it with, a CDMO including obtaining finished products that are appropriately packaged for sale;</w:t>
      </w:r>
    </w:p>
    <w:p>
      <w:pPr>
        <w:spacing w:after="0" w:line="1" w:lineRule="exact"/>
        <w:rPr>
          <w:rFonts w:ascii="Times New Roman" w:cs="Times New Roman" w:eastAsia="Times New Roman" w:hAnsi="Times New Roman"/>
          <w:sz w:val="18"/>
          <w:szCs w:val="18"/>
          <w:color w:val="auto"/>
        </w:rPr>
      </w:pPr>
    </w:p>
    <w:p>
      <w:pPr>
        <w:jc w:val="both"/>
        <w:ind w:left="1020" w:hanging="503"/>
        <w:spacing w:after="0" w:line="248" w:lineRule="auto"/>
        <w:tabs>
          <w:tab w:leader="none" w:pos="102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establishing and maintaining commercially viable supply and manufacturing relationships with third parties that can provide adequate, in both amount and quality, products and services to support clinical development and meet the market demand for our product candidates, if approved;</w:t>
      </w:r>
    </w:p>
    <w:p>
      <w:pPr>
        <w:spacing w:after="0" w:line="1" w:lineRule="exact"/>
        <w:rPr>
          <w:rFonts w:ascii="Times New Roman" w:cs="Times New Roman" w:eastAsia="Times New Roman" w:hAnsi="Times New Roman"/>
          <w:sz w:val="18"/>
          <w:szCs w:val="18"/>
          <w:color w:val="auto"/>
        </w:rPr>
      </w:pPr>
    </w:p>
    <w:p>
      <w:pPr>
        <w:ind w:left="1020" w:hanging="503"/>
        <w:spacing w:after="0" w:line="252" w:lineRule="auto"/>
        <w:tabs>
          <w:tab w:leader="none" w:pos="102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successful commercial launch following any marketing approval, including the development of a commercial infrastructure, whether in-house or with one or more collaborators;</w:t>
      </w: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a continued acceptable safety profile following any marketing approval of our product candidates;</w:t>
      </w:r>
    </w:p>
    <w:p>
      <w:pPr>
        <w:spacing w:after="0" w:line="4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commercial acceptance of our product candidates by patients, the medical community and third-party payors;</w:t>
      </w:r>
    </w:p>
    <w:p>
      <w:pPr>
        <w:spacing w:after="0" w:line="3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satisfying any required post-marketing approval commitments to applicable regulatory authorities;</w:t>
      </w:r>
    </w:p>
    <w:p>
      <w:pPr>
        <w:spacing w:after="0" w:line="4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identifying, assessing and developing new product candidates from our VDC technology platform;</w:t>
      </w:r>
    </w:p>
    <w:p>
      <w:pPr>
        <w:spacing w:after="0" w:line="48" w:lineRule="exact"/>
        <w:rPr>
          <w:rFonts w:ascii="Times New Roman" w:cs="Times New Roman" w:eastAsia="Times New Roman" w:hAnsi="Times New Roman"/>
          <w:sz w:val="18"/>
          <w:szCs w:val="18"/>
          <w:color w:val="auto"/>
        </w:rPr>
      </w:pPr>
    </w:p>
    <w:p>
      <w:pPr>
        <w:ind w:left="1020" w:hanging="503"/>
        <w:spacing w:after="0" w:line="255" w:lineRule="auto"/>
        <w:tabs>
          <w:tab w:leader="none" w:pos="102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obtaining, maintaining and expanding patent protection, trade secret protection and regulatory exclusivity, both in the United States and internationally;</w:t>
      </w: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defending against third-party interference or infringement claims, if any;</w:t>
      </w:r>
    </w:p>
    <w:p>
      <w:pPr>
        <w:spacing w:after="0" w:line="39" w:lineRule="exact"/>
        <w:rPr>
          <w:rFonts w:ascii="Times New Roman" w:cs="Times New Roman" w:eastAsia="Times New Roman" w:hAnsi="Times New Roman"/>
          <w:sz w:val="18"/>
          <w:szCs w:val="18"/>
          <w:color w:val="auto"/>
        </w:rPr>
      </w:pPr>
    </w:p>
    <w:p>
      <w:pPr>
        <w:ind w:left="1020" w:hanging="503"/>
        <w:spacing w:after="0" w:line="257" w:lineRule="auto"/>
        <w:tabs>
          <w:tab w:leader="none" w:pos="102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entering into, on favorable terms, any collaboration, licensing or other arrangements that may be necessary or desirable to develop, manufacture or commercialize our product candidates;</w:t>
      </w:r>
    </w:p>
    <w:p>
      <w:pPr>
        <w:spacing w:after="0" w:line="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obtaining coverage and adequate reimbursement by third-party payors for our product candidates;</w:t>
      </w:r>
    </w:p>
    <w:p>
      <w:pPr>
        <w:spacing w:after="0" w:line="3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addressing any competing therapies and technological and market developments; and</w:t>
      </w:r>
    </w:p>
    <w:p>
      <w:pPr>
        <w:spacing w:after="0" w:line="4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Arial" w:cs="Arial" w:eastAsia="Arial" w:hAnsi="Arial"/>
          <w:sz w:val="18"/>
          <w:szCs w:val="18"/>
          <w:color w:val="auto"/>
        </w:rPr>
        <w:t>attracting, hiring and retaining qualified personnel.</w:t>
      </w:r>
    </w:p>
    <w:p>
      <w:pPr>
        <w:spacing w:after="0" w:line="224"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We may never be successful in achieving our objectives and, even if we do, may never generate revenue that is significant or large enough to achieve profitability. If we do achieve profitability, we may not be able to sustain or increase profitability on a quarterly or annual basis. Our failure to become and remain profitable would decrease the value of our company and could impair our ability to maintain or further our research and development efforts, raise additional necessary capital, grow our business and continue our operations.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Risks Related to the Discovery and Development of our Product Candidates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heavily dependent on the success of bel-sar, our only product candidate to date.</w:t>
      </w:r>
    </w:p>
    <w:p>
      <w:pPr>
        <w:spacing w:after="0" w:line="75"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We currently have no products that are approved for commercial sale and may never be able to develop marketable products. We expect that a substantial portion of our efforts and expenditures over the next several years will be devoted to development of bel-sar in multiple oncology indications, which is currently our only product candidate. Accordingly, our business currently depends heavily on the successful development, regulatory approval, and commercialization of bel-sar. We can provide no assurance that bel-sar will receive regulatory approval or be successfully commercialized even if we receive regulatory approval. If we were required to discontinue development of bel-sar or if bel-sar does not receive regulatory approval or fails to achieve significant market acceptance, we would be delayed by many years in our ability to achieve profitability, if ever.</w:t>
      </w:r>
    </w:p>
    <w:p>
      <w:pPr>
        <w:spacing w:after="0" w:line="185"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The research, testing, manufacturing, safety, efficacy, recordkeeping, labeling, approval, licensure, sale, marketing, advertising, promotion and distribution of bel-sar is, and will remain, subject to comprehensive regulation by the FDA and foreign regulatory authorities. Failure to obtain regulatory approval for bel-sar in the United States, Europe and other major markets around the world will prevent us from commercializing and marketing bel-sar in such jurisdictions.</w:t>
      </w:r>
    </w:p>
    <w:p>
      <w:pPr>
        <w:spacing w:after="0" w:line="174"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Even if we were to successfully obtain approval from the FDA and foreign regulatory authorities for bel-sar, any approval might contain significant limitations related to use, including limitations on the stage or type of cancer bel-sar is approved to treat, as well as restrictions for specified age groups, warnings, precautions or contraindications, or requirement for a risk evaluation and mitigation strategy, or REMS. Any such limitations or restrictions could similarly impact any supplemental marketing approvals we may obtain for bel-sar. Furthermore, even if we obtain regulatory approval for bel-sar, we will still need to develop a commercial infrastructure or develop relationships with collaborators to commercialize, establish a commercially viable pricing structure and obtain coverage and adequate reimbursement from third-party payors, including government healthcare programs. If we, or any future collaborators, are unable to successfully commercialize bel-sar, we may not be able to generate sufficient revenue to continue our business.</w:t>
      </w:r>
    </w:p>
    <w:p>
      <w:pPr>
        <w:spacing w:after="0" w:line="18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If we are not able to obtain, or if there are delays in obtaining, required regulatory approvals for bel-sar, we will not be able to commercialize, or will be delayed in commercializing, our product candidates, and our ability to generate revenue will be materially impaired.</w:t>
      </w:r>
    </w:p>
    <w:p>
      <w:pPr>
        <w:spacing w:after="0" w:line="11"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Our product candidates and the activities associated with their development and commercialization, including their design, testing, manufacture, safety, efficacy, recordkeeping, labeling, storage, approval, advertising, promotion, sale, distribution, import and export are subject to comprehensive regulation by the FDA and other regulatory agencies in the United States and by comparable authorities in other countries. Before we can commercialize any of our product candidates, we must obtain marketing approval. We have not received approval to market any of our product candidates from regulatory authorities in any jurisdiction and it is possible that none of our product candidates or any product candidates we may seek to develop in the future will ever obtain regulatory approval. We utilize third-party CROs and/or regulatory consultants to assist us in the regulatory approval process globally and expect to continue to do so in the future. Securing regulatory approval requires the submission of extensive preclinical and clinical data and supporting information to the various regulatory authorities for each therapeutic indication to establish the drug candidate’s safety and efficacy. Securing regulatory approval also requires the submission of information about the drug manufacturing process to, and inspection of manufacturing facilities and clinical sites by the relevant regulatory authority. Our product candidates may not be effective, may be only moderately effective or may prove to have undesirable or unintended side effects, toxicities or other characteristics that may preclude our obtaining marketing approval or prevent or limit commercial use.</w:t>
      </w:r>
    </w:p>
    <w:p>
      <w:pPr>
        <w:spacing w:after="0" w:line="180"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The process of obtaining regulatory approvals, both in the United States and abroad, is expensive, may take many years if additional clinical trials are required, if approval is obtained at all, and can vary substantially based upon a variety of factors, including the type, complexity and novelty of the product candidates involved. Changes in marketing approval policies during the development period, changes in or the enactment of additional statutes or regulations, or changes in regulatory review for each submitted IND, Premarket Approval, or PMA, or biologics license application, or BLA, or equivalent application types, may cause delays in the approval or rejection of an application. The FDA and comparable authorities in other countries have substantial discretion in the approval process and may refuse to accept any application or may decide that our data are insufficient for approval and require additional preclinical, clinical or other studies. Because the activity of bel-sar in ocular melanoma requires a drug delivery device and activation by a laser, the regulatory complexity of the product candidate is greater than for products that don’t utilize a device, which creates uncertainties in the requirements for regulatory approval. Our product candidates could be delayed in receiving, or fail to receive, regulatory approval for many reasons, including the following:</w:t>
      </w:r>
    </w:p>
    <w:p>
      <w:pPr>
        <w:spacing w:after="0" w:line="4" w:lineRule="exact"/>
        <w:rPr>
          <w:sz w:val="20"/>
          <w:szCs w:val="20"/>
          <w:color w:val="auto"/>
        </w:rPr>
      </w:pPr>
    </w:p>
    <w:p>
      <w:pPr>
        <w:jc w:val="center"/>
        <w:ind w:left="5520" w:right="580" w:hanging="5003"/>
        <w:spacing w:after="0" w:line="536" w:lineRule="auto"/>
        <w:tabs>
          <w:tab w:leader="none" w:pos="1022" w:val="left"/>
        </w:tabs>
        <w:numPr>
          <w:ilvl w:val="0"/>
          <w:numId w:val="18"/>
        </w:numPr>
        <w:rPr>
          <w:rFonts w:ascii="Times New Roman" w:cs="Times New Roman" w:eastAsia="Times New Roman" w:hAnsi="Times New Roman"/>
          <w:sz w:val="18"/>
          <w:szCs w:val="18"/>
          <w:color w:val="auto"/>
        </w:rPr>
      </w:pPr>
      <w:r>
        <w:rPr>
          <w:rFonts w:ascii="Arial" w:cs="Arial" w:eastAsia="Arial" w:hAnsi="Arial"/>
          <w:sz w:val="18"/>
          <w:szCs w:val="18"/>
          <w:color w:val="auto"/>
        </w:rPr>
        <w:t>the FDA or comparable foreign regulatory authorities may disagree with the design or implementation of our clinical trials;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294005</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5" w:name="page36"/>
    <w:bookmarkEnd w:id="35"/>
    <w:p>
      <w:pPr>
        <w:ind w:left="1020" w:hanging="503"/>
        <w:spacing w:after="0" w:line="255" w:lineRule="auto"/>
        <w:tabs>
          <w:tab w:leader="none" w:pos="102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we may be unable to demonstrate to the satisfaction of the FDA or comparable foreign regulatory authorities that a product candidate is safe and effective for its proposed indication;</w:t>
      </w:r>
    </w:p>
    <w:p>
      <w:pPr>
        <w:ind w:left="1020" w:right="20" w:hanging="503"/>
        <w:spacing w:after="0" w:line="252" w:lineRule="auto"/>
        <w:tabs>
          <w:tab w:leader="none" w:pos="102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the results of clinical trials may not meet the level of statistical significance required by the FDA or comparable foreign regulatory authorities for approval;</w:t>
      </w: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we may be unable to demonstrate that a product candidate’s clinical and other benefits outweigh its safety risks;</w:t>
      </w:r>
    </w:p>
    <w:p>
      <w:pPr>
        <w:spacing w:after="0" w:line="48" w:lineRule="exact"/>
        <w:rPr>
          <w:rFonts w:ascii="Times New Roman" w:cs="Times New Roman" w:eastAsia="Times New Roman" w:hAnsi="Times New Roman"/>
          <w:sz w:val="18"/>
          <w:szCs w:val="18"/>
          <w:color w:val="auto"/>
        </w:rPr>
      </w:pPr>
    </w:p>
    <w:p>
      <w:pPr>
        <w:ind w:left="1020" w:hanging="503"/>
        <w:spacing w:after="0" w:line="255" w:lineRule="auto"/>
        <w:tabs>
          <w:tab w:leader="none" w:pos="102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the FDA or comparable foreign regulatory authorities may disagree with our interpretation of data from preclinical studies or clinical trials;</w:t>
      </w:r>
    </w:p>
    <w:p>
      <w:pPr>
        <w:ind w:left="1020" w:hanging="503"/>
        <w:spacing w:after="0" w:line="252" w:lineRule="auto"/>
        <w:tabs>
          <w:tab w:leader="none" w:pos="102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the data collected from clinical trials of our product candidates may not be sufficient to support the submission of an BLA or other submission or to obtain regulatory approval in the United States or elsewhere;</w:t>
      </w:r>
    </w:p>
    <w:p>
      <w:pPr>
        <w:ind w:left="1020" w:right="20" w:hanging="503"/>
        <w:spacing w:after="0" w:line="257" w:lineRule="auto"/>
        <w:tabs>
          <w:tab w:leader="none" w:pos="102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the FDA or comparable foreign regulatory authorities may fail to approve our manufacturing processes or facilities or those of third-party manufacturers with which we contract for clinical and commercial supplies; and</w:t>
      </w:r>
    </w:p>
    <w:p>
      <w:pPr>
        <w:spacing w:after="0" w:line="1"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19"/>
        </w:numPr>
        <w:rPr>
          <w:rFonts w:ascii="Times New Roman" w:cs="Times New Roman" w:eastAsia="Times New Roman" w:hAnsi="Times New Roman"/>
          <w:sz w:val="18"/>
          <w:szCs w:val="18"/>
          <w:color w:val="auto"/>
        </w:rPr>
      </w:pPr>
      <w:r>
        <w:rPr>
          <w:rFonts w:ascii="Arial" w:cs="Arial" w:eastAsia="Arial" w:hAnsi="Arial"/>
          <w:sz w:val="18"/>
          <w:szCs w:val="18"/>
          <w:color w:val="auto"/>
        </w:rPr>
        <w:t>the approval policies or regulations of the FDA or comparable foreign regulatory authorities may significantly change in a manner rendering our clinical data insufficient for approval.</w:t>
      </w:r>
    </w:p>
    <w:p>
      <w:pPr>
        <w:spacing w:after="0" w:line="154"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Of the large number of drugs in development, only a small percentage successfully complete the FDA or foreign regulatory approval processes and are commercialized. The lengthy approval process, as well as the unpredictability of future clinical trial results may result in our failing to obtain regulatory approval to market our product candidates, which would significantly harm our business, results of operations and prospects.</w:t>
      </w:r>
    </w:p>
    <w:p>
      <w:pPr>
        <w:spacing w:after="0" w:line="174"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Our novel VDC product candidates are based on a technology that we are in the process of developing. We expect the novel nature of such product candidates to create further challenges in obtaining regulatory approval. As a result, our ability to develop product candidates and obtain regulatory approval may be significantly impacted.</w:t>
      </w:r>
    </w:p>
    <w:p>
      <w:pPr>
        <w:spacing w:after="0" w:line="169"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The FDA may also require a panel of experts, referred to as an Advisory Committee, to deliberate on the adequacy of the safety and efficacy data to support approval. The opinion of the Advisory Committee, although not binding, may have a significant impact on our ability to obtain approval of any product candidates that we develop based on the completed clinical trials. Additionally, the conduct of Advisory Committee meetings may be disrupted or delayed and the impact that may have on the overall timing of regulatory approvals is uncertain.</w:t>
      </w:r>
    </w:p>
    <w:p>
      <w:pPr>
        <w:spacing w:after="0" w:line="174"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In addition, even if we were to obtain approval, regulatory authorities may approve any of our product candidates for fewer or more limited indications than we request, may not approve the price we intend to charge for our products, may grant approval contingent on the performance of costly post-marketing clinical trials, or may approve a product candidate with a label that does not include the labeling claims necessary or desirable for the successful commercialization of that product candidate. Any of the foregoing scenarios could materially harm the commercial prospects for our product candidates.</w:t>
      </w:r>
    </w:p>
    <w:p>
      <w:pPr>
        <w:spacing w:after="0" w:line="176"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If we experience delays in obtaining approval or if we fail to obtain approval of our product candidates, the commercial prospects for our product candidates may be harmed and our ability to generate revenues will be materially impaired.</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5" w:right="339" w:bottom="1440" w:gutter="0" w:footer="0" w:header="0"/>
        </w:sectPr>
      </w:pPr>
    </w:p>
    <w:bookmarkStart w:id="36" w:name="page37"/>
    <w:bookmarkEnd w:id="36"/>
    <w:p>
      <w:pPr>
        <w:jc w:val="both"/>
        <w:ind w:right="20"/>
        <w:spacing w:after="0" w:line="272" w:lineRule="auto"/>
        <w:rPr>
          <w:sz w:val="20"/>
          <w:szCs w:val="20"/>
          <w:color w:val="auto"/>
        </w:rPr>
      </w:pPr>
      <w:r>
        <w:rPr>
          <w:rFonts w:ascii="Arial" w:cs="Arial" w:eastAsia="Arial" w:hAnsi="Arial"/>
          <w:sz w:val="18"/>
          <w:szCs w:val="18"/>
          <w:b w:val="1"/>
          <w:bCs w:val="1"/>
          <w:i w:val="1"/>
          <w:iCs w:val="1"/>
          <w:color w:val="auto"/>
        </w:rPr>
        <w:t>We have initiated but not yet completed a pivotal clinical trial nor have we commercialized any pharmaceutical products, which may make it difficult to evaluate our future prospects.</w:t>
      </w:r>
    </w:p>
    <w:p>
      <w:pPr>
        <w:spacing w:after="0" w:line="1" w:lineRule="exact"/>
        <w:rPr>
          <w:sz w:val="20"/>
          <w:szCs w:val="20"/>
          <w:color w:val="auto"/>
        </w:rPr>
      </w:pPr>
    </w:p>
    <w:p>
      <w:pPr>
        <w:jc w:val="both"/>
        <w:ind w:firstLine="509"/>
        <w:spacing w:after="0" w:line="236" w:lineRule="auto"/>
        <w:rPr>
          <w:sz w:val="20"/>
          <w:szCs w:val="20"/>
          <w:color w:val="auto"/>
        </w:rPr>
      </w:pPr>
      <w:r>
        <w:rPr>
          <w:rFonts w:ascii="Arial" w:cs="Arial" w:eastAsia="Arial" w:hAnsi="Arial"/>
          <w:sz w:val="18"/>
          <w:szCs w:val="18"/>
          <w:color w:val="auto"/>
        </w:rPr>
        <w:t>We will need to successfully complete pivotal clinical trials in order to obtain the approval of the FDA, the EMA, or other regulatory agencies to market bel-sar or any future product candidate. Carrying out later-stage clinical trials is a complicated process. Our operations to date have been limited to financing and staffing our company, developing our technology and conducting preclinical research and Phase 1 and Phase 2 clinical trials for our product candidates, primarily related to our bel-sar program in small choroidal melanoma and indeterminate lesions. We have not yet demonstrated an ability to successfully complete pivotal clinical trials, though we have an ongoing global Phase 3 trial in small choroidal melanomas and indeterminate lesions, obtain marketing approvals, manufacture a commercial-scale product or arrange for a third party to do so on our behalf, or conduct sales and marketing activities necessary for successful product commercialization. In order to complete later stage or pivotal trials, we are expanding our clinical operations, CMC and regulatory capabilities, and we may be unable to recruit and train qualified personnel or sign a contract with a global clinical research organization to conduct the trials on our behalf. Consequently, we may be unable to successfully and efficiently design, execute and complete necessary clinical trials in a way that leads to approval of bel-sar or future product candidates. We may require more time to enroll patients and incur greater costs than our competitors and may not succeed in obtaining global regulatory approvals of product candidates that we develop. Furthermore, we may conduct a pivotal trial based on an adaptive design, which could increase the time spent on or costs associated with this trial. We have transferred our manufacturing process to our intended external CDMO commercial manufacturer, but transfers to additional CDMOs may occur in the future. Further, some modifications to our manufacturing process may be needed to ensure manufacturability and ability to scale-up the process to commercial batch sizes and to meet worldwide regulatory standards for commercial manufacture. We intend to perform an analytical comparability assessment between the current clinical process and the intended commercial process, however, if this analytical process comparability assessment is unsuccessful, clinical comparability or other studies may be required, which may result in delayed regulatory approval. We do not anticipate a change in formulation. However, failure to commence or complete, or delays in, our planned clinical trials, could prevent us from or delay us in commercializing our product candidates. Accordingly, you should consider our prospects in light of the costs, uncertainties, delays and difficulties frequently encountered by clinical-stage biopharmaceutical companies such as ours. Any predictions made about our future success or viability may not be as accurate as they could be if we had a longer operating history or a history of successfully developing and commercializing pharmaceutical products.</w:t>
      </w:r>
    </w:p>
    <w:p>
      <w:pPr>
        <w:spacing w:after="0" w:line="194"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If we fail to develop additional product candidates, or obtain additional indications of our first product candidate, our commercial opportunity could be limited.</w:t>
      </w:r>
    </w:p>
    <w:p>
      <w:pPr>
        <w:spacing w:after="0" w:line="4"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We expect to focus our resources on the development of bel-sar in the near term. Developing, obtaining marketing approval for, and commercializing any future product candidates will require substantial additional funding and will be subject to the risks of failure inherent in drug product development. We cannot assure you that we will be able to successfully advance any future product candidates through the development process.</w:t>
      </w:r>
    </w:p>
    <w:p>
      <w:pPr>
        <w:spacing w:after="0" w:line="160"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Even if we obtain approval from the FDA or comparable foreign regulatory authorities to market any future product candidates for any indication, we cannot assure you that any such product candidates will be successfully commercialized, widely accepted in the marketplace, or more effective than other commercially available alternatives. If we are unable to successfully develop and commercialize additional product candidates, our commercial opportunity may be limited and our business, financial condition, results of operations, stock price and prospects may be materially harmed.</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3"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i w:val="1"/>
          <w:iCs w:val="1"/>
          <w:color w:val="auto"/>
        </w:rPr>
        <w:t>Bel-sar is a biologic that requires the use of multiple medical devices, which may result in additional regulatory risks.</w:t>
      </w:r>
    </w:p>
    <w:p>
      <w:pPr>
        <w:spacing w:after="0" w:line="61"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Bel-sar is a novel biologic for which the intended use in ocular oncology requires delivery to the suprachoroidal space, or SCS, and activation by a laser. For ocular oncology indications, we use Clearside Biomedical Inc.’s SCS Microinjector®, or the SCS Microinjector, to deliver bel-sar into the SCS. In the United States, we plan to submit a single BLA for the review and approval of this combination of bel-sar with the SCS Microinjector and the laser(s) in our initial target indication of small choroidal melanoma and indeterminate lesions, but subsequent indications and delivery systems may require different or additional applications for marketing authorization. The SCS Microinjector was approved by FDA in October 2021 as a constituent of the drug/device combination product XIPERE® (triamcinolone acetonide injectable suspension). There may be additional regulatory risks for biologic-device combination products. We may experience delays in obtaining regulatory approval of bel-sar given the increased complexity of the review process when approval of the product and a medical device is sought under a single BLA. In the United States, each component of a combination product is subject to the requirements established by the FDA for that type of component, whether a drug, biologic or device. Devices are subject to the FDA design control device requirements which comprise among other things, design verification, design validation, and testing to assess performance, cleaning, and robustness. In the European Union, or EU, medical devices must be authorized under the EU’s Medical Devices Regulation, which requires compliance with the general safety and performance requirements set forth in such legislation. Delays in or failure of the studies conducted by us, or failure of our company, our collaborators, if any, or our third-party providers or suppliers to maintain compliance with regulatory requirements could result in increased development costs, delays in or failure to obtain regulatory approval, and associated delays in bel-sar reaching the market.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methods of product candidate manufacturing or formulation may result in additional costs or delay.</w:t>
      </w:r>
    </w:p>
    <w:p>
      <w:pPr>
        <w:spacing w:after="0" w:line="75"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As product candidates proceed through preclinical studies to late-stage clinical trials towards potential approval and commercialization, it is common that various aspects of the development program, such as manufacturing methods and formulation, may be altered along the way in an effort to optimize processes and results. Such changes to a product candidate carry the risk that they will not achieve the intended objectives of optimizing the performance of the candidate. Any such changes could cause our product candidates to perform differently and affect the results of planned clinical trials or other future clinical trials conducted with the materials manufactured using altered processes. Such changes may also require additional testing, FDA notification or the FDA approval. This could delay or prevent completion of clinical trials, require conducting bridging clinical trials or the repetition of one or more clinical trials, increase clinical trial costs, delay or prevent approval of our product candidates and jeopardize our ability to commence sales and generate revenue.</w:t>
      </w:r>
    </w:p>
    <w:p>
      <w:pPr>
        <w:spacing w:after="0" w:line="182"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If we experience delays or difficulties in the enrollment of patients in clinical trials, our receipt of necessary regulatory approvals could be delayed or prevented.</w:t>
      </w:r>
    </w:p>
    <w:p>
      <w:pPr>
        <w:spacing w:after="0" w:line="1" w:lineRule="exact"/>
        <w:rPr>
          <w:sz w:val="20"/>
          <w:szCs w:val="20"/>
          <w:color w:val="auto"/>
        </w:rPr>
      </w:pPr>
    </w:p>
    <w:p>
      <w:pPr>
        <w:jc w:val="both"/>
        <w:ind w:right="20" w:firstLine="509"/>
        <w:spacing w:after="0" w:line="253" w:lineRule="auto"/>
        <w:rPr>
          <w:sz w:val="20"/>
          <w:szCs w:val="20"/>
          <w:color w:val="auto"/>
        </w:rPr>
      </w:pPr>
      <w:r>
        <w:rPr>
          <w:rFonts w:ascii="Arial" w:cs="Arial" w:eastAsia="Arial" w:hAnsi="Arial"/>
          <w:sz w:val="18"/>
          <w:szCs w:val="18"/>
          <w:color w:val="auto"/>
        </w:rPr>
        <w:t>We may not be able to initiate or continue clinical trials for our product candidates if we are unable to locate and enroll a sufficient number of eligible patients to participate in these trials as required by the FDA or comparable foreign regulatory authorities, or as needed to provide appropriate statistical power for a given trial.</w:t>
      </w:r>
    </w:p>
    <w:p>
      <w:pPr>
        <w:spacing w:after="0" w:line="169"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In addition, our competitors may in the future commence clinical trials for product candidates that treat the same indications as our product candidates, and patients who would otherwise be eligible for our clinical trials may choose instead to enroll in clinical trials of our competitors. Additionally, the process of finding patients may prove costly. We also may not be able to identify, recruit or enroll a sufficient number of patients to complete our clinical studies because of the perceived risks and benefits of the product candidates under study, the availability and efficacy of competing therapies and clinical trials, the proximity and availability of clinical trial sites for prospective patients, and the patient referral practices of physicians. If patients are unwilling to participate in our studies for any reason, the timeline for recruiting patients, conducting studies and obtaining regulatory approval of potential products may be delayed. Our lead indication of early-stage choroidal melanoma is a rare disease and as such clinical trial recruitment estimates may be inaccurate and such recruitment may take longer than expected.</w:t>
      </w:r>
    </w:p>
    <w:p>
      <w:pPr>
        <w:spacing w:after="0" w:line="18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Patient enrollment may be affected by other factors, including:</w:t>
      </w:r>
    </w:p>
    <w:p>
      <w:pPr>
        <w:spacing w:after="0" w:line="36" w:lineRule="exact"/>
        <w:rPr>
          <w:sz w:val="20"/>
          <w:szCs w:val="20"/>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the severity of the disease under investigation;</w:t>
      </w:r>
    </w:p>
    <w:p>
      <w:pPr>
        <w:spacing w:after="0" w:line="35" w:lineRule="exact"/>
        <w:rPr>
          <w:rFonts w:ascii="Times New Roman" w:cs="Times New Roman" w:eastAsia="Times New Roman" w:hAnsi="Times New Roman"/>
          <w:sz w:val="18"/>
          <w:szCs w:val="18"/>
          <w:color w:val="auto"/>
        </w:rPr>
      </w:pPr>
    </w:p>
    <w:p>
      <w:pPr>
        <w:ind w:left="1020" w:right="20" w:hanging="503"/>
        <w:spacing w:after="0" w:line="257" w:lineRule="auto"/>
        <w:tabs>
          <w:tab w:leader="none" w:pos="102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clinicians’ and patients’ awareness of, and perceptions as to the potential advantages and risks of bel-sar in relation to other available therapies, including any new drugs that may be approved for the indications we are investigating;</w:t>
      </w:r>
    </w:p>
    <w:p>
      <w:pPr>
        <w:spacing w:after="0" w:line="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the efforts to obtain and maintain patient consents and facilitate timely enrollment in clinical trials;</w:t>
      </w:r>
    </w:p>
    <w:p>
      <w:pPr>
        <w:spacing w:after="0" w:line="4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the ability to monitor patients adequately during and after treatment;</w:t>
      </w:r>
    </w:p>
    <w:p>
      <w:pPr>
        <w:spacing w:after="0" w:line="3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the risk that patients enrolled in clinical trials will drop out of the clinical trials before clinical trial completion;</w:t>
      </w:r>
    </w:p>
    <w:p>
      <w:pPr>
        <w:spacing w:after="0" w:line="4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Arial" w:cs="Arial" w:eastAsia="Arial" w:hAnsi="Arial"/>
          <w:sz w:val="18"/>
          <w:szCs w:val="18"/>
          <w:color w:val="auto"/>
        </w:rPr>
        <w:t>competing studies or trials with similar eligibility criteria;</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3" w:right="339" w:bottom="1440" w:gutter="0" w:footer="0" w:header="0"/>
        </w:sectPr>
      </w:pPr>
    </w:p>
    <w:bookmarkStart w:id="38" w:name="page39"/>
    <w:bookmarkEnd w:id="38"/>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the ability to recruit clinical trial investigators with the appropriate competencies and experience;</w:t>
      </w:r>
    </w:p>
    <w:p>
      <w:pPr>
        <w:spacing w:after="0" w:line="3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reporting of the preliminary results of any of our clinical trials; and</w:t>
      </w:r>
    </w:p>
    <w:p>
      <w:pPr>
        <w:spacing w:after="0" w:line="4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Arial" w:cs="Arial" w:eastAsia="Arial" w:hAnsi="Arial"/>
          <w:sz w:val="18"/>
          <w:szCs w:val="18"/>
          <w:color w:val="auto"/>
        </w:rPr>
        <w:t>factors we may not be able to control that may limit patients, principal investigators or staff or clinical site availability.</w:t>
      </w:r>
    </w:p>
    <w:p>
      <w:pPr>
        <w:spacing w:after="0" w:line="226"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b w:val="1"/>
          <w:bCs w:val="1"/>
          <w:i w:val="1"/>
          <w:iCs w:val="1"/>
          <w:color w:val="auto"/>
        </w:rPr>
        <w:t>We are conducting a clinical trial outside the United States, and we may in the future conduct additional clinical trials for current or future product candidates outside the United States, and the FDA and comparable foreign regulatory authorities may not accept data from such trials.</w:t>
      </w:r>
    </w:p>
    <w:p>
      <w:pPr>
        <w:spacing w:after="0" w:line="11"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We are currently conducting a Phase 3 clinical trial and have, or anticipate to have, sites in the United States as well as in some or all of the following countries, among others: Ireland, the UK, Canada, Australia, Austria, Italy, Greece, South Korea, Israel, Germany, France, Spain, Denmark, Sweden, Belgium, and the Czech Republic. We also may in the future choose to conduct one or more additional clinical trials outside the United States, including in Europe. The acceptance of data from clinical trials conducted outside the United States or another jurisdiction by the FDA or comparable foreign regulatory authority may be subject to certain conditions or may not be accepted at all. In cases where data from foreign clinical trials are intended to serve as the sole basis for marketing approval in the United States, the FDA will generally not approve the application on the basis of foreign data alone unless (i) the data are applicable to the U.S. population and the U.S. medical practice; (ii) the trials were performed by clinical investigators of recognized competence and pursuant to Good Clinical Practices, or GCP, regulations; and (iii) the data may be considered valid without the need for an on-site inspection by the FDA, or if the FDA considers such inspection to be necessary, the FDA is able to validate the data through an on-site inspection or other appropriate means. In addition, even where the foreign study data are not intended to serve as the sole basis for approval, the FDA will not accept the data as support for an application for marketing approval unless the study is well-designed and well-conducted in accordance with GCP and the FDA is able to validate the data from the study through an onsite inspection if deemed necessary. Many foreign regulatory authorities have similar approval requirements. In addition, such foreign trials would be subject to the applicable local laws of the foreign jurisdictions where the trials are conducted. There can be no assurance that the FDA or any comparable foreign regulatory authority will accept data from trials conducted outside of the United States or the applicable jurisdiction. If the FDA or any comparable foreign regulatory authority does not accept such data, it would result in the need for additional trials, which could be costly and time-consuming, and which may result in current or future product candidates that we may develop not receiving approval for commercialization in the applicable jurisdiction.</w:t>
      </w:r>
    </w:p>
    <w:p>
      <w:pPr>
        <w:spacing w:after="0" w:line="184"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Even if we receive marketing approval for our current or future product candidates in the United States, we may never receive regulatory approval to market our current or future product candidates outside of the United States.</w:t>
      </w:r>
    </w:p>
    <w:p>
      <w:pPr>
        <w:spacing w:after="0" w:line="4"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We plan to seek regulatory approval of our current or future product candidates outside of the United States. Obtaining and maintaining regulatory approval of our product candidates in one jurisdiction does not guarantee that we will be able to obtain or maintain regulatory approval in any other jurisdiction.</w:t>
      </w:r>
    </w:p>
    <w:p>
      <w:pPr>
        <w:spacing w:after="0" w:line="169"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For example, even if the FDA grants marketing approval of a product candidate, we may not obtain approvals in other jurisdictions, and comparable regulatory authorities in foreign jurisdictions must also approve the manufacturing, marketing and promotion and reimbursement of the product candidate in those countries. However, a failure or delay in obtaining marketing approval in one jurisdiction may have a negative effect on the regulatory approval process in others. Approval procedures vary among countries and can involve additional product candidate testing and administrative review periods different from those in the United States. The time required to obtain approvals in other countries might differ substantially from that required to obtain the FDA approval. The marketing approval processes in other countries generally implicate all of the risks detailed above regarding the FDA approval in the United States as well as other risks. In particular, in many countries outside of the United States, products must receive pricing and reimbursement approval before the product can be commercialized. Obtaining this approval can result in substantial delays in bringing products to market in such countries.</w:t>
      </w:r>
    </w:p>
    <w:p>
      <w:pPr>
        <w:spacing w:after="0" w:line="183"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Obtaining foreign regulatory approvals and establishing and maintaining compliance with foreign regulatory requirements could result in significant delays, difficulties and costs for us and could delay or prevent the introduction of our products in certain countries. If we or any future collaborator fail to comply with regulatory requirements in international markets or fail to receive applicable marketing approvals, it would reduce the size of our potential market, which could have a material adverse impact on our business, results of operations and prospects.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5"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i w:val="1"/>
          <w:iCs w:val="1"/>
          <w:color w:val="auto"/>
        </w:rPr>
        <w:t>The results of preclinical studies and early clinical trials may not be predictive of future results.</w:t>
      </w:r>
    </w:p>
    <w:p>
      <w:pPr>
        <w:spacing w:after="0" w:line="61"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The outcome of preclinical testing and early clinical trials may not be predictive of the success of later clinical trials. Bel-sar and any other product candidates we may develop may fail to show the desired safety and efficacy in clinical development despite positive results in preclinical studies or having successfully advanced through initial clinical trials. For example, bel-sar may not be effective at slowing or arresting tumor growth or may not preserve visual acuity in later stage trials. Even if bel-sar successfully slows or completely arrests tumor growth, this may not result in a reduction in the risk of metastasis. Additionally, any positive results generated in our ongoing clinical trials and preclinical studies would not ensure that we will achieve similar results in larger, pivotal clinical trials or in clinical trials of bel-sar in broader patient populations. Many companies in the pharmaceutical and biotechnology industries have suffered significant setbacks in late-stage clinical trials even after achieving promising results in preclinical testing and earlier-stage clinical trials, and we cannot be certain that we will not face similar setbacks.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products. Furthermore, the failure of any product candidate to demonstrate safety and efficacy in any clinical trial could negatively impact the perception of that product candidate in other indications or patient populations or any other product candidates then under development and/or cause the FDA or other regulatory authorities to require additional testing before approving such product candidate or any other product candidates.</w:t>
      </w:r>
    </w:p>
    <w:p>
      <w:pPr>
        <w:spacing w:after="0" w:line="19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24"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From time to time, we may publicly disclose preliminary, interim or top-line data from our clinical trials. These interim updates are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top-line results that we report may differ from future results of the same studies,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 In addition, we may report interim analyses of only certain endpoints rather than all endpoints. Interim data from clinical trials that we may complete are subject to the risk that one or more of the clinical outcomes may materially change as patient enrollment continues and more patient data become available. Adverse differences between interim data and final data could materially affect our business, financial condition, results of operations and growth prospects.</w:t>
      </w:r>
    </w:p>
    <w:p>
      <w:pPr>
        <w:spacing w:after="0" w:line="186"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and our company in general. Further, additional disclosure of interim data by us or by our potential competitors in the future could result in volatility in the price of our common stock. In addition, the information we choose to publicly disclose regarding a particular study or clinical trial is typically selected from a more extensive amount of available information. You or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product candidate or our business. If the preliminary or top-line data that we report differ from late, final or actual results, or if others, including regulatory authorities, disagree with the conclusions reached, our ability to obtain approval for, and commercialize our product candidates may be harmed, which could materially affect our business, financial condition, results of operations and growth prospects.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3" w:right="339" w:bottom="1440" w:gutter="0" w:footer="0" w:header="0"/>
        </w:sectPr>
      </w:pPr>
    </w:p>
    <w:bookmarkStart w:id="40" w:name="page41"/>
    <w:bookmarkEnd w:id="40"/>
    <w:p>
      <w:pPr>
        <w:jc w:val="both"/>
        <w:ind w:firstLine="509"/>
        <w:spacing w:after="0" w:line="239" w:lineRule="auto"/>
        <w:rPr>
          <w:sz w:val="20"/>
          <w:szCs w:val="20"/>
          <w:color w:val="auto"/>
        </w:rPr>
      </w:pPr>
      <w:r>
        <w:rPr>
          <w:rFonts w:ascii="Arial" w:cs="Arial" w:eastAsia="Arial" w:hAnsi="Arial"/>
          <w:sz w:val="18"/>
          <w:szCs w:val="18"/>
          <w:color w:val="auto"/>
        </w:rPr>
        <w:t>Additionally, we may continue to utilize “open-label” trial designs or open-label extensions to our clinical trials in the future. An “open-label” clinical trial is one where both the patient and investigator know whether the patient is receiving the investigational product candidate or either an existing approved drug or placebo. Most typically, open-label clinical trials test only the investigational product candidate and sometimes may do so at different dose levels. Open-label clinical trials are subject to various limitations that may exaggerate any therapeutic effect as patients in open-label clinical trials are aware when they are receiving treatment. Open-label clinical trials may be subject to a “patient bias” where patients perceive their symptoms to have improved merely due to their awareness of receiving an experimental treatment. In addition, open-label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 The results from an open-label trial or extension may not be predictive of future clinical trial results with bel-sar or any future product candidates when studied in a controlled environment with a placebo or active control.</w:t>
      </w:r>
    </w:p>
    <w:p>
      <w:pPr>
        <w:spacing w:after="0" w:line="182" w:lineRule="exact"/>
        <w:rPr>
          <w:sz w:val="20"/>
          <w:szCs w:val="20"/>
          <w:color w:val="auto"/>
        </w:rPr>
      </w:pPr>
    </w:p>
    <w:p>
      <w:pPr>
        <w:jc w:val="both"/>
        <w:spacing w:after="0" w:line="249" w:lineRule="auto"/>
        <w:rPr>
          <w:sz w:val="20"/>
          <w:szCs w:val="20"/>
          <w:color w:val="auto"/>
        </w:rPr>
      </w:pPr>
      <w:r>
        <w:rPr>
          <w:rFonts w:ascii="Arial" w:cs="Arial" w:eastAsia="Arial" w:hAnsi="Arial"/>
          <w:sz w:val="18"/>
          <w:szCs w:val="18"/>
          <w:b w:val="1"/>
          <w:bCs w:val="1"/>
          <w:i w:val="1"/>
          <w:iCs w:val="1"/>
          <w:color w:val="auto"/>
        </w:rPr>
        <w:t>Bel-sar or any future product candidates may cause or reveal significant adverse events, toxicities or other undesirable side effects which may delay or prevent marketing approval. In addition, if we obtain approval for any of our product candidates, significant adverse events, toxicities or other undesirable side effects may be identified during post-marketing surveillance, which could result in regulatory action or negatively affect our ability to market the product.</w:t>
      </w:r>
    </w:p>
    <w:p>
      <w:pPr>
        <w:spacing w:after="0" w:line="17"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Adverse events or other undesirable side effects caused by or associated with treatment by bel-sar or our future product candidates could cause us or regulatory authorities to interrupt, delay or halt clinical trials and could result in a more restrictive label or the delay or denial of regulatory approval by the FDA, the EMA or other comparable foreign regulatory authorities. Although bel-sar has been evaluated in clinical trials, unexpected side effects may still arise in our ongoing or any future clinical trials. These side effects have included pigmentary changes around the tumor margin and vision loss.</w:t>
      </w:r>
    </w:p>
    <w:p>
      <w:pPr>
        <w:spacing w:after="0" w:line="176"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During the conduct of clinical trials, patients report changes in their health, including illnesses, injuries, and discomforts, to their study doctor. Often, it is not possible to determine whether or not the product candidate being studied caused these conditions. It is possible that as we test our product candidates in larger, longer and more extensive clinical trials, or as use of these product candidates becomes more widespread if they receive regulatory approval, illnesses, injuries, discomforts and other adverse events that were not observed in earlier trials, as well as conditions that did not occur or went undetected in previous trials, will be reported by patients. Many times, side effects are only detectable after investigational products are tested in large-scale, pivotal clinical trials or, in some cases, after they are made available to patients on a commercial scale after approval.</w:t>
      </w:r>
    </w:p>
    <w:p>
      <w:pPr>
        <w:spacing w:after="0" w:line="185" w:lineRule="exact"/>
        <w:rPr>
          <w:sz w:val="20"/>
          <w:szCs w:val="20"/>
          <w:color w:val="auto"/>
        </w:rPr>
      </w:pPr>
    </w:p>
    <w:p>
      <w:pPr>
        <w:jc w:val="both"/>
        <w:ind w:right="20" w:firstLine="509"/>
        <w:spacing w:after="0" w:line="250" w:lineRule="auto"/>
        <w:rPr>
          <w:sz w:val="20"/>
          <w:szCs w:val="20"/>
          <w:color w:val="auto"/>
        </w:rPr>
      </w:pPr>
      <w:r>
        <w:rPr>
          <w:rFonts w:ascii="Arial" w:cs="Arial" w:eastAsia="Arial" w:hAnsi="Arial"/>
          <w:sz w:val="18"/>
          <w:szCs w:val="18"/>
          <w:color w:val="auto"/>
        </w:rPr>
        <w:t>Additionally, if one or more of our product candidates receives marketing approval, and we or others later identify undesirable side effects or adverse events caused by such products, a number of potentially significant negative consequences could result, including but not limited to:</w:t>
      </w:r>
    </w:p>
    <w:p>
      <w:pPr>
        <w:spacing w:after="0" w:line="1" w:lineRule="exact"/>
        <w:rPr>
          <w:sz w:val="20"/>
          <w:szCs w:val="20"/>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regulatory authorities may withdraw approvals of such product or require additional warnings on the label;</w:t>
      </w:r>
    </w:p>
    <w:p>
      <w:pPr>
        <w:spacing w:after="0" w:line="4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additional clinical trials or post-approval studies;</w:t>
      </w:r>
    </w:p>
    <w:p>
      <w:pPr>
        <w:spacing w:after="0" w:line="35" w:lineRule="exact"/>
        <w:rPr>
          <w:rFonts w:ascii="Times New Roman" w:cs="Times New Roman" w:eastAsia="Times New Roman" w:hAnsi="Times New Roman"/>
          <w:sz w:val="18"/>
          <w:szCs w:val="18"/>
          <w:color w:val="auto"/>
        </w:rPr>
      </w:pPr>
    </w:p>
    <w:p>
      <w:pPr>
        <w:ind w:left="1020" w:hanging="503"/>
        <w:spacing w:after="0" w:line="257" w:lineRule="auto"/>
        <w:tabs>
          <w:tab w:leader="none" w:pos="102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we may be required to create a REMS plan, which could include a medication guide outlining the risks of such side effects for distribution to patients, a communication plan for healthcare providers, and/or other elements to assure safe use;</w:t>
      </w:r>
    </w:p>
    <w:p>
      <w:pPr>
        <w:spacing w:after="0" w:line="1" w:lineRule="exact"/>
        <w:rPr>
          <w:rFonts w:ascii="Times New Roman" w:cs="Times New Roman" w:eastAsia="Times New Roman" w:hAnsi="Times New Roman"/>
          <w:sz w:val="18"/>
          <w:szCs w:val="18"/>
          <w:color w:val="auto"/>
        </w:rPr>
      </w:pPr>
    </w:p>
    <w:p>
      <w:pPr>
        <w:jc w:val="both"/>
        <w:ind w:left="1020" w:hanging="503"/>
        <w:spacing w:after="0" w:line="250" w:lineRule="auto"/>
        <w:tabs>
          <w:tab w:leader="none" w:pos="102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regulatory authorities may require additional warnings or limitations in the labeling, such as a contraindication, limitation of use, or a boxed warning, or issue safety alerts, Dear Healthcare Provider letters, press releases or other communications containing warnings or other safety information about the product;</w:t>
      </w: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we may be subject to regulatory investigations and government enforcement actions; and</w:t>
      </w:r>
    </w:p>
    <w:p>
      <w:pPr>
        <w:spacing w:after="0" w:line="3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Arial" w:cs="Arial" w:eastAsia="Arial" w:hAnsi="Arial"/>
          <w:sz w:val="18"/>
          <w:szCs w:val="18"/>
          <w:color w:val="auto"/>
        </w:rPr>
        <w:t>our reputation may suffer.</w:t>
      </w:r>
    </w:p>
    <w:p>
      <w:pPr>
        <w:spacing w:after="0" w:line="224"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Moreover, if bel-sar or any of our future product candidates is associated with undesirable or unexpected side effects in clinical trials, we may elect to abandon or limit their development to more narrow uses or subpopulations in which the undesirable side effects or other characteristics are less prevalent, less severe or more acceptable from a risk-benefit perspective, which may limit the commercial expectations for the product candidate, even if it is approved.</w:t>
      </w:r>
    </w:p>
    <w:p>
      <w:pPr>
        <w:spacing w:after="0" w:line="174"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Any of these events could prevent us from achieving or maintaining market acceptance of the particular product candidate, if approved, and could materially affect our business, financial condition, results of operations, and growth prospects.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1" w:name="page42"/>
    <w:bookmarkEnd w:id="41"/>
    <w:p>
      <w:pPr>
        <w:jc w:val="both"/>
        <w:ind w:right="20"/>
        <w:spacing w:after="0" w:line="272" w:lineRule="auto"/>
        <w:rPr>
          <w:sz w:val="20"/>
          <w:szCs w:val="20"/>
          <w:color w:val="auto"/>
        </w:rPr>
      </w:pPr>
      <w:r>
        <w:rPr>
          <w:rFonts w:ascii="Arial" w:cs="Arial" w:eastAsia="Arial" w:hAnsi="Arial"/>
          <w:sz w:val="18"/>
          <w:szCs w:val="18"/>
          <w:b w:val="1"/>
          <w:bCs w:val="1"/>
          <w:i w:val="1"/>
          <w:iCs w:val="1"/>
          <w:color w:val="auto"/>
        </w:rPr>
        <w:t>We may incur additional costs or experience delays in initiating or completing, or ultimately be unable to complete, the development and commercialization of our product candidates.</w:t>
      </w:r>
    </w:p>
    <w:p>
      <w:pPr>
        <w:spacing w:after="0" w:line="1"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We may experience delays in initiating or completing our preclinical studies or clinical trials, including as a result of delays in obtaining, or failure to obtain, the FDA’s clearance to initiate clinical trials under future INDs. Additionally, we cannot be certain that preclinical studies or clinical trials for our product candidates will not require redesign, will enroll an adequate number of patients on time, or will be completed on schedule, if at all. We may experience numerous unforeseen events during, or as a result of, preclinical studies and clinical trials that could delay or prevent our ability to receive regulatory approval or commercialize our product candidates, including:</w:t>
      </w:r>
    </w:p>
    <w:p>
      <w:pPr>
        <w:spacing w:after="0" w:line="1" w:lineRule="exact"/>
        <w:rPr>
          <w:sz w:val="20"/>
          <w:szCs w:val="20"/>
          <w:color w:val="auto"/>
        </w:rPr>
      </w:pPr>
    </w:p>
    <w:p>
      <w:pPr>
        <w:ind w:left="1020" w:hanging="503"/>
        <w:spacing w:after="0" w:line="257" w:lineRule="auto"/>
        <w:tabs>
          <w:tab w:leader="none" w:pos="10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we may receive feedback from regulatory authorities that require us to modify the design or implementation of our preclinical studies or clinical trials or to delay or terminate a clinical trial;</w:t>
      </w:r>
    </w:p>
    <w:p>
      <w:pPr>
        <w:spacing w:after="0" w:line="1" w:lineRule="exact"/>
        <w:rPr>
          <w:rFonts w:ascii="Times New Roman" w:cs="Times New Roman" w:eastAsia="Times New Roman" w:hAnsi="Times New Roman"/>
          <w:sz w:val="18"/>
          <w:szCs w:val="18"/>
          <w:color w:val="auto"/>
        </w:rPr>
      </w:pPr>
    </w:p>
    <w:p>
      <w:pPr>
        <w:ind w:left="1020" w:hanging="503"/>
        <w:spacing w:after="0" w:line="255" w:lineRule="auto"/>
        <w:tabs>
          <w:tab w:leader="none" w:pos="10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regulators or institutional review board, or IRBs, or ethics committees may delay or may not authorize us or our investigators to commence a clinical trial or conduct a clinical trial at a prospective trial site;</w:t>
      </w:r>
    </w:p>
    <w:p>
      <w:pPr>
        <w:jc w:val="both"/>
        <w:ind w:left="1020" w:hanging="503"/>
        <w:spacing w:after="0" w:line="246" w:lineRule="auto"/>
        <w:tabs>
          <w:tab w:leader="none" w:pos="10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we may experience delays in reaching, or fail to reach, agreement on acceptable terms with prospective trial sites and prospective CROs, the terms of which can be subject to extensive negotiation and may vary significantly among different CROs and trial sites;</w:t>
      </w:r>
    </w:p>
    <w:p>
      <w:pPr>
        <w:spacing w:after="0" w:line="1" w:lineRule="exact"/>
        <w:rPr>
          <w:rFonts w:ascii="Times New Roman" w:cs="Times New Roman" w:eastAsia="Times New Roman" w:hAnsi="Times New Roman"/>
          <w:sz w:val="18"/>
          <w:szCs w:val="18"/>
          <w:color w:val="auto"/>
        </w:rPr>
      </w:pPr>
    </w:p>
    <w:p>
      <w:pPr>
        <w:jc w:val="both"/>
        <w:ind w:left="1020" w:hanging="503"/>
        <w:spacing w:after="0" w:line="250" w:lineRule="auto"/>
        <w:tabs>
          <w:tab w:leader="none" w:pos="10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preclinical studies or clinical trials of our product candidates may fail to show safety or efficacy or otherwise produce negative or inconclusive results, and we may decide, or regulators may require us, to conduct additional preclinical studies or clinical trials, or we may decide to abandon product research or development programs;</w:t>
      </w:r>
    </w:p>
    <w:p>
      <w:pPr>
        <w:ind w:left="1020" w:right="20" w:hanging="503"/>
        <w:spacing w:after="0" w:line="255" w:lineRule="auto"/>
        <w:tabs>
          <w:tab w:leader="none" w:pos="10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preclinical studies or clinical trials of our product candidates may not produce differentiated or clinically significant results across tumor types or indications;</w:t>
      </w:r>
    </w:p>
    <w:p>
      <w:pPr>
        <w:jc w:val="both"/>
        <w:ind w:left="1020" w:hanging="503"/>
        <w:spacing w:after="0" w:line="246" w:lineRule="auto"/>
        <w:tabs>
          <w:tab w:leader="none" w:pos="10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the number of patients required for clinical trials of our product candidates may be larger than we anticipate, enrollment in these clinical trials may be slower than we anticipate or participants may drop out of these clinical trials or fail to return for post-treatment follow-up at a higher rate than we anticipate;</w:t>
      </w:r>
    </w:p>
    <w:p>
      <w:pPr>
        <w:spacing w:after="0" w:line="1" w:lineRule="exact"/>
        <w:rPr>
          <w:rFonts w:ascii="Times New Roman" w:cs="Times New Roman" w:eastAsia="Times New Roman" w:hAnsi="Times New Roman"/>
          <w:sz w:val="18"/>
          <w:szCs w:val="18"/>
          <w:color w:val="auto"/>
        </w:rPr>
      </w:pPr>
    </w:p>
    <w:p>
      <w:pPr>
        <w:jc w:val="both"/>
        <w:ind w:left="1020" w:hanging="503"/>
        <w:spacing w:after="0" w:line="246" w:lineRule="auto"/>
        <w:tabs>
          <w:tab w:leader="none" w:pos="10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our third-party contractors may fail to comply with regulatory requirements, fail to maintain adequate quality controls, be unable to provide us with sufficient product supply to conduct or complete preclinical studies or clinical trials, fail to meet their contractual obligations to us in a timely manner, or at all, or may deviate from the clinical trial protocol or drop out of the trial, which may require that we add new clinical trial sites or investigators;</w:t>
      </w:r>
    </w:p>
    <w:p>
      <w:pPr>
        <w:spacing w:after="0" w:line="1" w:lineRule="exact"/>
        <w:rPr>
          <w:rFonts w:ascii="Times New Roman" w:cs="Times New Roman" w:eastAsia="Times New Roman" w:hAnsi="Times New Roman"/>
          <w:sz w:val="18"/>
          <w:szCs w:val="18"/>
          <w:color w:val="auto"/>
        </w:rPr>
      </w:pPr>
    </w:p>
    <w:p>
      <w:pPr>
        <w:jc w:val="both"/>
        <w:ind w:left="1020" w:hanging="503"/>
        <w:spacing w:after="0" w:line="248" w:lineRule="auto"/>
        <w:tabs>
          <w:tab w:leader="none" w:pos="10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we may elect to, or regulators or IRBs or ethics committees may require us or our investigators to, suspend or terminate clinical research for various reasons, including noncompliance with regulatory requirements or a finding that the participants in our clinical trials are being exposed to unacceptable health risks;</w:t>
      </w:r>
    </w:p>
    <w:p>
      <w:pPr>
        <w:spacing w:after="0" w:line="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the cost of clinical trials of our product candidates may be greater than we anticipate;</w:t>
      </w:r>
    </w:p>
    <w:p>
      <w:pPr>
        <w:spacing w:after="0" w:line="39" w:lineRule="exact"/>
        <w:rPr>
          <w:rFonts w:ascii="Times New Roman" w:cs="Times New Roman" w:eastAsia="Times New Roman" w:hAnsi="Times New Roman"/>
          <w:sz w:val="18"/>
          <w:szCs w:val="18"/>
          <w:color w:val="auto"/>
        </w:rPr>
      </w:pPr>
    </w:p>
    <w:p>
      <w:pPr>
        <w:ind w:left="1020" w:hanging="503"/>
        <w:spacing w:after="0" w:line="257" w:lineRule="auto"/>
        <w:tabs>
          <w:tab w:leader="none" w:pos="10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the supply or quality of our product candidates or other materials necessary to conduct clinical trials of our product candidates may be insufficient or inadequate;</w:t>
      </w:r>
    </w:p>
    <w:p>
      <w:pPr>
        <w:spacing w:after="0" w:line="1" w:lineRule="exact"/>
        <w:rPr>
          <w:rFonts w:ascii="Times New Roman" w:cs="Times New Roman" w:eastAsia="Times New Roman" w:hAnsi="Times New Roman"/>
          <w:sz w:val="18"/>
          <w:szCs w:val="18"/>
          <w:color w:val="auto"/>
        </w:rPr>
      </w:pPr>
    </w:p>
    <w:p>
      <w:pPr>
        <w:jc w:val="both"/>
        <w:ind w:left="1020" w:hanging="503"/>
        <w:spacing w:after="0" w:line="248" w:lineRule="auto"/>
        <w:tabs>
          <w:tab w:leader="none" w:pos="10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our product candidates may have undesirable side effects or other unexpected characteristics, causing us or our investigators, regulators or IRBs or ethics committees to suspend or terminate the trials, or reports may arise from preclinical or clinical testing of other cancer therapies that raise safety or efficacy concerns about our product candidates; and</w:t>
      </w:r>
    </w:p>
    <w:p>
      <w:pPr>
        <w:spacing w:after="0" w:line="1" w:lineRule="exact"/>
        <w:rPr>
          <w:rFonts w:ascii="Times New Roman" w:cs="Times New Roman" w:eastAsia="Times New Roman" w:hAnsi="Times New Roman"/>
          <w:sz w:val="18"/>
          <w:szCs w:val="18"/>
          <w:color w:val="auto"/>
        </w:rPr>
      </w:pPr>
    </w:p>
    <w:p>
      <w:pPr>
        <w:ind w:left="1020" w:right="20" w:hanging="503"/>
        <w:spacing w:after="0" w:line="259" w:lineRule="auto"/>
        <w:tabs>
          <w:tab w:leader="none" w:pos="1020" w:val="left"/>
        </w:tabs>
        <w:numPr>
          <w:ilvl w:val="0"/>
          <w:numId w:val="23"/>
        </w:numPr>
        <w:rPr>
          <w:rFonts w:ascii="Times New Roman" w:cs="Times New Roman" w:eastAsia="Times New Roman" w:hAnsi="Times New Roman"/>
          <w:sz w:val="18"/>
          <w:szCs w:val="18"/>
          <w:color w:val="auto"/>
        </w:rPr>
      </w:pPr>
      <w:r>
        <w:rPr>
          <w:rFonts w:ascii="Arial" w:cs="Arial" w:eastAsia="Arial" w:hAnsi="Arial"/>
          <w:sz w:val="18"/>
          <w:szCs w:val="18"/>
          <w:color w:val="auto"/>
        </w:rPr>
        <w:t>regulators may revise the requirements for approving our product candidates, or such requirements may not be as we anticipate.</w:t>
      </w:r>
    </w:p>
    <w:p>
      <w:pPr>
        <w:spacing w:after="0" w:line="164"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We could encounter delays if a clinical trial is suspended or terminated by us, by the IRBs of the institutions at which such trials are being conducted, by the Data Safety Monitoring Board for such trial or by the FDA or other regulatory authorities. Such authorities may impose such a suspension or termination or clinical hold due to a number of factors, including failure to conduct the clinical trial in accordance with regulatory requirements or our clinical protocols, adverse findings upon an inspection of the clinical trial operations or trial site by the FDA or other regulatory authorities, unforeseen safety issues or adverse side effects, failure to demonstrate a benefit from using a product, changes in governmental regulations or administrative actions or lack of adequate funding to continue the clinical trial. Many of the factors that cause, or lead to, a delay in the commencement or completion of clinical trials may also ultimately lead to the denial of regulatory approval of our product candidates. Further, the FDA may disagree with our clinical trial design or our interpretation of data from clinical trials or may change the requirements for approval even after it has reviewed and commented on the design for our clinical trials.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3" w:right="339" w:bottom="1440" w:gutter="0" w:footer="0" w:header="0"/>
        </w:sectPr>
      </w:pPr>
    </w:p>
    <w:bookmarkStart w:id="42" w:name="page43"/>
    <w:bookmarkEnd w:id="42"/>
    <w:p>
      <w:pPr>
        <w:jc w:val="both"/>
        <w:ind w:firstLine="509"/>
        <w:spacing w:after="0"/>
        <w:rPr>
          <w:sz w:val="20"/>
          <w:szCs w:val="20"/>
          <w:color w:val="auto"/>
        </w:rPr>
      </w:pPr>
      <w:r>
        <w:rPr>
          <w:rFonts w:ascii="Arial" w:cs="Arial" w:eastAsia="Arial" w:hAnsi="Arial"/>
          <w:sz w:val="18"/>
          <w:szCs w:val="18"/>
          <w:color w:val="auto"/>
        </w:rPr>
        <w:t>Moreover, principal investigators for our trials involving bel-sar or any future clinical trials may serve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authority may conclude that a financial relationship between us and a principal investigator has created a conflict of interest or otherwise affected the interpretation of the study. The FDA or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authority, as the case may be, and may ultimately lead to the denial of regulatory approval of one or more of our product candidates.</w:t>
      </w:r>
    </w:p>
    <w:p>
      <w:pPr>
        <w:spacing w:after="0" w:line="180"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Our product development costs will also increase if we experience delays in testing or regulatory approvals. We do not know whether any of our future clinical trials will begin as planned, or whether any of our current or future clinical trials will need to be restructured or will be completed on schedule, if at all. Significant preclinical study or clinical trial delays also could shorten any periods during which we may have the exclusive right to commercialize our product candidates or allow our competitors to bring products to market before we do, which would impair our ability to successfully commercialize our product candidates and may significantly harm our business, operating results, financial condition and prospects.</w:t>
      </w:r>
    </w:p>
    <w:p>
      <w:pPr>
        <w:spacing w:after="0" w:line="181" w:lineRule="exact"/>
        <w:rPr>
          <w:sz w:val="20"/>
          <w:szCs w:val="20"/>
          <w:color w:val="auto"/>
        </w:rPr>
      </w:pPr>
    </w:p>
    <w:p>
      <w:pPr>
        <w:jc w:val="both"/>
        <w:spacing w:after="0" w:line="245" w:lineRule="auto"/>
        <w:rPr>
          <w:sz w:val="20"/>
          <w:szCs w:val="20"/>
          <w:color w:val="auto"/>
        </w:rPr>
      </w:pPr>
      <w:r>
        <w:rPr>
          <w:rFonts w:ascii="Arial" w:cs="Arial" w:eastAsia="Arial" w:hAnsi="Arial"/>
          <w:sz w:val="18"/>
          <w:szCs w:val="18"/>
          <w:b w:val="1"/>
          <w:bCs w:val="1"/>
          <w:i w:val="1"/>
          <w:iCs w:val="1"/>
          <w:color w:val="auto"/>
        </w:rPr>
        <w:t>Even if we receive regulatory approval for any of our product candidates, we will be subject to ongoing regulatory obligations and continued regulatory review, which may result in significant additional expenses. Additionally, our product candidates, if approved, could be subject to post-marketing commitments/requirements, marketing and labeling restrictions, and even recall or market withdrawal if unanticipated safety issues are discovered following approval. In addition, we may be subject to penalties or other enforcement action if we fail to comply with regulatory requirements.</w:t>
      </w:r>
    </w:p>
    <w:p>
      <w:pPr>
        <w:spacing w:after="0" w:line="22"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If the FDA or a comparable foreign regulatory authority approves any of our product candidates, the manufacturing processes, labeling, packaging, distribution, import, export, adverse event reporting, storage, advertising, promotion, monitoring, and recordkeeping for the product will be subject to extensive and ongoing regulatory requirements. These requirements include submissions of safety and other post-marketing information and reports, establishment registration and listing, compliance with applicable product tracking and tracing requirements, as well as continued compliance with current Good Manufacturing Practices, or cGMPs, and GCPs for any clinical trials that we conduct post-approval. Additionally, under the Food and Drug Omnibus Reform Act of 2022, or FDORA, sponsors of approved drugs and biologics must provide 6 months’ notice to the FDA of any changes in marketing status, such as the withdrawal of a drug, and failure to do so could result in the FDA placing the product on a list of discontinued products, which would revoke the product’s ability to be marketed. Any regulatory approvals that we receive for our product candidates may also be subject to limitations on the approved indicated uses for which the product may be marketed or to the conditions of approval, or contain requirements for potentially costly post-marketing studies, including Phase 4 clinical trials, and surveillance to monitor the safety and efficacy of the product. The FDA may also require a REMS in order to approve our product candidates, which could entail requirements for a medication guide, physician communication plans or additional elements to ensure safe use, such as restricted distribution methods, patient registries and other risk minimization tools. Later discovery of previously unknown problems with a product, including adverse events of unanticipated severity or frequency, or with our third-party manufacturers or manufacturing processes, or failure to comply with regulatory requirements, may result in, among other things:</w:t>
      </w:r>
    </w:p>
    <w:p>
      <w:pPr>
        <w:spacing w:after="0" w:line="12" w:lineRule="exact"/>
        <w:rPr>
          <w:sz w:val="20"/>
          <w:szCs w:val="20"/>
          <w:color w:val="auto"/>
        </w:rPr>
      </w:pPr>
    </w:p>
    <w:p>
      <w:pPr>
        <w:ind w:left="1020" w:hanging="503"/>
        <w:spacing w:after="0" w:line="257" w:lineRule="auto"/>
        <w:tabs>
          <w:tab w:leader="none" w:pos="102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restrictions on the marketing or manufacturing of the product, withdrawal of the product from the market, or voluntary or mandatory product recalls;</w:t>
      </w:r>
    </w:p>
    <w:p>
      <w:pPr>
        <w:spacing w:after="0" w:line="1" w:lineRule="exact"/>
        <w:rPr>
          <w:rFonts w:ascii="Times New Roman" w:cs="Times New Roman" w:eastAsia="Times New Roman" w:hAnsi="Times New Roman"/>
          <w:sz w:val="18"/>
          <w:szCs w:val="18"/>
          <w:color w:val="auto"/>
        </w:rPr>
      </w:pPr>
    </w:p>
    <w:p>
      <w:pPr>
        <w:ind w:left="1020" w:hanging="503"/>
        <w:spacing w:after="0" w:line="255" w:lineRule="auto"/>
        <w:tabs>
          <w:tab w:leader="none" w:pos="102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manufacturing delays and supply disruptions where regulatory inspections identify observations of noncompliance requiring remediation;</w:t>
      </w:r>
    </w:p>
    <w:p>
      <w:pPr>
        <w:ind w:left="1020" w:hanging="503"/>
        <w:spacing w:after="0" w:line="252" w:lineRule="auto"/>
        <w:tabs>
          <w:tab w:leader="none" w:pos="102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revisions to the labeling, including limitation on approved uses or the addition of additional warnings, contraindications or other safety information, including boxed warnings;</w:t>
      </w: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imposition of a REMS which may include distribution or use restrictions;</w:t>
      </w:r>
    </w:p>
    <w:p>
      <w:pPr>
        <w:spacing w:after="0" w:line="4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requirements to conduct additional post-market clinical trials to assess the safety of the product;</w:t>
      </w:r>
    </w:p>
    <w:p>
      <w:pPr>
        <w:spacing w:after="0" w:line="3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clinical trial holds;</w:t>
      </w:r>
    </w:p>
    <w:p>
      <w:pPr>
        <w:spacing w:after="0" w:line="4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fines, warning letters or other regulatory enforcement action;</w:t>
      </w:r>
    </w:p>
    <w:p>
      <w:pPr>
        <w:spacing w:after="0" w:line="48" w:lineRule="exact"/>
        <w:rPr>
          <w:rFonts w:ascii="Times New Roman" w:cs="Times New Roman" w:eastAsia="Times New Roman" w:hAnsi="Times New Roman"/>
          <w:sz w:val="18"/>
          <w:szCs w:val="18"/>
          <w:color w:val="auto"/>
        </w:rPr>
      </w:pPr>
    </w:p>
    <w:p>
      <w:pPr>
        <w:ind w:left="1020" w:hanging="503"/>
        <w:spacing w:after="0" w:line="255" w:lineRule="auto"/>
        <w:tabs>
          <w:tab w:leader="none" w:pos="102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refusal by the FDA to approve pending applications or supplements to approved applications filed by us or suspension or revocation of approvals;</w:t>
      </w: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product seizure or detention, or refusal to permit the import or export of products; and</w:t>
      </w:r>
    </w:p>
    <w:p>
      <w:pPr>
        <w:spacing w:after="0" w:line="10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Arial" w:cs="Arial" w:eastAsia="Arial" w:hAnsi="Arial"/>
          <w:sz w:val="18"/>
          <w:szCs w:val="18"/>
          <w:color w:val="auto"/>
        </w:rPr>
        <w:t>injunctions or the imposition of civil or criminal penalties.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3" w:name="page44"/>
    <w:bookmarkEnd w:id="43"/>
    <w:p>
      <w:pPr>
        <w:jc w:val="both"/>
        <w:ind w:firstLine="509"/>
        <w:spacing w:after="0" w:line="238" w:lineRule="auto"/>
        <w:rPr>
          <w:sz w:val="20"/>
          <w:szCs w:val="20"/>
          <w:color w:val="auto"/>
        </w:rPr>
      </w:pPr>
      <w:r>
        <w:rPr>
          <w:rFonts w:ascii="Arial" w:cs="Arial" w:eastAsia="Arial" w:hAnsi="Arial"/>
          <w:sz w:val="18"/>
          <w:szCs w:val="18"/>
          <w:color w:val="auto"/>
        </w:rPr>
        <w:t>Additionally, the FDA and other regulatory agencies closely regulate the post-approval marketing and promotion of medicines to ensure that they are marketed only for the approved indications and in accordance with the provisions of the approved labeling. The FDA and other regulatory agencies impose stringent restrictions on manufacturers’ communications regarding off-label use. In particular, a product may not be promoted for uses that are not approved by the FDA or such other regulatory agencies as reflected in the product’s approved labeling. If we do not market our medicines for their approved indications, we may be subject to enforcement action for off-label marketing by the FDA and other federal and state enforcement agencies, including the Department of Justice. Violation of the Federal Food, Drug, and Cosmetic Act and other statutes, including the False Claims Act, relating to the promotion and advertising of prescription products may also lead to investigations or allegations of violations of federal and state healthcare fraud and abuse laws and state consumer protection laws. The federal government has levied large civil and criminal fines against companies for alleged improper promotion of off-label use and has enjoined several companies from engaging in off-label promotion. The FDA has also requested that companies enter into consent decrees or permanent injunctions under which specified promotional conduct is changed or curtailed. If we cannot successfully manage the promotion of our product candidates, if approved, we could become subject to significant liability, which would materially adversely affect our business and financial condition.</w:t>
      </w:r>
    </w:p>
    <w:p>
      <w:pPr>
        <w:spacing w:after="0" w:line="180"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The FDA’s and other regulatory authorities’ policies and interpretations may change and additional government regulations may be enacted that could prevent, limit or delay regulatory approval of our product candidates. If we are slow or unable to adapt to changes in existing requirements or the adoption of new requirements, interpretations or policies, or if we are not able to maintain regulatory compliance, we may lose any regulatory approval that we may have obtained, which would adversely affect our business, prospects and ability to achieve or sustain profitability. Moreover, the U.S. Supreme Court’s July 2024 decision to overturn prior established case law giving deference to regulatory agencies’ interpretations of ambiguous statutory language has introduced uncertainty regarding the extent to which FDA’s regulations, policies, and decisions may become subject to increasing legal challenges, delays, and/or changes.</w:t>
      </w:r>
    </w:p>
    <w:p>
      <w:pPr>
        <w:spacing w:after="0" w:line="187"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We may be unable to obtain ODD for additional indications, or to maintain the benefits associated with orphan drug status, including market exclusivity, which may cause our revenue, if any, to be reduced.</w:t>
      </w:r>
    </w:p>
    <w:p>
      <w:pPr>
        <w:spacing w:after="0" w:line="1"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Under the Orphan Drug Act, the FDA may grant orphan designation to a drug or biologic intended to treat a rare disease or condition, defined as a disease or condition with a patient population of fewer than 200,000 in the United States, or a patient population greater than 200,000 in the United States when there is no reasonable expectation that the cost of developing and making available the drug or biologic in the United States will be recovered from sales in the United States for that drug or biologic. ODD must be requested before submitting an NDA or BLA. In the United States, ODD entitles a party to financial incentives such as opportunities for grant funding towards clinical trial costs, tax advantages and user-fee waivers. After the FDA grants ODD, the generic identity of the drug and its potential orphan use are disclosed publicly by the FDA. ODD does not convey any advantage in, or shorten the duration of, the regulatory review and approval process.</w:t>
      </w:r>
    </w:p>
    <w:p>
      <w:pPr>
        <w:spacing w:after="0" w:line="180"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If a product that has ODD subsequently receives the first FDA approval for a particular active ingredient for the disease for which it has such designation, the product is entitled to orphan product exclusivity, which means that the FDA may not approve any other applications to market the same product for the same indication for seven years, except in limited circumstances such as a showing of clinical superiority to the product with orphan drug exclusivity or if the FDA finds that the holder of the orphan drug exclusivity has not shown that it can assure the availability of sufficient quantities of the orphan drug to meet the needs of patients with the disease or condition for which the drug was designated. As a result, even if our current product candidates and any future product candidates receive orphan exclusivity, the FDA can still approve other drugs that have a different active ingredient for use in treating the same indication or disease. Furthermore, the FDA can waive orphan exclusivity if we are unable to manufacture sufficient supply of our product.</w:t>
      </w:r>
    </w:p>
    <w:p>
      <w:pPr>
        <w:spacing w:after="0" w:line="180"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We have obtained orphan designation for bel-sar for the treatment of uveal melanoma from the FDA and EMA, and we may seek additional ODDs for bel-sar or some or all of our future product candidates in orphan indications in which there is a medically plausible basis for the use of these products. Even if we obtain ODD, exclusive marketing rights in the United States may be limited if we seek approval for an indication broader than the orphan designated indication and may be lost if the FDA later determines that the request for designation was materially defective or if the manufacturer is unable to assure sufficient quantities of the product to meet the needs of patients with the rare disease or condition.</w:t>
      </w:r>
    </w:p>
    <w:p>
      <w:pPr>
        <w:spacing w:after="0" w:line="179"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The FDA may reevaluate the Orphan Drug Act and its regulations and policies. We do not know if, when, or how the FDA may change the orphan drug regulations and policies in the future, and it is uncertain how any changes might affect our business. Depending on what changes the FDA may make to its orphan drug regulations and policies, our business could be adversely impacted.</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4" w:name="page45"/>
    <w:bookmarkEnd w:id="44"/>
    <w:p>
      <w:pPr>
        <w:jc w:val="both"/>
        <w:ind w:firstLine="509"/>
        <w:spacing w:after="0" w:line="237" w:lineRule="auto"/>
        <w:rPr>
          <w:sz w:val="20"/>
          <w:szCs w:val="20"/>
          <w:color w:val="auto"/>
        </w:rPr>
      </w:pPr>
      <w:r>
        <w:rPr>
          <w:rFonts w:ascii="Arial" w:cs="Arial" w:eastAsia="Arial" w:hAnsi="Arial"/>
          <w:sz w:val="18"/>
          <w:szCs w:val="18"/>
          <w:color w:val="auto"/>
        </w:rPr>
        <w:t>Similarly, in the EU, the European Commission grants an orphan designation in respect of a product after receiving the opinion of the EMA’s Committee for Orphan Medicinal Products on a designation application. Orphan designation in the EU is granted to products where the sponsor can establish that (1) such product is intended for the diagnosis, prevention or treatment of a life-threatening or chronically debilitating condition; (2) either (i) such condition affects no more than 5 in 10,000 persons in the EU when the application is made; or (ii) without incentives, it is unlikely that the marketing of the product would generate sufficient return in the EU to justify the necessary investment in its development; and (3) there exists no satisfactory method of diagnosis, prevention or treatment of such condition that has been authorized in the EU, or if such a method exists, the product in question would be of significant benefit to those affected by that condition. In the EU, orphan designation entitles a party to a number of incentives, such as protocol assistance and scientific advice specifically for designated orphan medicines, and potential fee reductions depending on the status of the sponsor. Generally, if a product with an orphan designation subsequently receives the first marketing approval for the indication for which it has such designation, the product is entitled to a ten-year period of marketing exclusivity, which precludes the EMA from approving another marketing authorization application for a similar medicinal product in the same indication for that time period, except in limited circumstances. The EU exclusivity period can be reduced to six years if, at the end of the fifth year, a product no longer meets the criteria for orphan designation or if the product is sufficiently profitable such that market exclusivity is no longer justified. The European Commission introduced a legislative proposal in April 2023 that, if implemented, could reduce the current ten-year marketing exclusivity period in the EU for certain orphan medicines.</w:t>
      </w:r>
    </w:p>
    <w:p>
      <w:pPr>
        <w:spacing w:after="0" w:line="19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A breakthrough therapy designation or Fast Track designation by the FDA, even if granted for any of our product candidates, may not lead to a faster development, regulatory review or approval process, and each designation does not increase the likelihood that any of our product candidates will receive regulatory approval in the United States.</w:t>
      </w:r>
    </w:p>
    <w:p>
      <w:pPr>
        <w:spacing w:after="0" w:line="11"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We may seek breakthrough therapy designation for some of our product candidates. A breakthrough therapy is defined as a drug or biologic that is intended, alone or in combination with one or more other drugs or biologics, to treat a serious or life-threatening disease or condition and preliminary clinical evidence indicates that the drug or biologic may demonstrate substantial improvement over existing therapies on one or more clinically significant endpoints, such as substantial treatment effects observed early in clinical development. For product candidates that have been designated as breakthrough therapies, interaction and communication between the FDA and the sponsor of the trial can help to identify the most efficient path for clinical development while minimizing the number of patients placed in ineffective control regimens. Products designated as breakthrough therapies by the FDA may also be eligible for priority review and accelerated approval. Designation as a breakthrough therapy is within the discretion of the FDA. Accordingly, even if we believe one of our product candidates meets the criteria for designation as a breakthrough therapy, the FDA may disagree and instead determine not to make such designation. In any event, the receipt of a breakthrough therapy designation for a product candidate may not result in a faster development process, review or approval compared to therapies considered for approval under conventional FDA procedures and does not assure ultimate approval by the FDA. In addition, even if one or more of our product candidates qualify as breakthrough therapies, the FDA may later decide that such product candidates no longer meet the conditions for qualification or decide that the time period for FDA review or approval will not be shortened.</w:t>
      </w:r>
    </w:p>
    <w:p>
      <w:pPr>
        <w:spacing w:after="0" w:line="189"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We have obtained Fast Track designation for bel-sar for the treatment of choroidal melanoma, for the treatment of metastases to the choroid and for the treatment of NMIBC, and we may seek additional Fast Track designation for other product candidates we may develop. If a drug or biologic is intended for the treatment of a serious or life-threatening condition and the drug or biologic demonstrates the potential to address unmet medical needs for this condition, the sponsor may apply for Fast Track designation. The FDA has broad discretion whether or not to grant this designation, so even if we believe a particular product candidate is eligible for this designation, we cannot assure you that the FDA would decide to grant it. Even if we do receive Fast Track designation, we may not experience a faster development process, review or approval compared to conventional FDA procedures. The FDA may withdraw Fast Track designation if it believes that the designation is no longer supported by data from our clinical development program. Fast Track designation alone does not guarantee qualification for the FDA’s priority review procedures.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5" w:name="page46"/>
    <w:bookmarkEnd w:id="45"/>
    <w:p>
      <w:pPr>
        <w:jc w:val="both"/>
        <w:spacing w:after="0" w:line="256" w:lineRule="auto"/>
        <w:rPr>
          <w:sz w:val="20"/>
          <w:szCs w:val="20"/>
          <w:color w:val="auto"/>
        </w:rPr>
      </w:pPr>
      <w:r>
        <w:rPr>
          <w:rFonts w:ascii="Arial" w:cs="Arial" w:eastAsia="Arial" w:hAnsi="Arial"/>
          <w:sz w:val="18"/>
          <w:szCs w:val="18"/>
          <w:b w:val="1"/>
          <w:bCs w:val="1"/>
          <w:i w:val="1"/>
          <w:iCs w:val="1"/>
          <w:color w:val="auto"/>
        </w:rPr>
        <w:t>Accelerated approval by the FDA, even if granted for bel-sar or any other future product candidates, may not lead to a faster development or regulatory review or approval process and it does not increase the likelihood that our product candidates will receive regulatory approval.</w:t>
      </w:r>
    </w:p>
    <w:p>
      <w:pPr>
        <w:spacing w:after="0" w:line="11"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We may seek accelerated approval of our current or future product candidates using the FDA’s accelerated approval pathway. A product may be eligible for accelerated approval if it treats a serious or life-threatening condition and generally provides a meaningful advantage over available therapies. In addition, it must demonstrate an effect on a surrogate endpoint that is reasonably likely to predict clinical benefit or on a clinical endpoint that can be measured earlier than irreversible morbidity or mortality, or IMM, that is reasonably likely to predict an effect on IMM or other clinical benefit. As a condition of approval, the FDA requires that a sponsor of a drug or biologic receiving accelerated approval perform adequate and well-controlled post-marketing clinical trials, and the FDA is permitted to require, as appropriate, that such studies be underway prior to approval or within a specified period after the date of approval. Sponsors must also update FDA on the status of these studies, and under FDORA, the FDA has increased authority to withdraw approval of a drug granted accelerated approval on an expedited basis if the sponsor fails to conduct such studies in a timely manner, send the necessary updates to the FDA, or if such post-approval studies fail to verify the drug’s predicted clinical benefit. In addition, the FDA currently requires, unless otherwise informed by the agency, pre-approval of promotional materials for products receiving accelerated approval, which could adversely impact the timing of the commercial launch of the product. Even if we do receive accelerated approval, we may not experience a faster development or regulatory review or approval process, and receiving accelerated approval does not provide assurance of ultimate FDA approval.</w:t>
      </w:r>
    </w:p>
    <w:p>
      <w:pPr>
        <w:spacing w:after="0" w:line="18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The FDA’s agreement to a Special Protocol Assessment with respect to the study design of our global Phase 3 trial of bel-sar for the treatment of early-stage choroidal melanoma does not guarantee any particular outcome from regulatory review, including ultimate approval, and may not lead to a successful review or approval process.</w:t>
      </w:r>
    </w:p>
    <w:p>
      <w:pPr>
        <w:spacing w:after="0" w:line="24"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We obtained agreement from the FDA on the design and planned analysis of our global Phase 3 trial of bel-sar for the treatment of early-stage choroidal melanoma through a SPA. An SPA agreement documents FDA’s agreement that the design and planned analysis of a study can adequately address objectives in support of a regulatory submission. However, final determinations for marketing application approval are made after complete review of a marketing application and are based on the entire data in the application.</w:t>
      </w:r>
    </w:p>
    <w:p>
      <w:pPr>
        <w:spacing w:after="0" w:line="174"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The FDA’s SPA process is designed to facilitate the FDA’s review and approval of drugs and biologics by allowing the FDA to evaluate the proposed design and size of certain clinical or animal studies, including clinical trials that are intended to form the primary basis for determining a product candidate’s efficacy. The FDA ultimately assesses whether specific elements of the protocol design of the trial, such as entry criteria, dose selection, endpoints and/or planned analyses, are acceptable to support a regulatory submission.</w:t>
      </w:r>
    </w:p>
    <w:p>
      <w:pPr>
        <w:spacing w:after="0" w:line="174"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Although the FDA may agree to an SPA, an SPA agreement does not guarantee approval of a product. Even if the FDA agrees to the design, execution, and analysis proposed in protocols reviewed under the SPA process, the FDA may revoke or alter its agreement in certain circumstances. In particular, an SPA agreement is not binding on the FDA if public health concerns emerge that were unrecognized at the time of the SPA agreement, other new scientific concerns regarding product safety or efficacy arise, the sponsor company fails to comply with the agreed upon trial protocols, or the relevant data, assumptions or information provided by the sponsor in a request for the SPA change or are found to be false or omit relevant facts.</w:t>
      </w:r>
    </w:p>
    <w:p>
      <w:pPr>
        <w:spacing w:after="0" w:line="179"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In addition, even after an SPA agreement is finalized, the SPA agreement may be modified, and such modification will be deemed binding by the FDA review division, except under the circumstances described above, if the FDA and the sponsor agree in writing to modify the protocol. Generally, such modification is intended to improve the study. The FDA retains significant latitude and discretion in interpreting the terms of the SPA agreement and the data and results from any study that is the subject of the SPA agreement.</w:t>
      </w:r>
    </w:p>
    <w:p>
      <w:pPr>
        <w:spacing w:after="0" w:line="174"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Moreover, if the FDA revokes or alters its agreement under the SPA, or interprets the data collected from the clinical trial differently than we do, the FDA may not deem the data sufficient to support an application for regulatory approval of bel-sar for the treatment of small choroidal melanoma and indeterminate lesions.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3"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6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We rely on third parties to conduct our clinical trials and some aspects of our research and preclinical testing, and expect to continue to do so, and those third parties may not perform satisfactorily, including failing to meet deadlines for the completion of such trials, research or testing.</w:t>
      </w:r>
    </w:p>
    <w:p>
      <w:pPr>
        <w:spacing w:after="0" w:line="24"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We currently rely and expect to continue to rely on third parties, such as CROs, clinical data management organizations, central reading centers, medical institutions and clinical investigators, to conduct some aspects of our research, preclinical testing and clinical trials. We are using a clinical CRO for the pivotal trial for bel-sar for the treatment of early-stage choroidal melanoma. Any of these third parties may terminate their engagements with us or be unable to fulfill their contractual obligations. If we need to enter into alternative arrangements, our product development activities would be delayed.</w:t>
      </w:r>
    </w:p>
    <w:p>
      <w:pPr>
        <w:spacing w:after="0" w:line="176"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Our reliance on these third parties for research and development activities reduces our control over these activities, but does not relieve us of our responsibilities. For example, we remain responsible for ensuring that each of our clinical trials is conducted in accordance with the general investigational plan and protocols for the trial, as well as the applicable legal, regulatory and scientific standards. Moreover, the FDA requires us to comply with GCPs for conducting, recording and reporting the results of clinical trials to assure that data and reported results are credible, reproducible and accurate and that the rights, integrity and confidentiality of trial participants are protected. Regulatory authorities enforce these GCP requirements through periodic inspections of trial sponsors, clinical trial investigators and clinical trial sites. If we or any of our CROs or clinical trial sites fail to comply with applicable GCP requirements, the data generated in our clinical trials may be deemed unreliable, and the FDA may require us to perform additional clinical trials before approving our marketing applications. We are also required to register ongoing clinical trials and to post the results of completed clinical trials on a government-sponsored database within certain timeframes. Failure to do so can result in fines, adverse publicity and civil and criminal sanctions. Due to the rarity of ocular melanomas, we may engage clinical trial sites that have little experience in the conduct of clinical trials under GCPs. Even though we train the clinical trial sites, monitor the activities, and perform quality audits to assess and ensure compliance, we cannot ensure such compliance.</w:t>
      </w:r>
    </w:p>
    <w:p>
      <w:pPr>
        <w:spacing w:after="0" w:line="183"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Furthermore, these third parties may also have relationships with other entities, some of which may be our competitors, for whom they may also be conducting clinical trials or other biological product development activities that could harm our competitive position. If these third parties do not successfully carry out their contractual duties, meet expected deadlines or conduct our clinical trials in accordance with regulatory requirements or our stated protocols, we will not be able to obtain, or may be delayed in obtaining, marketing approvals for any product candidates we may develop and will not be able to, or may be delayed in our efforts to, successfully commercialize our medicines.</w:t>
      </w:r>
    </w:p>
    <w:p>
      <w:pPr>
        <w:spacing w:after="0" w:line="176"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We also expect to rely on other third parties to store and distribute drug supplies for our clinical trials. Any performance failure on the part of our distributors could delay clinical development or marketing approval of any product candidates we may develop or commercialization of our medicines, producing additional losses and depriving us of potential product revenue.</w:t>
      </w:r>
    </w:p>
    <w:p>
      <w:pPr>
        <w:spacing w:after="0" w:line="171" w:lineRule="exact"/>
        <w:rPr>
          <w:sz w:val="20"/>
          <w:szCs w:val="20"/>
          <w:color w:val="auto"/>
        </w:rPr>
      </w:pPr>
    </w:p>
    <w:p>
      <w:pPr>
        <w:jc w:val="both"/>
        <w:spacing w:after="0" w:line="249" w:lineRule="auto"/>
        <w:rPr>
          <w:sz w:val="20"/>
          <w:szCs w:val="20"/>
          <w:color w:val="auto"/>
        </w:rPr>
      </w:pPr>
      <w:r>
        <w:rPr>
          <w:rFonts w:ascii="Arial" w:cs="Arial" w:eastAsia="Arial" w:hAnsi="Arial"/>
          <w:sz w:val="18"/>
          <w:szCs w:val="18"/>
          <w:b w:val="1"/>
          <w:bCs w:val="1"/>
          <w:i w:val="1"/>
          <w:iCs w:val="1"/>
          <w:color w:val="auto"/>
        </w:rPr>
        <w:t>We currently rely on third-party CDMOs for the production of clinical supply of bel-sar and may continue to rely on CDMOs for the production of commercial supply of bel-sar, if approved. This reliance on CDMOs increases the risk that we will not have sufficient quantities of such materials, product candidates, or any therapies that we may develop and commercialize, or that such supply will not be available to us at an acceptable cost, which could delay, prevent, or impair our development or commercialization efforts.</w:t>
      </w:r>
    </w:p>
    <w:p>
      <w:pPr>
        <w:spacing w:after="0" w:line="17"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We currently do not have any manufacturing facilities and have no plans to build our own clinical or commercial scale manufacturing capabilities. Instead, we expect to rely on third parties for the manufacture of our product candidates and related raw materials for future preclinical and clinical development, as well as for commercial manufacture if any of our product candidates receive marketing approval. We are currently reliant on a single source for each of our regulatory starting materials, drug substance and drug product manufacturing for bel-sar.</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7" w:name="page48"/>
    <w:bookmarkEnd w:id="47"/>
    <w:p>
      <w:pPr>
        <w:jc w:val="both"/>
        <w:ind w:firstLine="509"/>
        <w:spacing w:after="0" w:line="239" w:lineRule="auto"/>
        <w:rPr>
          <w:sz w:val="20"/>
          <w:szCs w:val="20"/>
          <w:color w:val="auto"/>
        </w:rPr>
      </w:pPr>
      <w:r>
        <w:rPr>
          <w:rFonts w:ascii="Arial" w:cs="Arial" w:eastAsia="Arial" w:hAnsi="Arial"/>
          <w:sz w:val="18"/>
          <w:szCs w:val="18"/>
          <w:color w:val="auto"/>
        </w:rPr>
        <w:t>We or our third-party suppliers or manufacturers may encounter shortages in the raw materials or active pharmaceutical ingredient, or API, necessary to produce bel-sar and future product candidates we may develop in the quantities needed for our clinical trials or, if bel-sar or any future product candidates we may develop are approved, in sufficient quantities for commercialization or to meet an increase in demand, as a result of capacity constraints or delays or disruptions in the market for the raw materials or APIs, including shortages caused by the purchase of such raw materials or API, by our competitors or others. Even if raw materials or API are available, we may be unable to obtain sufficient quantities at an acceptable cost or quality. The failure by us or our third-party suppliers or manufacturers to obtain the raw materials or API necessary to manufacture sufficient quantities of bel-sar or any future product candidates we may develop could delay, prevent or impair our development efforts and may have a material adverse effect on our business. To date, we have only encountered minor delays in our manufacturing process due to a supply chain constraint with one of our vendors.</w:t>
      </w:r>
    </w:p>
    <w:p>
      <w:pPr>
        <w:spacing w:after="0" w:line="183"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Reliance on third-party manufacturers may expose us to different risks than if we were to manufacture clinical or commercial supply of our product candidates ourselves. The facilities used by third-party manufacturers to manufacture bel-sar or any future product candidates must be authorized by the FDA pursuant to inspections that will be conducted after we submit a BLA to the FDA. We do not control the manufacturing process of, and are completely dependent on, third-party manufacturers for compliance with cGMP requirements for manufacture of drug products and other laws and regulations. If these third-party manufacturers cannot successfully manufacture material that conforms to our specifications and the strict regulatory requirements of the FDA or others, they will not be able to secure and maintain regulatory approval for their manufacturing facilities. Some of our contract manufacturers may not have produced a commercially-approved product and, therefore, may not have obtained the requisite FDA approvals to do so. In addition, we have no control over the ability of third-party manufacturers to maintain adequate quality control, quality assurance and qualified personnel. If the FDA or a comparable foreign regulatory authority does not approve these facilities for the manufacture of our product candidates or if it withdraws any such approval in the future, we may need to find alternative manufacturing facilities, which would significantly impact our ability to develop, obtain regulatory approval for or market our product candidates, if approved.</w:t>
      </w:r>
    </w:p>
    <w:p>
      <w:pPr>
        <w:spacing w:after="0" w:line="183"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Finding new CDMOs or third-party suppliers involves additional cost and requires our management’s time and focus. In addition, there is typically a transition period when a new CDMO commences work. Although we generally have not, and do not intend to, begin a clinical trial unless we believe we have on hand, or will be able to obtain, a sufficient supply of our product candidates to complete the clinical trial, any significant delay in the supply of our product candidates or the raw materials needed to produce our product candidates, could considerably delay conducting our clinical trials and potential regulatory approval of our product candidates. Additionally, any changes implemented by a new CDMO could delay completion of clinical trials, require the conduct of bridging clinical trials or studies, require the repetition of one or more clinical trials, increase clinical trial costs, delay approval of bel-sar and future product candidates and jeopardize our ability to commence product sales and generate revenue.</w:t>
      </w:r>
    </w:p>
    <w:p>
      <w:pPr>
        <w:spacing w:after="0" w:line="180"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As part of their manufacture of our product candidates, our CDMOs and third-party suppliers are expected to comply with and respect the intellectual property and proprietary rights of others. If a CDMO or third-party supplier fails to acquire the proper licenses or otherwise infringes, misappropriates or otherwise violates the intellectual property or proprietary rights of others in the course of providing services to us, we may have to find alternative CDMOs or third-party suppliers or defend against applicable claims, either of which would significantly impact our ability to develop, obtain regulatory approval for or commercialize our product candidates, if approved.</w:t>
      </w:r>
    </w:p>
    <w:p>
      <w:pPr>
        <w:spacing w:after="0" w:line="176"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Our failure, or the failure of our third-party manufacturers, to comply with applicable regulations could result in sanctions being imposed on us, including clinical holds, fines, injunctions, civil penalties, delays, suspension or withdrawal of approvals, seizures or recalls of product candidates or products, operating restrictions and criminal prosecutions, any of which could significantly and adversely affect supplies of our products. In addition, we may be unable to establish any agreements with third-party manufacturers or to do so on acceptable terms.</w:t>
      </w:r>
    </w:p>
    <w:p>
      <w:pPr>
        <w:spacing w:after="0" w:line="176" w:lineRule="exact"/>
        <w:rPr>
          <w:sz w:val="20"/>
          <w:szCs w:val="20"/>
          <w:color w:val="auto"/>
        </w:rPr>
      </w:pPr>
    </w:p>
    <w:p>
      <w:pPr>
        <w:jc w:val="both"/>
        <w:ind w:firstLine="509"/>
        <w:spacing w:after="0" w:line="258" w:lineRule="auto"/>
        <w:rPr>
          <w:sz w:val="20"/>
          <w:szCs w:val="20"/>
          <w:color w:val="auto"/>
        </w:rPr>
      </w:pPr>
      <w:r>
        <w:rPr>
          <w:rFonts w:ascii="Arial" w:cs="Arial" w:eastAsia="Arial" w:hAnsi="Arial"/>
          <w:sz w:val="18"/>
          <w:szCs w:val="18"/>
          <w:color w:val="auto"/>
        </w:rPr>
        <w:t>Even if we are able to establish agreements with third-party manufacturers, reliance on third-party manufacturers entails additional risks, including:</w:t>
      </w: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failure of third-party manufacturers to comply with regulatory requirements and maintain quality assurance;</w:t>
      </w:r>
    </w:p>
    <w:p>
      <w:pPr>
        <w:spacing w:after="0" w:line="3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breach of the manufacturing agreement by the third-party manufacturers;</w:t>
      </w:r>
    </w:p>
    <w:p>
      <w:pPr>
        <w:spacing w:after="0" w:line="4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failure to manufacture our product according to our specifications;</w:t>
      </w:r>
    </w:p>
    <w:p>
      <w:pPr>
        <w:spacing w:after="0" w:line="48" w:lineRule="exact"/>
        <w:rPr>
          <w:rFonts w:ascii="Times New Roman" w:cs="Times New Roman" w:eastAsia="Times New Roman" w:hAnsi="Times New Roman"/>
          <w:sz w:val="18"/>
          <w:szCs w:val="18"/>
          <w:color w:val="auto"/>
        </w:rPr>
      </w:pPr>
    </w:p>
    <w:p>
      <w:pPr>
        <w:ind w:left="1020" w:hanging="503"/>
        <w:spacing w:after="0" w:line="255" w:lineRule="auto"/>
        <w:tabs>
          <w:tab w:leader="none" w:pos="102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lack of qualified backup suppliers for those components or materials that are currently purchased from a sole or single source supplier;</w:t>
      </w: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Arial" w:cs="Arial" w:eastAsia="Arial" w:hAnsi="Arial"/>
          <w:sz w:val="18"/>
          <w:szCs w:val="18"/>
          <w:color w:val="auto"/>
        </w:rPr>
        <w:t>failure to manufacture our product according to our schedule or at all;</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8" w:name="page49"/>
    <w:bookmarkEnd w:id="48"/>
    <w:p>
      <w:pPr>
        <w:ind w:left="1020" w:right="20" w:hanging="503"/>
        <w:spacing w:after="0" w:line="255" w:lineRule="auto"/>
        <w:tabs>
          <w:tab w:leader="none" w:pos="102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production difficulties caused by unforeseen events that may delay the availability of one or more of the necessary raw materials or delay the manufacture of bel-sar or any future product candidates for use in clinical trials or for commercial supply;</w:t>
      </w: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supply or service disruptions or increased costs that are beyond our control;</w:t>
      </w:r>
    </w:p>
    <w:p>
      <w:pPr>
        <w:spacing w:after="0" w:line="3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misappropriation of our proprietary information, including our trade secrets and know-how; and</w:t>
      </w:r>
    </w:p>
    <w:p>
      <w:pPr>
        <w:spacing w:after="0" w:line="4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Arial" w:cs="Arial" w:eastAsia="Arial" w:hAnsi="Arial"/>
          <w:sz w:val="18"/>
          <w:szCs w:val="18"/>
          <w:color w:val="auto"/>
        </w:rPr>
        <w:t>termination or nonrenewal of the agreement by the third party at a time that is costly or inconvenient for us.</w:t>
      </w:r>
    </w:p>
    <w:p>
      <w:pPr>
        <w:spacing w:after="0" w:line="224"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Bel-sar and any other product candidates that we may develop may compete with other product candidates and products for access to manufacturing facilities. Any performance failure on the part of our existing or future manufacturers could delay clinical development or marketing approval, and any related remedial measures may be costly or time-consuming to implement. We do not currently have arrangements in place for redundant supply or a second source for all required raw materials used in the manufacture of our product candidates. If our current third-party manufacturers cannot perform as agreed, we may be required to replace such manufacturers and we may be unable to replace them on a timely basis or on terms acceptable to us. Our current and anticipated future dependence upon others for the manufacture of bel-sar or any other future product candidates or products may adversely affect our future profit margins and our ability to commercialize any products that receive marketing approval on a timely and competitive basis.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Commercialization</w:t>
      </w:r>
    </w:p>
    <w:p>
      <w:pPr>
        <w:spacing w:after="0" w:line="65"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If bel-sar or any future product candidates do not achieve broad market acceptance, the revenue that we generate from their sales may be limited, and we may never become profitable.</w:t>
      </w:r>
    </w:p>
    <w:p>
      <w:pPr>
        <w:spacing w:after="0" w:line="1"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We have never commercialized a product candidate for any indication. Even if bel-sar and any future product candidates are approved by the appropriate regulatory authorities for marketing and sale, they may not gain acceptance among physicians, patients, third-party payors, and others in the medical community. If any product candidates for which we obtain regulatory approval do not gain an adequate level of market acceptance, we may not generate significant revenue and may not become profitable or may be significantly delayed in achieving profitability. Market acceptance of bel-sar and any future product candidates by the medical community, patients and third-party payors will depend on a number of factors, some of which are beyond our control. For example, physicians are often reluctant to switch their patients, and patients may be reluctant to switch, from existing therapies even when new and potentially more effective or safer treatments enter the market. If public perception is influenced by claims that the use of VDCs is unsafe, whether related to our or our competitors’ products, our products may not be accepted by the general public or the medical community. In addition, training clinicians to properly use bel-sar or any future product candidate that requires a similar laser and microinjector may create reluctance by clinicians to adopt our products, potentially adversely affecting our future sales and marketing efforts. Furthermore, such training increases our costs to generate sales associated with any such product. Future adverse events in targeted oncology or the biopharmaceutical industry could also result in greater governmental regulation, stricter labeling requirements and potential regulatory delays in the testing or approvals of our product candidates. In addition, the inclusion or exclusion of products from treatment guidelines established by various physician groups and the viewpoints of influential physicians can affect the willingness of other physicians to prescribe the treatment. We cannot predict whether physicians, physicians’ organizations, hospitals, other healthcare providers, government agencies or private insurers will determine that our product is safe, therapeutically effective and cost effective as compared with competing treatments.</w:t>
      </w:r>
    </w:p>
    <w:p>
      <w:pPr>
        <w:spacing w:after="0" w:line="184" w:lineRule="exact"/>
        <w:rPr>
          <w:sz w:val="20"/>
          <w:szCs w:val="20"/>
          <w:color w:val="auto"/>
        </w:rPr>
      </w:pPr>
    </w:p>
    <w:p>
      <w:pPr>
        <w:jc w:val="both"/>
        <w:ind w:firstLine="509"/>
        <w:spacing w:after="0" w:line="246" w:lineRule="auto"/>
        <w:rPr>
          <w:sz w:val="20"/>
          <w:szCs w:val="20"/>
          <w:color w:val="auto"/>
        </w:rPr>
      </w:pPr>
      <w:r>
        <w:rPr>
          <w:rFonts w:ascii="Arial" w:cs="Arial" w:eastAsia="Arial" w:hAnsi="Arial"/>
          <w:sz w:val="18"/>
          <w:szCs w:val="18"/>
          <w:color w:val="auto"/>
        </w:rPr>
        <w:t>Efforts to educate the medical community and third-party payors on the benefits of bel-sar and any future product candidates may require significant resources and may not be successful. If bel-sar or any future product candidates are approved but do not achieve an adequate level of market acceptance, we could be prevented from or significantly delayed in achieving profitability. The degree of market acceptance of any of bel-sar and any future product candidates will depend on a number of factors, including:</w:t>
      </w:r>
    </w:p>
    <w:p>
      <w:pPr>
        <w:spacing w:after="0" w:line="2" w:lineRule="exact"/>
        <w:rPr>
          <w:sz w:val="20"/>
          <w:szCs w:val="20"/>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the efficacy of bel-sar and our VLP technology, and any future product candidates;</w:t>
      </w:r>
    </w:p>
    <w:p>
      <w:pPr>
        <w:spacing w:after="0" w:line="48" w:lineRule="exact"/>
        <w:rPr>
          <w:rFonts w:ascii="Times New Roman" w:cs="Times New Roman" w:eastAsia="Times New Roman" w:hAnsi="Times New Roman"/>
          <w:sz w:val="18"/>
          <w:szCs w:val="18"/>
          <w:color w:val="auto"/>
        </w:rPr>
      </w:pPr>
    </w:p>
    <w:p>
      <w:pPr>
        <w:ind w:left="1020" w:hanging="503"/>
        <w:spacing w:after="0" w:line="255" w:lineRule="auto"/>
        <w:tabs>
          <w:tab w:leader="none" w:pos="102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the prevalence and severity of adverse events associated with bel-sar and any future product candidates or those products with which they may be co-administered;</w:t>
      </w: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the clinical indications for which bel-sar are approved and the approved claims that we may make for the products;</w:t>
      </w:r>
    </w:p>
    <w:p>
      <w:pPr>
        <w:spacing w:after="0" w:line="39" w:lineRule="exact"/>
        <w:rPr>
          <w:rFonts w:ascii="Times New Roman" w:cs="Times New Roman" w:eastAsia="Times New Roman" w:hAnsi="Times New Roman"/>
          <w:sz w:val="18"/>
          <w:szCs w:val="18"/>
          <w:color w:val="auto"/>
        </w:rPr>
      </w:pPr>
    </w:p>
    <w:p>
      <w:pPr>
        <w:jc w:val="both"/>
        <w:ind w:left="1020" w:hanging="503"/>
        <w:spacing w:after="0" w:line="250" w:lineRule="auto"/>
        <w:tabs>
          <w:tab w:leader="none" w:pos="102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limitations or warnings contained in the product’s FDA-approved labeling or those of comparable foreign regulatory authorities, including potential limitations or warnings for bel-sar and any future product candidates that may be more restrictive than other competitive products;</w:t>
      </w:r>
    </w:p>
    <w:p>
      <w:pPr>
        <w:jc w:val="both"/>
        <w:ind w:left="1020" w:hanging="503"/>
        <w:spacing w:after="0" w:line="252" w:lineRule="auto"/>
        <w:tabs>
          <w:tab w:leader="none" w:pos="102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the SoC for the targeted indications for bel-sar and any future product candidates, which could reduce the marketing impact of any claims that we could make following FDA approval or approval by comparable foreign regulatory authorities, if obtained;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5" w:right="339" w:bottom="1440" w:gutter="0" w:footer="0" w:header="0"/>
        </w:sectPr>
      </w:pPr>
    </w:p>
    <w:bookmarkStart w:id="49" w:name="page50"/>
    <w:bookmarkEnd w:id="49"/>
    <w:p>
      <w:pPr>
        <w:ind w:left="1020" w:hanging="503"/>
        <w:spacing w:after="0" w:line="255" w:lineRule="auto"/>
        <w:tabs>
          <w:tab w:leader="none" w:pos="102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the relative convenience and ease of administration of bel-sar and any future product candidates and any products with which they are co-administered;</w:t>
      </w: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the cost of treatment compared with the economic and clinical benefit of alternative treatments or therapies;</w:t>
      </w:r>
    </w:p>
    <w:p>
      <w:pPr>
        <w:spacing w:after="0" w:line="39" w:lineRule="exact"/>
        <w:rPr>
          <w:rFonts w:ascii="Times New Roman" w:cs="Times New Roman" w:eastAsia="Times New Roman" w:hAnsi="Times New Roman"/>
          <w:sz w:val="18"/>
          <w:szCs w:val="18"/>
          <w:color w:val="auto"/>
        </w:rPr>
      </w:pPr>
    </w:p>
    <w:p>
      <w:pPr>
        <w:ind w:left="1020" w:hanging="503"/>
        <w:spacing w:after="0" w:line="257" w:lineRule="auto"/>
        <w:tabs>
          <w:tab w:leader="none" w:pos="102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the availability of adequate coverage or reimbursement by third-party payors, including government healthcare programs such as Medicare and Medicaid and other healthcare payors;</w:t>
      </w:r>
    </w:p>
    <w:p>
      <w:pPr>
        <w:spacing w:after="0" w:line="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the price concessions required by third-party payors to obtain coverage;</w:t>
      </w:r>
    </w:p>
    <w:p>
      <w:pPr>
        <w:spacing w:after="0" w:line="35" w:lineRule="exact"/>
        <w:rPr>
          <w:rFonts w:ascii="Times New Roman" w:cs="Times New Roman" w:eastAsia="Times New Roman" w:hAnsi="Times New Roman"/>
          <w:sz w:val="18"/>
          <w:szCs w:val="18"/>
          <w:color w:val="auto"/>
        </w:rPr>
      </w:pPr>
    </w:p>
    <w:p>
      <w:pPr>
        <w:ind w:left="1020" w:hanging="503"/>
        <w:spacing w:after="0" w:line="257" w:lineRule="auto"/>
        <w:tabs>
          <w:tab w:leader="none" w:pos="102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the perception of physicians, patients, third-party payors and others in the medical community of the relative safety, efficacy, convenience, effect on quality of life and cost effectiveness of bel-sar compared to those of other available treatments;</w:t>
      </w:r>
    </w:p>
    <w:p>
      <w:pPr>
        <w:spacing w:after="0" w:line="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the willingness of patients to pay out-of-pocket in the absence of adequate coverage and reimbursement;</w:t>
      </w:r>
    </w:p>
    <w:p>
      <w:pPr>
        <w:spacing w:after="0" w:line="4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the extent and strength of our marketing and distribution of bel-sar and any future product candidates;</w:t>
      </w:r>
    </w:p>
    <w:p>
      <w:pPr>
        <w:spacing w:after="0" w:line="35" w:lineRule="exact"/>
        <w:rPr>
          <w:rFonts w:ascii="Times New Roman" w:cs="Times New Roman" w:eastAsia="Times New Roman" w:hAnsi="Times New Roman"/>
          <w:sz w:val="18"/>
          <w:szCs w:val="18"/>
          <w:color w:val="auto"/>
        </w:rPr>
      </w:pPr>
    </w:p>
    <w:p>
      <w:pPr>
        <w:ind w:left="1020" w:right="20" w:hanging="503"/>
        <w:spacing w:after="0" w:line="257" w:lineRule="auto"/>
        <w:tabs>
          <w:tab w:leader="none" w:pos="102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the safety, efficacy, and other potential advantages over, and availability of, alternative treatments already used or that may later be approved;</w:t>
      </w:r>
    </w:p>
    <w:p>
      <w:pPr>
        <w:spacing w:after="0" w:line="1" w:lineRule="exact"/>
        <w:rPr>
          <w:rFonts w:ascii="Times New Roman" w:cs="Times New Roman" w:eastAsia="Times New Roman" w:hAnsi="Times New Roman"/>
          <w:sz w:val="18"/>
          <w:szCs w:val="18"/>
          <w:color w:val="auto"/>
        </w:rPr>
      </w:pPr>
    </w:p>
    <w:p>
      <w:pPr>
        <w:ind w:left="1020" w:hanging="503"/>
        <w:spacing w:after="0" w:line="257" w:lineRule="auto"/>
        <w:tabs>
          <w:tab w:leader="none" w:pos="102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distribution and use restrictions imposed by the FDA or comparable foreign regulatory authorities with respect to bel-sar and any future product candidates or to which we agree as part of a REMS or voluntary risk management plan;</w:t>
      </w:r>
    </w:p>
    <w:p>
      <w:pPr>
        <w:spacing w:after="0" w:line="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the timing of market introduction of bel-sar and any future product candidates, as well as competitive products;</w:t>
      </w:r>
    </w:p>
    <w:p>
      <w:pPr>
        <w:spacing w:after="0" w:line="3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offer bel-sar and any future product candidates for sale at competitive prices;</w:t>
      </w:r>
    </w:p>
    <w:p>
      <w:pPr>
        <w:spacing w:after="0" w:line="4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4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the extent and strength of our third-party manufacturer and supplier support;</w:t>
      </w:r>
    </w:p>
    <w:p>
      <w:pPr>
        <w:spacing w:after="0" w:line="3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the publicity concerning our bel-sar or competing products and treatments;</w:t>
      </w:r>
    </w:p>
    <w:p>
      <w:pPr>
        <w:spacing w:after="0" w:line="48" w:lineRule="exact"/>
        <w:rPr>
          <w:rFonts w:ascii="Times New Roman" w:cs="Times New Roman" w:eastAsia="Times New Roman" w:hAnsi="Times New Roman"/>
          <w:sz w:val="18"/>
          <w:szCs w:val="18"/>
          <w:color w:val="auto"/>
        </w:rPr>
      </w:pPr>
    </w:p>
    <w:p>
      <w:pPr>
        <w:ind w:left="1020" w:hanging="503"/>
        <w:spacing w:after="0" w:line="257" w:lineRule="auto"/>
        <w:tabs>
          <w:tab w:leader="none" w:pos="102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the actions of companies that market any products with which bel-sar and any future product candidates may be co-administered;</w:t>
      </w:r>
    </w:p>
    <w:p>
      <w:pPr>
        <w:spacing w:after="0" w:line="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the approval of other new products;</w:t>
      </w:r>
    </w:p>
    <w:p>
      <w:pPr>
        <w:spacing w:after="0" w:line="35" w:lineRule="exact"/>
        <w:rPr>
          <w:rFonts w:ascii="Times New Roman" w:cs="Times New Roman" w:eastAsia="Times New Roman" w:hAnsi="Times New Roman"/>
          <w:sz w:val="18"/>
          <w:szCs w:val="18"/>
          <w:color w:val="auto"/>
        </w:rPr>
      </w:pPr>
    </w:p>
    <w:p>
      <w:pPr>
        <w:ind w:left="1020" w:hanging="503"/>
        <w:spacing w:after="0" w:line="257" w:lineRule="auto"/>
        <w:tabs>
          <w:tab w:leader="none" w:pos="102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adverse publicity about bel-sar and any future product candidates or any products with which they are co-administered, or favorable publicity about competitive products; and</w:t>
      </w:r>
    </w:p>
    <w:p>
      <w:pPr>
        <w:spacing w:after="0" w:line="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potential product liability claims.</w:t>
      </w:r>
    </w:p>
    <w:p>
      <w:pPr>
        <w:spacing w:after="0" w:line="22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We currently have no marketing and sales organization and have no experience in marketing products. If we are unable to establish marketing and sales capabilities or enter into agreements with third parties to market and sell our product candidates, we may not be able to generate product revenue.</w:t>
      </w:r>
    </w:p>
    <w:p>
      <w:pPr>
        <w:spacing w:after="0" w:line="11"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We have never commercialized a product candidate and we currently have no sales, marketing or distribution capabilities and have no experience in marketing products. Our operations to date have been limited to organizing and staffing our company, business planning, raising capital, acquiring the rights to our product candidate and undertaking preclinical studies and clinical trials of our product candidate. We intend to develop an in-house marketing organization and sales force, which will require significant capital expenditures, management resources and time. We will have to compete with other pharmaceutical and biotechnology companies to recruit, hire, train and retain marketing and sales personnel. We may not be successful in transitioning from a company with a development focus to a company capable of supporting commercial activities.</w:t>
      </w:r>
    </w:p>
    <w:p>
      <w:pPr>
        <w:spacing w:after="0" w:line="185"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In addition to establishing internal sales, marketing and distribution capabilities, we will pursue collaborative arrangements regarding the sales and marketing of our products, however, there can be no assurance that we will be able to establish or maintain such collaborative arrangements, or if we are able to do so, that they will have effective sales forces. Any revenue we receive will depend upon the efforts of such third parties, which may not be successful. Further, if we enter into arrangements with third parties to perform sales and marketing services, our product revenues, if any, may be lower than if we were to market and sell any products that we develop ourselves. We may have little or no control over the marketing and sales efforts of such third parties and our revenue from product sales may be lower than if we had commercialized our product candidates ourselves. We also face competition in our search for third parties to assist us with the sales and marketing efforts of our product candidates.</w:t>
      </w:r>
    </w:p>
    <w:p>
      <w:pPr>
        <w:spacing w:after="0" w:line="180"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Furthermore, developing a sales and marketing organization requires significant investment, is time-consuming and could delay the launch of our product candidate. We may not be able to build an effective sales and marketing organization in the United States, the EU or other key global markets. If we are unable to build our own distribution and marketing capabilities or to find suitable partners for the commercialization of our product candidate, we may have difficulties generating revenue from them.</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5" w:right="339" w:bottom="1440" w:gutter="0" w:footer="0" w:header="0"/>
        </w:sectPr>
      </w:pPr>
    </w:p>
    <w:bookmarkStart w:id="50" w:name="page51"/>
    <w:bookmarkEnd w:id="50"/>
    <w:p>
      <w:pPr>
        <w:jc w:val="both"/>
        <w:ind w:firstLine="509"/>
        <w:spacing w:after="0" w:line="271" w:lineRule="auto"/>
        <w:rPr>
          <w:sz w:val="20"/>
          <w:szCs w:val="20"/>
          <w:color w:val="auto"/>
        </w:rPr>
      </w:pPr>
      <w:r>
        <w:rPr>
          <w:rFonts w:ascii="Arial" w:cs="Arial" w:eastAsia="Arial" w:hAnsi="Arial"/>
          <w:sz w:val="18"/>
          <w:szCs w:val="18"/>
          <w:color w:val="auto"/>
        </w:rPr>
        <w:t>There can be no assurance that we will be able to develop in-house sales and distribution capabilities or establish or maintain relationships with third-party collaborators to commercialize any product in the United States or overseas.</w:t>
      </w:r>
    </w:p>
    <w:p>
      <w:pPr>
        <w:spacing w:after="0" w:line="156" w:lineRule="exact"/>
        <w:rPr>
          <w:sz w:val="20"/>
          <w:szCs w:val="20"/>
          <w:color w:val="auto"/>
        </w:rPr>
      </w:pPr>
    </w:p>
    <w:p>
      <w:pPr>
        <w:jc w:val="both"/>
        <w:ind w:right="20"/>
        <w:spacing w:after="0" w:line="272" w:lineRule="auto"/>
        <w:rPr>
          <w:sz w:val="20"/>
          <w:szCs w:val="20"/>
          <w:color w:val="auto"/>
        </w:rPr>
      </w:pPr>
      <w:r>
        <w:rPr>
          <w:rFonts w:ascii="Arial" w:cs="Arial" w:eastAsia="Arial" w:hAnsi="Arial"/>
          <w:sz w:val="18"/>
          <w:szCs w:val="18"/>
          <w:b w:val="1"/>
          <w:bCs w:val="1"/>
          <w:i w:val="1"/>
          <w:iCs w:val="1"/>
          <w:color w:val="auto"/>
        </w:rPr>
        <w:t>We may face competition, which may result in others discovering, developing or commercializing drugs before or more successfully than we do.</w:t>
      </w:r>
    </w:p>
    <w:p>
      <w:pPr>
        <w:spacing w:after="0" w:line="1"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The biopharmaceutical industry is characterized by intense competition and rapid innovation. While we are not aware of anyone currently developing a treatment for early-stage choroidal melanoma, in the future our competitors may be able to develop other compounds or drugs that are able to achieve similar or better results than us. There are multiple companies that have drugs in clinical development for the treatment of NMIBC that are unresponsive to BCG, such as Sesen Bio, Inc., FerGene, Inc., UroGen Pharma Ltd., CG Oncology, Inc. and ImmunityBio, Inc. Our potential competitors include major multinational pharmaceutical companies, established biotechnology companies, specialty pharmaceutical companies and universities and other research institutions. Many of our potential competitors have substantially greater financial, technical and other resources, such as larger research and development staff and experienced marketing and manufacturing organizations and well-established sales forces. Smaller or early-stage companies may also prove to be significant competitors, particularly as they develop novel approaches to treating disease indications that our product candidates are also focused on treating. Established pharmaceutical companies may also invest heavily to accelerate discovery and development of novel therapeutics or to in-license novel therapeutics that could make the product candidates that we develop obsolete. Mergers and acquisitions in the biotechnology and pharmaceutical industries may result in even more resources being concentrated in our competitors. Competition may increase further as a result of advances in the commercial applicability of technologies and greater availability of capital for investment in these industries. Our competitors, either alone or with collaboration partners, may succeed in developing, acquiring or licensing on an exclusive basis drug or biologic products that are more effective, safer, more easily commercialized or less costly than our product candidates or may develop proprietary technologies or secure patent protection that we may need for the development of our technologies and products, which may reduce or eliminate our commercial opportunity. We believe the key competitive factors that will affect the development and commercial success of our product candidates are efficacy, safety, tolerability, reliability, convenience of use, price and reimbursement.</w:t>
      </w:r>
    </w:p>
    <w:p>
      <w:pPr>
        <w:spacing w:after="0" w:line="180"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 xml:space="preserve">Even if we obtain regulatory approval of our product candidates, the availability and price of our potential future competitors’ products could limit the demand and the price we are able to charge for our product candidates. We may not be able to implement our business plan if the acceptance of our product candidates is inhibited by price competition or the reluctance of physicians to switch from existing methods of treatment to our product candidates, or if physicians switch to other new drug or biologic products or choose to reserve our product candidates for use in limited circumstances. For additional information regarding our competition, see the section of our Annual Report on Form 10-K for the year ended December 31, 2023 titled </w:t>
      </w:r>
      <w:r>
        <w:rPr>
          <w:rFonts w:ascii="Arial" w:cs="Arial" w:eastAsia="Arial" w:hAnsi="Arial"/>
          <w:sz w:val="18"/>
          <w:szCs w:val="18"/>
          <w:i w:val="1"/>
          <w:iCs w:val="1"/>
          <w:color w:val="auto"/>
        </w:rPr>
        <w:t>“Business—Competition</w:t>
      </w:r>
      <w:r>
        <w:rPr>
          <w:rFonts w:ascii="Arial" w:cs="Arial" w:eastAsia="Arial" w:hAnsi="Arial"/>
          <w:sz w:val="18"/>
          <w:szCs w:val="18"/>
          <w:color w:val="auto"/>
        </w:rPr>
        <w:t>.”</w:t>
      </w:r>
    </w:p>
    <w:p>
      <w:pPr>
        <w:spacing w:after="0" w:line="181" w:lineRule="exact"/>
        <w:rPr>
          <w:sz w:val="20"/>
          <w:szCs w:val="20"/>
          <w:color w:val="auto"/>
        </w:rPr>
      </w:pPr>
    </w:p>
    <w:p>
      <w:pPr>
        <w:jc w:val="both"/>
        <w:ind w:right="20"/>
        <w:spacing w:after="0" w:line="278" w:lineRule="auto"/>
        <w:rPr>
          <w:sz w:val="20"/>
          <w:szCs w:val="20"/>
          <w:color w:val="auto"/>
        </w:rPr>
      </w:pPr>
      <w:r>
        <w:rPr>
          <w:rFonts w:ascii="Arial" w:cs="Arial" w:eastAsia="Arial" w:hAnsi="Arial"/>
          <w:sz w:val="18"/>
          <w:szCs w:val="18"/>
          <w:b w:val="1"/>
          <w:bCs w:val="1"/>
          <w:i w:val="1"/>
          <w:iCs w:val="1"/>
          <w:color w:val="auto"/>
        </w:rPr>
        <w:t>Even if we are able to commercialize any product candidates, such products may become subject to unfavorable pricing regulations, third-party reimbursement practices or healthcare reform initiatives, which would harm our business.</w:t>
      </w:r>
    </w:p>
    <w:p>
      <w:pPr>
        <w:spacing w:after="0" w:line="4"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In the United States and markets in other countries, patients generally rely on third-party payors to reimburse all or part of the costs associated with their treatment. Adequate coverage and reimbursement from governmental healthcare programs, such as Medicare and Medicaid, and commercial payors is critical to new product acceptance. Our ability to successfully commercialize any products that we may develop also will depend in part on the extent to which reimbursement for these products and related treatments will be available from government health administration authorities, private health insurers, and other organizations. Government authorities and third-party payors, such as private health insurers and health maintenance organizations, decide which medications they will pay for and establish reimbursement levels. For more information, see the section of our Annual Report on Form 10-K for the year ended December 31, 2023 titled “Business—Government Regulation—Coverage and Reimbursement.”</w:t>
      </w:r>
    </w:p>
    <w:p>
      <w:pPr>
        <w:spacing w:after="0" w:line="180"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A primary trend in the U.S. healthcare industry and elsewhere is cost containment. Government authorities and third-party payors have attempted to control costs by limiting coverage and the amount of reimbursement for particular medications. Government authorities currently impose mandatory discounts for certain patient groups, such as Medicare, Medicaid and Veterans Affairs, or VA, hospitals, and may seek to increase such discounts at any time. Future regulation may negatively impact the price of our products, if approved.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our product candidates may lose any marketing approval that may have been obtained and we may not achieve or sustain profitability, which would adversely affect our business.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1" w:name="page52"/>
    <w:bookmarkEnd w:id="51"/>
    <w:p>
      <w:pPr>
        <w:jc w:val="both"/>
        <w:ind w:right="20"/>
        <w:spacing w:after="0" w:line="272" w:lineRule="auto"/>
        <w:rPr>
          <w:sz w:val="20"/>
          <w:szCs w:val="20"/>
          <w:color w:val="auto"/>
        </w:rPr>
      </w:pPr>
      <w:r>
        <w:rPr>
          <w:rFonts w:ascii="Arial" w:cs="Arial" w:eastAsia="Arial" w:hAnsi="Arial"/>
          <w:sz w:val="18"/>
          <w:szCs w:val="18"/>
          <w:b w:val="1"/>
          <w:bCs w:val="1"/>
          <w:i w:val="1"/>
          <w:iCs w:val="1"/>
          <w:color w:val="auto"/>
        </w:rPr>
        <w:t>If the market opportunity for bel-sar is smaller than we estimate or if any regulatory approval that we obtain is based on a narrower definition of the patient population, our revenue and ability to achieve profitability will be adversely affected, possibly materially.</w:t>
      </w:r>
    </w:p>
    <w:p>
      <w:pPr>
        <w:spacing w:after="0" w:line="1"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The incidence and prevalence for target patient populations of bel-sar and any future product candidates has not been established with precision. Bel-sar is a VDC product candidate being developed for the first line treatment of early-stage choroidal melanoma. Our projections of both the number of people who have choroidal melanoma, as well as additional ocular oncology and bladder cancer indications, are based on our estimates.</w:t>
      </w:r>
    </w:p>
    <w:p>
      <w:pPr>
        <w:spacing w:after="0" w:line="174"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The total addressable market opportunity will ultimately depend upon, among other things, the patient criteria included in the final label, the indications for which bel-sar is approved for sale, acceptance by the medical community and patient access, product pricing and reimbursement. The number of patients with choroidal melanoma, metastases to the choroid, and bladder cancer for which bel-sar may be approved as treatment may turn out to be lower than expected, patients may not be otherwise amenable to treatment with our products, or new patients may become increasingly difficult to identify or gain access to, all of which would adversely affect our results of operations and our business. Bel-sar is our only product candidate and therefore our business is dependent on the market opportunity for our product.</w:t>
      </w:r>
    </w:p>
    <w:p>
      <w:pPr>
        <w:spacing w:after="0" w:line="181"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b w:val="1"/>
          <w:bCs w:val="1"/>
          <w:i w:val="1"/>
          <w:iCs w:val="1"/>
          <w:color w:val="auto"/>
        </w:rPr>
        <w:t>Our business operations and current and future relationships with investigators, healthcare professionals, consultants, third-party payors, patient organizations and customers will be subject to applicable healthcare regulatory laws, which could expose us to penalties.</w:t>
      </w:r>
    </w:p>
    <w:p>
      <w:pPr>
        <w:spacing w:after="0" w:line="24"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Our business operations and current and future arrangements with investigators, healthcare professionals, consultants, third-party payors, patient organizations and customers, may expose us to broadly applicable fraud and abuse and other healthcare laws. These laws may constrain the business or financial arrangements and relationships through which we conduct our operations, including how we research, market, sell and distribute our product candidates, if approved. For more information, see the section of our Annual Report on Form 10-K for the year ended December 31, 2023 titled “</w:t>
      </w:r>
      <w:r>
        <w:rPr>
          <w:rFonts w:ascii="Arial" w:cs="Arial" w:eastAsia="Arial" w:hAnsi="Arial"/>
          <w:sz w:val="18"/>
          <w:szCs w:val="18"/>
          <w:i w:val="1"/>
          <w:iCs w:val="1"/>
          <w:color w:val="auto"/>
        </w:rPr>
        <w:t>Business – Government Regulation – Health Care Laws and Regulations.”</w:t>
      </w:r>
    </w:p>
    <w:p>
      <w:pPr>
        <w:spacing w:after="0" w:line="176"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Additionally, we are subject to state and foreign equivalents of each of the healthcare laws and regulations described above, among others, some of which may be broader in scope and may apply regardless of the payor. Many states in the United States have adopted laws similar to the federal Anti-Kickback Statute and False Claims Act, and may apply to our business practices, including, but not limited to, research, distribution, sales or marketing arrangements and claims involving healthcare items or services reimbursed by non-governmental payors, including private insurers. In addition, some states have passed laws that require pharmaceutical companies to comply with the April 2003 Office of Inspector General Compliance Program Guidance for Pharmaceutical Manufacturers and/or the Pharmaceutical Research and Manufacturers of America’s Code on Interactions with Healthcare Professionals. Several states also impose other marketing restrictions or require pharmaceutical companies to make marketing or price disclosures to the state and require the registration of pharmaceutical sales representatives. State and foreign laws, including for example the General Data Protection Regulation, or GDPR, also govern the privacy and security of health information in some circumstances, many of which differ from each other in significant ways and often are not preempted by the Health Insurance Portability and Accountability Act, or HIPAA, thus complicating compliance efforts. There are ambiguities as to what is required to comply with these state requirements and if we fail to comply with an applicable state law requirement we could be subject to penalties. Finally, there are state and foreign laws governing the privacy and security of health information, many of which differ from each other in significant ways and often are not preempted by HIPAA, thus complicating compliance efforts.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3" w:right="339" w:bottom="1440" w:gutter="0" w:footer="0" w:header="0"/>
        </w:sectPr>
      </w:pPr>
    </w:p>
    <w:bookmarkStart w:id="52" w:name="page53"/>
    <w:bookmarkEnd w:id="52"/>
    <w:p>
      <w:pPr>
        <w:jc w:val="both"/>
        <w:ind w:firstLine="509"/>
        <w:spacing w:after="0" w:line="237" w:lineRule="auto"/>
        <w:rPr>
          <w:sz w:val="20"/>
          <w:szCs w:val="20"/>
          <w:color w:val="auto"/>
        </w:rPr>
      </w:pPr>
      <w:r>
        <w:rPr>
          <w:rFonts w:ascii="Arial" w:cs="Arial" w:eastAsia="Arial" w:hAnsi="Arial"/>
          <w:sz w:val="18"/>
          <w:szCs w:val="18"/>
          <w:color w:val="auto"/>
        </w:rPr>
        <w:t>The scope and enforcement of each of these laws is uncertain and subject to rapid change in the current environment of healthcare reform, especially in light of the lack of applicable precedent and regulations. Federal and state enforcement bodies have increased their scrutiny of interactions between healthcare companies and healthcare providers, which has led to a number of investigations, prosecutions, convictions and settlements in the healthcare industry. Ensuring that our internal operations and future business arrangements with third parties comply with applicable healthcare laws and regulations will involve substantial costs. It is possible that governmental authorities will conclude that our business practices do not comply with current or future statutes, regulations, agency guidance or case law involving applicable fraud and abuse or other healthcare laws and regulations. If our operations are found to be in violation of any of the laws described above or any other governmental laws and regulations that may apply to us, we may be subject to significant penalties, including administrative, civil and criminal penalties, damages, fines, disgorgement, the exclusion from participation in federal and state healthcare programs, individual imprisonment, reputational harm, and the curtailment or restructuring of our operations, as well as additional reporting obligations and oversight if we become subject to a corporate integrity agreement or other agreement to resolve allegations of non-compliance with these laws. Further, defending against any such actions can be costly and time consuming, and may require significant financial and personnel resources. Therefore, even if we are successful in defending against any such actions that may be brought against us, our business may be impaired. If any of the physicians or other providers or entities with whom we expect to do business is found to not be in compliance with applicable laws, they may be subject to criminal, civil or administrative sanctions, including exclusions from government funded healthcare programs and imprisonment. If any of the above occur, our ability to operate our business and our results of operations could be adversely affected.</w:t>
      </w:r>
    </w:p>
    <w:p>
      <w:pPr>
        <w:spacing w:after="0" w:line="186"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Current and future healthcare legislative reform measures may have a material adverse effect on our business and results of operations.</w:t>
      </w:r>
    </w:p>
    <w:p>
      <w:pPr>
        <w:spacing w:after="0" w:line="1"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The United States and many foreign jurisdictions have enacted and/or proposed legislative and regulatory changes affecting the healthcare system that could prevent or delay regulatory approval of our current or future product candidates or any future product candidates, restrict or regulate post-approval activities, and affect our ability to profitably sell a product for which we obtain regulatory approval. Changes in laws, regulations, statutes or the interpretation of existing laws and regulations could impact our business in the future by requiring, for example: (i) changes to our manufacturing arrangements, (ii) additions or modifications to product labeling, (iii) the recall or discontinuation of our products or (iv) additional record-keeping requirements. If any such changes were to be imposed, they could adversely affect the operation of our business. For more information, see the section of our Annual Report on Form 10-K for the year ended December 31, 2023 titled “Business—Government Regulation—Health Care Reform &amp; Legislative Updates.”</w:t>
      </w:r>
    </w:p>
    <w:p>
      <w:pPr>
        <w:spacing w:after="0" w:line="180"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In the United States, there have been, and continue to be, a significant number of legislative initiatives to contain healthcare costs. The United States has also sought to implement 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 care authorities and individual hospitals are increasingly using bidding procedures to determine what pharmaceutical products and which suppliers will be included in their prescription drug and other health care programs. These measures could reduce the ultimate demand for our products, once approved, or put pressure on our product pricing.</w:t>
      </w:r>
    </w:p>
    <w:p>
      <w:pPr>
        <w:spacing w:after="0" w:line="180"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We expect that additional state and federal healthcare reform measures will be adopted in the future, any of which could limit the amounts that federal and state governments will pay for healthcare products and services, which could result in reduced demand for our current or future product candidates or additional pricing pressures. In particular any policy changes through CMS as well as local state Medicaid programs could have a significant impact on our business.</w:t>
      </w:r>
    </w:p>
    <w:p>
      <w:pPr>
        <w:spacing w:after="0" w:line="174"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Our revenue prospects could be affected by changes in healthcare spending and policy in the United States and abroad. We operate in a highly regulated industry and new laws, regulations or judicial decisions, or new interpretations of existing laws, regulations or decisions, related to healthcare availability, the method of delivery or payment for healthcare products and services could negatively impact our business, operations and financial condition. The continuing efforts of the government, insurance companies, managed care organizations and other payors of healthcare services to contain or reduce costs of healthcare and/or impose price controls may adversely affect:</w:t>
      </w:r>
    </w:p>
    <w:p>
      <w:pPr>
        <w:spacing w:after="0" w:line="1" w:lineRule="exact"/>
        <w:rPr>
          <w:sz w:val="20"/>
          <w:szCs w:val="20"/>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the demand for our current or future product candidates, if we obtain regulatory approval;</w:t>
      </w:r>
    </w:p>
    <w:p>
      <w:pPr>
        <w:spacing w:after="0" w:line="4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set a price that we believe is fair for our products;</w:t>
      </w:r>
    </w:p>
    <w:p>
      <w:pPr>
        <w:spacing w:after="0" w:line="3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obtain coverage and reimbursement approval for a product;</w:t>
      </w:r>
    </w:p>
    <w:p>
      <w:pPr>
        <w:spacing w:after="0" w:line="4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to generate revenue and achieve or maintain profitability;</w:t>
      </w:r>
    </w:p>
    <w:p>
      <w:pPr>
        <w:spacing w:after="0" w:line="4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Arial" w:cs="Arial" w:eastAsia="Arial" w:hAnsi="Arial"/>
          <w:sz w:val="18"/>
          <w:szCs w:val="18"/>
          <w:color w:val="auto"/>
        </w:rPr>
        <w:t>the level of taxes that we are required to pay; and</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3" w:name="page54"/>
    <w:bookmarkEnd w:id="53"/>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Arial" w:cs="Arial" w:eastAsia="Arial" w:hAnsi="Arial"/>
          <w:sz w:val="18"/>
          <w:szCs w:val="18"/>
          <w:color w:val="auto"/>
        </w:rPr>
        <w:t>the availability of capital.</w:t>
      </w:r>
    </w:p>
    <w:p>
      <w:pPr>
        <w:spacing w:after="0" w:line="224"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Any reduction in reimbursement from Medicare or other government programs may result in a similar reduction in payments from private payors, which may adversely affect our future profitability.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65" w:lineRule="exact"/>
        <w:rPr>
          <w:sz w:val="20"/>
          <w:szCs w:val="20"/>
          <w:color w:val="auto"/>
        </w:rPr>
      </w:pPr>
    </w:p>
    <w:p>
      <w:pPr>
        <w:jc w:val="both"/>
        <w:ind w:right="20"/>
        <w:spacing w:after="0" w:line="272" w:lineRule="auto"/>
        <w:rPr>
          <w:sz w:val="20"/>
          <w:szCs w:val="20"/>
          <w:color w:val="auto"/>
        </w:rPr>
      </w:pPr>
      <w:r>
        <w:rPr>
          <w:rFonts w:ascii="Arial" w:cs="Arial" w:eastAsia="Arial" w:hAnsi="Arial"/>
          <w:sz w:val="18"/>
          <w:szCs w:val="18"/>
          <w:b w:val="1"/>
          <w:bCs w:val="1"/>
          <w:i w:val="1"/>
          <w:iCs w:val="1"/>
          <w:color w:val="auto"/>
        </w:rPr>
        <w:t>Our ability to compete may decline if we do not adequately protect our proprietary rights, and our proprietary rights do not necessarily address all potential threats to our competitive advantage.</w:t>
      </w:r>
    </w:p>
    <w:p>
      <w:pPr>
        <w:spacing w:after="0" w:line="1"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Our commercial success depends upon obtaining and maintaining proprietary rights to our intellectual property estate, including rights relating to our technology platform using HPV-derived VLPs to target tumors and VDCs like bel-sar, as well as successfully defending these rights against third-party challenges and successfully enforcing these rights to prevent third-party infringement. We will only be able to protect bel-sar or a future product candidate derived from our platform from unauthorized use by third parties to the extent that valid and enforceable patents cover it. Our ability to maintain patent protection for bel-sar or a future product candidate is uncertain due to a number of factors, including that:</w:t>
      </w:r>
    </w:p>
    <w:p>
      <w:pPr>
        <w:spacing w:after="0" w:line="3" w:lineRule="exact"/>
        <w:rPr>
          <w:sz w:val="20"/>
          <w:szCs w:val="20"/>
          <w:color w:val="auto"/>
        </w:rPr>
      </w:pPr>
    </w:p>
    <w:p>
      <w:pPr>
        <w:ind w:left="1020" w:hanging="503"/>
        <w:spacing w:after="0" w:line="257" w:lineRule="auto"/>
        <w:tabs>
          <w:tab w:leader="none" w:pos="102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others may design around our patent claims to produce competitive technologies, products or methods that fall outside of the scope of our patents;</w:t>
      </w:r>
    </w:p>
    <w:p>
      <w:pPr>
        <w:spacing w:after="0" w:line="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we may not obtain patent protection in all jurisdictions that may eventually provide us a significant business opportunity; and</w:t>
      </w:r>
    </w:p>
    <w:p>
      <w:pPr>
        <w:spacing w:after="0" w:line="3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Arial" w:cs="Arial" w:eastAsia="Arial" w:hAnsi="Arial"/>
          <w:sz w:val="18"/>
          <w:szCs w:val="18"/>
          <w:color w:val="auto"/>
        </w:rPr>
        <w:t>any patents issued to us may be successfully challenged by third parties.</w:t>
      </w:r>
    </w:p>
    <w:p>
      <w:pPr>
        <w:spacing w:after="0" w:line="224"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Even with our patents covering bel-sar, we may still not be able to make use or sell bel-sar or a future product candidate because of the patent rights of others. Others may have filed patent applications covering compositions, products or methods that are similar or identical to ours, which could materially affect our ability to successfully commercialize bel-sar or a future product candidate.</w:t>
      </w:r>
    </w:p>
    <w:p>
      <w:pPr>
        <w:spacing w:after="0" w:line="169"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The issuance of a patent is not conclusive as to its inventorship, scope, validity or enforceability, and our owned and licensed patents may be challenged in the courts or patent offices in the United States and abroad. Such challenges may result in loss of exclusivity or freedom to operate or in patent claims being narrowed, invalidated or held unenforceable, in whole or in part, which could limit our ability to stop others from using or commercializing similar or identical technology and products, or limit the duration of the patent protection of our technology and products. Moreover, patents have a limited lifespan. In the United States, the natural expiration of a patent is generally 20 years after it is filed. Various extensions may be available; however, the life of a patent, and the protection it affords, is limited.</w:t>
      </w:r>
    </w:p>
    <w:p>
      <w:pPr>
        <w:spacing w:after="0" w:line="179"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Obtaining and maintaining a patent portfolio entails significant expense, including periodic maintenance fees, renewal fees, annuity fees and various other governmental fees on patents and patent applications. These expenditures can be at numerous stages of prosecuting patent applications and over the lifetime of maintaining and enforcing issued patents. We may or may not choose to pursue or maintain protection for particular intellectual property in our portfolio. If we choose to forgo patent protection or to allow a patent application or patent to lapse purposefully or inadvertently, our competitive position could suffer. Furthermore, we employ reputable law firms and other professionals to help us comply with the various procedural, documentary, fee payment and other similar provisions we are subject to and, in many cases, an inadvertent lapse can be cured by payment of a late fee or by other means in accordance with the applicable rules. There are situations, however, in which failure to make certain payments or noncompliance with certain requirements in the patent process can result in abandonment or lapse of a patent or patent application, resulting in partial or complete loss of patent rights in the relevant jurisdiction. In such an event, our competitors might be able to enter the market, which would have a material adverse effect on our business.</w:t>
      </w:r>
    </w:p>
    <w:p>
      <w:pPr>
        <w:spacing w:after="0" w:line="180"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Legal action that may be required to enforce our patent rights can be expensive and may involve the diversion of significant management time. There can be no assurance that we will have sufficient financial or other resources to file and pursue infringement claims, which typically last for years before they are concluded. In addition, these legal actions could be unsuccessful and result in the invalidation of our patents, a finding that they are unenforceable or a requirement that we enter into a licensing agreement with or pay monies to a third party for use of technology covered by our patents. We may or may not choose to pursue litigation or other actions against those that have infringed on our patents, or have used them without authorization, due to the associated expense and time commitment of monitoring these activities. If we fail to successfully protect or enforce our intellectual property rights, our competitive position could suffer, which could harm our results of operations.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5" w:right="339" w:bottom="1440" w:gutter="0" w:footer="0" w:header="0"/>
        </w:sectPr>
      </w:pPr>
    </w:p>
    <w:bookmarkStart w:id="54" w:name="page55"/>
    <w:bookmarkEnd w:id="54"/>
    <w:p>
      <w:pPr>
        <w:jc w:val="both"/>
        <w:spacing w:after="0" w:line="272" w:lineRule="auto"/>
        <w:rPr>
          <w:sz w:val="20"/>
          <w:szCs w:val="20"/>
          <w:color w:val="auto"/>
        </w:rPr>
      </w:pPr>
      <w:r>
        <w:rPr>
          <w:rFonts w:ascii="Arial" w:cs="Arial" w:eastAsia="Arial" w:hAnsi="Arial"/>
          <w:sz w:val="18"/>
          <w:szCs w:val="18"/>
          <w:b w:val="1"/>
          <w:bCs w:val="1"/>
          <w:i w:val="1"/>
          <w:iCs w:val="1"/>
          <w:color w:val="auto"/>
        </w:rPr>
        <w:t>We may need to license intellectual property from third parties, and such licenses may not be available or may not be available on commercially reasonable terms.</w:t>
      </w:r>
    </w:p>
    <w:p>
      <w:pPr>
        <w:spacing w:after="0" w:line="1"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A third party may hold intellectual property rights, including patent rights, that are important or necessary to the development of bel-sar or any future product candidates. It may be necessary for us to use the patented or proprietary technology of third parties to commercialize bel-sar or any future product candidates, in which case we would be required to obtain a license from these third parties. Such a license may not be available on commercially reasonable terms, or at all, and we could be forced to accept unfavorable contractual terms. If we are unable to obtain such licenses on commercially reasonable terms, our business could be harmed.</w:t>
      </w:r>
    </w:p>
    <w:p>
      <w:pPr>
        <w:spacing w:after="0" w:line="176"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The growth of our business may depend in part on our ability to acquire, in-license or use third-party proprietary rights. We may be unable to acquire or in-license any such proprietary rights from third parties that we identify as necessary or important to our business operations. In addition, we may fail to obtain any of these licenses at a reasonable cost or on reasonable terms, if at all. Were that to happen, we may need to cease use of the compositions or methods covered by those third-party intellectual property rights, and may need to seek to develop alternative approaches that do not infringe on those intellectual property rights, which may entail additional costs and development delays, even if we were able to develop such alternatives, which may not be feasible. Even if we are able to obtain a license, it may be non-exclusive, which means that our competitors may also receive access to the same technologies licensed to us. In that event, we may be required to expend significant time and resources to develop or license replacement technology.</w:t>
      </w:r>
    </w:p>
    <w:p>
      <w:pPr>
        <w:spacing w:after="0" w:line="182" w:lineRule="exact"/>
        <w:rPr>
          <w:sz w:val="20"/>
          <w:szCs w:val="20"/>
          <w:color w:val="auto"/>
        </w:rPr>
      </w:pPr>
    </w:p>
    <w:p>
      <w:pPr>
        <w:jc w:val="both"/>
        <w:spacing w:after="0" w:line="249" w:lineRule="auto"/>
        <w:rPr>
          <w:sz w:val="20"/>
          <w:szCs w:val="20"/>
          <w:color w:val="auto"/>
        </w:rPr>
      </w:pPr>
      <w:r>
        <w:rPr>
          <w:rFonts w:ascii="Arial" w:cs="Arial" w:eastAsia="Arial" w:hAnsi="Arial"/>
          <w:sz w:val="18"/>
          <w:szCs w:val="18"/>
          <w:b w:val="1"/>
          <w:bCs w:val="1"/>
          <w:i w:val="1"/>
          <w:iCs w:val="1"/>
          <w:color w:val="auto"/>
        </w:rPr>
        <w:t>We rely on intellectual property licensed from third parties. We face risks with respect to such reliance, including the risk that, if we fail to comply with our obligations in the agreements under which we license intellectual property rights from third parties or otherwise experience disruptions to our business relationships with our licensors, we could lose license rights that are important to our business.</w:t>
      </w:r>
    </w:p>
    <w:p>
      <w:pPr>
        <w:spacing w:after="0" w:line="30"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We are a party to a number of intellectual property license agreements that are important to our business. Our existing license agreements impose on us various diligence, milestone payment, royalty and other obligations. If we fail to comply with any of our obligations under these agreements, or we are subject to a bankruptcy, our licensors may have the right to terminate the license, in which event we would not be able to market any products covered by the license.</w:t>
      </w:r>
    </w:p>
    <w:p>
      <w:pPr>
        <w:spacing w:after="0" w:line="17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Disputes may also arise between us and our licensors regarding intellectual property subject to a license agreement, including:</w:t>
      </w:r>
    </w:p>
    <w:p>
      <w:pPr>
        <w:spacing w:after="0" w:line="32" w:lineRule="exact"/>
        <w:rPr>
          <w:sz w:val="20"/>
          <w:szCs w:val="20"/>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the scope of rights granted and related obligations under the license agreement and other interpretation-related issues;</w:t>
      </w:r>
    </w:p>
    <w:p>
      <w:pPr>
        <w:spacing w:after="0" w:line="39" w:lineRule="exact"/>
        <w:rPr>
          <w:rFonts w:ascii="Times New Roman" w:cs="Times New Roman" w:eastAsia="Times New Roman" w:hAnsi="Times New Roman"/>
          <w:sz w:val="18"/>
          <w:szCs w:val="18"/>
          <w:color w:val="auto"/>
        </w:rPr>
      </w:pPr>
    </w:p>
    <w:p>
      <w:pPr>
        <w:ind w:left="1020" w:hanging="503"/>
        <w:spacing w:after="0" w:line="257" w:lineRule="auto"/>
        <w:tabs>
          <w:tab w:leader="none" w:pos="102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our licensor’s right to license or sublicense patent and other rights to us, and whether and the extent to which the right is retained by a third party;</w:t>
      </w:r>
    </w:p>
    <w:p>
      <w:pPr>
        <w:spacing w:after="0" w:line="1" w:lineRule="exact"/>
        <w:rPr>
          <w:rFonts w:ascii="Times New Roman" w:cs="Times New Roman" w:eastAsia="Times New Roman" w:hAnsi="Times New Roman"/>
          <w:sz w:val="18"/>
          <w:szCs w:val="18"/>
          <w:color w:val="auto"/>
        </w:rPr>
      </w:pPr>
    </w:p>
    <w:p>
      <w:pPr>
        <w:ind w:left="1020" w:hanging="503"/>
        <w:spacing w:after="0" w:line="255" w:lineRule="auto"/>
        <w:tabs>
          <w:tab w:leader="none" w:pos="102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whether and the extent to which our technology infringes on intellectual property of the licensor that is not subject to the licensing agreement;</w:t>
      </w: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our right to sublicense patent and other rights to third parties under collaborative development relationships;</w:t>
      </w:r>
    </w:p>
    <w:p>
      <w:pPr>
        <w:spacing w:after="0" w:line="39" w:lineRule="exact"/>
        <w:rPr>
          <w:rFonts w:ascii="Times New Roman" w:cs="Times New Roman" w:eastAsia="Times New Roman" w:hAnsi="Times New Roman"/>
          <w:sz w:val="18"/>
          <w:szCs w:val="18"/>
          <w:color w:val="auto"/>
        </w:rPr>
      </w:pPr>
    </w:p>
    <w:p>
      <w:pPr>
        <w:ind w:left="1020" w:hanging="503"/>
        <w:spacing w:after="0" w:line="257" w:lineRule="auto"/>
        <w:tabs>
          <w:tab w:leader="none" w:pos="102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our diligence obligations with respect to the use of the licensed technology in relation to our development and commercialization of bel-sar or any future product candidates, and what activities satisfy those diligence obligations; and</w:t>
      </w:r>
    </w:p>
    <w:p>
      <w:pPr>
        <w:spacing w:after="0" w:line="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Arial" w:cs="Arial" w:eastAsia="Arial" w:hAnsi="Arial"/>
          <w:sz w:val="18"/>
          <w:szCs w:val="18"/>
          <w:color w:val="auto"/>
        </w:rPr>
        <w:t>the ownership of inventions and know-how resulting from the joint creation or use of intellectual property by our licensors and us.</w:t>
      </w:r>
    </w:p>
    <w:p>
      <w:pPr>
        <w:spacing w:after="0" w:line="224" w:lineRule="exact"/>
        <w:rPr>
          <w:sz w:val="20"/>
          <w:szCs w:val="20"/>
          <w:color w:val="auto"/>
        </w:rPr>
      </w:pPr>
    </w:p>
    <w:p>
      <w:pPr>
        <w:jc w:val="both"/>
        <w:ind w:right="20" w:firstLine="509"/>
        <w:spacing w:after="0" w:line="271" w:lineRule="auto"/>
        <w:rPr>
          <w:sz w:val="20"/>
          <w:szCs w:val="20"/>
          <w:color w:val="auto"/>
        </w:rPr>
      </w:pPr>
      <w:r>
        <w:rPr>
          <w:rFonts w:ascii="Arial" w:cs="Arial" w:eastAsia="Arial" w:hAnsi="Arial"/>
          <w:sz w:val="18"/>
          <w:szCs w:val="18"/>
          <w:color w:val="auto"/>
        </w:rPr>
        <w:t>If disputes over intellectual property that we have licensed prevent or impair our ability to maintain our current licensing arrangements on acceptable terms, we may be unable to successfully develop and commercialize the affected product candidates.</w:t>
      </w:r>
    </w:p>
    <w:p>
      <w:pPr>
        <w:spacing w:after="0" w:line="154"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In addition, disputes may arise regarding the payment of the royalties due to licensors in connection with our exploitation of the rights we license from them. Licensors may contest the basis of royalties we retained and claim that we are obligated to make payments under a broader basis. Such disputes may be costly to resolve and may divert management’s attention away from day-to-day activities. In addition to the costs of any litigation we may face, any legal action against us could increase our payment obligations under the respective agreement and require us to pay interest and potentially damages to such licensors. If disputes over intellectual property that we have licensed from third parties prevent or impair our ability to maintain our licensing arrangements on acceptable terms, we or our collaborators may be unable to successfully manufacture and commercialize bel-sar or a future product candidate.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3" w:right="339" w:bottom="1440" w:gutter="0" w:footer="0" w:header="0"/>
        </w:sectPr>
      </w:pPr>
    </w:p>
    <w:bookmarkStart w:id="55" w:name="page56"/>
    <w:bookmarkEnd w:id="55"/>
    <w:p>
      <w:pPr>
        <w:jc w:val="both"/>
        <w:ind w:firstLine="509"/>
        <w:spacing w:after="0" w:line="247" w:lineRule="auto"/>
        <w:rPr>
          <w:sz w:val="20"/>
          <w:szCs w:val="20"/>
          <w:color w:val="auto"/>
        </w:rPr>
      </w:pPr>
      <w:r>
        <w:rPr>
          <w:rFonts w:ascii="Arial" w:cs="Arial" w:eastAsia="Arial" w:hAnsi="Arial"/>
          <w:sz w:val="18"/>
          <w:szCs w:val="18"/>
          <w:color w:val="auto"/>
        </w:rPr>
        <w:t>If we fail to comply with our obligations under the license agreements, our licensors may have the right to terminate these agreements, in which event we might not be able to manufacture or market bel-sar or a future product candidate. Termination of these agreements or reduction or elimination of our rights under these agreements may result in our having to negotiate new or reinstated agreements with less favorable terms or cause us to lose our rights under these agreements, including our rights to important intellectual property or technology.</w:t>
      </w:r>
    </w:p>
    <w:p>
      <w:pPr>
        <w:spacing w:after="0" w:line="17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If we do not obtain patent term extension in the United States under the Hatch-Waxman Act and in foreign countries under similar legislation with respect to bel-sar or a future product candidate, thereby potentially extending the term of marketing exclusivity for such product, our business may be harmed.</w:t>
      </w:r>
    </w:p>
    <w:p>
      <w:pPr>
        <w:spacing w:after="0" w:line="11"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In the United States, a patent that covers an FDA-approved drug or biologic may be eligible for a term extension designed to restore the period of the patent term that is lost during the premarket regulatory review process conducted by the FDA. Depending upon the timing, duration and conditions of the FDA marketing approval of our product candidates, one or more of our owned, co-owned, or in-licensed U.S. patents may be eligible for limited patent term extension under the Drug Price Competition and Patent Term Restoration Act of 1984, or the Hatch-Waxman Act. The Hatch-Waxman Act permits a patent restoration term of up to five years as compensation for patent term lost during product development and the FDA regulatory review process. The Hatch-Waxman Act allows a maximum of one patent to be extended per FDA-approved product as compensation for the patent term lost during the FDA regulatory review process. A patent term extension cannot extend the remaining term of a patent beyond a total of 14 years from the date of product approval and only those claims covering such approved drug product, a method for using it or a method for manufacturing it may be extended. In the EU, bel-sar or a future product candidate may be eligible for term extensions based on similar legislation. In either jurisdiction, however, we may not receive an extension if we fail to apply within applicable deadlines, fail to apply prior to expiration of relevant patents or otherwise fail to satisfy applicable requirements. Even if we are granted such extension, the duration of such extension may be less than our request. If we are unable to obtain a patent term extension, or if the term of any such extension is less than our request, the period during which we can enforce our patent rights for that product will be in effect shortened and our competitors may obtain approval to market competing products sooner. The resulting reduction of years of revenue from applicable products could be substantial.</w:t>
      </w:r>
    </w:p>
    <w:p>
      <w:pPr>
        <w:spacing w:after="0" w:line="190"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Patents and patent applications involve highly complex legal and factual questions, which, if determined adversely to us, could negatively impact our patent position.</w:t>
      </w:r>
    </w:p>
    <w:p>
      <w:pPr>
        <w:spacing w:after="0" w:line="4"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 xml:space="preserve">The patent positions of biopharmaceutical and biotechnology companies and other actors in our fields of business can be highly uncertain and typically involve complex scientific, legal and factual analyses. In particular, the interpretation and breadth of claims allowed in some patents covering biopharmaceutical compositions may be uncertain and difficult to determine and are often affected materially by the facts and circumstances that pertain to the patented compositions and the related patent claims. The standards of the U.S. Patent and Trademark Office, or the USPTO, and its foreign counterparts are sometimes uncertain and could change in the future. Consequently, the issuance and scope of patents cannot be predicted with certainty. Patents, if issued, may be challenged, invalidated or circumvented. The U.S. patents and patent applications may also be subject to interference or derivation proceedings, and the U.S. patents may be subject to reexamination proceedings, post-grant review and/or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in the USPTO. International patents may also be subject to opposition or comparable proceedings in the corresponding international patent office, which could result in either loss of the patent or denial of the patent application or loss or reduction in the scope of one or more of the claims of the patent or patent application. In addition, such interference, derivation, reexamination, post-grant review,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and opposition proceedings may be costly. Accordingly, rights under any issued patents may not provide us with sufficient protection against competitive products or processes.</w:t>
      </w:r>
    </w:p>
    <w:p>
      <w:pPr>
        <w:spacing w:after="0" w:line="183"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Furthermore, even if not challenged, our patents and patent applications may not prevent others from designing their products to avoid being covered by our claims. If the breadth or strength of protection provided by the patent applications we hold with respect to bel-sar or a future product candidate is threatened, it could dissuade companies from collaborating with us to develop, and could threaten our or their ability to successfully commercialize, bel-sar or a future product candidate.</w:t>
      </w:r>
    </w:p>
    <w:p>
      <w:pPr>
        <w:spacing w:after="0" w:line="174"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In addition, changes in, or different interpretations of, patent laws in the United States and other countries may permit others to use our discoveries or to develop and commercialize our technology without providing any compensation to us, may limit the scope of patent protection that we are able to obtain. The laws of some countries do not protect intellectual property rights to the same extent as the U.S. laws, and those countries may lack adequate rules and procedures for defending our intellectual property rights.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6" w:name="page57"/>
    <w:bookmarkEnd w:id="56"/>
    <w:p>
      <w:pPr>
        <w:jc w:val="both"/>
        <w:spacing w:after="0" w:line="249" w:lineRule="auto"/>
        <w:rPr>
          <w:sz w:val="20"/>
          <w:szCs w:val="20"/>
          <w:color w:val="auto"/>
        </w:rPr>
      </w:pPr>
      <w:r>
        <w:rPr>
          <w:rFonts w:ascii="Arial" w:cs="Arial" w:eastAsia="Arial" w:hAnsi="Arial"/>
          <w:sz w:val="18"/>
          <w:szCs w:val="18"/>
          <w:b w:val="1"/>
          <w:bCs w:val="1"/>
          <w:i w:val="1"/>
          <w:iCs w:val="1"/>
          <w:color w:val="auto"/>
        </w:rPr>
        <w:t>Third parties may assert claims against us alleging infringement of their patents and proprietary rights, or we may need to become involved in lawsuits to defend or enforce our patents, either of which could result in substantial costs or loss of productivity, delay or prevent the development and commercialization of product candidates, prohibit our use of proprietary technology or sale of potential products or put our patents and other proprietary rights at risk.</w:t>
      </w:r>
    </w:p>
    <w:p>
      <w:pPr>
        <w:spacing w:after="0" w:line="17"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 xml:space="preserve">Our commercial success depends upon our ability to develop, manufacture, market and sell bel-sar or a future product candidate without alleged or actual infringement, misappropriation or other violation of the patents and proprietary rights of third parties. Litigation relating to infringement or misappropriation of patent and other intellectual property rights in the biotechnology industry is common, including patent infringement lawsuits, interferences, oppositions, reexamination proceedings, post-grant review, and/or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before the USPTO and corresponding international patent offices. The various markets in which we plan to operate are subject to frequent and extensive litigation regarding patents and other intellectual property rights. In addition, many companies in intellectual property-dependent industries, including the biotechnology and pharmaceutical industries, have employed intellectual property litigation as a means to gain an advantage over their competitors. As a result of any patent infringement claims, or in order to avoid any potential infringement claims, we may choose to seek, or be required to seek, a license from the third-party, which may require payment of substantial royalties or fees, or require us to grant a cross-license under our intellectual property rights. These licenses may not be available on reasonable terms or at all. Even if a license can be obtained on reasonable terms, the rights may be nonexclusive, which would give our competitors access to the same intellectual property rights. If we are unable to enter into a license on acceptable terms, we could be prevented from commercializing bel-sar or a future product candidate, or forced to modify bel-sar or a future product candidate, or to cease some aspect of our business operations, which could harm our business significantly. We might also be forced to redesign or modify our technology or product candidates so that we no longer infringe the third-party intellectual property rights, which may result in significant cost or delay to us, or which redesign or modification could be impossible or technically infeasible. Even if we were ultimately to prevail, any of these events could require us to divert substantial financial and management resources that we would otherwise be able to devote to our business.</w:t>
      </w:r>
    </w:p>
    <w:p>
      <w:pPr>
        <w:spacing w:after="0" w:line="184"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Further, if a patent infringement suit is brought against us or our third-party service providers, our development, manufacturing or sales activities relating to bel-sar or a future product candidate that is the subject of the suit may be delayed or terminated. In addition, defending such claims may cause us to incur substantial expenses and, if successful, could cause us to pay substantial damages if we are found to be infringing a third-party’s patent rights. These damages potentially could include increased damages and attorneys’ fees if we are found to have infringed such rights willfully. Some claimants may have substantially greater resources than we do and may be able to sustain the costs of complex intellectual property litigation to a greater degree and for longer periods of time than we could. In addition, patent holding companies that focus solely on extracting royalties and settlements by enforcing patent rights may target us. In addition, if the breadth or strength of protection provided by the patents and patent applications we own or in-license is threatened, it could dissuade companies from collaborating with us to license, develop or commercialize current or future product candidates.</w:t>
      </w:r>
    </w:p>
    <w:p>
      <w:pPr>
        <w:spacing w:after="0" w:line="183"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We may in the future be subject to third-party claims and similar adversarial proceedings or litigation in other jurisdictions regarding our infringement of the patent rights of third parties. Even if such claims are without merit, a court of competent jurisdiction could hold that these third-party patents are valid, enforceable and infringed, and the holders of any such patents may be able to block our ability to further develop or commercialize bel-sar or a future product candidate unless we obtain a license under the applicable patents, or until such patents expire or are finally determined to be invalid or unenforceable.</w:t>
      </w:r>
    </w:p>
    <w:p>
      <w:pPr>
        <w:spacing w:after="0" w:line="176"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If we or one of our licensors were to initiate legal proceedings against a third party to enforce a patent covering our technology or a product candidate, the defendant could counterclaim that our patent is invalid or unenforceable. In patent litigation in the United States and Europe, defendant counterclaims alleging invalidity or unenforceability are common. Grounds for a validity challenge could be an alleged failure to meet any of several statutory requirements, for example, lack of novelty, obviousness or non-enablement. The outcome of proceedings involving assertions of invalidity and unenforceability during patent litigation is unpredictable. With respect to the validity of patents, for example, we cannot be certain that there is no invalidating prior art of which we and the patent examiner were unaware during prosecution, but that an adverse third party may identify and submit in support of such assertions of invalidity. If a defendant were to prevail on a legal assertion of invalidity or unenforceability, we would lose at least part of the patent protection on bel-sar or a future product candidate.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3" w:right="339" w:bottom="1440" w:gutter="0" w:footer="0" w:header="0"/>
        </w:sectPr>
      </w:pPr>
    </w:p>
    <w:bookmarkStart w:id="57" w:name="page58"/>
    <w:bookmarkEnd w:id="57"/>
    <w:p>
      <w:pPr>
        <w:jc w:val="both"/>
        <w:spacing w:after="0" w:line="272" w:lineRule="auto"/>
        <w:rPr>
          <w:sz w:val="20"/>
          <w:szCs w:val="20"/>
          <w:color w:val="auto"/>
        </w:rPr>
      </w:pPr>
      <w:r>
        <w:rPr>
          <w:rFonts w:ascii="Arial" w:cs="Arial" w:eastAsia="Arial" w:hAnsi="Arial"/>
          <w:sz w:val="18"/>
          <w:szCs w:val="18"/>
          <w:b w:val="1"/>
          <w:bCs w:val="1"/>
          <w:i w:val="1"/>
          <w:iCs w:val="1"/>
          <w:color w:val="auto"/>
        </w:rPr>
        <w:t>We will not seek to protect our intellectual property rights in all jurisdictions throughout the world, and we may not be able to adequately enforce our intellectual property rights even in the jurisdictions where we seek protection.</w:t>
      </w:r>
    </w:p>
    <w:p>
      <w:pPr>
        <w:spacing w:after="0" w:line="1"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Filing, prosecuting and defending patents on bel-sar or a future product candidate in all countries and jurisdictions throughout the world would be prohibitively expensive, and our intellectual property rights in some countries outside the United States could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U.S., or from selling or importing products made using our inventions in and into the U.S. or other jurisdictions.</w:t>
      </w:r>
    </w:p>
    <w:p>
      <w:pPr>
        <w:spacing w:after="0" w:line="176"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We have and have applied for patents in those countries where we intend to make, have made, use, offer for sale or sell products and where we assess the risk of infringement to justify the cost of seeking patent protection. Competitors may use our technologies in jurisdictions where we do not pursue and obtain patent protection to develop their own products and may export otherwise infringing products to territories where we have patent protection, but where our ability to enforce our patent rights is not as strong as in the United States. These products may compete with any products that we may develop, and our patents or other intellectual property rights may not be effective or sufficient to prevent such competition.</w:t>
      </w:r>
    </w:p>
    <w:p>
      <w:pPr>
        <w:spacing w:after="0" w:line="179"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The laws of some other countries do not protect intellectual property rights to the same extent as the laws of the United States. For example, European patent law restricts the patentability of methods of treatment of the human body more than U.S. law does. Patent protection must ultimately be sought on a country-by-country basis, which is an expensive and time-consuming process with uncertain outcomes. Accordingly, we chose not to seek patent protection in certain countries, and we will not have the benefit of patent protection in such countries. In addition, the legal systems of some countries, particularly developing countries, do not favor the enforcement of patents and other intellectual property protection, especially those relating to biopharmaceuticals or biotechnologies. As a result, many companies have encountered significant difficulties in protecting and defending intellectual property rights in certain jurisdictions outside the United States. Such issues may make it difficult for us to stop the infringement of our patents, if obtained, or the misappropriation of our other intellectual property rights.</w:t>
      </w:r>
    </w:p>
    <w:p>
      <w:pPr>
        <w:spacing w:after="0" w:line="183"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Furthermore, proceedings to enforce our patent rights in foreign jurisdictions could result in substantial costs and divert our efforts and attention from other aspects of our business, subject our patents to the risk of being invalidated or interpreted narrowly, subject our patent applications to the risk of not issuing or provoke third parties to assert claims against us. We may not prevail in any lawsuits that we initiate, and the damages or other remedies awarded to us, if any, may not be commercially meaningful, while the damages and other remedies we may be ordered to pay such third parties may be significant. Accordingly, our efforts to enforce our intellectual property rights around the world may be inadequate to obtain a significant commercial advantage from the intellectual property that we develop or license.</w:t>
      </w:r>
    </w:p>
    <w:p>
      <w:pPr>
        <w:spacing w:after="0" w:line="181"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If we or our licensors are unable to protect the confidentiality of the proprietary information related to our product or process, our business and competitive position would be harmed.</w:t>
      </w:r>
    </w:p>
    <w:p>
      <w:pPr>
        <w:spacing w:after="0" w:line="4" w:lineRule="exact"/>
        <w:rPr>
          <w:sz w:val="20"/>
          <w:szCs w:val="20"/>
          <w:color w:val="auto"/>
        </w:rPr>
      </w:pPr>
    </w:p>
    <w:p>
      <w:pPr>
        <w:jc w:val="both"/>
        <w:ind w:firstLine="509"/>
        <w:spacing w:after="0" w:line="231" w:lineRule="auto"/>
        <w:rPr>
          <w:sz w:val="20"/>
          <w:szCs w:val="20"/>
          <w:color w:val="auto"/>
        </w:rPr>
      </w:pPr>
      <w:r>
        <w:rPr>
          <w:rFonts w:ascii="Arial" w:cs="Arial" w:eastAsia="Arial" w:hAnsi="Arial"/>
          <w:sz w:val="18"/>
          <w:szCs w:val="18"/>
          <w:color w:val="auto"/>
        </w:rPr>
        <w:t>We and our licensors rely on confidentiality agreements to protect unpatented know-how, technology and other proprietary information related to our product and process, to maintain our competitive position. For example, our licensor Rakuten (previously LI-COR) maintains its manufacture of IRDye 700DX</w:t>
      </w:r>
      <w:r>
        <w:rPr>
          <w:rFonts w:ascii="Arial" w:cs="Arial" w:eastAsia="Arial" w:hAnsi="Arial"/>
          <w:sz w:val="24"/>
          <w:szCs w:val="24"/>
          <w:color w:val="auto"/>
          <w:vertAlign w:val="superscript"/>
        </w:rPr>
        <w:t>®</w:t>
      </w:r>
      <w:r>
        <w:rPr>
          <w:rFonts w:ascii="Arial" w:cs="Arial" w:eastAsia="Arial" w:hAnsi="Arial"/>
          <w:sz w:val="18"/>
          <w:szCs w:val="18"/>
          <w:color w:val="auto"/>
        </w:rPr>
        <w:t xml:space="preserve"> dye molecules (used in bel-sar) as a trade secret. Trade secrets and know-how can be difficult to protect. In particular, the trade secrets and know-how in connection with our development programs and other proprietary technology we may develop may over time be disseminated within the industry through independent development, the publication of journal articles describing the methodology and the movement of personnel with scientific positions in academic and industry.</w:t>
      </w:r>
    </w:p>
    <w:p>
      <w:pPr>
        <w:spacing w:after="0" w:line="183"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We seek to protect our proprietary information, in part, by entering into non-disclosure and confidentiality agreements with parties who have access to them, such as our employees, corporate collaborators, outside scientific collaborators, contract manufacturers, consultants, advisors and other third parties. We also enter into confidentiality and invention or patent assignment agreements with our employees and consultants. Despite these efforts, any of these parties may breach the agreements and disclose our proprietary information. Monitoring unauthorized uses and disclosures of our intellectual property is difficult, and we do not know whether the steps we have taken to protect our intellectual property will be effective. In addition, we may not be able to obtain adequate remedies for any such breaches. Enforcing a claim that a party illegally disclosed or misappropriated proprietary information is difficult, expensive and time-consuming, and the outcome is unpredictable. In addition, some courts inside and outside the United States are less willing or are unwilling to protect trade secrets.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3" w:right="339" w:bottom="1440" w:gutter="0" w:footer="0" w:header="0"/>
        </w:sectPr>
      </w:pPr>
    </w:p>
    <w:bookmarkStart w:id="58" w:name="page59"/>
    <w:bookmarkEnd w:id="58"/>
    <w:p>
      <w:pPr>
        <w:jc w:val="both"/>
        <w:ind w:firstLine="509"/>
        <w:spacing w:after="0"/>
        <w:rPr>
          <w:sz w:val="20"/>
          <w:szCs w:val="20"/>
          <w:color w:val="auto"/>
        </w:rPr>
      </w:pPr>
      <w:r>
        <w:rPr>
          <w:rFonts w:ascii="Arial" w:cs="Arial" w:eastAsia="Arial" w:hAnsi="Arial"/>
          <w:sz w:val="18"/>
          <w:szCs w:val="18"/>
          <w:color w:val="auto"/>
        </w:rPr>
        <w:t>We may be subject to claims that third parties have an ownership interest in our trade secrets. For example, we may have disputes arise from conflicting obligations of our employees, consultants or others who are involved in developing bel-sar. Litigation may be necessary to defend against these and other claims challenging ownership of our trade secrets. If we fail in defending any such claims, in addition to paying monetary damages, we may lose valuable trade secret rights, such as exclusive ownership of, or right to use, trade secrets that are important to our therapeutic programs and other proprietary technologies we may develop. Such an outcome could have a materially adverse effect on our business. Even if we are successful in defending against such claims, litigation could result in substantial costs and be a distraction to our management and other employees.</w:t>
      </w:r>
    </w:p>
    <w:p>
      <w:pPr>
        <w:spacing w:after="0" w:line="185"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Moreover, our competitors may independently develop knowledge, methods and know-how equivalent to our proprietary information. Competitors could purchase our products and replicate some or all of the competitive advantages we derive from our development efforts for technologies on which we do not have patent protection. If any of our proprietary information were to be lawfully obtained or independently developed by a competitor, we would have no right to prevent them, or those to whom they communicate it, from using that technology or information to compete with us. If any of our proprietary information were to be disclosed to or independently developed by a competitor, our competitive position would be harmed.</w:t>
      </w:r>
    </w:p>
    <w:p>
      <w:pPr>
        <w:spacing w:after="0" w:line="179"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We also seek to preserve the integrity and confidentiality of our data and other confidential information by maintaining physical security of our premises and physical and electronic security of our information technology systems. While we have confidence in these individuals, organizations and systems, agreements or security measures may be breached or subject to unauthorized access and detecting the disclosure or misappropriation of confidential information and enforcing a claim that a party illegally disclosed or misappropriated confidential information is difficult, expensive and time-consuming, and the outcome is unpredictable. Further, we may not be able to obtain adequate remedies for any cybersecurity incident or breach. In addition, our confidential information may otherwise become known or be independently discovered by competitors, in which case we would have no right to prevent them, or those to whom they communicate it, from using that technology or information to compete with us, which could have a material adverse effect on our business, financial condition, results of operations and prospects.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65" w:lineRule="exact"/>
        <w:rPr>
          <w:sz w:val="20"/>
          <w:szCs w:val="20"/>
          <w:color w:val="auto"/>
        </w:rPr>
      </w:pPr>
    </w:p>
    <w:p>
      <w:pPr>
        <w:jc w:val="both"/>
        <w:ind w:right="20"/>
        <w:spacing w:after="0" w:line="278" w:lineRule="auto"/>
        <w:rPr>
          <w:sz w:val="20"/>
          <w:szCs w:val="20"/>
          <w:color w:val="auto"/>
        </w:rPr>
      </w:pPr>
      <w:r>
        <w:rPr>
          <w:rFonts w:ascii="Arial" w:cs="Arial" w:eastAsia="Arial" w:hAnsi="Arial"/>
          <w:sz w:val="18"/>
          <w:szCs w:val="18"/>
          <w:b w:val="1"/>
          <w:bCs w:val="1"/>
          <w:i w:val="1"/>
          <w:iCs w:val="1"/>
          <w:color w:val="auto"/>
        </w:rPr>
        <w:t>If we lose key management personnel, or if we fail to recruit additional highly skilled personnel, our ability to pursue our business strategy will be impaired, could result in loss of markets or market share and could make us less competitive.</w:t>
      </w:r>
    </w:p>
    <w:p>
      <w:pPr>
        <w:spacing w:after="0" w:line="4"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Our ability to compete in the highly competitive biopharmaceutical industries depends upon our ability to attract, manage, motivate and retain highly qualified managerial, scientific and medical personnel. We are highly dependent on our management, scientific and medical personnel. The loss of the services of any of our executive officers, other key employees, and other scientific and medical advisors, and our inability to find suitable replacements for these individuals could harm our business. 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 If we are unable to continue to attract and retain high quality personnel, our ability to pursue our growth strategy will be limited.</w:t>
      </w:r>
    </w:p>
    <w:p>
      <w:pPr>
        <w:spacing w:after="0" w:line="180"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Competition for skilled personnel in our industry is intense and may limit our ability to hire and retain highly qualified personnel on acceptable terms, in a timely manner or at all. In particular, we have experienced a very competitive hiring environment in the Boston area, where we are headquartered. Many of the other pharmaceutical companies that we compete against for qualified personnel have greater financial and other resources, different risk profiles and a longer history in the industry than we do. They also may provide more diverse opportunities and better chances for career advancement. Some of these characteristics may be more appealing to high-quality candidates than what we have to offer. To induce valuable employees to remain at our company, in addition to salary and cash incentives, we have provided equity incentive awards that vest over time. The value to employees of restricted stock awards and stock options that vest over time may be significantly affected by movements in our stock price that are beyond our control, and may at any time be insufficient to counteract more lucrative offers from other companies. Despite our efforts to retain valuable employees, members of our management, scientific and development teams are at-will employees and may terminate their employment with us on short notice. We do not maintain “key man” insurance policies on the lives of these individuals or the lives of any of our other employees. Given the stage of our programs and our plans to expand operations, our success also depends on our ability to continue to attract, retain and motivate highly skilled junior, mid-level and senior personnel across our organization.</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9" w:name="page60"/>
    <w:bookmarkEnd w:id="59"/>
    <w:p>
      <w:pPr>
        <w:jc w:val="both"/>
        <w:spacing w:after="0" w:line="245" w:lineRule="auto"/>
        <w:rPr>
          <w:sz w:val="20"/>
          <w:szCs w:val="20"/>
          <w:color w:val="auto"/>
        </w:rPr>
      </w:pPr>
      <w:r>
        <w:rPr>
          <w:rFonts w:ascii="Arial" w:cs="Arial" w:eastAsia="Arial" w:hAnsi="Arial"/>
          <w:sz w:val="18"/>
          <w:szCs w:val="18"/>
          <w:b w:val="1"/>
          <w:bCs w:val="1"/>
          <w:i w:val="1"/>
          <w:iCs w:val="1"/>
          <w:color w:val="auto"/>
        </w:rPr>
        <w:t>Inadequate funding for the FDA, the SEC and other government agencies, including from government shut downs, or other disruptions to these agencies’ operations,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22"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The ability of the FDA to review and approve new products can be affected by a variety of factors, including government budget and funding levels, the ability to hire and retain key personnel and accept the payment of user fees, and statutory, regulatory and policy changes.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spacing w:after="0" w:line="176"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Disruptions at the FDA and other agencies may also slow the time necessary for new product candidates to be reviewed and/or approved by necessary government agencies, which would adversely affect our business. If a prolonged government shutdown occurs, it could significantly impact the ability of the FDA to timely review and process our regulatory submissions, which could have a material adverse effect on our business. Further, future government shutdowns could impact our ability to access the public markets and obtain necessary capital in order to properly capitalize and continue our operations.</w:t>
      </w:r>
    </w:p>
    <w:p>
      <w:pPr>
        <w:spacing w:after="0" w:line="178"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4"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and radioactive materials. Our operations also produce hazardous waste products. We generally contract with third parties for the disposal of these materials and waste.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185"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tax laws or in their implementation or interpretation may adversely affect us or our investors.</w:t>
      </w:r>
    </w:p>
    <w:p>
      <w:pPr>
        <w:spacing w:after="0" w:line="61"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The rules dealing with the U.S. federal, state and local income taxation are constantly under review by persons involved in the legislative process and by the Internal Revenue Service, or IRS, and the U.S. Treasury Department. Changes to tax laws (which changes may have retroactive application) could adversely affect us or holders of our common stock. In recent years, many changes have been made and changes are likely to continue to occur in the future. For example, under Section 174 of the Code, in taxable years beginning after December 31, 2021, expenses that are incurred for research and development in the U.S. will be capitalized and amortized, which may have an adverse effect on our cash flow.</w:t>
      </w:r>
    </w:p>
    <w:p>
      <w:pPr>
        <w:spacing w:after="0" w:line="179"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It cannot be predicted whether, when, in what form, or with what effective dates, new tax laws may be enacted, or regulations and rulings may be enacted, promulgated or issued under existing or new tax laws, which could result in an increase in our or our stockholders’ tax liability or require changes in the manner in which we operate in order to minimize or mitigate any adverse effects of changes in tax law or in the interpretation thereof.</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3" w:right="339" w:bottom="1440" w:gutter="0" w:footer="0" w:header="0"/>
        </w:sectPr>
      </w:pPr>
    </w:p>
    <w:bookmarkStart w:id="60" w:name="page61"/>
    <w:bookmarkEnd w:id="60"/>
    <w:p>
      <w:pPr>
        <w:jc w:val="both"/>
        <w:spacing w:after="0" w:line="245" w:lineRule="auto"/>
        <w:rPr>
          <w:sz w:val="20"/>
          <w:szCs w:val="20"/>
          <w:color w:val="auto"/>
        </w:rPr>
      </w:pPr>
      <w:r>
        <w:rPr>
          <w:rFonts w:ascii="Arial" w:cs="Arial" w:eastAsia="Arial" w:hAnsi="Arial"/>
          <w:sz w:val="18"/>
          <w:szCs w:val="18"/>
          <w:b w:val="1"/>
          <w:bCs w:val="1"/>
          <w:i w:val="1"/>
          <w:iCs w:val="1"/>
          <w:color w:val="auto"/>
        </w:rPr>
        <w:t>Our internal information technology systems, or those of our third-party CROs, contractors, consultants or others who process sensitive information on our behalf, may fail or suffer cybersecurity incidents or breaches, loss or leakage of data and other compromises, any of which could result in a material disruption of our product candidates’ development programs, compromise sensitive information related to our business or prevent us from accessing such information, expose us to liability or otherwise adversely affect our business.</w:t>
      </w:r>
    </w:p>
    <w:p>
      <w:pPr>
        <w:spacing w:after="0" w:line="22"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In the ordinary course of our business, we may collect, store and transmit confidential information, including intellectual property, proprietary business information and personal information (including health information). We have established safeguards to do so in a secure manner in an effort to maintain the confidentiality, integrity and availability of such information. We also have outsourced certain of our operations to third parties, and as a result, we manage a number of third parties who have access to our information. Despite the implementation of security measures, our internal computer systems and infrastructure, and those of our CROs and other third parties on which we rely, are vulnerable to damage from computer viruses, unauthorized access and misuse, cyberattacks by sophisticated nation-state and nation-state supported actors or by malicious third parties (including the deployment of harmful malware (such as malicious code, viruses and worms), natural disasters, global pandemics, fire, terrorism, war and telecommunication and electrical failures, fraudulent activity, as well as cybersecurity incidents or breaches from inadvertent or intentional actions (such as error or theft) by our employees, contractors, consultants, business partners, and/or other third parties, phishing attacks, ransomware, denial-of-service attacks, social engineering schemes (including phishing attacks) and other means that affect service reliability and threaten the confidentiality, integrity and availability of information), which may compromise our system infrastructure as well as lead to unauthorized access, disclosure, misuse or acquisition of information. Cyberattacks generally are increasing in their frequency, sophistication and intensity. The techniques used to sabotage or to obtain unauthorized access to our information technology systems or those upon whom we rely on to process our information change frequently, and we may be unable to anticipate such techniques or implement adequate preventative measures or to stop or to adequately address cybersecurity incidents or breaches in all instances. The recovery systems, security protocols, network protection mechanisms and other security measures that we have integrated into our information technology systems, which are designed to protect against, detect and minimize cybersecurity incidents or breaches, may not be adequate to prevent or detect or adequately address service interruption, system failure or data loss.</w:t>
      </w:r>
    </w:p>
    <w:p>
      <w:pPr>
        <w:spacing w:after="0" w:line="180"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Significant disruptions of our information technology systems or cybersecurity incidents could adversely affect our business operations and/or result in the loss, misappropriation, and/or unauthorized access, use or disclosure of, or the prevention of access to, confidential information (including trade secrets or other intellectual property, proprietary business information and personal information including health information), and could result in financial, legal, business and reputational harm to us. If such disruptions were to occur and cause interruptions in our operations, it could result in a material disruption of our product development programs. For example, the loss of clinical trial data from completed, ongoing or planned clinical trials could result in delays in our regulatory approval efforts and significantly increase our costs to recover or reproduce the data. Further, as a result of increased hybrid work, a significant number of our employees and partners are working remotely, which increases the risk of a cybersecurity incident or breach or other data and cybersecurity issues. To the extent that any disruption or cybersecurity incident or breach results in a loss of, or damage to, our data or applications, or inappropriate disclosure or misuse of or access to confidential or proprietary information, we could incur liability and the further development of our future product candidates could be delayed.</w:t>
      </w:r>
    </w:p>
    <w:p>
      <w:pPr>
        <w:spacing w:after="0" w:line="186"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We may also be required to comply with laws, regulations, rules, industry standards, and other legal obligations that require us to maintain the security of personal data. We may also have contractual and other legal obligations to notify collaborators, our clinical trial participants, or other relevant stakeholders of cybersecurity incidents and breaches. Failure to prevent or mitigate cyberattacks could result in unauthorized access to data, including personal data. Most jurisdictions have enacted laws requiring companies to notify individuals, regulatory authorities, and others of cybersecurity incidents or breaches involving certain types of data. Such disclosures are costly, could lead to negative publicity, may cause our collaborators or other relevant stakeholders to lose confidence in the effectiveness of our security measures and require us to expend significant capital and other resources to respond to and/or alleviate problems caused by the actual or perceived cybersecurity incident or breach. In addition, the costs to respond to a cybersecurity event or to mitigate any identified security vulnerabilities could be significant, including costs for remediating the effects of such an event, paying a ransom, restoring data from backups, and conducting data analysis to determine what data may have been affected by the cybersecurity incident or breach. In addition, our efforts to contain or remediate a cybersecurity incident or any vulnerability exploited to cause an incident may be unsuccessful, and efforts and any related failures to contain or remediate them could result in interruptions, delays, harm to our reputation, and increases to our insurance coverage.</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3" w:right="339" w:bottom="1440" w:gutter="0" w:footer="0" w:header="0"/>
        </w:sectPr>
      </w:pPr>
    </w:p>
    <w:bookmarkStart w:id="61" w:name="page62"/>
    <w:bookmarkEnd w:id="61"/>
    <w:p>
      <w:pPr>
        <w:jc w:val="both"/>
        <w:ind w:firstLine="509"/>
        <w:spacing w:after="0"/>
        <w:rPr>
          <w:sz w:val="20"/>
          <w:szCs w:val="20"/>
          <w:color w:val="auto"/>
        </w:rPr>
      </w:pPr>
      <w:r>
        <w:rPr>
          <w:rFonts w:ascii="Arial" w:cs="Arial" w:eastAsia="Arial" w:hAnsi="Arial"/>
          <w:sz w:val="18"/>
          <w:szCs w:val="18"/>
          <w:color w:val="auto"/>
        </w:rPr>
        <w:t>In addition, litigation resulting from cybersecurity incidents or breaches may adversely affect our business. Unauthorized access to our information technology systems or infrastructure could result in litigation with our collaborators, our clinical trial participants, or other relevant stakeholders. These proceedings could force us to spend money in defense or settlement, divert management’s time and attention, increase our costs of doing business, or adversely affect our reputation. We could be required to fundamentally change our business activities and practices in response to such litigation, which could have an adverse effect on our business. If a cybersecurity incident or breach were to occur and the confidentiality, integrity or availability of our data or the data of our collaborators were disrupted, we could incur significant liability, which could negatively affect our business and damage our reputation.</w:t>
      </w:r>
    </w:p>
    <w:p>
      <w:pPr>
        <w:spacing w:after="0" w:line="185"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Furthermore, we may not have adequate insurance coverage or otherwise protect us from, or adequately mitigate, liabilities or damages. The successful assertion of one or more large claims against us that exceeds our available insurance coverage, or results in changes to our insurance policies (including premium increases or the imposition of large deductible or co-insurance requirements), could have an adverse effect on our business. In addition, we cannot be sure that our existing insurance coverage and coverage for errors and omissions will continue to be available on acceptable terms or that our insurers will not deny coverage as to any future claim.</w:t>
      </w:r>
    </w:p>
    <w:p>
      <w:pPr>
        <w:spacing w:after="0" w:line="178" w:lineRule="exact"/>
        <w:rPr>
          <w:sz w:val="20"/>
          <w:szCs w:val="20"/>
          <w:color w:val="auto"/>
        </w:rPr>
      </w:pPr>
    </w:p>
    <w:p>
      <w:pPr>
        <w:jc w:val="both"/>
        <w:spacing w:after="0" w:line="242" w:lineRule="auto"/>
        <w:rPr>
          <w:sz w:val="20"/>
          <w:szCs w:val="20"/>
          <w:color w:val="auto"/>
        </w:rPr>
      </w:pPr>
      <w:r>
        <w:rPr>
          <w:rFonts w:ascii="Arial" w:cs="Arial" w:eastAsia="Arial" w:hAnsi="Arial"/>
          <w:sz w:val="18"/>
          <w:szCs w:val="18"/>
          <w:b w:val="1"/>
          <w:bCs w:val="1"/>
          <w:i w:val="1"/>
          <w:iCs w:val="1"/>
          <w:color w:val="auto"/>
        </w:rPr>
        <w:t>We are, or may become, subject to stringent and changing privacy and information security laws, regulations, standards, policies and contractual obligations related to data privacy and security. Our actual or perceived failure to comply with such data privacy and security obligations could lead to government enforcement actions (which could include civil or criminal fines or penalties), a disruption of our clinical trials or commercialization of our products, private litigation, changes to our business practices, increased costs of operations, and adverse publicity that could otherwise negatively affect our operating results and business. Compliance or the failure to comply with such obligations could increase the costs of our products, could limit their use or adoption, and could otherwise negatively affect our operating results and business.</w:t>
      </w:r>
    </w:p>
    <w:p>
      <w:pPr>
        <w:spacing w:after="0" w:line="22"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Regulation of data (including personal and clinical trial data) is evolving, as federal, state, and foreign governments continue to adopt new, or modify existing, laws and regulations addressing data privacy and security, and the collection, processing, storage, transfer, and use of data. These new or proposed laws and regulations are subject to differing interpretations and may be inconsistent among jurisdictions, and guidance on implementation and compliance practices are often updated or otherwise revised, which adds to the complexity of processing personal data. Moreover, we are subject to the terms of our privacy and security policies, representations, certifications, standards, publications, contracts and other obligations to third parties related to data privacy, security and processing. These and other requirements could require us or our collaborators to incur additional costs to achieve compliance, limit our competitiveness, necessitate the acceptance of more onerous obligations in our contracts, restrict our ability to use, store, transfer, and process data, impact our or our collaborators’ ability to process or use data in order to support the provision of our products, affect our or our collaborators’ ability to offer our products in certain locations, cause regulators to reject, limit or disrupt our clinical trial activities, result in increased expenses, reduce overall demand for our products, and make it more difficult to meet expectations of relevant stakeholders.</w:t>
      </w:r>
    </w:p>
    <w:p>
      <w:pPr>
        <w:spacing w:after="0" w:line="186"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We and any potential collaborators may be subject to federal, state and foreign data protection laws and regulations including, without limitation, laws that regulate personal data such as health data. For example, in the United States, numerous federal and state laws and regulations, including federal health information privacy laws, state personal information laws (e.g., the California Consumer Privacy Act of 2018, or CCPA), state data breach notification laws, state health information privacy laws and federal and state consumer protection laws and regulations (e.g., Section 5 of the Federal Trade Commission Act), govern the collection, use, disclosure and protection of health-related and other personal data. These laws and regulations could apply to our operations, the operations of our collaborators, or other relevant stakeholders upon whom we depend. In addition, we may obtain personal data (including health information) from third parties (including research institutions from which we obtain clinical trial data) that are subject to privacy and security requirements under HIPAA, as amended by the Health Information Technology for Economic and Clinical Health Act. Depending on the facts and circumstances, we could be subject to significant penalties if we violate HIPAA. Additionally, we could be subject to criminal penalties if we knowingly obtain, use, or disclose individually identifiable health information maintained by a HIPAA-covered entity in a manner that is not authorized or permitted by HIPAA.</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2" w:name="page63"/>
    <w:bookmarkEnd w:id="62"/>
    <w:p>
      <w:pPr>
        <w:jc w:val="both"/>
        <w:ind w:firstLine="509"/>
        <w:spacing w:after="0" w:line="239" w:lineRule="auto"/>
        <w:rPr>
          <w:sz w:val="20"/>
          <w:szCs w:val="20"/>
          <w:color w:val="auto"/>
        </w:rPr>
      </w:pPr>
      <w:r>
        <w:rPr>
          <w:rFonts w:ascii="Arial" w:cs="Arial" w:eastAsia="Arial" w:hAnsi="Arial"/>
          <w:sz w:val="18"/>
          <w:szCs w:val="18"/>
          <w:color w:val="auto"/>
        </w:rPr>
        <w:t>The CCPA, which went into effect on January 1, 2020, established a comprehensive privacy framework for covered businesses by creating an expanded definition of personal information, establishing new data privacy rights for consumers in the State of California, imposing special rules on the collection of consumer data from minors, and creating a new and potentially severe statutory damages framework for violations of the CCPA and for businesses that fail to implement reasonable security procedures and practices to prevent data breaches. Although there are limited exemptions for protected health information covered under HIPAA and clinical trial data, the CCPA may increase our compliance costs and potential liability. The CCPA was expanded on January 1, 2023, when the California Privacy Rights Act of 2020, or CPRA, became operative. The amendments introduced by the CPRA expanded the scope of the CCPA in a number of ways, including by providing California residents the ability to limit use of certain sensitive information, establishing restrictions on the retention of personal data, expanding the types of data breaches subject to the CCPA’s private right of action and establishing a California Privacy Protection Agency to implement and enforce the legislation.</w:t>
      </w:r>
    </w:p>
    <w:p>
      <w:pPr>
        <w:spacing w:after="0" w:line="180"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Similar comprehensive consumer privacy laws have been passed in numerous other states and a number of other states have proposed new privacy laws. Such proposed legislation, if enacted, may add additional complexity, variation in requirements, restrictions and potential legal risk, require additional investment of resources in compliance programs, impact strategies and the availability of previously useful data and could result in increased compliance costs and/or changes in business practices and policies. The existence of comprehensive privacy laws in different states in the country would make our compliance obligations more complex and costly and may increase the likelihood that we may be subject to enforcement actions or otherwise incur liability for noncompliance. In addition, laws in all 50 U.S. states require businesses to provide notice to individuals if certain of their personal information has been disclosed as a result of a qualifying data breach or cybersecurity incident. There are also states that are specifically regulating health information. For example, Washington state recently passed a health privacy law that will regulate the collection and sharing of health information, and the law also has a private right of action, which further increases the relevant compliance risk. Connecticut and Nevada have also passed similar laws regulating consumer health data. In addition, other states have proposed and/or passed legislation that regulates the privacy and/or security of certain specific types of information. For example, a small number of states have passed laws that regulate biometric data specifically. These various privacy and security laws may impact our business activities, including our identification of research subjects, relationships with business partners and ultimately the marketing and distribution of our products. State laws are changing rapidly and there is discussion in the U.S. Congress of a new comprehensive federal data privacy law to which we may likely become subject, if enacted. These laws demonstrate our vulnerability to the evolving regulatory environment related to personal data. As we expand our operations, these and similar laws may increase our compliance costs and potential liability.</w:t>
      </w:r>
    </w:p>
    <w:p>
      <w:pPr>
        <w:spacing w:after="0" w:line="184"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Foreign data protection laws, such as, without limitation, the EU GDPR, the EU member state implementing legislation, and the UK GDPR, may also apply to health-related and other personal data that we process, including, without limitation, personal data relating to clinical trial participants. The GDPR imposes strict obligations on the ability to process health-related and other personal data, including in relation to security (which requires the adoption of administrative, physical and technical safeguards designed to protect such information), collection, use and transfer or personal data. These obligations include, without limitation, several requirements relating to transparency related to communications with data subjects regarding the processing of their personal data, ensuring an appropriate legal basis or conditions applies to the processing of personal data, limitations on the retention of personal data, increased requirements pertaining to health data, notification of data processing obligations or security incidents to the competent national data protection authorities and/or data subjects, the security and confidentiality of the personal data, various rights that data subjects may exercise with respect to their personal data, and strict rules and restrictions on the international transfer of personal data.</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3" w:name="page64"/>
    <w:bookmarkEnd w:id="63"/>
    <w:p>
      <w:pPr>
        <w:jc w:val="both"/>
        <w:ind w:firstLine="509"/>
        <w:spacing w:after="0" w:line="237" w:lineRule="auto"/>
        <w:rPr>
          <w:sz w:val="20"/>
          <w:szCs w:val="20"/>
          <w:color w:val="auto"/>
        </w:rPr>
      </w:pPr>
      <w:r>
        <w:rPr>
          <w:rFonts w:ascii="Arial" w:cs="Arial" w:eastAsia="Arial" w:hAnsi="Arial"/>
          <w:sz w:val="18"/>
          <w:szCs w:val="18"/>
          <w:color w:val="auto"/>
        </w:rPr>
        <w:t>The GDPR imposes strict rules on the transfer of personal data out of the EEA and UK to other regions outside the EEA/UK, or third countries, that have not been deemed to offer “adequate” privacy protections by the competent data protection authorities, including the United States in certain circumstances, unless a derogation exists or adequate international transfer safeguards (for example, the European Commission approved Standard Contractual Clauses, or the EU SCCs, and the UK International Data Transfer Agreement/Addendum, or the UK IDTA) are put in place. Where relying on the EU SCCs or UK IDTA for data transfers, we may also be required to carry out transfer impact assessments on the transfers made pursuant to the EU SCCs and UK IDTA, on a case-by-case basis, to ensure the law in the recipient country provides “essentially equivalent” protections to safeguard the transferred personal data as provided in the EEA and UK, and may be required to adopt supplementary measures if this standard is not met. Further, the EU and United States have adopted its adequacy decision for the EU-U.S. Data Privacy Framework, or the Framework, which entered into force on July 11, 2023. This Framework provides that the protection of personal data transferred between the EU and the United States is comparable to that offered in the EU. This provides a further avenue to ensuring transfers to the United States are carried out in line with GDPR. There has been an extension to the Framework to cover UK transfers to the United States. The Framework could be challenged like its predecessor frameworks. The international transfer obligations under the EEA and UK data protection regimes will require significant effort and cost, and may result in us needing to make strategic considerations around where EEA and UK personal data is located and which service providers we can utilize for the processing of EEA and UK personal data. Any inability to process or transfer personal data from the EEA to the United States in compliance with data protection laws may impede our ability to conduct trials and may adversely affect our business and financial position.</w:t>
      </w:r>
    </w:p>
    <w:p>
      <w:pPr>
        <w:spacing w:after="0" w:line="186"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Although the UK is regarded as one of the third countries under the EU GDPR, the European Commission has adopted an adequacy decision in favor of the UK, enabling data transfers from EEA member states to the UK without additional safeguards. The UK government has confirmed that personal data transfers from the UK to the EEA remain free flowing. The UK Government has introduced a Data Protection and Digital Information Bill, or the UK Bill, into the UK legislative process. The aim of the UK Bill is to reform the UK’s data protection regime following Brexit. If passed, the final version of the UK Bill may have the effect of further altering the similarities between the UK and EEA data protection regime. In addition, EEA Member States have adopted national laws to implement the GDPR that may partially deviate from the GDPR. Further, the competent authorities in the EEA Member States interpret GDPR obligations slightly differently from country to country (particularly in relation to the processing of health data) and therefore we do not expect to operate in a uniform legal landscape in the EEA. The potential of the respective provisions and enforcement of the EU GDPR and UK GDPR further diverging in the future creates additional regulatory challenges and uncertainties for us. This lack of clarity on future UK laws and regulations and their interaction with EU laws and regulations could add legal risk, complexity and cost to our handling of personal data and our privacy and data security compliance programs and could require us to implement different compliance measures for the UK and the EEA.</w:t>
      </w:r>
    </w:p>
    <w:p>
      <w:pPr>
        <w:spacing w:after="0" w:line="183"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The increase of foreign privacy and security legal frameworks with which we must comply, increases our compliance burdens and exposure to substantial fines and penalties for non-compliance. For example, under the GDPR, entities that violate the GDPR can face fines of up to the greater of 20 million euros (£17.5 million under UK GDPR) or 4% of their worldwide annual turnover, or revenue. Additionally, regulators could prohibit our use of personal data subject to the GDPR. The GDPR also confers a private right of action on data subjects and consumer associations to lodge complaints with supervisory authorities, seek judicial remedies, and obtain compensation for damages resulting from infringement of the GDPR. The GDPR has increased our responsibility and potential liability in relation to personal data that we process, requiring us to put in place additional mechanisms to comply with the GDPR and other foreign data protection requirements.</w:t>
      </w:r>
    </w:p>
    <w:p>
      <w:pPr>
        <w:spacing w:after="0" w:line="185"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We may also publish privacy policies and other documentation regarding our collection, processing, use and disclosure of personal data and/or other confidential information. Although we endeavor to comply with our published policies and documentation, we may at times fail to do so or may be perceived to have failed to do so. Moreover, despite our efforts, we may not be successful in achieving compliance if our employees or contractors fail to comply with our published policies and documentation. Such failures can subject us to potential foreign, local, state and federal action if they are found to be deceptive, unfair, or misrepresentative of our actual practices.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4" w:name="page65"/>
    <w:bookmarkEnd w:id="64"/>
    <w:p>
      <w:pPr>
        <w:jc w:val="both"/>
        <w:ind w:firstLine="509"/>
        <w:spacing w:after="0" w:line="237" w:lineRule="auto"/>
        <w:rPr>
          <w:sz w:val="20"/>
          <w:szCs w:val="20"/>
          <w:color w:val="auto"/>
        </w:rPr>
      </w:pPr>
      <w:r>
        <w:rPr>
          <w:rFonts w:ascii="Arial" w:cs="Arial" w:eastAsia="Arial" w:hAnsi="Arial"/>
          <w:sz w:val="18"/>
          <w:szCs w:val="18"/>
          <w:color w:val="auto"/>
        </w:rPr>
        <w:t>Compliance with U.S. federal and state as well as foreign data protection laws and regulations could require us to take on more onerous obligations in our contracts, restrict our ability to collect, use and disclose data, or in some cases, impact our ability to operate in certain jurisdictions. All of these evolving compliance and operational requirements impose significant costs, such as costs related to organizational changes, implementing additional protection technologies, training employees and engaging consultants and legal advisors, which are likely to increase over time. In addition, such requirements may require us to modify our data processing practices and policies, utilize management’s time and/or divert resources from other initiatives and projects. Failure, or perceived failure, to comply with federal, state and foreign data protection laws and regulations could result in government enforcement actions (which could include civil or criminal penalties, fines or penalties), private litigation, a diversion of management attention, adverse publicity and negative effects on our operating results and business. There can be no assurance that the limitations of liability in our contracts would be enforceable or adequate or would otherwise protect us from liabilities or damages if we fail to comply with applicable data protection laws, privacy policies or data protection obligations related to information security, cybersecurity incidents or data breaches. Moreover, clinical trial participants or patients about whom we or our collaborators obtain information, as well as the providers who share this information with us, may limit our ability to use and disclose the information. Claims that we have violated individuals’ privacy rights, failed to comply with data protection laws, contracts or privacy notices or breached other obligations, even if we are not found liable, could be expensive and time consuming to defend and could result in adverse publicity that could harm our business. Compliance with data protection laws may be time consuming, require additional resources and could result in increased expenses, reduce overall demand for our products and make it more difficult to meet expectations of or commitments to our relevant stakeholders. Any of the foregoing could have a material adverse effect on our business, financial condition, results of operations and prospects.</w:t>
      </w:r>
    </w:p>
    <w:p>
      <w:pPr>
        <w:spacing w:after="0" w:line="184" w:lineRule="exact"/>
        <w:rPr>
          <w:sz w:val="20"/>
          <w:szCs w:val="20"/>
          <w:color w:val="auto"/>
        </w:rPr>
      </w:pPr>
    </w:p>
    <w:p>
      <w:pPr>
        <w:jc w:val="both"/>
        <w:ind w:right="20"/>
        <w:spacing w:after="0" w:line="272" w:lineRule="auto"/>
        <w:rPr>
          <w:sz w:val="20"/>
          <w:szCs w:val="20"/>
          <w:color w:val="auto"/>
        </w:rPr>
      </w:pPr>
      <w:r>
        <w:rPr>
          <w:rFonts w:ascii="Arial" w:cs="Arial" w:eastAsia="Arial" w:hAnsi="Arial"/>
          <w:sz w:val="18"/>
          <w:szCs w:val="18"/>
          <w:b w:val="1"/>
          <w:bCs w:val="1"/>
          <w:i w:val="1"/>
          <w:iCs w:val="1"/>
          <w:color w:val="auto"/>
        </w:rPr>
        <w:t>Artificial intelligence presents risks and challenges that can impact our business including by posing security risks to our confidential information, proprietary information, and personal data.</w:t>
      </w:r>
    </w:p>
    <w:p>
      <w:pPr>
        <w:spacing w:after="0" w:line="1" w:lineRule="exact"/>
        <w:rPr>
          <w:sz w:val="20"/>
          <w:szCs w:val="20"/>
          <w:color w:val="auto"/>
        </w:rPr>
      </w:pPr>
    </w:p>
    <w:p>
      <w:pPr>
        <w:jc w:val="both"/>
        <w:ind w:firstLine="509"/>
        <w:spacing w:after="0" w:line="236" w:lineRule="auto"/>
        <w:rPr>
          <w:sz w:val="20"/>
          <w:szCs w:val="20"/>
          <w:color w:val="auto"/>
        </w:rPr>
      </w:pPr>
      <w:r>
        <w:rPr>
          <w:rFonts w:ascii="Arial" w:cs="Arial" w:eastAsia="Arial" w:hAnsi="Arial"/>
          <w:sz w:val="18"/>
          <w:szCs w:val="18"/>
          <w:color w:val="auto"/>
        </w:rPr>
        <w:t>Issues in the development and use of artificial intelligence, combined with an uncertain regulatory environment, may result in reputational harm, liability or other adverse consequences to our business operations. As with many technological innovations, artificial intelligence presents risks and challenges that could impact our business. We may integrate generative artificial intelligence tools into our systems for specific use cases reviewed by legal and information security. In addition, our vendors may incorporate generative artificial intelligence tools into their offerings without disclosing this use to us, and the providers of these generative artificial intelligence tools may not meet existing or rapidly evolving regulatory or industry standards with respect to privacy and data protection and may inhibit our or our vendors’ ability to maintain an adequate level of service and experience. If we, our vendors, or our third-party partners experience an actual or perceived breach or privacy or security incident because of the use of generative artificial intelligence, we may lose valuable intellectual property and confidential information and our reputation and the public perception of the effectiveness of our security measures could be harmed. We also expect to see increasing government and supranational regulation related to artificial intelligence use and ethics, which may also significantly increase the burden and cost of research, development and compliance in this area. For example, the EU’s Artificial Intelligence Act, or the AI Act, the world’s first comprehensive AI law, is anticipated to enter into force in Spring 2024 and, with some exceptions, become effective 24 months thereafter. This legislation imposes significant obligations on providers and deployers of high risk artificial intelligence systems, and encourages providers and deployers of artificial intelligence systems to account for EU ethical principles in their development and use of these systems. If we develop or use AI systems that are governed by the AI Act, it may necessitate ensuring higher standards of data quality, transparency, and human oversight, as well as adhering to specific and potentially burdensome and costly ethical, accountability, and administrative requirements. Further, bad actors around the world use increasingly sophisticated methods, including the use of artificial intelligence, to engage in illegal activities involving the theft and misuse of personal information, confidential information, and intellectual property. Any of these outcomes could damage our reputation, result in the loss of valuable property and information, and adversely impact our business.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disruptions could seriously harm our future revenue and financial condition and increase our costs and expenses.</w:t>
      </w:r>
    </w:p>
    <w:p>
      <w:pPr>
        <w:spacing w:after="0" w:line="75"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Our operations, and those of our contractors and consultants, could be subject to earthquakes, power shortages, telecommunications failures, water shortages, floods, hurricanes, typhoons, fires, extreme weather conditions, medical epidemics, pandemics and other natural or man-made disasters or business interruptions, for which we are predominantly self-insured. The occurrence of any of these business disruptions could seriously harm our operations and financial condition and increase our costs and expenses. We rely on third-party manufacturers to produce our product candidates. Our ability to obtain clinical supplies of our product candidates could be disrupted if the operations of these suppliers are affected by a man-made or natural disaster or other business interruption.</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5" w:name="page66"/>
    <w:bookmarkEnd w:id="65"/>
    <w:p>
      <w:pPr>
        <w:jc w:val="both"/>
        <w:ind w:right="20"/>
        <w:spacing w:after="0" w:line="278" w:lineRule="auto"/>
        <w:rPr>
          <w:sz w:val="20"/>
          <w:szCs w:val="20"/>
          <w:color w:val="auto"/>
        </w:rPr>
      </w:pPr>
      <w:r>
        <w:rPr>
          <w:rFonts w:ascii="Arial" w:cs="Arial" w:eastAsia="Arial" w:hAnsi="Arial"/>
          <w:sz w:val="18"/>
          <w:szCs w:val="18"/>
          <w:b w:val="1"/>
          <w:bCs w:val="1"/>
          <w:i w:val="1"/>
          <w:iCs w:val="1"/>
          <w:color w:val="auto"/>
        </w:rPr>
        <w:t>Any future acquisitions, in-licensing or strategic partnerships may increase our capital requirements, dilute our stockholders, divert our management’s attention, cause us to incur debt or assume contingent liabilities and subject us to other risks.</w:t>
      </w:r>
    </w:p>
    <w:p>
      <w:pPr>
        <w:spacing w:after="0" w:line="139" w:lineRule="exact"/>
        <w:rPr>
          <w:sz w:val="20"/>
          <w:szCs w:val="20"/>
          <w:color w:val="auto"/>
        </w:rPr>
      </w:pPr>
    </w:p>
    <w:p>
      <w:pPr>
        <w:jc w:val="both"/>
        <w:ind w:firstLine="509"/>
        <w:spacing w:after="0" w:line="250" w:lineRule="auto"/>
        <w:rPr>
          <w:sz w:val="20"/>
          <w:szCs w:val="20"/>
          <w:color w:val="auto"/>
        </w:rPr>
      </w:pPr>
      <w:r>
        <w:rPr>
          <w:rFonts w:ascii="Arial" w:cs="Arial" w:eastAsia="Arial" w:hAnsi="Arial"/>
          <w:sz w:val="18"/>
          <w:szCs w:val="18"/>
          <w:color w:val="auto"/>
        </w:rPr>
        <w:t>We may engage in various acquisitions and strategic partnerships in the future, including licensing or acquiring complementary products, intellectual property rights, technologies or businesses. Any acquisition or strategic partnership may entail numerous risks, including:</w:t>
      </w:r>
    </w:p>
    <w:p>
      <w:pPr>
        <w:spacing w:after="0" w:line="1" w:lineRule="exact"/>
        <w:rPr>
          <w:sz w:val="20"/>
          <w:szCs w:val="20"/>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increased operating expenses and cash requirements;</w:t>
      </w:r>
    </w:p>
    <w:p>
      <w:pPr>
        <w:spacing w:after="0" w:line="3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the assumption of indebtedness or contingent liabilities;</w:t>
      </w:r>
    </w:p>
    <w:p>
      <w:pPr>
        <w:spacing w:after="0" w:line="4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the issuance of our equity securities which would result in dilution to our stockholders;</w:t>
      </w:r>
    </w:p>
    <w:p>
      <w:pPr>
        <w:spacing w:after="0" w:line="48" w:lineRule="exact"/>
        <w:rPr>
          <w:rFonts w:ascii="Times New Roman" w:cs="Times New Roman" w:eastAsia="Times New Roman" w:hAnsi="Times New Roman"/>
          <w:sz w:val="18"/>
          <w:szCs w:val="18"/>
          <w:color w:val="auto"/>
        </w:rPr>
      </w:pPr>
    </w:p>
    <w:p>
      <w:pPr>
        <w:ind w:left="1020" w:hanging="503"/>
        <w:spacing w:after="0" w:line="255" w:lineRule="auto"/>
        <w:tabs>
          <w:tab w:leader="none" w:pos="102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assimilation of operations, intellectual property, products and product candidates of an acquired company, including difficulties associated with integrating new personnel;</w:t>
      </w:r>
    </w:p>
    <w:p>
      <w:pPr>
        <w:ind w:left="1020" w:hanging="503"/>
        <w:spacing w:after="0" w:line="252" w:lineRule="auto"/>
        <w:tabs>
          <w:tab w:leader="none" w:pos="102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the diversion of our management’s attention from our existing product candidates and initiatives in pursuing such an acquisition or strategic partnership;</w:t>
      </w: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spend substantial operational, financial and management resources in integrating new businesses, technologies and products;</w:t>
      </w:r>
    </w:p>
    <w:p>
      <w:pPr>
        <w:spacing w:after="0" w:line="4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retention of key employees, the loss of key personnel, and uncertainties in our ability to maintain key business relationships;</w:t>
      </w:r>
    </w:p>
    <w:p>
      <w:pPr>
        <w:spacing w:after="0" w:line="35" w:lineRule="exact"/>
        <w:rPr>
          <w:rFonts w:ascii="Times New Roman" w:cs="Times New Roman" w:eastAsia="Times New Roman" w:hAnsi="Times New Roman"/>
          <w:sz w:val="18"/>
          <w:szCs w:val="18"/>
          <w:color w:val="auto"/>
        </w:rPr>
      </w:pPr>
    </w:p>
    <w:p>
      <w:pPr>
        <w:ind w:left="1020" w:hanging="503"/>
        <w:spacing w:after="0" w:line="257" w:lineRule="auto"/>
        <w:tabs>
          <w:tab w:leader="none" w:pos="102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risks and uncertainties associated with the other party to such a transaction, including the prospects of that party and their existing products or product candidates and regulatory approvals; and</w:t>
      </w:r>
    </w:p>
    <w:p>
      <w:pPr>
        <w:spacing w:after="0" w:line="1"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33"/>
        </w:numPr>
        <w:rPr>
          <w:rFonts w:ascii="Times New Roman" w:cs="Times New Roman" w:eastAsia="Times New Roman" w:hAnsi="Times New Roman"/>
          <w:sz w:val="18"/>
          <w:szCs w:val="18"/>
          <w:color w:val="auto"/>
        </w:rPr>
      </w:pPr>
      <w:r>
        <w:rPr>
          <w:rFonts w:ascii="Arial" w:cs="Arial" w:eastAsia="Arial" w:hAnsi="Arial"/>
          <w:sz w:val="18"/>
          <w:szCs w:val="18"/>
          <w:color w:val="auto"/>
        </w:rPr>
        <w:t>our inability to generate revenue from acquired intellectual property, technology and/or products sufficient to meet our objectives or even to offset the associated transaction and maintenance costs.</w:t>
      </w:r>
    </w:p>
    <w:p>
      <w:pPr>
        <w:spacing w:after="0" w:line="154" w:lineRule="exact"/>
        <w:rPr>
          <w:sz w:val="20"/>
          <w:szCs w:val="20"/>
          <w:color w:val="auto"/>
        </w:rPr>
      </w:pPr>
    </w:p>
    <w:p>
      <w:pPr>
        <w:jc w:val="both"/>
        <w:ind w:firstLine="509"/>
        <w:spacing w:after="0" w:line="271" w:lineRule="auto"/>
        <w:rPr>
          <w:sz w:val="20"/>
          <w:szCs w:val="20"/>
          <w:color w:val="auto"/>
        </w:rPr>
      </w:pPr>
      <w:r>
        <w:rPr>
          <w:rFonts w:ascii="Arial" w:cs="Arial" w:eastAsia="Arial" w:hAnsi="Arial"/>
          <w:sz w:val="18"/>
          <w:szCs w:val="18"/>
          <w:color w:val="auto"/>
        </w:rPr>
        <w:t>In addition, if we undertake such a transaction, we may incur large one-time expenses and acquire intangible assets that could result in significant future amortization expense.</w:t>
      </w:r>
    </w:p>
    <w:p>
      <w:pPr>
        <w:spacing w:after="0" w:line="156" w:lineRule="exact"/>
        <w:rPr>
          <w:sz w:val="20"/>
          <w:szCs w:val="20"/>
          <w:color w:val="auto"/>
        </w:rPr>
      </w:pPr>
    </w:p>
    <w:p>
      <w:pPr>
        <w:jc w:val="both"/>
        <w:ind w:right="20"/>
        <w:spacing w:after="0" w:line="272" w:lineRule="auto"/>
        <w:rPr>
          <w:sz w:val="20"/>
          <w:szCs w:val="20"/>
          <w:color w:val="auto"/>
        </w:rPr>
      </w:pPr>
      <w:r>
        <w:rPr>
          <w:rFonts w:ascii="Arial" w:cs="Arial" w:eastAsia="Arial" w:hAnsi="Arial"/>
          <w:sz w:val="18"/>
          <w:szCs w:val="18"/>
          <w:b w:val="1"/>
          <w:bCs w:val="1"/>
          <w:i w:val="1"/>
          <w:iCs w:val="1"/>
          <w:color w:val="auto"/>
        </w:rPr>
        <w:t>We or the third parties upon whom we depend on may be adversely affected by natural disasters and our business continuity and disaster recovery plans may not adequately protect us from a serious disaster.</w:t>
      </w:r>
    </w:p>
    <w:p>
      <w:pPr>
        <w:spacing w:after="0" w:line="1"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Natural disasters could severely disrupt our operations and have a material adverse effect on our business, results of operations, financial condition and prospects. If a natural disaster, power outage or other event occurred that prevented us from using all or a significant portion of our headquarters, that damaged critical infrastructure, such as the manufacturing facilities on which we rely, or that otherwise disrupted operations, it may be difficult or, in certain cases, impossible for us to continue our business for a substantial period of time.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 For example, following Hurricane Maria, shortages in production and delays in a number of medical supplies produced in Puerto Rico resulted, and any similar interruption due to a natural disaster affecting us or any of our third-party manufacturers could materially delay our operations.</w:t>
      </w:r>
    </w:p>
    <w:p>
      <w:pPr>
        <w:spacing w:after="0" w:line="18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We expect to significantly expand our organization, including building sales and marketing capability and creating additional infrastructure to support our operations as a public company, and as a result, we may encounter difficulties in managing our growth, which could disrupt our operations.</w:t>
      </w:r>
    </w:p>
    <w:p>
      <w:pPr>
        <w:spacing w:after="0" w:line="24"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We expect to experience significant growth in the number of our employees and the scope of our operations, particularly in the areas of sales and marketing and finance and accounting. To manage our anticipated future growth, we must continue to implement and improve our managerial, operational and financial systems, expand our facilities and continue to recruit and train additional qualified personnel. Due to our limited financial resources and our limited experience in managing such anticipated growth, we may not be able to effectively manage the expansion of our operations or recruit and train additional qualified personnel. The expansion of our operations may lead to significant costs and may divert or stretch our management and business development resources in a way that we may not anticipate. Any inability to manage growth could delay the execution of our business plans or disrupt our operations.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3" w:right="339" w:bottom="1440" w:gutter="0" w:footer="0" w:header="0"/>
        </w:sectPr>
      </w:pPr>
    </w:p>
    <w:bookmarkStart w:id="66" w:name="page67"/>
    <w:bookmarkEnd w:id="66"/>
    <w:p>
      <w:pPr>
        <w:jc w:val="both"/>
        <w:spacing w:after="0" w:line="272" w:lineRule="auto"/>
        <w:rPr>
          <w:sz w:val="20"/>
          <w:szCs w:val="20"/>
          <w:color w:val="auto"/>
        </w:rPr>
      </w:pPr>
      <w:r>
        <w:rPr>
          <w:rFonts w:ascii="Arial" w:cs="Arial" w:eastAsia="Arial" w:hAnsi="Arial"/>
          <w:sz w:val="18"/>
          <w:szCs w:val="18"/>
          <w:b w:val="1"/>
          <w:bCs w:val="1"/>
          <w:i w:val="1"/>
          <w:iCs w:val="1"/>
          <w:color w:val="auto"/>
        </w:rPr>
        <w:t>Product liability lawsuits against us could cause us to incur substantial liabilities and could limit commercialization of any current or future product candidates that we may develop.</w:t>
      </w:r>
    </w:p>
    <w:p>
      <w:pPr>
        <w:spacing w:after="0" w:line="1"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We will face an inherent risk of product liability exposure related to the testing of our current or future product candidates in human clinical trials and will face an even greater risk if we commercially sell any current or future product candidates that we may develop. Claims could also be asserted under the state consumer production acts. If we cannot successfully defend ourselves against claims that our current or future product candidates caused injuries, we could incur substantial liabilities. Regardless of merit or eventual outcome, liability claims may result in:</w:t>
      </w:r>
    </w:p>
    <w:p>
      <w:pPr>
        <w:spacing w:after="0" w:line="1" w:lineRule="exact"/>
        <w:rPr>
          <w:sz w:val="20"/>
          <w:szCs w:val="20"/>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decreased demand for any current or future product candidates that we may develop;</w:t>
      </w:r>
    </w:p>
    <w:p>
      <w:pPr>
        <w:spacing w:after="0" w:line="4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injury to our reputation and significant negative media attention;</w:t>
      </w:r>
    </w:p>
    <w:p>
      <w:pPr>
        <w:spacing w:after="0" w:line="3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withdrawal of clinical trial participants;</w:t>
      </w:r>
    </w:p>
    <w:p>
      <w:pPr>
        <w:spacing w:after="0" w:line="4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significant costs to defend the related litigation;</w:t>
      </w:r>
    </w:p>
    <w:p>
      <w:pPr>
        <w:spacing w:after="0" w:line="4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a diversion of management’s time and resources;</w:t>
      </w:r>
    </w:p>
    <w:p>
      <w:pPr>
        <w:spacing w:after="0" w:line="3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substantial monetary awards to trial participants or patients;</w:t>
      </w:r>
    </w:p>
    <w:p>
      <w:pPr>
        <w:spacing w:after="0" w:line="4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product recalls, withdrawals or labeling, marketing or promotional restrictions;</w:t>
      </w:r>
    </w:p>
    <w:p>
      <w:pPr>
        <w:spacing w:after="0" w:line="4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loss of revenue;</w:t>
      </w:r>
    </w:p>
    <w:p>
      <w:pPr>
        <w:spacing w:after="0" w:line="3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a decline in our stock price; and</w:t>
      </w:r>
    </w:p>
    <w:p>
      <w:pPr>
        <w:spacing w:after="0" w:line="4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4"/>
        </w:numPr>
        <w:rPr>
          <w:rFonts w:ascii="Times New Roman" w:cs="Times New Roman" w:eastAsia="Times New Roman" w:hAnsi="Times New Roman"/>
          <w:sz w:val="18"/>
          <w:szCs w:val="18"/>
          <w:color w:val="auto"/>
        </w:rPr>
      </w:pPr>
      <w:r>
        <w:rPr>
          <w:rFonts w:ascii="Arial" w:cs="Arial" w:eastAsia="Arial" w:hAnsi="Arial"/>
          <w:sz w:val="18"/>
          <w:szCs w:val="18"/>
          <w:color w:val="auto"/>
        </w:rPr>
        <w:t>the inability to commercialize any current or future product candidates that we may develop.</w:t>
      </w:r>
    </w:p>
    <w:p>
      <w:pPr>
        <w:spacing w:after="0" w:line="224"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While we maintain product liability insurance, we anticipate that we will need to increase our insurance coverage as we conduct additional clinical trials and if we successfully commercialize any product candidate. Insurance coverage is increasingly expensive. We may not be able to maintain product liability insurance coverage at a reasonable cost or in an amount adequate to satisfy any liability that may arise.</w:t>
      </w:r>
    </w:p>
    <w:p>
      <w:pPr>
        <w:spacing w:after="0" w:line="17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Our employees and independent contractors, including principal investigators, consultants, commercial collaborators, service providers and other vendors may engage in misconduct or other improper activities, including noncompliance with regulatory standards and requirements, which could have an adverse effect on our results of operations.</w:t>
      </w:r>
    </w:p>
    <w:p>
      <w:pPr>
        <w:spacing w:after="0" w:line="11"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We are exposed to the risk that our employees and independent contractors, including principal investigators, consultants, any future commercial collaborators, service providers and other vendors may engage in misconduct or other illegal activity. Misconduct by these parties could include intentional, reckless and/or negligent conduct or other unauthorized activities that violate the laws and regulations of the FDA and other similar regulatory bodies, including those laws that require the reporting of true, complete and accurate information to such regulatory bodies; manufacturing standards; the U.S. federal and state fraud and abuse laws, data privacy and security laws and other similar non-United States laws; or laws that require the true, complete and accurate reporting of financial information or data. Activities subject to these laws also involve the improper use or misrepresentation of information obtained in the course of clinical trials, the creation of fraudulent data in our preclinical studies or clinical trials, or illegal misappropriation of product, which could result in regulatory sanctions and cause serious harm to our reputation. It is not always possible to identify and deter misconduct by employees and other third-parties,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In addition,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and financial results, including, without limitation, the imposition of significant civil, criminal and administrative penalties, damages, monetary fines, disgorgement, possible exclusion from participation in Medicare, Medicaid and other United States federal healthcare programs or healthcare programs in other jurisdictions, integrity oversight and reporting obligations to resolve allegations of non -compliance, imprisonment, other sanctions, contractual damages, reputational harm, diminished profits and future earnings and curtailment of our operations, any of which could adversely affect our ability to operate our business and our results of operations.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3" w:right="33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65"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our stock price and trading volume could decline.</w:t>
      </w:r>
    </w:p>
    <w:p>
      <w:pPr>
        <w:spacing w:after="0" w:line="4"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The trading market for our common stock will depend in part on the research and reports that securities or industry analysts publish about us or our business. If one or more of the analysts who covers us downgrades our stock or publishes inaccurate or unfavorable research about our business, our stock price may decline. If one or more of these analysts ceases coverage of our company or fails to publish reports on us regularly, demand for our stock could decrease, which might cause our stock price and trading volume to decline.</w:t>
      </w:r>
    </w:p>
    <w:p>
      <w:pPr>
        <w:spacing w:after="0" w:line="176"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Our principal stockholders and management own a significant percentage of our stock and will be able to exert significant influence over matters subject to stockholder approval.</w:t>
      </w:r>
    </w:p>
    <w:p>
      <w:pPr>
        <w:spacing w:after="0" w:line="1"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Based on the beneficial ownership of our common stock as of June 30, 2024, our executive officers, directors, holders of 5% or more of our capital stock and their respective affiliates beneficially owned approximately 51% of our outstanding common stock. As a result, these stockholders, if acting together, will continue to have significant influence over the outcome of corporate actions requiring stockholder approval, including the election of directors, amendment of our organizational documents, any merger, consolidation or sale of all or substantially all of our assets and any other significant corporate transaction. The interests of these stockholders may not be the same as or may even conflict with your interests. For example, these stockholders could delay or prevent a change of control of our company, even if such a change of control would benefit our other stockholders, which could deprive our stockholders of an opportunity to receive a premium for their common stock as part of a sale of our company or our assets and might affect the prevailing market price of our common stock. The significant concentration of stock ownership may adversely affect the trading price of our common stock due to investors’ perception that conflicts of interest may exist or arise.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utilize our net operating loss carryforwards and certain other tax attributes may be limited.</w:t>
      </w:r>
    </w:p>
    <w:p>
      <w:pPr>
        <w:spacing w:after="0" w:line="61"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Under Section 382 of the Internal Revenue Code of 1986, as amended, or the Code, if a corporation undergoes an “ownership change” (generally defined as a greater than 50 percentage point change (by value) in the ownership of its equity over a three year period), the corporation’s ability to use its pre-change net operating loss, or NOL, carryforwards and certain other pre-change tax attributes to offset its post-change income may be limited. We may have experienced such ownership changes in the past, and we may experience ownership changes in the future as a result of subsequent shifts in our stock ownership, some of which are outside our control. Our gross operating losses and tax credits may also be impaired or restricted under state law. As of December 31, 2023, we had federal gross operating loss carryforwards of approximately $174.4 million, state gross operating loss carryforwards of $148.5 million, and foreign gross operating loss carryforwards of $0.1 million. Furthermore, our ability to utilize our NOLs or credits is conditioned upon our attaining profitability and generating the U.S. federal and state taxable income. As a result, the amount of the gross operating loss and tax credit carryforwards presented in our financial statements could be limited and may expire unutilized. Under current law, unused U.S. federal gross operating loss carryforwards generated in taxable years beginning after December 31, 2017 are not subject to expiration and may be carried forward indefinitely. For taxable years beginning after December 31, 2020, however, the deductibility of such U.S. federal NOLs is limited to 80% of our taxable income in such taxable years.</w:t>
      </w:r>
    </w:p>
    <w:p>
      <w:pPr>
        <w:spacing w:after="0" w:line="182" w:lineRule="exact"/>
        <w:rPr>
          <w:sz w:val="20"/>
          <w:szCs w:val="20"/>
          <w:color w:val="auto"/>
        </w:rPr>
      </w:pPr>
    </w:p>
    <w:p>
      <w:pPr>
        <w:jc w:val="both"/>
        <w:ind w:right="20"/>
        <w:spacing w:after="0" w:line="278" w:lineRule="auto"/>
        <w:rPr>
          <w:sz w:val="20"/>
          <w:szCs w:val="20"/>
          <w:color w:val="auto"/>
        </w:rPr>
      </w:pPr>
      <w:r>
        <w:rPr>
          <w:rFonts w:ascii="Arial" w:cs="Arial" w:eastAsia="Arial" w:hAnsi="Arial"/>
          <w:sz w:val="18"/>
          <w:szCs w:val="18"/>
          <w:b w:val="1"/>
          <w:bCs w:val="1"/>
          <w:i w:val="1"/>
          <w:iCs w:val="1"/>
          <w:color w:val="auto"/>
        </w:rPr>
        <w:t>Because we do not anticipate paying any cash dividends on our capital stock in the foreseeable future, capital appreciation, if any, will be your sole source of gain.</w:t>
      </w:r>
    </w:p>
    <w:p>
      <w:pPr>
        <w:spacing w:after="0" w:line="4"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We have never declared or paid cash dividends on our capital stock. We currently intend to retain all of our future earnings, if any, to finance the growth and development of our business. In addition, the terms of any future debt agreements may preclude us from paying dividends. As a result, capital appreciation, if any, of our common stock will be your sole source of gain for the foreseeable future.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securities litigation, which is expensive and could divert management attention.</w:t>
      </w:r>
    </w:p>
    <w:p>
      <w:pPr>
        <w:spacing w:after="0" w:line="61"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The market price of our common stock may be volatile and,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our management’s attention from other business concerns, which could seriously harm our business.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8" w:name="page69"/>
    <w:bookmarkEnd w:id="68"/>
    <w:p>
      <w:pPr>
        <w:ind w:right="20"/>
        <w:spacing w:after="0" w:line="272" w:lineRule="auto"/>
        <w:rPr>
          <w:sz w:val="20"/>
          <w:szCs w:val="20"/>
          <w:color w:val="auto"/>
        </w:rPr>
      </w:pPr>
      <w:r>
        <w:rPr>
          <w:rFonts w:ascii="Arial" w:cs="Arial" w:eastAsia="Arial" w:hAnsi="Arial"/>
          <w:sz w:val="18"/>
          <w:szCs w:val="18"/>
          <w:b w:val="1"/>
          <w:bCs w:val="1"/>
          <w:i w:val="1"/>
          <w:iCs w:val="1"/>
          <w:color w:val="auto"/>
        </w:rPr>
        <w:t>Our quarterly operating results may fluctuate significantly or may fall below the expectations of investors or securities analysts, each of which may cause our stock price to fluctuate or decline.</w:t>
      </w:r>
    </w:p>
    <w:p>
      <w:pPr>
        <w:spacing w:after="0" w:line="1" w:lineRule="exact"/>
        <w:rPr>
          <w:sz w:val="20"/>
          <w:szCs w:val="20"/>
          <w:color w:val="auto"/>
        </w:rPr>
      </w:pPr>
    </w:p>
    <w:p>
      <w:pPr>
        <w:ind w:firstLine="509"/>
        <w:spacing w:after="0" w:line="258" w:lineRule="auto"/>
        <w:rPr>
          <w:sz w:val="20"/>
          <w:szCs w:val="20"/>
          <w:color w:val="auto"/>
        </w:rPr>
      </w:pPr>
      <w:r>
        <w:rPr>
          <w:rFonts w:ascii="Arial" w:cs="Arial" w:eastAsia="Arial" w:hAnsi="Arial"/>
          <w:sz w:val="18"/>
          <w:szCs w:val="18"/>
          <w:color w:val="auto"/>
        </w:rPr>
        <w:t>We expect our operating results to be subject to quarterly fluctuations. Our net loss and other operating results will be affected by numerous factors, including:</w:t>
      </w: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variations in the level of expense related to the ongoing development of bel-sar or future development programs;</w:t>
      </w:r>
    </w:p>
    <w:p>
      <w:pPr>
        <w:spacing w:after="0" w:line="48" w:lineRule="exact"/>
        <w:rPr>
          <w:rFonts w:ascii="Times New Roman" w:cs="Times New Roman" w:eastAsia="Times New Roman" w:hAnsi="Times New Roman"/>
          <w:sz w:val="18"/>
          <w:szCs w:val="18"/>
          <w:color w:val="auto"/>
        </w:rPr>
      </w:pPr>
    </w:p>
    <w:p>
      <w:pPr>
        <w:ind w:left="1020" w:hanging="503"/>
        <w:spacing w:after="0" w:line="255" w:lineRule="auto"/>
        <w:tabs>
          <w:tab w:leader="none" w:pos="102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results of clinical trials, or the addition or termination of clinical trials or funding support by us, or existing or future collaborators or licensing partners;</w:t>
      </w:r>
    </w:p>
    <w:p>
      <w:pPr>
        <w:ind w:left="1020" w:hanging="503"/>
        <w:spacing w:after="0" w:line="252" w:lineRule="auto"/>
        <w:tabs>
          <w:tab w:leader="none" w:pos="102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our execution of any additional collaboration, licensing or similar arrangements, and the timing of payments we may make or receive under existing or future arrangements or the termination or modification of any such existing or future arrangements;</w:t>
      </w:r>
    </w:p>
    <w:p>
      <w:pPr>
        <w:ind w:left="1020" w:hanging="503"/>
        <w:spacing w:after="0" w:line="257" w:lineRule="auto"/>
        <w:tabs>
          <w:tab w:leader="none" w:pos="102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any intellectual property infringement lawsuit or opposition, interference or cancellation proceeding in which we may become involved;</w:t>
      </w:r>
    </w:p>
    <w:p>
      <w:pPr>
        <w:spacing w:after="0" w:line="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additions and departures of key personnel;</w:t>
      </w:r>
    </w:p>
    <w:p>
      <w:pPr>
        <w:spacing w:after="0" w:line="35" w:lineRule="exact"/>
        <w:rPr>
          <w:rFonts w:ascii="Times New Roman" w:cs="Times New Roman" w:eastAsia="Times New Roman" w:hAnsi="Times New Roman"/>
          <w:sz w:val="18"/>
          <w:szCs w:val="18"/>
          <w:color w:val="auto"/>
        </w:rPr>
      </w:pPr>
    </w:p>
    <w:p>
      <w:pPr>
        <w:ind w:left="1020" w:hanging="503"/>
        <w:spacing w:after="0" w:line="257" w:lineRule="auto"/>
        <w:tabs>
          <w:tab w:leader="none" w:pos="102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strategic decisions by us or our competitors, such as acquisitions, divestitures, spin-offs, joint ventures, strategic investments or changes in business strategy;</w:t>
      </w:r>
    </w:p>
    <w:p>
      <w:pPr>
        <w:spacing w:after="0" w:line="1" w:lineRule="exact"/>
        <w:rPr>
          <w:rFonts w:ascii="Times New Roman" w:cs="Times New Roman" w:eastAsia="Times New Roman" w:hAnsi="Times New Roman"/>
          <w:sz w:val="18"/>
          <w:szCs w:val="18"/>
          <w:color w:val="auto"/>
        </w:rPr>
      </w:pPr>
    </w:p>
    <w:p>
      <w:pPr>
        <w:ind w:left="1020" w:right="20" w:hanging="503"/>
        <w:spacing w:after="0" w:line="257" w:lineRule="auto"/>
        <w:tabs>
          <w:tab w:leader="none" w:pos="102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if any of our product candidates receives regulatory approval, the terms of such approval and market acceptance and demand for such product candidates;</w:t>
      </w:r>
    </w:p>
    <w:p>
      <w:pPr>
        <w:spacing w:after="0" w:line="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regulatory developments affecting our product candidates or those of our competitors; and</w:t>
      </w:r>
    </w:p>
    <w:p>
      <w:pPr>
        <w:spacing w:after="0" w:line="3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5"/>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general market and economic conditions, including inflationary pressures.</w:t>
      </w:r>
    </w:p>
    <w:p>
      <w:pPr>
        <w:spacing w:after="0" w:line="224"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If our quarterly operating results fall below the expectations of investors or securities analysts, the price of our common stock could decline substantially. Furthermore, any quarterly fluctuations in our operating results may, in turn, cause the price of our common stock to fluctuate substantially. We believe that quarterly comparisons of our financial results are not necessarily meaningful and should not be relied upon as an indication of our future performance.</w:t>
      </w:r>
    </w:p>
    <w:p>
      <w:pPr>
        <w:spacing w:after="0" w:line="176" w:lineRule="exact"/>
        <w:rPr>
          <w:sz w:val="20"/>
          <w:szCs w:val="20"/>
          <w:color w:val="auto"/>
        </w:rPr>
      </w:pPr>
    </w:p>
    <w:p>
      <w:pPr>
        <w:jc w:val="both"/>
        <w:ind w:right="20"/>
        <w:spacing w:after="0" w:line="278" w:lineRule="auto"/>
        <w:rPr>
          <w:sz w:val="20"/>
          <w:szCs w:val="20"/>
          <w:color w:val="auto"/>
        </w:rPr>
      </w:pPr>
      <w:r>
        <w:rPr>
          <w:rFonts w:ascii="Arial" w:cs="Arial" w:eastAsia="Arial" w:hAnsi="Arial"/>
          <w:sz w:val="18"/>
          <w:szCs w:val="18"/>
          <w:b w:val="1"/>
          <w:bCs w:val="1"/>
          <w:i w:val="1"/>
          <w:iCs w:val="1"/>
          <w:color w:val="auto"/>
        </w:rPr>
        <w:t>Our amended and restated bylaws designate specific courts as the exclusive forum for certain litigation that may be initiated by our stockholders, which could limit our stockholders’ ability to obtain a favorable judicial forum for disputes with us.</w:t>
      </w:r>
    </w:p>
    <w:p>
      <w:pPr>
        <w:spacing w:after="0" w:line="4"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Pursuant to our amended and restated bylaws, unless we consent in writing to the selection of an alternative forum, the Court of Chancery of the State of Delaware is the sole and exclusive forum for state law claims for (i) any derivative action or proceeding brought on our behalf, (ii) any action asserting a claim of breach of a fiduciary duty owed by any of our directors, officers, or other employees to us or our stockholders, (iii) any action asserting a claim arising pursuant to any provision of the Delaware General Corporation Law, or our amended and restated certificate of incorporation or our amended and amended and restated bylaws (including the interpretation, validity or enforceability thereof) or (iv) any action asserting a claim that is governed by the internal affairs doctrine, or the Delaware Forum Provision. The Delaware Forum Provision will not apply to any causes of action arising under the Securities Act or the Exchange Act. Our amended and restated bylaws will further provide that unless we consent in writing to the selection of an alternative forum, the federal district courts of the United States shall be the sole and exclusive forum for resolving any complaint asserting a cause of action arising under the Securities Act, or the Federal Forum Provision. In addition, our amended and restated bylaws provide that any person or entity purchasing or otherwise acquiring any interest in shares of our capital stock is deemed to have notice of and consented to the Delaware Forum Provision and the Federal Forum Provision; provided, however, that stockholders cannot and will not be deemed to have waived our compliance with the U.S. federal securities laws and the rules and regulations thereunder.</w:t>
      </w:r>
    </w:p>
    <w:p>
      <w:pPr>
        <w:spacing w:after="0" w:line="180"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The Delaware Forum Provision and the Federal Forum Provision in our amended and restated bylaws may impose additional litigation costs on stockholders in pursuing any such claims. Additionally, these forum selection clauses in our amended and restated bylaws may limit our stockholders’ ability to bring a claim in a judicial forum that they find favorable for disputes with us or our directors, officers or employees, which may discourage the filing of such lawsuits against us and our directors, officers and employees even though an action, if successful, might benefit our stockholders. In addition, while the Delaware Supreme Court ruled in March 2020 that federal forum selection provisions purporting to require claims under the Securities Act be brought in federal court are “facially valid” under Delaware law, there is uncertainty as to whether other courts will enforce our Federal Forum Provision. If the Federal Forum Provision is found to be unenforceable, we may incur additional costs associated with resolving such matters. The Federal Forum Provision may also impose additional litigation costs on stockholders who assert that the provision is not enforceable or invalid. The Court of Chancery of the State of Delaware and the federal district courts of the United States may also reach different judgments or results than would other courts, including courts where a stockholder considering an action may be located or would otherwise choose to bring the action, and such judgments may be more or less favorable to us than our stockholders.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3" w:right="339" w:bottom="1440" w:gutter="0" w:footer="0" w:header="0"/>
        </w:sectPr>
      </w:pPr>
    </w:p>
    <w:bookmarkStart w:id="69" w:name="page70"/>
    <w:bookmarkEnd w:id="69"/>
    <w:p>
      <w:pPr>
        <w:jc w:val="both"/>
        <w:ind w:firstLine="509"/>
        <w:spacing w:after="0" w:line="253" w:lineRule="auto"/>
        <w:rPr>
          <w:sz w:val="20"/>
          <w:szCs w:val="20"/>
          <w:color w:val="auto"/>
        </w:rPr>
      </w:pPr>
      <w:r>
        <w:rPr>
          <w:rFonts w:ascii="Arial" w:cs="Arial" w:eastAsia="Arial" w:hAnsi="Arial"/>
          <w:sz w:val="18"/>
          <w:szCs w:val="18"/>
          <w:color w:val="auto"/>
        </w:rPr>
        <w:t>If a court were to find either exclusive-forum provision in our amended and restated certificate of incorporation to be inapplicable or unenforceable in an action, we may incur further significant additional costs associated with resolving the dispute in other jurisdictions, all of which could harm our business.</w:t>
      </w:r>
    </w:p>
    <w:p>
      <w:pPr>
        <w:spacing w:after="0" w:line="171" w:lineRule="exact"/>
        <w:rPr>
          <w:sz w:val="20"/>
          <w:szCs w:val="20"/>
          <w:color w:val="auto"/>
        </w:rPr>
      </w:pPr>
    </w:p>
    <w:p>
      <w:pPr>
        <w:jc w:val="both"/>
        <w:spacing w:after="0" w:line="249" w:lineRule="auto"/>
        <w:rPr>
          <w:sz w:val="20"/>
          <w:szCs w:val="20"/>
          <w:color w:val="auto"/>
        </w:rPr>
      </w:pPr>
      <w:r>
        <w:rPr>
          <w:rFonts w:ascii="Arial" w:cs="Arial" w:eastAsia="Arial" w:hAnsi="Arial"/>
          <w:sz w:val="18"/>
          <w:szCs w:val="18"/>
          <w:b w:val="1"/>
          <w:bCs w:val="1"/>
          <w:i w:val="1"/>
          <w:iCs w:val="1"/>
          <w:color w:val="auto"/>
        </w:rPr>
        <w:t>Anti-takeover provisions in our amended and restated certificate of incorporation and amended and restated bylaws and under Delaware law could make an acquisition of us, which may be beneficial to our stockholders, more difficult and may prevent attempts by our stockholders to replace or remove our current management and, therefore, decrease the trading price of our common stock.</w:t>
      </w:r>
    </w:p>
    <w:p>
      <w:pPr>
        <w:spacing w:after="0" w:line="17" w:lineRule="exact"/>
        <w:rPr>
          <w:sz w:val="20"/>
          <w:szCs w:val="20"/>
          <w:color w:val="auto"/>
        </w:rPr>
      </w:pPr>
    </w:p>
    <w:p>
      <w:pPr>
        <w:jc w:val="both"/>
        <w:ind w:firstLine="509"/>
        <w:spacing w:after="0" w:line="250" w:lineRule="auto"/>
        <w:rPr>
          <w:sz w:val="20"/>
          <w:szCs w:val="20"/>
          <w:color w:val="auto"/>
        </w:rPr>
      </w:pPr>
      <w:r>
        <w:rPr>
          <w:rFonts w:ascii="Arial" w:cs="Arial" w:eastAsia="Arial" w:hAnsi="Arial"/>
          <w:sz w:val="18"/>
          <w:szCs w:val="18"/>
          <w:color w:val="auto"/>
        </w:rPr>
        <w:t>Our tenth amended and restated certificate of incorporation and amended and restated bylaws contain provisions that could delay or prevent a change of control of our company or changes in our board of directors, or Board, that our stockholders might consider favorable. Some of these provisions include:</w:t>
      </w:r>
    </w:p>
    <w:p>
      <w:pPr>
        <w:spacing w:after="0" w:line="1" w:lineRule="exact"/>
        <w:rPr>
          <w:sz w:val="20"/>
          <w:szCs w:val="20"/>
          <w:color w:val="auto"/>
        </w:rPr>
      </w:pPr>
    </w:p>
    <w:p>
      <w:pPr>
        <w:ind w:left="1020" w:right="20" w:hanging="503"/>
        <w:spacing w:after="0" w:line="257" w:lineRule="auto"/>
        <w:tabs>
          <w:tab w:leader="none" w:pos="102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auto"/>
        </w:rPr>
        <w:t>a Board divided into three classes serving staggered three-year terms, such that not all members of the Board will be elected at one time;</w:t>
      </w:r>
    </w:p>
    <w:p>
      <w:pPr>
        <w:spacing w:after="0" w:line="1" w:lineRule="exact"/>
        <w:rPr>
          <w:rFonts w:ascii="Times New Roman" w:cs="Times New Roman" w:eastAsia="Times New Roman" w:hAnsi="Times New Roman"/>
          <w:sz w:val="18"/>
          <w:szCs w:val="18"/>
          <w:color w:val="auto"/>
        </w:rPr>
      </w:pPr>
    </w:p>
    <w:p>
      <w:pPr>
        <w:ind w:left="1020" w:hanging="503"/>
        <w:spacing w:after="0" w:line="255" w:lineRule="auto"/>
        <w:tabs>
          <w:tab w:leader="none" w:pos="102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auto"/>
        </w:rPr>
        <w:t>a prohibition on stockholder action through written consent, which requires that all stockholder actions be taken at a meeting of our stockholders;</w:t>
      </w:r>
    </w:p>
    <w:p>
      <w:pPr>
        <w:jc w:val="both"/>
        <w:ind w:left="1020" w:hanging="503"/>
        <w:spacing w:after="0" w:line="246" w:lineRule="auto"/>
        <w:tabs>
          <w:tab w:leader="none" w:pos="102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auto"/>
        </w:rPr>
        <w:t>a requirement that special meetings of the stockholders may be called only by the Board acting pursuant to a resolution approved by the affirmative vote of a majority of the directors then in office, and special meetings of stockholders may not be called by any other person or persons;</w:t>
      </w:r>
    </w:p>
    <w:p>
      <w:pPr>
        <w:spacing w:after="0" w:line="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auto"/>
        </w:rPr>
        <w:t>advance notice requirements for stockholder proposals and nominations for election to our Board;</w:t>
      </w:r>
    </w:p>
    <w:p>
      <w:pPr>
        <w:spacing w:after="0" w:line="48" w:lineRule="exact"/>
        <w:rPr>
          <w:rFonts w:ascii="Times New Roman" w:cs="Times New Roman" w:eastAsia="Times New Roman" w:hAnsi="Times New Roman"/>
          <w:sz w:val="18"/>
          <w:szCs w:val="18"/>
          <w:color w:val="auto"/>
        </w:rPr>
      </w:pPr>
    </w:p>
    <w:p>
      <w:pPr>
        <w:jc w:val="both"/>
        <w:ind w:left="1020" w:right="20" w:hanging="503"/>
        <w:spacing w:after="0" w:line="248" w:lineRule="auto"/>
        <w:tabs>
          <w:tab w:leader="none" w:pos="102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auto"/>
        </w:rPr>
        <w:t>a requirement that no member of our Board may be removed from office by our stockholders except for cause and, in addition to any other vote required by law, upon the approval of not less than two-thirds (2/3) of all outstanding shares of our voting stock then entitled to vote in the election of directors;</w:t>
      </w:r>
    </w:p>
    <w:p>
      <w:pPr>
        <w:spacing w:after="0" w:line="1" w:lineRule="exact"/>
        <w:rPr>
          <w:rFonts w:ascii="Times New Roman" w:cs="Times New Roman" w:eastAsia="Times New Roman" w:hAnsi="Times New Roman"/>
          <w:sz w:val="18"/>
          <w:szCs w:val="18"/>
          <w:color w:val="auto"/>
        </w:rPr>
      </w:pPr>
    </w:p>
    <w:p>
      <w:pPr>
        <w:jc w:val="both"/>
        <w:ind w:left="1020" w:hanging="503"/>
        <w:spacing w:after="0" w:line="246" w:lineRule="auto"/>
        <w:tabs>
          <w:tab w:leader="none" w:pos="102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auto"/>
        </w:rPr>
        <w:t>a requirement of approval of not less than a majority of all outstanding shares of our voting stock to amend any bylaws by stockholder action and not less than two-thirds (2/3) of all outstanding shares of our voting stock to amend specific provisions of our certificate of incorporation; and</w:t>
      </w:r>
    </w:p>
    <w:p>
      <w:pPr>
        <w:spacing w:after="0" w:line="1"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36"/>
        </w:numPr>
        <w:rPr>
          <w:rFonts w:ascii="Times New Roman" w:cs="Times New Roman" w:eastAsia="Times New Roman" w:hAnsi="Times New Roman"/>
          <w:sz w:val="18"/>
          <w:szCs w:val="18"/>
          <w:color w:val="auto"/>
        </w:rPr>
      </w:pPr>
      <w:r>
        <w:rPr>
          <w:rFonts w:ascii="Arial" w:cs="Arial" w:eastAsia="Arial" w:hAnsi="Arial"/>
          <w:sz w:val="18"/>
          <w:szCs w:val="18"/>
          <w:color w:val="auto"/>
        </w:rPr>
        <w:t>the authority of the Board to issue preferred stock on terms determined by the Board without stockholder approval, which preferred stock may include rights superior to the rights of the holders of common stock.</w:t>
      </w:r>
    </w:p>
    <w:p>
      <w:pPr>
        <w:spacing w:after="0" w:line="154"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In addition, because we are incorporated in Delaware, we are governed by the provisions of Section 203 of the Delaware General Corporate Law, which may prohibit certain business combinations with stockholders owning 15% or more of our outstanding voting stock. These anti-takeover provisions and other provisions in our tenth amended and restated certificate of incorporation and amended and restated bylaws could make it more difficult for stockholders or potential acquirers to obtain control of our Board or initiate actions that are opposed by the then-current Board and could also delay or impede a merger, tender offer or proxy contest involving our company. These provisions could also discourage proxy contests and make it more difficult for you and other stockholders to elect directors of your choosing or cause us to take other corporate actions you desire. Any delay or prevention of a change of control transaction or changes in our Board could cause the market price of our common stock to decline.</w:t>
      </w:r>
    </w:p>
    <w:p>
      <w:pPr>
        <w:spacing w:after="0" w:line="182"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Future sales and issuances of our common stock or rights to acquire shares of our common stock, could result in additional dilution to the ownership of our stockholders and cause the market price of our common stock to decline significantly.</w:t>
      </w:r>
    </w:p>
    <w:p>
      <w:pPr>
        <w:spacing w:after="0" w:line="1"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We will need additional capital in the future to continue our planned operations. To the extent we raise additional capital by issuing equity securities, our stockholders may experience substantial dilution. We may sell common stock, convertible securities or other equity securities in one or more transactions at prices and in a manner we determine from time to time. If we sell common stock, convertible securities or other equity securities in more than one transaction, investors may be materially diluted by subsequent sales. These sales may also result in material dilution to our existing stockholders, and new investors could be granted rights superior to our existing stockholders. In March 2024, we filed a registration statement on Form S-3 relating to the registration of our common stock, preferred stock, debt securities, warrants and units or any combination thereof. Concurrently with the filing of such registration statement, we filed an “at-the-market” offering prospectus supplement, which provides for the offering, issuance and sale by us of shares of our common stock from time to time for aggregate gross proceeds of up to $75 million in sales deemed to be “at-the-market offerings” as defined by the Securities Act. Any sale or issuance of securities pursuant to this registration statement or otherwise may result in dilution to our stockholders and may cause the market price of our stock to decline. Furthermore, new investors purchasing securities that we may issue and sell in the future could obtain rights superior to the rights of our existing stockholders.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0" w:name="page71"/>
    <w:bookmarkEnd w:id="70"/>
    <w:p>
      <w:pPr>
        <w:jc w:val="both"/>
        <w:ind w:firstLine="509"/>
        <w:spacing w:after="0" w:line="238" w:lineRule="auto"/>
        <w:rPr>
          <w:sz w:val="20"/>
          <w:szCs w:val="20"/>
          <w:color w:val="auto"/>
        </w:rPr>
      </w:pPr>
      <w:r>
        <w:rPr>
          <w:rFonts w:ascii="Arial" w:cs="Arial" w:eastAsia="Arial" w:hAnsi="Arial"/>
          <w:sz w:val="18"/>
          <w:szCs w:val="18"/>
          <w:color w:val="auto"/>
        </w:rPr>
        <w:t>Sales of a substantial number of shares of our common stock in the public market could occur at any time. These sales, or the perception in the market that the holders of a large number of shares of common stock intend to sell shares, could reduce the market price of our common stock. As of June 30, 2024, we have 49,583,358 shares of common stock outstanding. Significant portions of these shares are held by a small number of stockholders, including persons who were our stockholders prior to our IPO. Sales by our stockholders of a substantial number of shares, or the expectation that such sales may occur, could significantly reduce the market price of our common stock. Moreover, certain shares of our common stock have rights, subject to conditions, to require us to file registration statements covering their shares or to include their shares in registration statements that we may file for ourselves or other stockholders. We have also registered or intend to register all shares of common stock that we may issue under our equity compensation plans or that are issuable upon exercise of outstanding options. These shares can be freely sold in the public market upon issuance and once vested, subject to volume limitations applicable to affiliates. In addition, our directors, executive officers and certain affiliates may establish programmed selling plans under Rule 10b5-1 of the Exchange Act for the purpose of effecting sales of our common stock. If any of these events cause a large number of our shares to be sold, or if it is perceived that they will be sold, in the public market, the market price of our common stock could decline.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65"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We are subject to certain U.S. and foreign anti-corruption, anti-money laundering, export control, sanctions, and other trade laws and regulations. We can face serious consequences for violations.</w:t>
      </w:r>
    </w:p>
    <w:p>
      <w:pPr>
        <w:spacing w:after="0" w:line="4"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Among other matters, the U.S. and foreign anti-corruption, anti-money laundering, export control, sanctions, and other trade laws and regulations, which are collectively referred to as Trade Laws, prohibit companies and their employees, agents, clinical research organizations, legal counsel, accountants, consultants, contractors, and other partners from authorizing, promising, offering, providing, soliciting, or receiving directly or indirectly, corrupt or improper payments or anything else of value to or from recipients in the public or private sector. Violations of Trade Laws can result in substantial criminal fines and civil penalties, imprisonment, the loss of trade privileges, debarment, tax reassessments, breach of contract and fraud litigation, reputational harm, and other consequences. We have direct or indirect interactions with officials and employees of government agencies or government-affiliated hospitals, universities, and other organizations. We also expect our non-U.S. activities to increase in time. We plan to engage third parties for clinical trials and/or to obtain necessary permits, licenses, patent registrations, and other regulatory approvals and we can be held liable for the corrupt or other illegal activities of our personnel, agents, or partners, even if we do not explicitly authorize or have prior knowledge of such activities.</w:t>
      </w:r>
    </w:p>
    <w:p>
      <w:pPr>
        <w:spacing w:after="0" w:line="18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Adverse developments affecting the financial services industry, such as actual events or concerns involving liquidity, defaults or non-performance by financial institutions or transactional counterparties, could adversely affect our company’s current and projected business operations and its financial condition and results of operations.</w:t>
      </w:r>
    </w:p>
    <w:p>
      <w:pPr>
        <w:spacing w:after="0" w:line="11" w:lineRule="exact"/>
        <w:rPr>
          <w:sz w:val="20"/>
          <w:szCs w:val="20"/>
          <w:color w:val="auto"/>
        </w:rPr>
      </w:pPr>
    </w:p>
    <w:p>
      <w:pPr>
        <w:jc w:val="both"/>
        <w:ind w:right="20" w:firstLine="509"/>
        <w:spacing w:after="0" w:line="253" w:lineRule="auto"/>
        <w:rPr>
          <w:sz w:val="20"/>
          <w:szCs w:val="20"/>
          <w:color w:val="auto"/>
        </w:rPr>
      </w:pPr>
      <w:r>
        <w:rPr>
          <w:rFonts w:ascii="Arial" w:cs="Arial" w:eastAsia="Arial" w:hAnsi="Arial"/>
          <w:sz w:val="18"/>
          <w:szCs w:val="18"/>
          <w:color w:val="auto"/>
        </w:rPr>
        <w:t>Actual 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 liquidity problems.</w:t>
      </w:r>
    </w:p>
    <w:p>
      <w:pPr>
        <w:spacing w:after="0" w:line="169"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Inflation and rapid increases in interest rates have led to a decline in the trading value of previously issued government securities with interest rates below current market interest rates. Although the U.S. Department of Treasury, FDIC and Federal Reserve Board have announced a program to provide up to $25 billion of loans to financial institutions secured by certain of such government securities held by financial institutions to mitigate the risk of potential losses on the sale of such instruments, widespread demands for customer withdrawals or other liquidity needs of financial institutions for immediately liquidity may exceed the capacity of such program. There is no guarantee that the U.S. Department of Treasury, FDIC and Federal Reserve Board will provide access to uninsured funds in the future in the event of the closure of other banks or financial institutions, or that they would do so in a timely fashion.</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1" w:name="page72"/>
    <w:bookmarkEnd w:id="71"/>
    <w:p>
      <w:pPr>
        <w:jc w:val="both"/>
        <w:ind w:firstLine="509"/>
        <w:spacing w:after="0" w:line="239" w:lineRule="auto"/>
        <w:rPr>
          <w:sz w:val="20"/>
          <w:szCs w:val="20"/>
          <w:color w:val="auto"/>
        </w:rPr>
      </w:pPr>
      <w:r>
        <w:rPr>
          <w:rFonts w:ascii="Arial" w:cs="Arial" w:eastAsia="Arial" w:hAnsi="Arial"/>
          <w:sz w:val="18"/>
          <w:szCs w:val="18"/>
          <w:color w:val="auto"/>
        </w:rPr>
        <w:t>Although we assess our banking and customer relationships as we believe necessary or appropriate, our access to funding sources and other credit arrangements in amounts adequate to finance or capitalize our current and projected future business operations could be significantly impaired by factors that affect our company, the financial institutions with which we have credit agreements or arrangements directly, or the financial services industry or economy in general. These factors could include, among others, events such as liquidity constraints or failures, the ability to perform obligations under various types of financial, credit or liquidity agreements or arrangements, disruptions or instability in the financial services industry or financial markets, or concerns or negative expectations about the prospects for companies in the financial services industry. These factors could involve financial institutions or financial services industry companies with which we have financial or business relationships, but could also include factors involving financial markets or the financial services industry generally.</w:t>
      </w:r>
    </w:p>
    <w:p>
      <w:pPr>
        <w:spacing w:after="0" w:line="183" w:lineRule="exact"/>
        <w:rPr>
          <w:sz w:val="20"/>
          <w:szCs w:val="20"/>
          <w:color w:val="auto"/>
        </w:rPr>
      </w:pPr>
    </w:p>
    <w:p>
      <w:pPr>
        <w:jc w:val="both"/>
        <w:ind w:firstLine="509"/>
        <w:spacing w:after="0" w:line="250" w:lineRule="auto"/>
        <w:rPr>
          <w:sz w:val="20"/>
          <w:szCs w:val="20"/>
          <w:color w:val="auto"/>
        </w:rPr>
      </w:pPr>
      <w:r>
        <w:rPr>
          <w:rFonts w:ascii="Arial" w:cs="Arial" w:eastAsia="Arial" w:hAnsi="Arial"/>
          <w:sz w:val="18"/>
          <w:szCs w:val="18"/>
          <w:color w:val="auto"/>
        </w:rPr>
        <w:t>The results of events or concerns that involve one or more of these factors could include a variety of material and adverse impacts on our current and projected business operations and our financial condition and results of operations. These could include, but may not be limited to, the following:</w:t>
      </w:r>
    </w:p>
    <w:p>
      <w:pPr>
        <w:spacing w:after="0" w:line="1" w:lineRule="exact"/>
        <w:rPr>
          <w:sz w:val="20"/>
          <w:szCs w:val="20"/>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delayed access to deposits or other financial assets or the uninsured loss of deposits or other financial assets;</w:t>
      </w:r>
    </w:p>
    <w:p>
      <w:pPr>
        <w:spacing w:after="0" w:line="35" w:lineRule="exact"/>
        <w:rPr>
          <w:rFonts w:ascii="Times New Roman" w:cs="Times New Roman" w:eastAsia="Times New Roman" w:hAnsi="Times New Roman"/>
          <w:sz w:val="18"/>
          <w:szCs w:val="18"/>
          <w:color w:val="auto"/>
        </w:rPr>
      </w:pPr>
    </w:p>
    <w:p>
      <w:pPr>
        <w:ind w:left="1020" w:hanging="503"/>
        <w:spacing w:after="0" w:line="257" w:lineRule="auto"/>
        <w:tabs>
          <w:tab w:leader="none" w:pos="102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loss of access to revolving existing credit facilities or other working capital sources and/or the inability to refund, roll over or extend the maturity of, or enter into new credit facilities or other working capital resources;</w:t>
      </w:r>
    </w:p>
    <w:p>
      <w:pPr>
        <w:spacing w:after="0" w:line="1" w:lineRule="exact"/>
        <w:rPr>
          <w:rFonts w:ascii="Times New Roman" w:cs="Times New Roman" w:eastAsia="Times New Roman" w:hAnsi="Times New Roman"/>
          <w:sz w:val="18"/>
          <w:szCs w:val="18"/>
          <w:color w:val="auto"/>
        </w:rPr>
      </w:pPr>
    </w:p>
    <w:p>
      <w:pPr>
        <w:ind w:left="1020" w:right="20" w:hanging="503"/>
        <w:spacing w:after="0" w:line="257" w:lineRule="auto"/>
        <w:tabs>
          <w:tab w:leader="none" w:pos="102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potential or actual breach of contractual obligations that require us to maintain letters of credit or other credit support arrangements;</w:t>
      </w:r>
    </w:p>
    <w:p>
      <w:pPr>
        <w:spacing w:after="0" w:line="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potential or actual breach of financial covenants in our credit agreements or credit arrangements;</w:t>
      </w:r>
    </w:p>
    <w:p>
      <w:pPr>
        <w:spacing w:after="0" w:line="3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potential or actual cross-defaults in other credit agreements, credit arrangements or operating or financing agreements; or</w:t>
      </w:r>
    </w:p>
    <w:p>
      <w:pPr>
        <w:spacing w:after="0" w:line="48" w:lineRule="exact"/>
        <w:rPr>
          <w:rFonts w:ascii="Times New Roman" w:cs="Times New Roman" w:eastAsia="Times New Roman" w:hAnsi="Times New Roman"/>
          <w:sz w:val="18"/>
          <w:szCs w:val="18"/>
          <w:color w:val="auto"/>
        </w:rPr>
      </w:pPr>
    </w:p>
    <w:p>
      <w:pPr>
        <w:ind w:left="1020" w:hanging="503"/>
        <w:spacing w:after="0" w:line="270" w:lineRule="auto"/>
        <w:tabs>
          <w:tab w:leader="none" w:pos="1020" w:val="left"/>
        </w:tabs>
        <w:numPr>
          <w:ilvl w:val="0"/>
          <w:numId w:val="37"/>
        </w:numPr>
        <w:rPr>
          <w:rFonts w:ascii="Times New Roman" w:cs="Times New Roman" w:eastAsia="Times New Roman" w:hAnsi="Times New Roman"/>
          <w:sz w:val="18"/>
          <w:szCs w:val="18"/>
          <w:color w:val="auto"/>
        </w:rPr>
      </w:pPr>
      <w:r>
        <w:rPr>
          <w:rFonts w:ascii="Arial" w:cs="Arial" w:eastAsia="Arial" w:hAnsi="Arial"/>
          <w:sz w:val="18"/>
          <w:szCs w:val="18"/>
          <w:color w:val="auto"/>
        </w:rPr>
        <w:t>termination of cash management arrangements and/or delays in accessing or actual loss of funds subject to cash management arrangements.</w:t>
      </w:r>
    </w:p>
    <w:p>
      <w:pPr>
        <w:spacing w:after="0" w:line="154"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In addition,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financing on acceptable terms or at all. Any decline in available funding or access to our cash and liquidity resources could, among other risks, adversely impact our ability to meet our operating expenses, financial obligations or fulfill our other obligations, result in breaches of our financial and/or contractual obligations or result in violations of federal or state wage and hour laws. Any of these impacts, or any other impacts resulting from the factors described above or other related or similar factors not described above, could have material adverse impacts on our liquidity and our current and/or projected business operations and financial condition and results of operations.</w:t>
      </w:r>
    </w:p>
    <w:p>
      <w:pPr>
        <w:spacing w:after="0" w:line="180"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In addition, any further deterioration in the macroeconomic economy or financial services industry could lead to losses or defaults by our customers or suppliers, which in turn, could have a material adverse effect on our current and/or projected business operations and results of operations and financial condition. For example, a customer may fail to make payments when due, default under their agreements with us, become insolvent or declare bankruptcy, or a supplier may determine that it will no longer deal with us as a customer. In addition, a customer or supplier could be adversely affected by any of the liquidity or other risks that are described above as factors that could result in material adverse impacts on our company, including but not limited to delayed access or loss of access to uninsured deposits or loss of the ability to draw on existing credit facilities involving a troubled or failed financial institution. Any customer or supplier bankruptcy or insolvency, or the failure of any customer to make payments when due, or any breach or default by a customer or supplier, or the loss of any significant supplier relationships, could result in material losses to us and may have material adverse impacts on our business.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2" w:name="page73"/>
    <w:bookmarkEnd w:id="72"/>
    <w:p>
      <w:pPr>
        <w:jc w:val="both"/>
        <w:ind w:right="20"/>
        <w:spacing w:after="0" w:line="272" w:lineRule="auto"/>
        <w:rPr>
          <w:sz w:val="20"/>
          <w:szCs w:val="20"/>
          <w:color w:val="auto"/>
        </w:rPr>
      </w:pPr>
      <w:r>
        <w:rPr>
          <w:rFonts w:ascii="Arial" w:cs="Arial" w:eastAsia="Arial" w:hAnsi="Arial"/>
          <w:sz w:val="18"/>
          <w:szCs w:val="18"/>
          <w:b w:val="1"/>
          <w:bCs w:val="1"/>
          <w:i w:val="1"/>
          <w:iCs w:val="1"/>
          <w:color w:val="auto"/>
        </w:rPr>
        <w:t>Unfavorable global economic or political conditions could adversely affect our business, financial condition or results of operations.</w:t>
      </w:r>
    </w:p>
    <w:p>
      <w:pPr>
        <w:spacing w:after="0" w:line="1" w:lineRule="exact"/>
        <w:rPr>
          <w:sz w:val="20"/>
          <w:szCs w:val="20"/>
          <w:color w:val="auto"/>
        </w:rPr>
      </w:pPr>
    </w:p>
    <w:p>
      <w:pPr>
        <w:jc w:val="both"/>
        <w:ind w:firstLine="509"/>
        <w:spacing w:after="0" w:line="238" w:lineRule="auto"/>
        <w:rPr>
          <w:sz w:val="20"/>
          <w:szCs w:val="20"/>
          <w:color w:val="auto"/>
        </w:rPr>
      </w:pPr>
      <w:r>
        <w:rPr>
          <w:rFonts w:ascii="Arial" w:cs="Arial" w:eastAsia="Arial" w:hAnsi="Arial"/>
          <w:sz w:val="18"/>
          <w:szCs w:val="18"/>
          <w:color w:val="auto"/>
        </w:rPr>
        <w:t>Our results of operations could be adversely affected by general conditions in the global economy and in the global financial markets. For example, in 2008, the global financial crisis caused extreme volatility and disruptions in the capital and credit markets and the COVID-19 pandemic, which began in 2020, caused significant volatility and uncertainty in the U.S. and international markets. In addition, the current military conflict between Russia and Ukraine and the armed conflict in Israel and the Gaza Strip could disrupt or otherwise adversely impact our operations and those of third parties upon which we rely. Related sanctions, export controls or other actions that may be initiated by nations including the United States, the EU or Russia (e.g., potential cyberattacks, disruption of energy flows, etc.), which could adversely affect our business and/or our supply chain, our CROs, CDMOs and other third parties with which we conduct business. A severe or prolonged economic downturn or political unrest could result in a variety of risks to our business, including but not limited to weakened demand for our product candidates and our ability to raise additional capital when needed on acceptable terms, if at all. A weak or declining economy could also strain our suppliers, possibly resulting in supply disruption, or cause our customers to delay making payments for our services. Any of the foregoing could harm our business and we cannot anticipate all of the ways in which the current economic climate and financial market conditions could adversely impact our business.</w:t>
      </w:r>
    </w:p>
    <w:p>
      <w:pPr>
        <w:spacing w:after="0" w:line="185"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Our employees, independent contractors, consultants, academic collaborators, partners and vendors may engage in misconduct or other improper activities, including noncompliance with regulatory standards and requirements.</w:t>
      </w:r>
    </w:p>
    <w:p>
      <w:pPr>
        <w:spacing w:after="0" w:line="4"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We are exposed to the risk of employee fraud or other illegal activity by our employees, independent contractors, consultants, academic collaborators, partners and vendors. Misconduct by these parties could include intentional, reckless and/or negligent conduct that fails to comply with the laws of the FDA, the EMA and comparable foreign regulatory authorities, provide true, complete and accurate information to the FDA, the EMA and comparable foreign regulatory authorities, comply with manufacturing standards we have established, comply with healthcare fraud and abuse laws in the United States and similar foreign fraudulent misconduct laws, or report financial information or data accurately or to disclose unauthorized activities to us. If we obtain the FDA approval of any of our product candidates and begin commercializing those products in the United States, our potential exposure under such laws will increase significantly, and our costs associated with compliance with such laws are also likely to increase. These laws may impact, among other things, our current activities with principal investigators and research patients, as well as proposed and future sales, marketing and education programs. We have adopted a code of business conduct and ethics, but it is not always possible to identify and deter misconduct by our employees, independent contractors, consultants, academic collaborators, partners and vendors, and the precautions we take to detect and prevent such activities may not be effective in controlling unknown or unmanaged risks or losses or in protecting us from governmental investigations or other actions or lawsuits stemming from a failure to comply with these laws or regulations. If any actions are instituted against us and we are not successful in defending ourselves or asserting our rights, those actions could result in the imposition of civil, criminal and administrative penalties, damages, monetary fines, imprisonment, disgorgement, possible exclusion from participation in government healthcare programs, additional reporting obligations and oversight if we become subject to a corporate integrity agreement or other agreement to resolve allegations of non-compliance with these laws, contractual damages, reputational harm, diminished profits and future earnings and the curtailment of our operations.</w:t>
      </w:r>
    </w:p>
    <w:p>
      <w:pPr>
        <w:spacing w:after="0" w:line="18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i w:val="1"/>
          <w:iCs w:val="1"/>
          <w:color w:val="auto"/>
        </w:rPr>
        <w:t>We are an “emerging growth company” and a “smaller reporting company” and we cannot be certain if the reduced reporting requirements applicable to “emerging growth companies” and “smaller reporting companies” will make our common stock less attractive to investors.</w:t>
      </w:r>
    </w:p>
    <w:p>
      <w:pPr>
        <w:spacing w:after="0" w:line="11"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We are an “emerging growth company” as defined in the JOBS Act. For as long as we continue to be an “emerging growth company,” we may take advantage of exemptions from various reporting requirements that are applicable to other public companies that are not emerging growth companies, including (1) not being required to comply with the independent auditor attestation requirements of Section 404 of the Sarbanes-Oxley Act of 2002, as amended, or Section 404, (2) reduced disclosure obligations regarding executive compensation in our periodic reports and proxy statements and (3) exemptions from the requirements of holding nonbinding advisory stockholder votes on executive compensation and stockholder approval of any golden parachute payments not approved previously. In addition, as an “emerging growth company,” we are only required to provide two years of audited financial statements and two years of selected financial data in our periodic reports.</w:t>
      </w:r>
    </w:p>
    <w:p>
      <w:pPr>
        <w:spacing w:after="0" w:line="180"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We will remain an “emerging growth company” until the earlier of (i) the last day of the fiscal year (a) following the fifth anniversary of the closing of our IPO, (b) in which we have total annual gross revenue of at least $1.235 billion or (c) in which we are deemed to be a “large accelerated filer,” which requires the market value of our common stock that is held by non-affiliates to exceed $700.0 million as of the prior June 30, and (ii) the date on which we have issued more than $1.0 billion in non-convertible debt during the prior three-year period.</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3" w:right="339" w:bottom="1440" w:gutter="0" w:footer="0" w:header="0"/>
        </w:sectPr>
      </w:pPr>
    </w:p>
    <w:bookmarkStart w:id="73" w:name="page74"/>
    <w:bookmarkEnd w:id="73"/>
    <w:p>
      <w:pPr>
        <w:jc w:val="both"/>
        <w:ind w:firstLine="509"/>
        <w:spacing w:after="0" w:line="242" w:lineRule="auto"/>
        <w:rPr>
          <w:sz w:val="20"/>
          <w:szCs w:val="20"/>
          <w:color w:val="auto"/>
        </w:rPr>
      </w:pPr>
      <w:r>
        <w:rPr>
          <w:rFonts w:ascii="Arial" w:cs="Arial" w:eastAsia="Arial" w:hAnsi="Arial"/>
          <w:sz w:val="18"/>
          <w:szCs w:val="18"/>
          <w:color w:val="auto"/>
        </w:rPr>
        <w:t>Even after we no longer qualify as an “emerging growth company,” we may still qualify as a “smaller reporting company,” which would allow us to take advantage of many of the same exemptions from disclosure requirements, including not being required to comply with the independent auditor attestation requirements of Section 404 and reduced disclosure obligations regarding executive compensation in our periodic reports and proxy statements. We cannot predict if investors will find our common stock less attractive because we may rely on these exemptions. If some investors find our common stock less attractive as a result, there may be a less active trading market for our common stock and our share price may be more volatile.</w:t>
      </w:r>
    </w:p>
    <w:p>
      <w:pPr>
        <w:spacing w:after="0" w:line="179"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Under the JOBS Act, “emerging growth companies” can also delay adopting new or revised accounting standards until such time as those standards apply to private companies. We have elected to take advantage of the benefits of this extended transition period. Our financial statements may therefore not be comparable to those of companies that comply with such new or revised accounting standards. Until the date that we are no longer an “emerging growth company” or affirmatively and irrevocably opt out of the exemption provided by Section 7(a)(2)(B) of the Securities Act, upon issuance of a new or revised accounting standard that applies to our financial statements and that has a different effective date for public and private companies, we will disclose the date on which adoption is required for non-emerging growth companies and the date on which we will adopt the recently issued accounting standard.</w:t>
      </w:r>
    </w:p>
    <w:p>
      <w:pPr>
        <w:spacing w:after="0" w:line="185"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18"/>
          <w:szCs w:val="18"/>
          <w:color w:val="auto"/>
        </w:rPr>
        <w:t>We are also a “smaller reporting company,” meaning that the market value of our stock held by non-affiliates is less than $700.0 million and our annual revenue is less than $100.0 million during the most recently completed fiscal year. We may continue to be a “smaller reporting company” until (i) the market value of our stock held by non-affiliates is less than $ 250.0 million or (ii) our annual revenue is less than $100.0 million during the most recently completed fiscal year and the market value of our stock held by non-affiliates is less than $700.0 million as of the prior June 30.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of our stock may be volatile, and you could lose all or part of your investment.</w:t>
      </w:r>
    </w:p>
    <w:p>
      <w:pPr>
        <w:spacing w:after="0" w:line="61" w:lineRule="exact"/>
        <w:rPr>
          <w:sz w:val="20"/>
          <w:szCs w:val="20"/>
          <w:color w:val="auto"/>
        </w:rPr>
      </w:pPr>
    </w:p>
    <w:p>
      <w:pPr>
        <w:jc w:val="both"/>
        <w:ind w:firstLine="509"/>
        <w:spacing w:after="0" w:line="246" w:lineRule="auto"/>
        <w:rPr>
          <w:sz w:val="20"/>
          <w:szCs w:val="20"/>
          <w:color w:val="auto"/>
        </w:rPr>
      </w:pPr>
      <w:r>
        <w:rPr>
          <w:rFonts w:ascii="Arial" w:cs="Arial" w:eastAsia="Arial" w:hAnsi="Arial"/>
          <w:sz w:val="18"/>
          <w:szCs w:val="18"/>
          <w:color w:val="auto"/>
        </w:rPr>
        <w:t>The trading price of our common stock is highly volatile and subject to wide fluctuations in response to various factors, some of which we cannot control. As a result of this volatility, you may not be able to sell your common stock at or above the price you paid for your common stock. The market price for our common stock may be influenced by many factors, including the other risks described in the section of this Quarterly Report titled “Risk Factors” and the following:</w:t>
      </w:r>
    </w:p>
    <w:p>
      <w:pPr>
        <w:spacing w:after="0" w:line="2" w:lineRule="exact"/>
        <w:rPr>
          <w:sz w:val="20"/>
          <w:szCs w:val="20"/>
          <w:color w:val="auto"/>
        </w:rPr>
      </w:pPr>
    </w:p>
    <w:p>
      <w:pPr>
        <w:ind w:left="1020" w:hanging="503"/>
        <w:spacing w:after="0" w:line="257" w:lineRule="auto"/>
        <w:tabs>
          <w:tab w:leader="none" w:pos="102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results of preclinical studies and results or enrollment of clinical trials of bel-sar or our future product candidates, or those of our potential future competitors or our existing or future collaborators;</w:t>
      </w:r>
    </w:p>
    <w:p>
      <w:pPr>
        <w:spacing w:after="0" w:line="1" w:lineRule="exact"/>
        <w:rPr>
          <w:rFonts w:ascii="Times New Roman" w:cs="Times New Roman" w:eastAsia="Times New Roman" w:hAnsi="Times New Roman"/>
          <w:sz w:val="18"/>
          <w:szCs w:val="18"/>
          <w:color w:val="auto"/>
        </w:rPr>
      </w:pPr>
    </w:p>
    <w:p>
      <w:pPr>
        <w:ind w:left="1020" w:hanging="503"/>
        <w:spacing w:after="0" w:line="255" w:lineRule="auto"/>
        <w:tabs>
          <w:tab w:leader="none" w:pos="102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regulatory or legal developments in the United States and other countries, especially changes in laws or regulations applicable to our product candidates;</w:t>
      </w: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the success of future competitive products or technologies;</w:t>
      </w:r>
    </w:p>
    <w:p>
      <w:pPr>
        <w:spacing w:after="0" w:line="39" w:lineRule="exact"/>
        <w:rPr>
          <w:rFonts w:ascii="Times New Roman" w:cs="Times New Roman" w:eastAsia="Times New Roman" w:hAnsi="Times New Roman"/>
          <w:sz w:val="18"/>
          <w:szCs w:val="18"/>
          <w:color w:val="auto"/>
        </w:rPr>
      </w:pPr>
    </w:p>
    <w:p>
      <w:pPr>
        <w:ind w:left="1020" w:hanging="503"/>
        <w:spacing w:after="0" w:line="257" w:lineRule="auto"/>
        <w:tabs>
          <w:tab w:leader="none" w:pos="102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introductions and announcements of new products by us, our future commercialization partners, or our competitors, and the timing of these introductions or announcements;</w:t>
      </w:r>
    </w:p>
    <w:p>
      <w:pPr>
        <w:spacing w:after="0" w:line="1" w:lineRule="exact"/>
        <w:rPr>
          <w:rFonts w:ascii="Times New Roman" w:cs="Times New Roman" w:eastAsia="Times New Roman" w:hAnsi="Times New Roman"/>
          <w:sz w:val="18"/>
          <w:szCs w:val="18"/>
          <w:color w:val="auto"/>
        </w:rPr>
      </w:pPr>
    </w:p>
    <w:p>
      <w:pPr>
        <w:ind w:left="1020" w:right="20" w:hanging="503"/>
        <w:spacing w:after="0" w:line="255" w:lineRule="auto"/>
        <w:tabs>
          <w:tab w:leader="none" w:pos="102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actions taken by regulatory agencies with respect to our products, clinical trials, manufacturing process or sales and marketing terms;</w:t>
      </w: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actual or anticipated variations in our financial results or those of companies that are perceived to be similar to us;</w:t>
      </w:r>
    </w:p>
    <w:p>
      <w:pPr>
        <w:spacing w:after="0" w:line="3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the success of our efforts to acquire or in-license additional technologies, products or product candidates;</w:t>
      </w:r>
    </w:p>
    <w:p>
      <w:pPr>
        <w:spacing w:after="0" w:line="48" w:lineRule="exact"/>
        <w:rPr>
          <w:rFonts w:ascii="Times New Roman" w:cs="Times New Roman" w:eastAsia="Times New Roman" w:hAnsi="Times New Roman"/>
          <w:sz w:val="18"/>
          <w:szCs w:val="18"/>
          <w:color w:val="auto"/>
        </w:rPr>
      </w:pPr>
    </w:p>
    <w:p>
      <w:pPr>
        <w:ind w:left="1020" w:hanging="503"/>
        <w:spacing w:after="0" w:line="255" w:lineRule="auto"/>
        <w:tabs>
          <w:tab w:leader="none" w:pos="102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developments concerning any future collaborations, including but not limited to those with our sources of manufacturing supply and our commercialization partners;</w:t>
      </w: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market conditions in the pharmaceutical and biotechnology sectors;</w:t>
      </w:r>
    </w:p>
    <w:p>
      <w:pPr>
        <w:spacing w:after="0" w:line="39" w:lineRule="exact"/>
        <w:rPr>
          <w:rFonts w:ascii="Times New Roman" w:cs="Times New Roman" w:eastAsia="Times New Roman" w:hAnsi="Times New Roman"/>
          <w:sz w:val="18"/>
          <w:szCs w:val="18"/>
          <w:color w:val="auto"/>
        </w:rPr>
      </w:pPr>
    </w:p>
    <w:p>
      <w:pPr>
        <w:ind w:left="1020" w:right="20" w:hanging="503"/>
        <w:spacing w:after="0" w:line="257" w:lineRule="auto"/>
        <w:tabs>
          <w:tab w:leader="none" w:pos="102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announcements by us or our competitors of significant acquisitions, strategic collaborations, joint ventures or capital commitments;</w:t>
      </w:r>
    </w:p>
    <w:p>
      <w:pPr>
        <w:spacing w:after="0" w:line="1" w:lineRule="exact"/>
        <w:rPr>
          <w:rFonts w:ascii="Times New Roman" w:cs="Times New Roman" w:eastAsia="Times New Roman" w:hAnsi="Times New Roman"/>
          <w:sz w:val="18"/>
          <w:szCs w:val="18"/>
          <w:color w:val="auto"/>
        </w:rPr>
      </w:pPr>
    </w:p>
    <w:p>
      <w:pPr>
        <w:ind w:left="1020" w:hanging="503"/>
        <w:spacing w:after="0" w:line="255" w:lineRule="auto"/>
        <w:tabs>
          <w:tab w:leader="none" w:pos="102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developments or disputes concerning patents or other proprietary rights, including patents, litigation matters and our ability to obtain patent protection for bel-sar or our future product candidates and products;</w:t>
      </w: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our ability or inability to raise additional capital and the terms on which we raise it;</w:t>
      </w:r>
    </w:p>
    <w:p>
      <w:pPr>
        <w:spacing w:after="0" w:line="39"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the recruitment or departure of key personnel;</w:t>
      </w:r>
    </w:p>
    <w:p>
      <w:pPr>
        <w:spacing w:after="0" w:line="4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the structure of healthcare payment systems;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4" w:name="page75"/>
    <w:bookmarkEnd w:id="74"/>
    <w:p>
      <w:pPr>
        <w:ind w:left="1020" w:hanging="503"/>
        <w:spacing w:after="0" w:line="255" w:lineRule="auto"/>
        <w:tabs>
          <w:tab w:leader="none" w:pos="102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actual or anticipated changes in earnings estimates or changes in stock market analyst recommendations regarding our common stock, other comparable companies or our industry generally;</w:t>
      </w:r>
    </w:p>
    <w:p>
      <w:pPr>
        <w:ind w:left="1020" w:hanging="503"/>
        <w:spacing w:after="0" w:line="252" w:lineRule="auto"/>
        <w:tabs>
          <w:tab w:leader="none" w:pos="102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our failure or the failure of our competitors to meet analysts’ projections or guidance that we or our competitors may give to the market;</w:t>
      </w: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fluctuations in the valuation of companies perceived by investors to be comparable to us;</w:t>
      </w:r>
    </w:p>
    <w:p>
      <w:pPr>
        <w:spacing w:after="0" w:line="4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announcement and expectation of additional financing efforts;</w:t>
      </w:r>
    </w:p>
    <w:p>
      <w:pPr>
        <w:spacing w:after="0" w:line="3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speculation in the press or investment community;</w:t>
      </w:r>
    </w:p>
    <w:p>
      <w:pPr>
        <w:spacing w:after="0" w:line="4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trading volume of our common stock;</w:t>
      </w:r>
    </w:p>
    <w:p>
      <w:pPr>
        <w:spacing w:after="0" w:line="4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sales of our common stock by us or our stockholders;</w:t>
      </w:r>
    </w:p>
    <w:p>
      <w:pPr>
        <w:spacing w:after="0" w:line="3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the concentrated ownership of our common stock;</w:t>
      </w:r>
    </w:p>
    <w:p>
      <w:pPr>
        <w:spacing w:after="0" w:line="4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changes in accounting principles;</w:t>
      </w:r>
    </w:p>
    <w:p>
      <w:pPr>
        <w:spacing w:after="0" w:line="48"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natural disasters, pandemics and other calamities;</w:t>
      </w:r>
    </w:p>
    <w:p>
      <w:pPr>
        <w:spacing w:after="0" w:line="35" w:lineRule="exact"/>
        <w:rPr>
          <w:rFonts w:ascii="Times New Roman" w:cs="Times New Roman" w:eastAsia="Times New Roman" w:hAnsi="Times New Roman"/>
          <w:sz w:val="18"/>
          <w:szCs w:val="18"/>
          <w:color w:val="auto"/>
        </w:rPr>
      </w:pPr>
    </w:p>
    <w:p>
      <w:pPr>
        <w:ind w:left="1020" w:right="20" w:hanging="503"/>
        <w:spacing w:after="0" w:line="257" w:lineRule="auto"/>
        <w:tabs>
          <w:tab w:leader="none" w:pos="102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acts of war or periods of widespread civil unrest, including the increasingly volatile global economic conditions resulting from the Russia-Ukraine conflict and Israel-Hamas conflict; and</w:t>
      </w:r>
    </w:p>
    <w:p>
      <w:pPr>
        <w:spacing w:after="0" w:line="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Arial" w:cs="Arial" w:eastAsia="Arial" w:hAnsi="Arial"/>
          <w:sz w:val="18"/>
          <w:szCs w:val="18"/>
          <w:color w:val="auto"/>
        </w:rPr>
        <w:t>general economic, industry, and market conditions, including inflationary pressures.</w:t>
      </w:r>
    </w:p>
    <w:p>
      <w:pPr>
        <w:spacing w:after="0" w:line="224" w:lineRule="exact"/>
        <w:rPr>
          <w:sz w:val="20"/>
          <w:szCs w:val="20"/>
          <w:color w:val="auto"/>
        </w:rPr>
      </w:pPr>
    </w:p>
    <w:p>
      <w:pPr>
        <w:jc w:val="both"/>
        <w:ind w:firstLine="509"/>
        <w:spacing w:after="0" w:line="244" w:lineRule="auto"/>
        <w:rPr>
          <w:sz w:val="20"/>
          <w:szCs w:val="20"/>
          <w:color w:val="auto"/>
        </w:rPr>
      </w:pPr>
      <w:r>
        <w:rPr>
          <w:rFonts w:ascii="Arial" w:cs="Arial" w:eastAsia="Arial" w:hAnsi="Arial"/>
          <w:sz w:val="18"/>
          <w:szCs w:val="18"/>
          <w:color w:val="auto"/>
        </w:rPr>
        <w:t>In addition, the stock market in general, and the markets for pharmaceutical, biopharmaceutical and biotechnology stocks in particular, have experienced extreme price and volume fluctuations that have been often unrelated or disproportionate to the operating performance of the issuer. These broad market and industry factors may seriously harm the market price of our common stock, regardless of our actual operating performance. The realization of any of the above risks or any of a broad range of other risks, including those described in this “Risk Factors” section, could have a dramatic and adverse impact on the market price of our common stock.</w:t>
      </w:r>
    </w:p>
    <w:p>
      <w:pPr>
        <w:spacing w:after="0" w:line="176"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In the past, securities class action litigation has often been brought against public companies following declines in the market price of their securities. This risk is especially relevant for biopharmaceutical companies, which have experienced significant stock price volatility in recent years. If we face such litigation, it could result in substantial costs and a diversion of management’s attention and our resources, which could harm our business.</w:t>
      </w:r>
    </w:p>
    <w:p>
      <w:pPr>
        <w:spacing w:after="0" w:line="176" w:lineRule="exact"/>
        <w:rPr>
          <w:sz w:val="20"/>
          <w:szCs w:val="20"/>
          <w:color w:val="auto"/>
        </w:rPr>
      </w:pPr>
    </w:p>
    <w:p>
      <w:pPr>
        <w:jc w:val="both"/>
        <w:spacing w:after="0" w:line="272" w:lineRule="auto"/>
        <w:rPr>
          <w:sz w:val="20"/>
          <w:szCs w:val="20"/>
          <w:color w:val="auto"/>
        </w:rPr>
      </w:pPr>
      <w:r>
        <w:rPr>
          <w:rFonts w:ascii="Arial" w:cs="Arial" w:eastAsia="Arial" w:hAnsi="Arial"/>
          <w:sz w:val="18"/>
          <w:szCs w:val="18"/>
          <w:b w:val="1"/>
          <w:bCs w:val="1"/>
          <w:i w:val="1"/>
          <w:iCs w:val="1"/>
          <w:color w:val="auto"/>
        </w:rPr>
        <w:t>We have incurred and will continue to incur increased costs as a result of operating as a public company, and our management devotes substantial time to compliance initiatives.</w:t>
      </w:r>
    </w:p>
    <w:p>
      <w:pPr>
        <w:spacing w:after="0" w:line="1" w:lineRule="exact"/>
        <w:rPr>
          <w:sz w:val="20"/>
          <w:szCs w:val="20"/>
          <w:color w:val="auto"/>
        </w:rPr>
      </w:pPr>
    </w:p>
    <w:p>
      <w:pPr>
        <w:jc w:val="both"/>
        <w:ind w:firstLine="509"/>
        <w:spacing w:after="0" w:line="237" w:lineRule="auto"/>
        <w:rPr>
          <w:sz w:val="20"/>
          <w:szCs w:val="20"/>
          <w:color w:val="auto"/>
        </w:rPr>
      </w:pPr>
      <w:r>
        <w:rPr>
          <w:rFonts w:ascii="Arial" w:cs="Arial" w:eastAsia="Arial" w:hAnsi="Arial"/>
          <w:sz w:val="18"/>
          <w:szCs w:val="18"/>
          <w:color w:val="auto"/>
        </w:rPr>
        <w:t>As a public company, and particularly after we are no longer an “emerging growth company,” we will incur significant legal, accounting and other expenses that we did not incur as a private company. In addition, the Sarbanes-Oxley Act of 2002, the Dodd-Frank Wall Street Reform and Consumer Protection Act and rules implemented by the SEC and Nasdaq have imposed various requirements on public companies, including establishment and maintenance of effective disclosure and financial controls and corporate governance practices. Our management and other personnel will need to devote a substantial amount of time to these compliance initiatives. Moreover, these rules and regulations will increase our legal and financial compliance costs and will make some activities more time-consuming and costly. For example, we expect that these rules and regulations may make it more difficult and more expensive for us to obtain director and officer liability insurance. We cannot predict or estimate the amount or timing of additional costs we may incur to respond to these requirements. The impact of these requirements could also make it more difficult for us to attract and retain qualified persons to serve on our Board, our Board committees or as executive officers. The increased costs may require us to reduce costs in other areas of our business or increase the prices of our products once commercialized. Moreover,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5" w:right="339" w:bottom="1440" w:gutter="0" w:footer="0" w:header="0"/>
        </w:sectPr>
      </w:pPr>
    </w:p>
    <w:bookmarkStart w:id="75" w:name="page76"/>
    <w:bookmarkEnd w:id="75"/>
    <w:p>
      <w:pPr>
        <w:jc w:val="both"/>
        <w:ind w:firstLine="509"/>
        <w:spacing w:after="0" w:line="237" w:lineRule="auto"/>
        <w:rPr>
          <w:sz w:val="20"/>
          <w:szCs w:val="20"/>
          <w:color w:val="auto"/>
        </w:rPr>
      </w:pPr>
      <w:r>
        <w:rPr>
          <w:rFonts w:ascii="Arial" w:cs="Arial" w:eastAsia="Arial" w:hAnsi="Arial"/>
          <w:sz w:val="18"/>
          <w:szCs w:val="18"/>
          <w:color w:val="auto"/>
        </w:rPr>
        <w:t>Pursuant to Section 404, we will be required to furnish a report by our management on our internal control over financial reporting, including an attestation report on internal control over financial reporting issued by our independent registered public accounting firm. However, while we remain an “emerging growth company,” we will not be required to include an attestation report on internal control over financial reporting issued by our independent registered public accounting firm. In addition, for as long as we are a “smaller reporting company” with less than $100 million in annual revenue, we would be exempt from the requirement to obtain an external audit on the effectiveness of internal control over financial reporting provided in Section 404(b) of the of the Sarbanes-Oxley Act of 2002. To achieve compliance with Section 404 within the prescribed period, we will be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neither we nor our independent registered public accounting firm will be able to conclude within the prescribed timeframe that our internal control over financial reporting is effective as required by Section 404. This could result in an adverse reaction in the financial markets due to a loss of confidence in the reliability of our financial statements. In additional, if we are not able to continue to meet these requirements, we may not be able to remain listed on Nasdaq.</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disclosure controls and procedures may not prevent or detect all errors or acts of fraud.</w:t>
      </w:r>
    </w:p>
    <w:p>
      <w:pPr>
        <w:spacing w:after="0" w:line="61"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We are subject to the periodic reporting requirements of the Exchange Act. We have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w:t>
      </w:r>
    </w:p>
    <w:p>
      <w:pPr>
        <w:spacing w:after="0" w:line="174" w:lineRule="exact"/>
        <w:rPr>
          <w:sz w:val="20"/>
          <w:szCs w:val="20"/>
          <w:color w:val="auto"/>
        </w:rPr>
      </w:pPr>
    </w:p>
    <w:p>
      <w:pPr>
        <w:jc w:val="both"/>
        <w:ind w:firstLine="509"/>
        <w:spacing w:after="0" w:line="242" w:lineRule="auto"/>
        <w:rPr>
          <w:sz w:val="20"/>
          <w:szCs w:val="20"/>
          <w:color w:val="auto"/>
        </w:rPr>
      </w:pPr>
      <w:r>
        <w:rPr>
          <w:rFonts w:ascii="Arial" w:cs="Arial" w:eastAsia="Arial" w:hAnsi="Arial"/>
          <w:sz w:val="18"/>
          <w:szCs w:val="18"/>
          <w:color w:val="auto"/>
        </w:rPr>
        <w:t>However, any disclosure controls and procedures or internal controls and procedures, no matter how well-conceived and operated, can provide only reasonable, not absolute, assurance that the objectives of the control system will be met.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181"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b w:val="1"/>
          <w:bCs w:val="1"/>
          <w:i w:val="1"/>
          <w:iCs w:val="1"/>
          <w:color w:val="auto"/>
        </w:rPr>
        <w:t>Global economic uncertainty and unfavorable global economic conditions caused by political instability, changes in trade agreements and conflicts, such as the Russia-Ukraine and Israel-Hamas conflicts, could adversely affect our business, financial condition, results of operations or prospects.</w:t>
      </w:r>
    </w:p>
    <w:p>
      <w:pPr>
        <w:spacing w:after="0" w:line="24" w:lineRule="exact"/>
        <w:rPr>
          <w:sz w:val="20"/>
          <w:szCs w:val="20"/>
          <w:color w:val="auto"/>
        </w:rPr>
      </w:pPr>
    </w:p>
    <w:p>
      <w:pPr>
        <w:jc w:val="both"/>
        <w:ind w:firstLine="509"/>
        <w:spacing w:after="0"/>
        <w:rPr>
          <w:sz w:val="20"/>
          <w:szCs w:val="20"/>
          <w:color w:val="auto"/>
        </w:rPr>
      </w:pPr>
      <w:r>
        <w:rPr>
          <w:rFonts w:ascii="Arial" w:cs="Arial" w:eastAsia="Arial" w:hAnsi="Arial"/>
          <w:sz w:val="18"/>
          <w:szCs w:val="18"/>
          <w:color w:val="auto"/>
        </w:rPr>
        <w:t>Our business, financial condition, results of operations or prospects could be adversely affected by general conditions in the global economy and in the global financial markets. A severe or prolonged economic downturn, increased inflation, economic uncertainties in various global markets caused by political instability and conflict, such as the Russia-Ukraine and Israel-Hamas conflicts, or additional global financial crises, could result in a variety of risks to our business, including weakened demand for our product candidates, if approved, or our inability to raise additional capital when needed on acceptable terms, if at all. A weak or declining economy could also strain our suppliers, possibly resulting in supply disruption. Any of the foregoing could harm our business and we cannot anticipate all of the ways in which the current economic climate and financial market conditions could adversely impact our business.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63" w:lineRule="exact"/>
        <w:rPr>
          <w:sz w:val="20"/>
          <w:szCs w:val="20"/>
          <w:color w:val="auto"/>
        </w:rPr>
      </w:pPr>
    </w:p>
    <w:p>
      <w:pPr>
        <w:ind w:left="520" w:right="6960" w:hanging="512"/>
        <w:spacing w:after="0" w:line="350" w:lineRule="auto"/>
        <w:tabs>
          <w:tab w:leader="none" w:pos="281"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Recent Sales of Unregistered Equity Securities </w:t>
      </w:r>
      <w:r>
        <w:rPr>
          <w:rFonts w:ascii="Arial" w:cs="Arial" w:eastAsia="Arial" w:hAnsi="Arial"/>
          <w:sz w:val="18"/>
          <w:szCs w:val="18"/>
          <w:color w:val="auto"/>
        </w:rPr>
        <w:t>None.</w:t>
      </w:r>
    </w:p>
    <w:p>
      <w:pPr>
        <w:spacing w:after="0" w:line="84" w:lineRule="exact"/>
        <w:rPr>
          <w:rFonts w:ascii="Arial" w:cs="Arial" w:eastAsia="Arial" w:hAnsi="Arial"/>
          <w:sz w:val="18"/>
          <w:szCs w:val="18"/>
          <w:b w:val="1"/>
          <w:bCs w:val="1"/>
          <w:color w:val="auto"/>
        </w:rPr>
      </w:pPr>
    </w:p>
    <w:p>
      <w:pPr>
        <w:ind w:left="520" w:right="5320" w:hanging="512"/>
        <w:spacing w:after="0" w:line="365" w:lineRule="auto"/>
        <w:tabs>
          <w:tab w:leader="none" w:pos="291"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Use of Proceeds from the Initial Public Offering of Common Stock </w:t>
      </w:r>
      <w:r>
        <w:rPr>
          <w:rFonts w:ascii="Arial" w:cs="Arial" w:eastAsia="Arial" w:hAnsi="Arial"/>
          <w:sz w:val="18"/>
          <w:szCs w:val="18"/>
          <w:color w:val="auto"/>
        </w:rPr>
        <w:t>None.</w:t>
      </w:r>
    </w:p>
    <w:p>
      <w:pPr>
        <w:spacing w:after="0" w:line="72" w:lineRule="exact"/>
        <w:rPr>
          <w:rFonts w:ascii="Arial" w:cs="Arial" w:eastAsia="Arial" w:hAnsi="Arial"/>
          <w:sz w:val="18"/>
          <w:szCs w:val="18"/>
          <w:b w:val="1"/>
          <w:bCs w:val="1"/>
          <w:color w:val="auto"/>
        </w:rPr>
      </w:pPr>
    </w:p>
    <w:p>
      <w:pPr>
        <w:ind w:left="280" w:hanging="272"/>
        <w:spacing w:after="0"/>
        <w:tabs>
          <w:tab w:leader="none" w:pos="28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Issuer Purchases of Equity Securities</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6" w:name="page77"/>
    <w:bookmarkEnd w:id="76"/>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Insider Trading Arrangements</w:t>
      </w:r>
    </w:p>
    <w:p>
      <w:pPr>
        <w:spacing w:after="0" w:line="63"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None of our directors or officers, as defined in Rule 16a-1(f) under the Securities Act, adopted or terminated a Rule 10b5-1 trading arrangement or a non-Rule 10b5-1 trading arrangement, as defined in Item 408(c) of Regulation S-K, during the quarter ended June 30, 2024.</w:t>
      </w: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7" w:name="page78"/>
    <w:bookmarkEnd w:id="77"/>
    <w:p>
      <w:pPr>
        <w:spacing w:after="0"/>
        <w:rPr>
          <w:sz w:val="20"/>
          <w:szCs w:val="20"/>
          <w:color w:val="auto"/>
        </w:rPr>
      </w:pPr>
      <w:r>
        <w:rPr>
          <w:rFonts w:ascii="Arial" w:cs="Arial" w:eastAsia="Arial" w:hAnsi="Arial"/>
          <w:sz w:val="18"/>
          <w:szCs w:val="18"/>
          <w:b w:val="1"/>
          <w:bCs w:val="1"/>
          <w:color w:val="auto"/>
        </w:rPr>
        <w:t>Item 6. Exhibits.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20" w:type="dxa"/>
            <w:vAlign w:val="bottom"/>
          </w:tcPr>
          <w:p>
            <w:pPr>
              <w:ind w:left="280"/>
              <w:spacing w:after="0"/>
              <w:rPr>
                <w:sz w:val="20"/>
                <w:szCs w:val="20"/>
                <w:color w:val="auto"/>
              </w:rPr>
            </w:pPr>
            <w:r>
              <w:rPr>
                <w:rFonts w:ascii="Arial" w:cs="Arial" w:eastAsia="Arial" w:hAnsi="Arial"/>
                <w:sz w:val="14"/>
                <w:szCs w:val="14"/>
                <w:b w:val="1"/>
                <w:bCs w:val="1"/>
                <w:color w:val="auto"/>
              </w:rPr>
              <w:t>Exhibit</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102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Number</w:t>
            </w:r>
          </w:p>
        </w:tc>
        <w:tc>
          <w:tcPr>
            <w:tcW w:w="1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840" w:type="dxa"/>
            <w:vAlign w:val="bottom"/>
            <w:tcBorders>
              <w:bottom w:val="single" w:sz="8" w:color="auto"/>
            </w:tcBorders>
          </w:tcPr>
          <w:p>
            <w:pPr>
              <w:spacing w:after="0"/>
              <w:rPr>
                <w:sz w:val="16"/>
                <w:szCs w:val="16"/>
                <w:color w:val="auto"/>
              </w:rPr>
            </w:pPr>
          </w:p>
        </w:tc>
        <w:tc>
          <w:tcPr>
            <w:tcW w:w="6180" w:type="dxa"/>
            <w:vAlign w:val="bottom"/>
            <w:tcBorders>
              <w:bottom w:val="single" w:sz="8" w:color="auto"/>
            </w:tcBorders>
            <w:gridSpan w:val="15"/>
          </w:tcPr>
          <w:p>
            <w:pPr>
              <w:ind w:left="76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69"/>
        </w:trPr>
        <w:tc>
          <w:tcPr>
            <w:tcW w:w="1020" w:type="dxa"/>
            <w:vAlign w:val="bottom"/>
          </w:tcPr>
          <w:p>
            <w:pPr>
              <w:ind w:left="20"/>
              <w:spacing w:after="0" w:line="169" w:lineRule="exact"/>
              <w:rPr>
                <w:sz w:val="20"/>
                <w:szCs w:val="20"/>
                <w:color w:val="auto"/>
              </w:rPr>
            </w:pPr>
            <w:r>
              <w:rPr>
                <w:rFonts w:ascii="Arial" w:cs="Arial" w:eastAsia="Arial" w:hAnsi="Arial"/>
                <w:sz w:val="18"/>
                <w:szCs w:val="18"/>
                <w:color w:val="auto"/>
              </w:rPr>
              <w:t>3.1*</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20" w:type="dxa"/>
            <w:vAlign w:val="bottom"/>
            <w:gridSpan w:val="16"/>
          </w:tcPr>
          <w:p>
            <w:pPr>
              <w:spacing w:after="0" w:line="169" w:lineRule="exact"/>
              <w:rPr>
                <w:sz w:val="20"/>
                <w:szCs w:val="20"/>
                <w:color w:val="auto"/>
              </w:rPr>
            </w:pPr>
            <w:r>
              <w:rPr>
                <w:rFonts w:ascii="Arial" w:cs="Arial" w:eastAsia="Arial" w:hAnsi="Arial"/>
                <w:sz w:val="18"/>
                <w:szCs w:val="18"/>
                <w:color w:val="0000FF"/>
              </w:rPr>
              <w:t>Tenth Amended and Restated Certificate of Incorporation of the Registrant, as currently in effect, as amended by the</w:t>
            </w:r>
          </w:p>
        </w:tc>
        <w:tc>
          <w:tcPr>
            <w:tcW w:w="0" w:type="dxa"/>
            <w:vAlign w:val="bottom"/>
          </w:tcPr>
          <w:p>
            <w:pPr>
              <w:spacing w:after="0"/>
              <w:rPr>
                <w:sz w:val="1"/>
                <w:szCs w:val="1"/>
                <w:color w:val="auto"/>
              </w:rPr>
            </w:pPr>
          </w:p>
        </w:tc>
      </w:tr>
      <w:tr>
        <w:trPr>
          <w:trHeight w:val="183"/>
        </w:trPr>
        <w:tc>
          <w:tcPr>
            <w:tcW w:w="1020" w:type="dxa"/>
            <w:vAlign w:val="bottom"/>
            <w:vMerge w:val="restart"/>
          </w:tcPr>
          <w:p>
            <w:pPr>
              <w:ind w:left="20"/>
              <w:spacing w:after="0"/>
              <w:rPr>
                <w:sz w:val="20"/>
                <w:szCs w:val="20"/>
                <w:color w:val="auto"/>
              </w:rPr>
            </w:pPr>
            <w:r>
              <w:rPr>
                <w:rFonts w:ascii="Arial" w:cs="Arial" w:eastAsia="Arial" w:hAnsi="Arial"/>
                <w:sz w:val="18"/>
                <w:szCs w:val="18"/>
                <w:color w:val="auto"/>
              </w:rPr>
              <w:t>3.2</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300" w:type="dxa"/>
            <w:vAlign w:val="bottom"/>
            <w:tcBorders>
              <w:top w:val="single" w:sz="8" w:color="0000FF"/>
            </w:tcBorders>
            <w:gridSpan w:val="10"/>
          </w:tcPr>
          <w:p>
            <w:pPr>
              <w:spacing w:after="0" w:line="182" w:lineRule="exact"/>
              <w:rPr>
                <w:sz w:val="20"/>
                <w:szCs w:val="20"/>
                <w:color w:val="auto"/>
              </w:rPr>
            </w:pPr>
            <w:r>
              <w:rPr>
                <w:rFonts w:ascii="Arial" w:cs="Arial" w:eastAsia="Arial" w:hAnsi="Arial"/>
                <w:sz w:val="18"/>
                <w:szCs w:val="18"/>
                <w:color w:val="0000FF"/>
              </w:rPr>
              <w:t>Certificate of Amendment, dated June 20, 2024.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20" w:type="dxa"/>
            <w:vAlign w:val="bottom"/>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40" w:type="dxa"/>
            <w:vAlign w:val="bottom"/>
            <w:tcBorders>
              <w:right w:val="single" w:sz="8" w:color="0000EE"/>
            </w:tcBorders>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20" w:type="dxa"/>
            <w:vAlign w:val="bottom"/>
            <w:gridSpan w:val="16"/>
          </w:tcPr>
          <w:p>
            <w:pPr>
              <w:spacing w:after="0" w:line="196" w:lineRule="exact"/>
              <w:rPr>
                <w:rFonts w:ascii="Arial" w:cs="Arial" w:eastAsia="Arial" w:hAnsi="Arial"/>
                <w:sz w:val="18"/>
                <w:szCs w:val="18"/>
                <w:color w:val="0000FF"/>
              </w:rPr>
            </w:pPr>
            <w:hyperlink r:id="rId276">
              <w:r>
                <w:rPr>
                  <w:rFonts w:ascii="Arial" w:cs="Arial" w:eastAsia="Arial" w:hAnsi="Arial"/>
                  <w:sz w:val="18"/>
                  <w:szCs w:val="18"/>
                  <w:color w:val="0000FF"/>
                </w:rPr>
                <w:t>Amended and Restated Bylaws of the Registrant, as currently in effect (incorporated by reference to Exhibit 3.2 of the</w:t>
              </w:r>
            </w:hyperlink>
          </w:p>
        </w:tc>
        <w:tc>
          <w:tcPr>
            <w:tcW w:w="0" w:type="dxa"/>
            <w:vAlign w:val="bottom"/>
          </w:tcPr>
          <w:p>
            <w:pPr>
              <w:spacing w:after="0"/>
              <w:rPr>
                <w:sz w:val="1"/>
                <w:szCs w:val="1"/>
                <w:color w:val="auto"/>
              </w:rPr>
            </w:pPr>
          </w:p>
        </w:tc>
      </w:tr>
      <w:tr>
        <w:trPr>
          <w:trHeight w:val="183"/>
        </w:trPr>
        <w:tc>
          <w:tcPr>
            <w:tcW w:w="1020" w:type="dxa"/>
            <w:vAlign w:val="bottom"/>
            <w:vMerge w:val="restart"/>
          </w:tcPr>
          <w:p>
            <w:pPr>
              <w:ind w:left="20"/>
              <w:spacing w:after="0"/>
              <w:rPr>
                <w:sz w:val="20"/>
                <w:szCs w:val="20"/>
                <w:color w:val="auto"/>
              </w:rPr>
            </w:pPr>
            <w:r>
              <w:rPr>
                <w:rFonts w:ascii="Arial" w:cs="Arial" w:eastAsia="Arial" w:hAnsi="Arial"/>
                <w:sz w:val="18"/>
                <w:szCs w:val="18"/>
                <w:color w:val="auto"/>
              </w:rPr>
              <w:t>4.1</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00" w:type="dxa"/>
            <w:vAlign w:val="bottom"/>
            <w:tcBorders>
              <w:top w:val="single" w:sz="8" w:color="0000FF"/>
            </w:tcBorders>
            <w:gridSpan w:val="11"/>
          </w:tcPr>
          <w:p>
            <w:pPr>
              <w:spacing w:after="0" w:line="182" w:lineRule="exact"/>
              <w:rPr>
                <w:rFonts w:ascii="Arial" w:cs="Arial" w:eastAsia="Arial" w:hAnsi="Arial"/>
                <w:sz w:val="18"/>
                <w:szCs w:val="18"/>
                <w:color w:val="0000FF"/>
              </w:rPr>
            </w:pPr>
            <w:hyperlink r:id="rId276">
              <w:r>
                <w:rPr>
                  <w:rFonts w:ascii="Arial" w:cs="Arial" w:eastAsia="Arial" w:hAnsi="Arial"/>
                  <w:sz w:val="18"/>
                  <w:szCs w:val="18"/>
                  <w:color w:val="0000FF"/>
                </w:rPr>
                <w:t>Registrant’s Annual Report on Form 10-K (File No. 001-40971) filed on March 23, 2022).</w:t>
              </w:r>
            </w:hyperlink>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20" w:type="dxa"/>
            <w:vAlign w:val="bottom"/>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7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0" w:type="dxa"/>
            <w:vAlign w:val="bottom"/>
            <w:tcBorders>
              <w:right w:val="single" w:sz="8" w:color="0000EE"/>
            </w:tcBorders>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20" w:type="dxa"/>
            <w:vAlign w:val="bottom"/>
            <w:gridSpan w:val="16"/>
          </w:tcPr>
          <w:p>
            <w:pPr>
              <w:spacing w:after="0" w:line="196" w:lineRule="exact"/>
              <w:rPr>
                <w:rFonts w:ascii="Arial" w:cs="Arial" w:eastAsia="Arial" w:hAnsi="Arial"/>
                <w:sz w:val="18"/>
                <w:szCs w:val="18"/>
                <w:color w:val="0000FF"/>
              </w:rPr>
            </w:pPr>
            <w:hyperlink r:id="rId277">
              <w:r>
                <w:rPr>
                  <w:rFonts w:ascii="Arial" w:cs="Arial" w:eastAsia="Arial" w:hAnsi="Arial"/>
                  <w:sz w:val="18"/>
                  <w:szCs w:val="18"/>
                  <w:color w:val="0000FF"/>
                </w:rPr>
                <w:t>Fifth Amended and Restated Investors’ Rights Agreement (incorporated by reference to Exhibit 4.2 to the Registrant’s</w:t>
              </w:r>
            </w:hyperlink>
          </w:p>
        </w:tc>
        <w:tc>
          <w:tcPr>
            <w:tcW w:w="0" w:type="dxa"/>
            <w:vAlign w:val="bottom"/>
          </w:tcPr>
          <w:p>
            <w:pPr>
              <w:spacing w:after="0"/>
              <w:rPr>
                <w:sz w:val="1"/>
                <w:szCs w:val="1"/>
                <w:color w:val="auto"/>
              </w:rPr>
            </w:pPr>
          </w:p>
        </w:tc>
      </w:tr>
      <w:tr>
        <w:trPr>
          <w:trHeight w:val="183"/>
        </w:trPr>
        <w:tc>
          <w:tcPr>
            <w:tcW w:w="1020" w:type="dxa"/>
            <w:vAlign w:val="bottom"/>
            <w:vMerge w:val="restart"/>
          </w:tcPr>
          <w:p>
            <w:pPr>
              <w:ind w:left="20"/>
              <w:spacing w:after="0"/>
              <w:rPr>
                <w:sz w:val="20"/>
                <w:szCs w:val="20"/>
                <w:color w:val="auto"/>
              </w:rPr>
            </w:pPr>
            <w:r>
              <w:rPr>
                <w:rFonts w:ascii="Arial" w:cs="Arial" w:eastAsia="Arial" w:hAnsi="Arial"/>
                <w:sz w:val="18"/>
                <w:szCs w:val="18"/>
                <w:color w:val="auto"/>
              </w:rPr>
              <w:t>10.1*†</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20" w:type="dxa"/>
            <w:vAlign w:val="bottom"/>
            <w:tcBorders>
              <w:top w:val="single" w:sz="8" w:color="0000FF"/>
            </w:tcBorders>
            <w:gridSpan w:val="12"/>
          </w:tcPr>
          <w:p>
            <w:pPr>
              <w:spacing w:after="0" w:line="182" w:lineRule="exact"/>
              <w:rPr>
                <w:rFonts w:ascii="Arial" w:cs="Arial" w:eastAsia="Arial" w:hAnsi="Arial"/>
                <w:sz w:val="18"/>
                <w:szCs w:val="18"/>
                <w:color w:val="0000FF"/>
              </w:rPr>
            </w:pPr>
            <w:hyperlink r:id="rId277">
              <w:r>
                <w:rPr>
                  <w:rFonts w:ascii="Arial" w:cs="Arial" w:eastAsia="Arial" w:hAnsi="Arial"/>
                  <w:sz w:val="18"/>
                  <w:szCs w:val="18"/>
                  <w:color w:val="0000FF"/>
                </w:rPr>
                <w:t>Registration Statement on Form S-1, as amended (File No. 333-260156) filed on October 8, 2021)</w:t>
              </w:r>
              <w:r>
                <w:rPr>
                  <w:rFonts w:ascii="Arial" w:cs="Arial" w:eastAsia="Arial" w:hAnsi="Arial"/>
                  <w:sz w:val="18"/>
                  <w:szCs w:val="18"/>
                  <w:color w:val="000000"/>
                </w:rPr>
                <w:t>.</w:t>
              </w:r>
            </w:hyperlink>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02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0" w:type="dxa"/>
            <w:vAlign w:val="bottom"/>
            <w:tcBorders>
              <w:top w:val="single" w:sz="8" w:color="0000FF"/>
              <w:bottom w:val="single" w:sz="8" w:color="0000FF"/>
            </w:tcBorders>
            <w:gridSpan w:val="4"/>
          </w:tcPr>
          <w:p>
            <w:pPr>
              <w:spacing w:after="0" w:line="196" w:lineRule="exact"/>
              <w:rPr>
                <w:sz w:val="20"/>
                <w:szCs w:val="20"/>
                <w:color w:val="auto"/>
              </w:rPr>
            </w:pPr>
            <w:r>
              <w:rPr>
                <w:rFonts w:ascii="Arial" w:cs="Arial" w:eastAsia="Arial" w:hAnsi="Arial"/>
                <w:sz w:val="18"/>
                <w:szCs w:val="18"/>
                <w:color w:val="0000FF"/>
                <w:w w:val="99"/>
              </w:rPr>
              <w:t>Amended and Restated Non-Employee Director Compensation Policy.</w:t>
            </w:r>
          </w:p>
        </w:tc>
        <w:tc>
          <w:tcPr>
            <w:tcW w:w="20" w:type="dxa"/>
            <w:vAlign w:val="bottom"/>
            <w:tcBorders>
              <w:top w:val="single" w:sz="8" w:color="0000FF"/>
              <w:bottom w:val="single" w:sz="8" w:color="0000EE"/>
            </w:tcBorders>
          </w:tcPr>
          <w:p>
            <w:pPr>
              <w:spacing w:after="0"/>
              <w:rPr>
                <w:sz w:val="17"/>
                <w:szCs w:val="17"/>
                <w:color w:val="auto"/>
              </w:rPr>
            </w:pPr>
          </w:p>
        </w:tc>
        <w:tc>
          <w:tcPr>
            <w:tcW w:w="2180" w:type="dxa"/>
            <w:vAlign w:val="bottom"/>
            <w:tcBorders>
              <w:top w:val="single" w:sz="8" w:color="0000FF"/>
            </w:tcBorders>
            <w:gridSpan w:val="4"/>
          </w:tcPr>
          <w:p>
            <w:pPr>
              <w:spacing w:after="0"/>
              <w:rPr>
                <w:sz w:val="17"/>
                <w:szCs w:val="17"/>
                <w:color w:val="auto"/>
              </w:rPr>
            </w:pPr>
          </w:p>
        </w:tc>
        <w:tc>
          <w:tcPr>
            <w:tcW w:w="222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ind w:left="20"/>
              <w:spacing w:after="0" w:line="196" w:lineRule="exact"/>
              <w:rPr>
                <w:sz w:val="20"/>
                <w:szCs w:val="20"/>
                <w:color w:val="auto"/>
              </w:rPr>
            </w:pPr>
            <w:r>
              <w:rPr>
                <w:rFonts w:ascii="Arial" w:cs="Arial" w:eastAsia="Arial" w:hAnsi="Arial"/>
                <w:sz w:val="18"/>
                <w:szCs w:val="18"/>
                <w:color w:val="auto"/>
              </w:rPr>
              <w:t>31.1*</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20" w:type="dxa"/>
            <w:vAlign w:val="bottom"/>
            <w:gridSpan w:val="16"/>
          </w:tcPr>
          <w:p>
            <w:pPr>
              <w:spacing w:after="0" w:line="196" w:lineRule="exact"/>
              <w:rPr>
                <w:sz w:val="20"/>
                <w:szCs w:val="20"/>
                <w:color w:val="auto"/>
              </w:rPr>
            </w:pPr>
            <w:r>
              <w:rPr>
                <w:rFonts w:ascii="Arial" w:cs="Arial" w:eastAsia="Arial" w:hAnsi="Arial"/>
                <w:sz w:val="18"/>
                <w:szCs w:val="18"/>
                <w:color w:val="0000FF"/>
              </w:rPr>
              <w:t>Certification of Principal Executive Officer Pursuant to Rules 13a-14(a) and 15d-14(a) under the Securities Exchange Act of</w:t>
            </w:r>
          </w:p>
        </w:tc>
        <w:tc>
          <w:tcPr>
            <w:tcW w:w="0" w:type="dxa"/>
            <w:vAlign w:val="bottom"/>
          </w:tcPr>
          <w:p>
            <w:pPr>
              <w:spacing w:after="0"/>
              <w:rPr>
                <w:sz w:val="1"/>
                <w:szCs w:val="1"/>
                <w:color w:val="auto"/>
              </w:rPr>
            </w:pPr>
          </w:p>
        </w:tc>
      </w:tr>
      <w:tr>
        <w:trPr>
          <w:trHeight w:val="183"/>
        </w:trPr>
        <w:tc>
          <w:tcPr>
            <w:tcW w:w="1020" w:type="dxa"/>
            <w:vAlign w:val="bottom"/>
            <w:vMerge w:val="restart"/>
          </w:tcPr>
          <w:p>
            <w:pPr>
              <w:ind w:left="20"/>
              <w:spacing w:after="0"/>
              <w:rPr>
                <w:sz w:val="20"/>
                <w:szCs w:val="20"/>
                <w:color w:val="auto"/>
              </w:rPr>
            </w:pPr>
            <w:r>
              <w:rPr>
                <w:rFonts w:ascii="Arial" w:cs="Arial" w:eastAsia="Arial" w:hAnsi="Arial"/>
                <w:sz w:val="18"/>
                <w:szCs w:val="18"/>
                <w:color w:val="auto"/>
              </w:rPr>
              <w:t>31.2*</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40" w:type="dxa"/>
            <w:vAlign w:val="bottom"/>
            <w:tcBorders>
              <w:top w:val="single" w:sz="8" w:color="0000FF"/>
              <w:bottom w:val="single" w:sz="8" w:color="0000FF"/>
            </w:tcBorders>
            <w:gridSpan w:val="6"/>
          </w:tcPr>
          <w:p>
            <w:pPr>
              <w:spacing w:after="0" w:line="182" w:lineRule="exact"/>
              <w:rPr>
                <w:sz w:val="20"/>
                <w:szCs w:val="20"/>
                <w:color w:val="auto"/>
              </w:rPr>
            </w:pPr>
            <w:r>
              <w:rPr>
                <w:rFonts w:ascii="Arial" w:cs="Arial" w:eastAsia="Arial" w:hAnsi="Arial"/>
                <w:sz w:val="18"/>
                <w:szCs w:val="18"/>
                <w:color w:val="0000FF"/>
                <w:w w:val="99"/>
              </w:rPr>
              <w:t>1934, as Adopted Pursuant to Section 302 of the Sarbanes-Oxley Act of 2002.</w:t>
            </w:r>
          </w:p>
        </w:tc>
        <w:tc>
          <w:tcPr>
            <w:tcW w:w="20" w:type="dxa"/>
            <w:vAlign w:val="bottom"/>
            <w:tcBorders>
              <w:top w:val="single" w:sz="8" w:color="0000FF"/>
              <w:bottom w:val="single" w:sz="8" w:color="0000EE"/>
            </w:tcBorders>
          </w:tcPr>
          <w:p>
            <w:pPr>
              <w:spacing w:after="0"/>
              <w:rPr>
                <w:sz w:val="15"/>
                <w:szCs w:val="15"/>
                <w:color w:val="auto"/>
              </w:rPr>
            </w:pPr>
          </w:p>
        </w:tc>
        <w:tc>
          <w:tcPr>
            <w:tcW w:w="3600" w:type="dxa"/>
            <w:vAlign w:val="bottom"/>
            <w:tcBorders>
              <w:top w:val="single" w:sz="8" w:color="0000FF"/>
            </w:tcBorders>
            <w:gridSpan w:val="8"/>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02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20" w:type="dxa"/>
            <w:vAlign w:val="bottom"/>
            <w:gridSpan w:val="16"/>
          </w:tcPr>
          <w:p>
            <w:pPr>
              <w:spacing w:after="0" w:line="196" w:lineRule="exact"/>
              <w:rPr>
                <w:sz w:val="20"/>
                <w:szCs w:val="20"/>
                <w:color w:val="auto"/>
              </w:rPr>
            </w:pPr>
            <w:r>
              <w:rPr>
                <w:rFonts w:ascii="Arial" w:cs="Arial" w:eastAsia="Arial" w:hAnsi="Arial"/>
                <w:sz w:val="18"/>
                <w:szCs w:val="18"/>
                <w:color w:val="0000FF"/>
              </w:rPr>
              <w:t>Certification of Principal Financial Officer Pursuant to Rules 13a-14(a) and 15d-14(a) under the Securities Exchange Act of</w:t>
            </w:r>
          </w:p>
        </w:tc>
        <w:tc>
          <w:tcPr>
            <w:tcW w:w="0" w:type="dxa"/>
            <w:vAlign w:val="bottom"/>
          </w:tcPr>
          <w:p>
            <w:pPr>
              <w:spacing w:after="0"/>
              <w:rPr>
                <w:sz w:val="1"/>
                <w:szCs w:val="1"/>
                <w:color w:val="auto"/>
              </w:rPr>
            </w:pPr>
          </w:p>
        </w:tc>
      </w:tr>
      <w:tr>
        <w:trPr>
          <w:trHeight w:val="183"/>
        </w:trPr>
        <w:tc>
          <w:tcPr>
            <w:tcW w:w="1020" w:type="dxa"/>
            <w:vAlign w:val="bottom"/>
            <w:vMerge w:val="restart"/>
          </w:tcPr>
          <w:p>
            <w:pPr>
              <w:ind w:left="20"/>
              <w:spacing w:after="0"/>
              <w:rPr>
                <w:sz w:val="20"/>
                <w:szCs w:val="20"/>
                <w:color w:val="auto"/>
              </w:rPr>
            </w:pPr>
            <w:r>
              <w:rPr>
                <w:rFonts w:ascii="Arial" w:cs="Arial" w:eastAsia="Arial" w:hAnsi="Arial"/>
                <w:sz w:val="18"/>
                <w:szCs w:val="18"/>
                <w:color w:val="auto"/>
              </w:rPr>
              <w:t>32.1#</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40" w:type="dxa"/>
            <w:vAlign w:val="bottom"/>
            <w:tcBorders>
              <w:top w:val="single" w:sz="8" w:color="0000FF"/>
              <w:bottom w:val="single" w:sz="8" w:color="0000FF"/>
            </w:tcBorders>
            <w:gridSpan w:val="6"/>
          </w:tcPr>
          <w:p>
            <w:pPr>
              <w:spacing w:after="0" w:line="182" w:lineRule="exact"/>
              <w:rPr>
                <w:sz w:val="20"/>
                <w:szCs w:val="20"/>
                <w:color w:val="auto"/>
              </w:rPr>
            </w:pPr>
            <w:r>
              <w:rPr>
                <w:rFonts w:ascii="Arial" w:cs="Arial" w:eastAsia="Arial" w:hAnsi="Arial"/>
                <w:sz w:val="18"/>
                <w:szCs w:val="18"/>
                <w:color w:val="0000FF"/>
                <w:w w:val="99"/>
              </w:rPr>
              <w:t>1934, as Adopted Pursuant to Section 302 of the Sarbanes-Oxley Act of 2002.</w:t>
            </w:r>
          </w:p>
        </w:tc>
        <w:tc>
          <w:tcPr>
            <w:tcW w:w="20" w:type="dxa"/>
            <w:vAlign w:val="bottom"/>
            <w:tcBorders>
              <w:top w:val="single" w:sz="8" w:color="0000FF"/>
              <w:bottom w:val="single" w:sz="8" w:color="0000EE"/>
            </w:tcBorders>
          </w:tcPr>
          <w:p>
            <w:pPr>
              <w:spacing w:after="0"/>
              <w:rPr>
                <w:sz w:val="15"/>
                <w:szCs w:val="15"/>
                <w:color w:val="auto"/>
              </w:rPr>
            </w:pPr>
          </w:p>
        </w:tc>
        <w:tc>
          <w:tcPr>
            <w:tcW w:w="3540" w:type="dxa"/>
            <w:vAlign w:val="bottom"/>
            <w:tcBorders>
              <w:top w:val="single" w:sz="8" w:color="0000FF"/>
            </w:tcBorders>
            <w:gridSpan w:val="7"/>
          </w:tcPr>
          <w:p>
            <w:pPr>
              <w:spacing w:after="0"/>
              <w:rPr>
                <w:sz w:val="15"/>
                <w:szCs w:val="15"/>
                <w:color w:val="auto"/>
              </w:rPr>
            </w:pPr>
          </w:p>
        </w:tc>
        <w:tc>
          <w:tcPr>
            <w:tcW w:w="22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02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20" w:type="dxa"/>
            <w:vAlign w:val="bottom"/>
            <w:gridSpan w:val="16"/>
          </w:tcPr>
          <w:p>
            <w:pPr>
              <w:spacing w:after="0" w:line="196" w:lineRule="exact"/>
              <w:rPr>
                <w:sz w:val="20"/>
                <w:szCs w:val="20"/>
                <w:color w:val="auto"/>
              </w:rPr>
            </w:pPr>
            <w:r>
              <w:rPr>
                <w:rFonts w:ascii="Arial" w:cs="Arial" w:eastAsia="Arial" w:hAnsi="Arial"/>
                <w:sz w:val="18"/>
                <w:szCs w:val="18"/>
                <w:color w:val="0000FF"/>
              </w:rPr>
              <w:t>Certification of Principal Executive Officer and Principal Financial Officer Pursuant to 18 U.S.C. Section 1350, as Adopted</w:t>
            </w:r>
          </w:p>
        </w:tc>
        <w:tc>
          <w:tcPr>
            <w:tcW w:w="0" w:type="dxa"/>
            <w:vAlign w:val="bottom"/>
          </w:tcPr>
          <w:p>
            <w:pPr>
              <w:spacing w:after="0"/>
              <w:rPr>
                <w:sz w:val="1"/>
                <w:szCs w:val="1"/>
                <w:color w:val="auto"/>
              </w:rPr>
            </w:pPr>
          </w:p>
        </w:tc>
      </w:tr>
      <w:tr>
        <w:trPr>
          <w:trHeight w:val="183"/>
        </w:trPr>
        <w:tc>
          <w:tcPr>
            <w:tcW w:w="1020" w:type="dxa"/>
            <w:vAlign w:val="bottom"/>
            <w:vMerge w:val="restart"/>
          </w:tcPr>
          <w:p>
            <w:pPr>
              <w:ind w:left="20"/>
              <w:spacing w:after="0"/>
              <w:rPr>
                <w:sz w:val="20"/>
                <w:szCs w:val="20"/>
                <w:color w:val="auto"/>
              </w:rPr>
            </w:pPr>
            <w:r>
              <w:rPr>
                <w:rFonts w:ascii="Arial" w:cs="Arial" w:eastAsia="Arial" w:hAnsi="Arial"/>
                <w:sz w:val="18"/>
                <w:szCs w:val="18"/>
                <w:color w:val="auto"/>
              </w:rPr>
              <w:t>101.INS</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780" w:type="dxa"/>
            <w:vAlign w:val="bottom"/>
            <w:tcBorders>
              <w:top w:val="single" w:sz="8" w:color="0000FF"/>
              <w:bottom w:val="single" w:sz="8" w:color="0000FF"/>
            </w:tcBorders>
            <w:gridSpan w:val="2"/>
          </w:tcPr>
          <w:p>
            <w:pPr>
              <w:spacing w:after="0" w:line="182" w:lineRule="exact"/>
              <w:rPr>
                <w:sz w:val="20"/>
                <w:szCs w:val="20"/>
                <w:color w:val="auto"/>
              </w:rPr>
            </w:pPr>
            <w:r>
              <w:rPr>
                <w:rFonts w:ascii="Arial" w:cs="Arial" w:eastAsia="Arial" w:hAnsi="Arial"/>
                <w:sz w:val="18"/>
                <w:szCs w:val="18"/>
                <w:color w:val="0000FF"/>
                <w:w w:val="99"/>
              </w:rPr>
              <w:t>Pursuant to Section 906 of the Sarbanes-Oxley Act of 2002.</w:t>
            </w:r>
          </w:p>
        </w:tc>
        <w:tc>
          <w:tcPr>
            <w:tcW w:w="20" w:type="dxa"/>
            <w:vAlign w:val="bottom"/>
            <w:tcBorders>
              <w:top w:val="single" w:sz="8" w:color="0000FF"/>
              <w:bottom w:val="single" w:sz="8" w:color="0000EE"/>
            </w:tcBorders>
          </w:tcPr>
          <w:p>
            <w:pPr>
              <w:spacing w:after="0"/>
              <w:rPr>
                <w:sz w:val="15"/>
                <w:szCs w:val="15"/>
                <w:color w:val="auto"/>
              </w:rPr>
            </w:pPr>
          </w:p>
        </w:tc>
        <w:tc>
          <w:tcPr>
            <w:tcW w:w="4900" w:type="dxa"/>
            <w:vAlign w:val="bottom"/>
            <w:tcBorders>
              <w:top w:val="single" w:sz="8" w:color="0000FF"/>
            </w:tcBorders>
            <w:gridSpan w:val="10"/>
          </w:tcPr>
          <w:p>
            <w:pPr>
              <w:spacing w:after="0"/>
              <w:rPr>
                <w:sz w:val="15"/>
                <w:szCs w:val="15"/>
                <w:color w:val="auto"/>
              </w:rPr>
            </w:pPr>
          </w:p>
        </w:tc>
        <w:tc>
          <w:tcPr>
            <w:tcW w:w="32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102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20" w:type="dxa"/>
            <w:vAlign w:val="bottom"/>
            <w:gridSpan w:val="16"/>
          </w:tcPr>
          <w:p>
            <w:pPr>
              <w:spacing w:after="0" w:line="204" w:lineRule="exact"/>
              <w:rPr>
                <w:sz w:val="20"/>
                <w:szCs w:val="20"/>
                <w:color w:val="auto"/>
              </w:rPr>
            </w:pPr>
            <w:r>
              <w:rPr>
                <w:rFonts w:ascii="Arial" w:cs="Arial" w:eastAsia="Arial" w:hAnsi="Arial"/>
                <w:sz w:val="18"/>
                <w:szCs w:val="18"/>
                <w:color w:val="auto"/>
                <w:w w:val="99"/>
              </w:rPr>
              <w:t>Inline XBRL Instance Document – the instance document does not appear in the Interactive Data File because XBRL tags are</w:t>
            </w: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20" w:type="dxa"/>
            <w:vAlign w:val="bottom"/>
            <w:gridSpan w:val="16"/>
          </w:tcPr>
          <w:p>
            <w:pPr>
              <w:spacing w:after="0"/>
              <w:rPr>
                <w:sz w:val="20"/>
                <w:szCs w:val="20"/>
                <w:color w:val="auto"/>
              </w:rPr>
            </w:pPr>
            <w:r>
              <w:rPr>
                <w:rFonts w:ascii="Arial" w:cs="Arial" w:eastAsia="Arial" w:hAnsi="Arial"/>
                <w:sz w:val="18"/>
                <w:szCs w:val="18"/>
                <w:color w:val="auto"/>
              </w:rPr>
              <w:t>embedded within the Inline XBRL document.</w:t>
            </w:r>
          </w:p>
        </w:tc>
        <w:tc>
          <w:tcPr>
            <w:tcW w:w="0" w:type="dxa"/>
            <w:vAlign w:val="bottom"/>
          </w:tcPr>
          <w:p>
            <w:pPr>
              <w:spacing w:after="0"/>
              <w:rPr>
                <w:sz w:val="1"/>
                <w:szCs w:val="1"/>
                <w:color w:val="auto"/>
              </w:rPr>
            </w:pPr>
          </w:p>
        </w:tc>
      </w:tr>
      <w:tr>
        <w:trPr>
          <w:trHeight w:val="234"/>
        </w:trPr>
        <w:tc>
          <w:tcPr>
            <w:tcW w:w="1020" w:type="dxa"/>
            <w:vAlign w:val="bottom"/>
          </w:tcPr>
          <w:p>
            <w:pPr>
              <w:ind w:left="20"/>
              <w:spacing w:after="0"/>
              <w:rPr>
                <w:sz w:val="20"/>
                <w:szCs w:val="20"/>
                <w:color w:val="auto"/>
              </w:rPr>
            </w:pPr>
            <w:r>
              <w:rPr>
                <w:rFonts w:ascii="Arial" w:cs="Arial" w:eastAsia="Arial" w:hAnsi="Arial"/>
                <w:sz w:val="18"/>
                <w:szCs w:val="18"/>
                <w:color w:val="auto"/>
              </w:rPr>
              <w:t>101.SCH</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20" w:type="dxa"/>
            <w:vAlign w:val="bottom"/>
            <w:gridSpan w:val="16"/>
          </w:tcPr>
          <w:p>
            <w:pPr>
              <w:spacing w:after="0"/>
              <w:rPr>
                <w:sz w:val="20"/>
                <w:szCs w:val="20"/>
                <w:color w:val="auto"/>
              </w:rPr>
            </w:pPr>
            <w:r>
              <w:rPr>
                <w:rFonts w:ascii="Arial" w:cs="Arial" w:eastAsia="Arial" w:hAnsi="Arial"/>
                <w:sz w:val="18"/>
                <w:szCs w:val="18"/>
                <w:color w:val="auto"/>
              </w:rPr>
              <w:t>Inline XBRL Taxonomy Extension Schema With Embedded Linkbase Documents.</w:t>
            </w:r>
          </w:p>
        </w:tc>
        <w:tc>
          <w:tcPr>
            <w:tcW w:w="0" w:type="dxa"/>
            <w:vAlign w:val="bottom"/>
          </w:tcPr>
          <w:p>
            <w:pPr>
              <w:spacing w:after="0"/>
              <w:rPr>
                <w:sz w:val="1"/>
                <w:szCs w:val="1"/>
                <w:color w:val="auto"/>
              </w:rPr>
            </w:pPr>
          </w:p>
        </w:tc>
      </w:tr>
    </w:tbl>
    <w:p>
      <w:pPr>
        <w:ind w:right="3700" w:firstLine="21"/>
        <w:spacing w:after="0" w:line="360" w:lineRule="auto"/>
        <w:tabs>
          <w:tab w:leader="none" w:pos="1215" w:val="left"/>
        </w:tabs>
        <w:numPr>
          <w:ilvl w:val="1"/>
          <w:numId w:val="41"/>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 *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95123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8">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 Indicates a management contract or any compensatory plan, contract or arrangement.</w:t>
      </w:r>
    </w:p>
    <w:p>
      <w:pPr>
        <w:spacing w:after="0" w:line="32" w:lineRule="exact"/>
        <w:rPr>
          <w:sz w:val="20"/>
          <w:szCs w:val="20"/>
          <w:color w:val="auto"/>
        </w:rPr>
      </w:pPr>
    </w:p>
    <w:p>
      <w:pPr>
        <w:jc w:val="both"/>
        <w:ind w:firstLine="8"/>
        <w:spacing w:after="0" w:line="253" w:lineRule="auto"/>
        <w:tabs>
          <w:tab w:leader="none" w:pos="17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These certifications are furnished to the SEC pursuant to Section 906 of the Sarbanes-Oxley Act of 2002 and are deemed not filed for purposes of Section 18 of the Exchange Act nor shall they be deemed incorporated by reference in any filing under the Securities Act, except as shall be expressly set forth by specific reference in such filing.</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78" w:name="page79"/>
    <w:bookmarkEnd w:id="78"/>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12" w:lineRule="exact"/>
        <w:rPr>
          <w:sz w:val="20"/>
          <w:szCs w:val="20"/>
          <w:color w:val="auto"/>
        </w:rPr>
      </w:pPr>
    </w:p>
    <w:p>
      <w:pPr>
        <w:ind w:firstLine="509"/>
        <w:spacing w:after="0" w:line="271"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40"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Aura Biosciences, Inc.</w:t>
      </w:r>
    </w:p>
    <w:p>
      <w:pPr>
        <w:spacing w:after="0" w:line="225" w:lineRule="exact"/>
        <w:rPr>
          <w:sz w:val="20"/>
          <w:szCs w:val="20"/>
          <w:color w:val="auto"/>
        </w:rPr>
      </w:pPr>
    </w:p>
    <w:p>
      <w:pPr>
        <w:ind w:left="20"/>
        <w:spacing w:after="0"/>
        <w:tabs>
          <w:tab w:leader="none" w:pos="5660" w:val="left"/>
          <w:tab w:leader="none" w:pos="7700" w:val="left"/>
        </w:tabs>
        <w:rPr>
          <w:sz w:val="20"/>
          <w:szCs w:val="20"/>
          <w:color w:val="auto"/>
        </w:rPr>
      </w:pPr>
      <w:r>
        <w:rPr>
          <w:rFonts w:ascii="Arial" w:cs="Arial" w:eastAsia="Arial" w:hAnsi="Arial"/>
          <w:sz w:val="18"/>
          <w:szCs w:val="18"/>
          <w:color w:val="auto"/>
        </w:rPr>
        <w:t>Date: August 8, 2024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Elisabet de los Pinos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17780</wp:posOffset>
            </wp:positionV>
            <wp:extent cx="3265805"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80">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21" w:lineRule="exact"/>
        <w:rPr>
          <w:sz w:val="20"/>
          <w:szCs w:val="20"/>
          <w:color w:val="auto"/>
        </w:rPr>
      </w:pPr>
    </w:p>
    <w:p>
      <w:pPr>
        <w:jc w:val="center"/>
        <w:ind w:left="6080"/>
        <w:spacing w:after="0"/>
        <w:rPr>
          <w:sz w:val="20"/>
          <w:szCs w:val="20"/>
          <w:color w:val="auto"/>
        </w:rPr>
      </w:pPr>
      <w:r>
        <w:rPr>
          <w:rFonts w:ascii="Arial" w:cs="Arial" w:eastAsia="Arial" w:hAnsi="Arial"/>
          <w:sz w:val="18"/>
          <w:szCs w:val="18"/>
          <w:b w:val="1"/>
          <w:bCs w:val="1"/>
          <w:color w:val="auto"/>
        </w:rPr>
        <w:t>Elisabet de los Pinos</w:t>
      </w:r>
    </w:p>
    <w:p>
      <w:pPr>
        <w:spacing w:after="0" w:line="9" w:lineRule="exact"/>
        <w:rPr>
          <w:sz w:val="20"/>
          <w:szCs w:val="20"/>
          <w:color w:val="auto"/>
        </w:rPr>
      </w:pPr>
    </w:p>
    <w:p>
      <w:pPr>
        <w:jc w:val="center"/>
        <w:ind w:left="608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207" w:lineRule="exact"/>
        <w:rPr>
          <w:sz w:val="20"/>
          <w:szCs w:val="20"/>
          <w:color w:val="auto"/>
        </w:rPr>
      </w:pPr>
    </w:p>
    <w:p>
      <w:pPr>
        <w:ind w:left="20"/>
        <w:spacing w:after="0"/>
        <w:tabs>
          <w:tab w:leader="none" w:pos="5660" w:val="left"/>
          <w:tab w:leader="none" w:pos="8080" w:val="left"/>
        </w:tabs>
        <w:rPr>
          <w:sz w:val="20"/>
          <w:szCs w:val="20"/>
          <w:color w:val="auto"/>
        </w:rPr>
      </w:pPr>
      <w:r>
        <w:rPr>
          <w:rFonts w:ascii="Arial" w:cs="Arial" w:eastAsia="Arial" w:hAnsi="Arial"/>
          <w:sz w:val="18"/>
          <w:szCs w:val="18"/>
          <w:color w:val="auto"/>
        </w:rPr>
        <w:t>Date: August 8, 2024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Julie Feder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17780</wp:posOffset>
            </wp:positionV>
            <wp:extent cx="3265805"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1">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21" w:lineRule="exact"/>
        <w:rPr>
          <w:sz w:val="20"/>
          <w:szCs w:val="20"/>
          <w:color w:val="auto"/>
        </w:rPr>
      </w:pPr>
    </w:p>
    <w:p>
      <w:pPr>
        <w:jc w:val="center"/>
        <w:ind w:left="6080"/>
        <w:spacing w:after="0"/>
        <w:rPr>
          <w:sz w:val="20"/>
          <w:szCs w:val="20"/>
          <w:color w:val="auto"/>
        </w:rPr>
      </w:pPr>
      <w:r>
        <w:rPr>
          <w:rFonts w:ascii="Arial" w:cs="Arial" w:eastAsia="Arial" w:hAnsi="Arial"/>
          <w:sz w:val="18"/>
          <w:szCs w:val="18"/>
          <w:b w:val="1"/>
          <w:bCs w:val="1"/>
          <w:color w:val="auto"/>
        </w:rPr>
        <w:t>Julie Feder</w:t>
      </w:r>
    </w:p>
    <w:p>
      <w:pPr>
        <w:spacing w:after="0" w:line="9" w:lineRule="exact"/>
        <w:rPr>
          <w:sz w:val="20"/>
          <w:szCs w:val="20"/>
          <w:color w:val="auto"/>
        </w:rPr>
      </w:pPr>
    </w:p>
    <w:p>
      <w:pPr>
        <w:jc w:val="center"/>
        <w:ind w:left="6080"/>
        <w:spacing w:after="0"/>
        <w:rPr>
          <w:sz w:val="20"/>
          <w:szCs w:val="20"/>
          <w:color w:val="auto"/>
        </w:rPr>
      </w:pPr>
      <w:r>
        <w:rPr>
          <w:rFonts w:ascii="Arial" w:cs="Arial" w:eastAsia="Arial" w:hAnsi="Arial"/>
          <w:sz w:val="18"/>
          <w:szCs w:val="18"/>
          <w:b w:val="1"/>
          <w:bCs w:val="1"/>
          <w:color w:val="auto"/>
        </w:rPr>
        <w:t>Chief Financial Officer</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79" w:name="page80"/>
    <w:bookmarkEnd w:id="79"/>
    <w:p>
      <w:pPr>
        <w:jc w:val="right"/>
        <w:spacing w:after="0"/>
        <w:rPr>
          <w:sz w:val="20"/>
          <w:szCs w:val="20"/>
          <w:color w:val="auto"/>
        </w:rPr>
      </w:pPr>
      <w:r>
        <w:rPr>
          <w:rFonts w:ascii="Times New Roman" w:cs="Times New Roman" w:eastAsia="Times New Roman" w:hAnsi="Times New Roman"/>
          <w:sz w:val="22"/>
          <w:szCs w:val="22"/>
          <w:b w:val="1"/>
          <w:bCs w:val="1"/>
          <w:color w:val="auto"/>
        </w:rPr>
        <w:t>Exhibit 3.1</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TENTH AMENDED AND RESTATED</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CERTIFICATE OF INCORPORATION</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OF</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AURA BIOSCIENCES, INC.</w:t>
      </w:r>
    </w:p>
    <w:p>
      <w:pPr>
        <w:spacing w:after="0" w:line="237" w:lineRule="exact"/>
        <w:rPr>
          <w:sz w:val="20"/>
          <w:szCs w:val="20"/>
          <w:color w:val="auto"/>
        </w:rPr>
      </w:pPr>
    </w:p>
    <w:p>
      <w:pPr>
        <w:ind w:right="1420" w:firstLine="749"/>
        <w:spacing w:after="0" w:line="258" w:lineRule="auto"/>
        <w:rPr>
          <w:sz w:val="20"/>
          <w:szCs w:val="20"/>
          <w:color w:val="auto"/>
        </w:rPr>
      </w:pPr>
      <w:r>
        <w:rPr>
          <w:rFonts w:ascii="Times New Roman" w:cs="Times New Roman" w:eastAsia="Times New Roman" w:hAnsi="Times New Roman"/>
          <w:sz w:val="22"/>
          <w:szCs w:val="22"/>
          <w:color w:val="auto"/>
        </w:rPr>
        <w:t>Aura Biosciences, Inc., a corporation organized and existing under the laws of the State of Delaware (the “Corporation”), hereby certifies as follows:</w:t>
      </w:r>
    </w:p>
    <w:p>
      <w:pPr>
        <w:spacing w:after="0" w:line="185" w:lineRule="exact"/>
        <w:rPr>
          <w:sz w:val="20"/>
          <w:szCs w:val="20"/>
          <w:color w:val="auto"/>
        </w:rPr>
      </w:pPr>
    </w:p>
    <w:p>
      <w:pPr>
        <w:ind w:right="220" w:firstLine="757"/>
        <w:spacing w:after="0" w:line="244" w:lineRule="auto"/>
        <w:tabs>
          <w:tab w:leader="none" w:pos="1181"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name of the Corporation is Aura Biosciences, Inc. The date of the filing of its original Certificate of Incorporation with the Secretary of State of the State of Delaware was January 13, 2009 (the “Original Certificate”). The name under which the Corporation filed the Original Certificate was Aura Biosciences, Inc.</w:t>
      </w:r>
    </w:p>
    <w:p>
      <w:pPr>
        <w:spacing w:after="0" w:line="200" w:lineRule="exact"/>
        <w:rPr>
          <w:rFonts w:ascii="Times New Roman" w:cs="Times New Roman" w:eastAsia="Times New Roman" w:hAnsi="Times New Roman"/>
          <w:sz w:val="22"/>
          <w:szCs w:val="22"/>
          <w:color w:val="auto"/>
        </w:rPr>
      </w:pPr>
    </w:p>
    <w:p>
      <w:pPr>
        <w:jc w:val="both"/>
        <w:ind w:right="280" w:firstLine="757"/>
        <w:spacing w:after="0" w:line="255" w:lineRule="auto"/>
        <w:tabs>
          <w:tab w:leader="none" w:pos="1181" w:val="left"/>
        </w:tabs>
        <w:numPr>
          <w:ilvl w:val="0"/>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Tenth Amended and Restated Certificate of Incorporation (the “Certificate”) amends, restates and integrates the provisions of the Ninth Amended and Restated Certificate of Incorporation that was filed with the Secretary of State of the State of Delaware on March 17, 2021 (the “Amended and Restated Certificate”), and was duly adopted in accordance with the provisions of Sections 228, 242 and 245 of the General Corporation Law of the State of Delaware (the “DGCL”).</w:t>
      </w:r>
    </w:p>
    <w:p>
      <w:pPr>
        <w:spacing w:after="0" w:line="188" w:lineRule="exact"/>
        <w:rPr>
          <w:rFonts w:ascii="Times New Roman" w:cs="Times New Roman" w:eastAsia="Times New Roman" w:hAnsi="Times New Roman"/>
          <w:sz w:val="21"/>
          <w:szCs w:val="21"/>
          <w:color w:val="auto"/>
        </w:rPr>
      </w:pPr>
    </w:p>
    <w:p>
      <w:pPr>
        <w:ind w:right="40" w:firstLine="757"/>
        <w:spacing w:after="0" w:line="258" w:lineRule="auto"/>
        <w:tabs>
          <w:tab w:leader="none" w:pos="1181"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text of the Amended and Restated Certificate is hereby amended and restated in its entirety to provide as herein set forth in full.</w:t>
      </w:r>
    </w:p>
    <w:p>
      <w:pPr>
        <w:spacing w:after="0" w:line="158"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2"/>
          <w:szCs w:val="22"/>
          <w:u w:val="single" w:color="auto"/>
          <w:color w:val="auto"/>
        </w:rPr>
        <w:t>ARTICLE I</w:t>
      </w:r>
    </w:p>
    <w:p>
      <w:pPr>
        <w:spacing w:after="0" w:line="20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The name of the Corporation is Aura Biosciences, Inc.</w:t>
      </w:r>
    </w:p>
    <w:p>
      <w:pPr>
        <w:spacing w:after="0" w:line="206"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22"/>
          <w:szCs w:val="22"/>
          <w:u w:val="single" w:color="auto"/>
          <w:color w:val="auto"/>
        </w:rPr>
        <w:t>ARTICLE II</w:t>
      </w:r>
    </w:p>
    <w:p>
      <w:pPr>
        <w:spacing w:after="0" w:line="206" w:lineRule="exact"/>
        <w:rPr>
          <w:sz w:val="20"/>
          <w:szCs w:val="20"/>
          <w:color w:val="auto"/>
        </w:rPr>
      </w:pPr>
    </w:p>
    <w:p>
      <w:pPr>
        <w:ind w:right="80" w:firstLine="749"/>
        <w:spacing w:after="0" w:line="244" w:lineRule="auto"/>
        <w:rPr>
          <w:sz w:val="20"/>
          <w:szCs w:val="20"/>
          <w:color w:val="auto"/>
        </w:rPr>
      </w:pPr>
      <w:r>
        <w:rPr>
          <w:rFonts w:ascii="Times New Roman" w:cs="Times New Roman" w:eastAsia="Times New Roman" w:hAnsi="Times New Roman"/>
          <w:sz w:val="22"/>
          <w:szCs w:val="22"/>
          <w:color w:val="auto"/>
        </w:rPr>
        <w:t>The address of the Corporation’s registered office in the State of Delaware is c/o Corporation Trust Center, 1209 Orange Street, Wilmington, DE 19801 and County of New Castle. The name of its registered agent at such address is The Corporation Trust Company.</w:t>
      </w:r>
    </w:p>
    <w:p>
      <w:pPr>
        <w:spacing w:after="0" w:line="200" w:lineRule="exact"/>
        <w:rPr>
          <w:sz w:val="20"/>
          <w:szCs w:val="20"/>
          <w:color w:val="auto"/>
        </w:rPr>
      </w:pPr>
    </w:p>
    <w:p>
      <w:pPr>
        <w:spacing w:after="0" w:line="21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u w:val="single" w:color="auto"/>
          <w:color w:val="auto"/>
        </w:rPr>
        <w:t>ARTICLE III</w:t>
      </w:r>
    </w:p>
    <w:p>
      <w:pPr>
        <w:spacing w:after="0" w:line="206" w:lineRule="exact"/>
        <w:rPr>
          <w:sz w:val="20"/>
          <w:szCs w:val="20"/>
          <w:color w:val="auto"/>
        </w:rPr>
      </w:pPr>
    </w:p>
    <w:p>
      <w:pPr>
        <w:ind w:right="80" w:firstLine="749"/>
        <w:spacing w:after="0" w:line="258" w:lineRule="auto"/>
        <w:rPr>
          <w:sz w:val="20"/>
          <w:szCs w:val="20"/>
          <w:color w:val="auto"/>
        </w:rPr>
      </w:pPr>
      <w:r>
        <w:rPr>
          <w:rFonts w:ascii="Times New Roman" w:cs="Times New Roman" w:eastAsia="Times New Roman" w:hAnsi="Times New Roman"/>
          <w:sz w:val="22"/>
          <w:szCs w:val="22"/>
          <w:color w:val="auto"/>
        </w:rPr>
        <w:t>The purpose of the Corporation is to engage in any lawful act or activity for which corporations may be organized under the DGCL.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996950</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80" w:name="page81"/>
    <w:bookmarkEnd w:id="80"/>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u w:val="single" w:color="auto"/>
          <w:color w:val="auto"/>
        </w:rPr>
        <w:t>ARTICLE IV</w:t>
      </w: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u w:val="single" w:color="auto"/>
          <w:color w:val="auto"/>
        </w:rPr>
        <w:t>CAPITAL STOCK</w:t>
      </w:r>
    </w:p>
    <w:p>
      <w:pPr>
        <w:spacing w:after="0" w:line="206" w:lineRule="exact"/>
        <w:rPr>
          <w:sz w:val="20"/>
          <w:szCs w:val="20"/>
          <w:color w:val="auto"/>
        </w:rPr>
      </w:pPr>
    </w:p>
    <w:p>
      <w:pPr>
        <w:ind w:right="40" w:firstLine="749"/>
        <w:spacing w:after="0" w:line="239" w:lineRule="auto"/>
        <w:rPr>
          <w:sz w:val="20"/>
          <w:szCs w:val="20"/>
          <w:color w:val="auto"/>
        </w:rPr>
      </w:pPr>
      <w:r>
        <w:rPr>
          <w:rFonts w:ascii="Times New Roman" w:cs="Times New Roman" w:eastAsia="Times New Roman" w:hAnsi="Times New Roman"/>
          <w:sz w:val="22"/>
          <w:szCs w:val="22"/>
          <w:color w:val="auto"/>
        </w:rPr>
        <w:t>The total number of shares of capital stock which the Corporation shall have authority to issue is one hundred and sixty million (160,000,000), of which (i) one hundred and fifty million (150,000,000) shares shall be a class designated as common stock, par value $0.00001 per share (the “Common Stock”), and (ii) ten million (10,000,000) shares shall be a class designated as undesignated preferred stock, par value $0.00001 per share (the “Undesignated Preferred Stock”).</w:t>
      </w:r>
    </w:p>
    <w:p>
      <w:pPr>
        <w:spacing w:after="0" w:line="207" w:lineRule="exact"/>
        <w:rPr>
          <w:sz w:val="20"/>
          <w:szCs w:val="20"/>
          <w:color w:val="auto"/>
        </w:rPr>
      </w:pPr>
    </w:p>
    <w:p>
      <w:pPr>
        <w:ind w:firstLine="749"/>
        <w:spacing w:after="0" w:line="238" w:lineRule="auto"/>
        <w:rPr>
          <w:sz w:val="20"/>
          <w:szCs w:val="20"/>
          <w:color w:val="auto"/>
        </w:rPr>
      </w:pPr>
      <w:r>
        <w:rPr>
          <w:rFonts w:ascii="Times New Roman" w:cs="Times New Roman" w:eastAsia="Times New Roman" w:hAnsi="Times New Roman"/>
          <w:sz w:val="22"/>
          <w:szCs w:val="22"/>
          <w:color w:val="auto"/>
        </w:rPr>
        <w:t>Except as otherwise provided in any certificate of designations of any series of Undesignated Preferred Stock, the number of authorized shares of the class of Common Stock or Undesignated Preferred Stock may from time to time be increased or decreased (but not below the number of shares of such class outstanding) by the affirmative vote of the holders of a majority in voting power of the outstanding shares of capital stock of the Corporation irrespective of the provisions of Section 242(b)(2) of the DGCL.</w:t>
      </w:r>
    </w:p>
    <w:p>
      <w:pPr>
        <w:spacing w:after="0" w:line="204" w:lineRule="exact"/>
        <w:rPr>
          <w:sz w:val="20"/>
          <w:szCs w:val="20"/>
          <w:color w:val="auto"/>
        </w:rPr>
      </w:pPr>
    </w:p>
    <w:p>
      <w:pPr>
        <w:ind w:right="340" w:firstLine="749"/>
        <w:spacing w:after="0" w:line="258" w:lineRule="auto"/>
        <w:rPr>
          <w:sz w:val="20"/>
          <w:szCs w:val="20"/>
          <w:color w:val="auto"/>
        </w:rPr>
      </w:pPr>
      <w:r>
        <w:rPr>
          <w:rFonts w:ascii="Times New Roman" w:cs="Times New Roman" w:eastAsia="Times New Roman" w:hAnsi="Times New Roman"/>
          <w:sz w:val="22"/>
          <w:szCs w:val="22"/>
          <w:color w:val="auto"/>
        </w:rPr>
        <w:t>The powers, preferences and rights of, and the qualifications, limitations and restrictions upon, each class or series of stock shall be determined in accordance with, or as set forth below in, this Article IV.</w:t>
      </w:r>
    </w:p>
    <w:p>
      <w:pPr>
        <w:spacing w:after="0" w:line="185" w:lineRule="exact"/>
        <w:rPr>
          <w:sz w:val="20"/>
          <w:szCs w:val="20"/>
          <w:color w:val="auto"/>
        </w:rPr>
      </w:pPr>
    </w:p>
    <w:p>
      <w:pPr>
        <w:ind w:left="4900" w:hanging="312"/>
        <w:spacing w:after="0"/>
        <w:tabs>
          <w:tab w:leader="none" w:pos="4900"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COMMON STOCK</w:t>
      </w:r>
    </w:p>
    <w:p>
      <w:pPr>
        <w:spacing w:after="0" w:line="233" w:lineRule="exact"/>
        <w:rPr>
          <w:sz w:val="20"/>
          <w:szCs w:val="20"/>
          <w:color w:val="auto"/>
        </w:rPr>
      </w:pPr>
    </w:p>
    <w:p>
      <w:pPr>
        <w:ind w:right="60" w:firstLine="1497"/>
        <w:spacing w:after="0" w:line="258" w:lineRule="auto"/>
        <w:rPr>
          <w:sz w:val="20"/>
          <w:szCs w:val="20"/>
          <w:color w:val="auto"/>
        </w:rPr>
      </w:pPr>
      <w:r>
        <w:rPr>
          <w:rFonts w:ascii="Times New Roman" w:cs="Times New Roman" w:eastAsia="Times New Roman" w:hAnsi="Times New Roman"/>
          <w:sz w:val="22"/>
          <w:szCs w:val="22"/>
          <w:color w:val="auto"/>
        </w:rPr>
        <w:t>Subject to all the rights, powers and preferences of the Undesignated Preferred Stock and except as provided by law or in this Certificate (or in any certificate of designations of any series of Undesignated Preferred Stock):</w:t>
      </w:r>
    </w:p>
    <w:p>
      <w:pPr>
        <w:spacing w:after="0" w:line="185" w:lineRule="exact"/>
        <w:rPr>
          <w:sz w:val="20"/>
          <w:szCs w:val="20"/>
          <w:color w:val="auto"/>
        </w:rPr>
      </w:pPr>
    </w:p>
    <w:p>
      <w:pPr>
        <w:ind w:firstLine="2254"/>
        <w:spacing w:after="0" w:line="234" w:lineRule="auto"/>
        <w:tabs>
          <w:tab w:leader="none" w:pos="2678"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holders of the Common Stock shall have the exclusive right to vote for the election of directors of the Corporation (the “Directors”) and on all other matters requiring stockholder action, each outstanding share entitling the holder thereof to one vote on each matter properly submitted to the stockholders of the Corporation for their vote;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except as otherwise required by law, holders of Common Stock, as such, shall not be entitled to vote on any amendment to this Certificate (or on any amendment to a certificate of designations of any series of Undesignated Preferred Stock) that alters or changes the powers, preferences, rights or other terms of one or more outstanding series of Undesignated Preferred Stock if the holders of such affected series of Undesignated Preferred Stock are entitled to vote, either separately or together with the holders of one or more other such series, on such amendment pursuant to this Certificate (or pursuant to a certificate of designations of any series of Undesignated Preferred Stock) or pursuant to the DGCL;</w:t>
      </w:r>
    </w:p>
    <w:p>
      <w:pPr>
        <w:spacing w:after="0" w:line="210" w:lineRule="exact"/>
        <w:rPr>
          <w:rFonts w:ascii="Times New Roman" w:cs="Times New Roman" w:eastAsia="Times New Roman" w:hAnsi="Times New Roman"/>
          <w:sz w:val="22"/>
          <w:szCs w:val="22"/>
          <w:color w:val="auto"/>
        </w:rPr>
      </w:pPr>
    </w:p>
    <w:p>
      <w:pPr>
        <w:jc w:val="both"/>
        <w:ind w:right="140" w:firstLine="2254"/>
        <w:spacing w:after="0" w:line="244" w:lineRule="auto"/>
        <w:tabs>
          <w:tab w:leader="none" w:pos="2678"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dividends may be declared and paid or set apart for payment upon the Common Stock out of any assets or funds of the Corporation legally available for the payment of dividends, but only when and as declared by the Board of Directors or any authorized committee thereof;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1006475</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81" w:name="page82"/>
    <w:bookmarkEnd w:id="81"/>
    <w:p>
      <w:pPr>
        <w:ind w:right="300" w:firstLine="2254"/>
        <w:spacing w:after="0" w:line="258" w:lineRule="auto"/>
        <w:tabs>
          <w:tab w:leader="none" w:pos="2678"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upon the voluntary or involuntary liquidation, dissolution or winding up of the Corporation, the net assets of the Corporation shall be distributed pro rata to the holders of the Common Stock.</w:t>
      </w:r>
    </w:p>
    <w:p>
      <w:pPr>
        <w:spacing w:after="0" w:line="185" w:lineRule="exact"/>
        <w:rPr>
          <w:rFonts w:ascii="Times New Roman" w:cs="Times New Roman" w:eastAsia="Times New Roman" w:hAnsi="Times New Roman"/>
          <w:sz w:val="22"/>
          <w:szCs w:val="22"/>
          <w:color w:val="auto"/>
        </w:rPr>
      </w:pPr>
    </w:p>
    <w:p>
      <w:pPr>
        <w:ind w:left="3940" w:hanging="315"/>
        <w:spacing w:after="0"/>
        <w:tabs>
          <w:tab w:leader="none" w:pos="3940" w:val="left"/>
        </w:tabs>
        <w:numPr>
          <w:ilvl w:val="1"/>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UNDESIGNATED PREFERRED STOCK</w:t>
      </w:r>
    </w:p>
    <w:p>
      <w:pPr>
        <w:spacing w:after="0" w:line="233" w:lineRule="exact"/>
        <w:rPr>
          <w:sz w:val="20"/>
          <w:szCs w:val="20"/>
          <w:color w:val="auto"/>
        </w:rPr>
      </w:pPr>
    </w:p>
    <w:p>
      <w:pPr>
        <w:ind w:right="20" w:firstLine="1497"/>
        <w:spacing w:after="0" w:line="235" w:lineRule="auto"/>
        <w:rPr>
          <w:sz w:val="20"/>
          <w:szCs w:val="20"/>
          <w:color w:val="auto"/>
        </w:rPr>
      </w:pPr>
      <w:r>
        <w:rPr>
          <w:rFonts w:ascii="Times New Roman" w:cs="Times New Roman" w:eastAsia="Times New Roman" w:hAnsi="Times New Roman"/>
          <w:sz w:val="22"/>
          <w:szCs w:val="22"/>
          <w:color w:val="auto"/>
        </w:rPr>
        <w:t>The Board of Directors or any authorized committee thereof is expressly authorized, to the fullest extent permitted by law, to provide by resolution or resolutions for, out of the unissued shares of Undesignated Preferred Stock, the issuance of the shares of Undesignated Preferred Stock in one or more series of such stock, and by filing a certificate of designations pursuant to applicable law of the State of Delaware, to establish or change from time to time the number of shares of each such series, and to fix the designations, powers, including voting powers, full or limited, or no voting powers, preferences and the relative, participating, optional or other special rights of the shares of each series and any qualifications, limitations and restrictions thereof.</w:t>
      </w:r>
    </w:p>
    <w:p>
      <w:pPr>
        <w:spacing w:after="0" w:line="18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u w:val="single" w:color="auto"/>
          <w:color w:val="auto"/>
        </w:rPr>
        <w:t>ARTICLE V</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u w:val="single" w:color="auto"/>
          <w:color w:val="auto"/>
        </w:rPr>
        <w:t>STOCKHOLDER ACTION</w:t>
      </w:r>
    </w:p>
    <w:p>
      <w:pPr>
        <w:spacing w:after="0" w:line="206" w:lineRule="exact"/>
        <w:rPr>
          <w:sz w:val="20"/>
          <w:szCs w:val="20"/>
          <w:color w:val="auto"/>
        </w:rPr>
      </w:pPr>
    </w:p>
    <w:p>
      <w:pPr>
        <w:ind w:firstLine="757"/>
        <w:spacing w:after="0" w:line="236" w:lineRule="auto"/>
        <w:tabs>
          <w:tab w:leader="none" w:pos="1181"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Action without Meeting</w:t>
      </w:r>
      <w:r>
        <w:rPr>
          <w:rFonts w:ascii="Times New Roman" w:cs="Times New Roman" w:eastAsia="Times New Roman" w:hAnsi="Times New Roman"/>
          <w:sz w:val="22"/>
          <w:szCs w:val="22"/>
          <w:color w:val="auto"/>
        </w:rPr>
        <w:t>. Any action required or permitted to be taken by the stockholders of the Corporation at any annual or special meeting of stockholders of the Corporation must be effected at a duly called annual or special meeting of stockholders and may not be taken or effected by a written consent of stockholders in lieu thereof. Notwithstanding anything herein to the contrary, the affirmative vote of not less than two-thirds (2/3) of the outstanding shares of capital stock entitled to vote thereon, and the affirmative vote of not less than two-thirds (2/3) of the outstanding shares of each class entitled to vote thereon as a class, shall be required to amend or repeal any provision of this Article V, Section 1.</w:t>
      </w:r>
    </w:p>
    <w:p>
      <w:pPr>
        <w:spacing w:after="0" w:line="208" w:lineRule="exact"/>
        <w:rPr>
          <w:rFonts w:ascii="Times New Roman" w:cs="Times New Roman" w:eastAsia="Times New Roman" w:hAnsi="Times New Roman"/>
          <w:sz w:val="22"/>
          <w:szCs w:val="22"/>
          <w:color w:val="auto"/>
        </w:rPr>
      </w:pPr>
    </w:p>
    <w:p>
      <w:pPr>
        <w:ind w:right="100" w:firstLine="757"/>
        <w:spacing w:after="0" w:line="238" w:lineRule="auto"/>
        <w:tabs>
          <w:tab w:leader="none" w:pos="1181"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Special Meetings</w:t>
      </w:r>
      <w:r>
        <w:rPr>
          <w:rFonts w:ascii="Times New Roman" w:cs="Times New Roman" w:eastAsia="Times New Roman" w:hAnsi="Times New Roman"/>
          <w:sz w:val="22"/>
          <w:szCs w:val="22"/>
          <w:color w:val="auto"/>
        </w:rPr>
        <w:t>. Except as otherwise required by statute and subject to the rights, if any, of the holders of any series of Undesignated Preferred Stock, special meetings of the stockholders of the Corporation may be called only by the Board of Directors acting pursuant to a resolution approved by the affirmative vote of a majority of the Directors then in office, and special meetings of stockholders may not be called by any other person or persons. Only those matters set forth in the notice of the special meeting may be considered or acted upon at a special meeting of stockholders of the Corporation.</w:t>
      </w:r>
    </w:p>
    <w:p>
      <w:pPr>
        <w:spacing w:after="0" w:line="200" w:lineRule="exact"/>
        <w:rPr>
          <w:sz w:val="20"/>
          <w:szCs w:val="20"/>
          <w:color w:val="auto"/>
        </w:rPr>
      </w:pPr>
    </w:p>
    <w:p>
      <w:pPr>
        <w:spacing w:after="0" w:line="220"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2"/>
          <w:szCs w:val="22"/>
          <w:u w:val="single" w:color="auto"/>
          <w:color w:val="auto"/>
        </w:rPr>
        <w:t>ARTICLE VI</w:t>
      </w:r>
    </w:p>
    <w:p>
      <w:pPr>
        <w:spacing w:after="0" w:line="206"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2"/>
          <w:szCs w:val="22"/>
          <w:u w:val="single" w:color="auto"/>
          <w:color w:val="auto"/>
        </w:rPr>
        <w:t>DIRECTORS</w:t>
      </w:r>
    </w:p>
    <w:p>
      <w:pPr>
        <w:spacing w:after="0" w:line="341" w:lineRule="exact"/>
        <w:rPr>
          <w:sz w:val="20"/>
          <w:szCs w:val="20"/>
          <w:color w:val="auto"/>
        </w:rPr>
      </w:pPr>
    </w:p>
    <w:p>
      <w:pPr>
        <w:ind w:right="520" w:firstLine="757"/>
        <w:spacing w:after="0" w:line="258" w:lineRule="auto"/>
        <w:tabs>
          <w:tab w:leader="none" w:pos="1018" w:val="left"/>
        </w:tabs>
        <w:numPr>
          <w:ilvl w:val="0"/>
          <w:numId w:val="48"/>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General</w:t>
      </w:r>
      <w:r>
        <w:rPr>
          <w:rFonts w:ascii="Times New Roman" w:cs="Times New Roman" w:eastAsia="Times New Roman" w:hAnsi="Times New Roman"/>
          <w:sz w:val="22"/>
          <w:szCs w:val="22"/>
          <w:color w:val="auto"/>
        </w:rPr>
        <w:t>. The business and affairs of the Corporation shall be managed by or under the direction of the Board of Directors except as otherwise provided herein or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1065530</wp:posOffset>
            </wp:positionV>
            <wp:extent cx="715772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82" w:name="page83"/>
    <w:bookmarkEnd w:id="82"/>
    <w:p>
      <w:pPr>
        <w:spacing w:after="0" w:line="42" w:lineRule="exact"/>
        <w:rPr>
          <w:sz w:val="20"/>
          <w:szCs w:val="20"/>
          <w:color w:val="auto"/>
        </w:rPr>
      </w:pPr>
    </w:p>
    <w:p>
      <w:pPr>
        <w:ind w:right="160" w:firstLine="757"/>
        <w:spacing w:after="0" w:line="287" w:lineRule="exact"/>
        <w:tabs>
          <w:tab w:leader="none" w:pos="1018" w:val="left"/>
        </w:tabs>
        <w:numPr>
          <w:ilvl w:val="0"/>
          <w:numId w:val="49"/>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Election of Directors</w:t>
      </w:r>
      <w:r>
        <w:rPr>
          <w:rFonts w:ascii="Times New Roman" w:cs="Times New Roman" w:eastAsia="Times New Roman" w:hAnsi="Times New Roman"/>
          <w:sz w:val="22"/>
          <w:szCs w:val="22"/>
          <w:color w:val="auto"/>
        </w:rPr>
        <w:t>. Election of Directors need not be by written ballot unless the By</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laws of the Corporation (the “By-laws”) shall so provide.</w:t>
      </w:r>
    </w:p>
    <w:p>
      <w:pPr>
        <w:spacing w:after="0" w:line="200" w:lineRule="exact"/>
        <w:rPr>
          <w:rFonts w:ascii="Times New Roman" w:cs="Times New Roman" w:eastAsia="Times New Roman" w:hAnsi="Times New Roman"/>
          <w:sz w:val="22"/>
          <w:szCs w:val="22"/>
          <w:u w:val="single" w:color="auto"/>
          <w:color w:val="auto"/>
        </w:rPr>
      </w:pPr>
    </w:p>
    <w:p>
      <w:pPr>
        <w:spacing w:after="0" w:line="219" w:lineRule="exact"/>
        <w:rPr>
          <w:rFonts w:ascii="Times New Roman" w:cs="Times New Roman" w:eastAsia="Times New Roman" w:hAnsi="Times New Roman"/>
          <w:sz w:val="22"/>
          <w:szCs w:val="22"/>
          <w:u w:val="single" w:color="auto"/>
          <w:color w:val="auto"/>
        </w:rPr>
      </w:pPr>
    </w:p>
    <w:p>
      <w:pPr>
        <w:ind w:right="60" w:firstLine="757"/>
        <w:spacing w:after="0" w:line="233" w:lineRule="auto"/>
        <w:tabs>
          <w:tab w:leader="none" w:pos="1018" w:val="left"/>
        </w:tabs>
        <w:numPr>
          <w:ilvl w:val="0"/>
          <w:numId w:val="49"/>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Number of Directors; Term of Office</w:t>
      </w:r>
      <w:r>
        <w:rPr>
          <w:rFonts w:ascii="Times New Roman" w:cs="Times New Roman" w:eastAsia="Times New Roman" w:hAnsi="Times New Roman"/>
          <w:sz w:val="22"/>
          <w:szCs w:val="22"/>
          <w:color w:val="auto"/>
        </w:rPr>
        <w:t>. The number of Directors of the Corporation shall be fixed solely and exclusively by resolution duly adopted from time to time by the Board of Directors. The Directors, other than those who may be elected by the holders of any series of Undesignated Preferred Stock, shall be classified, with respect to the term for which they severally hold office, into three classes. The Class I Directors of the Corporation shall be Giovanni Mariggi, Ph.D. Raj Parekh, Ph.D. and Elisabet de los Pinos, Ph.D.; the Class II Directors of the Corporation shall be David Johnson and Karan Takhar; and the Class III Directors of the Corporation shall be Sapna Srivastava and Antony Mattessich. The Class I Directors shall serve for a term expiring at the annual meeting of stockholders to be held in 2022, the Class II Directors shall serve for a term expiring at the annual meeting of stockholders to be held in 2023, and the Class III Directors shall serve for a term expiring at the annual meeting of stockholders to be held in 2024. At each annual meeting of stockholders, Directors elected to succeed those Directors whose terms expire shall be elected for a term of office to expire at the third succeeding annual meeting of stockholders after their election. Notwithstanding the foregoing, the Directors elected to each class shall hold office until their successors are duly elected and qualified or until their earlier resignation, death or removal.</w:t>
      </w:r>
    </w:p>
    <w:p>
      <w:pPr>
        <w:spacing w:after="0" w:line="320" w:lineRule="exact"/>
        <w:rPr>
          <w:sz w:val="20"/>
          <w:szCs w:val="20"/>
          <w:color w:val="auto"/>
        </w:rPr>
      </w:pPr>
    </w:p>
    <w:p>
      <w:pPr>
        <w:ind w:right="140" w:firstLine="749"/>
        <w:spacing w:after="0" w:line="238" w:lineRule="auto"/>
        <w:rPr>
          <w:sz w:val="20"/>
          <w:szCs w:val="20"/>
          <w:color w:val="auto"/>
        </w:rPr>
      </w:pPr>
      <w:r>
        <w:rPr>
          <w:rFonts w:ascii="Times New Roman" w:cs="Times New Roman" w:eastAsia="Times New Roman" w:hAnsi="Times New Roman"/>
          <w:sz w:val="22"/>
          <w:szCs w:val="22"/>
          <w:color w:val="auto"/>
        </w:rPr>
        <w:t>Notwithstanding the foregoing, whenever, pursuant to the provisions of Article IV of this Certificate, the holders of any one or more series of Undesignated Preferred Stock shall have the right, voting separately as a series or together with holders of other such series, to elect Directors at an annual or special meeting of stockholders, the election, term of office, filling of vacancies and other features of such directorships shall be governed by the terms of this Certificate and any certificate of designations applicable to such series.</w:t>
      </w:r>
    </w:p>
    <w:p>
      <w:pPr>
        <w:spacing w:after="0" w:line="204" w:lineRule="exact"/>
        <w:rPr>
          <w:sz w:val="20"/>
          <w:szCs w:val="20"/>
          <w:color w:val="auto"/>
        </w:rPr>
      </w:pPr>
    </w:p>
    <w:p>
      <w:pPr>
        <w:jc w:val="both"/>
        <w:ind w:right="100" w:firstLine="749"/>
        <w:spacing w:after="0" w:line="261" w:lineRule="auto"/>
        <w:rPr>
          <w:sz w:val="20"/>
          <w:szCs w:val="20"/>
          <w:color w:val="auto"/>
        </w:rPr>
      </w:pPr>
      <w:r>
        <w:rPr>
          <w:rFonts w:ascii="Times New Roman" w:cs="Times New Roman" w:eastAsia="Times New Roman" w:hAnsi="Times New Roman"/>
          <w:sz w:val="21"/>
          <w:szCs w:val="21"/>
          <w:color w:val="auto"/>
        </w:rPr>
        <w:t>Notwithstanding anything herein to the contrary, the affirmative vote of not less than two-thirds (2/3) of the outstanding shares of capital stock entitled to vote thereon, and the affirmative vote of not less than two-thirds (2/3) of the outstanding shares of each class entitled to vote thereon as a class, shall be required to amend or repeal any provision of this Article IV, Section 3.</w:t>
      </w:r>
    </w:p>
    <w:p>
      <w:pPr>
        <w:spacing w:after="0" w:line="292" w:lineRule="exact"/>
        <w:rPr>
          <w:sz w:val="20"/>
          <w:szCs w:val="20"/>
          <w:color w:val="auto"/>
        </w:rPr>
      </w:pPr>
    </w:p>
    <w:p>
      <w:pPr>
        <w:ind w:firstLine="757"/>
        <w:spacing w:after="0" w:line="234" w:lineRule="auto"/>
        <w:tabs>
          <w:tab w:leader="none" w:pos="1018" w:val="left"/>
        </w:tabs>
        <w:numPr>
          <w:ilvl w:val="0"/>
          <w:numId w:val="50"/>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Vacancies</w:t>
      </w:r>
      <w:r>
        <w:rPr>
          <w:rFonts w:ascii="Times New Roman" w:cs="Times New Roman" w:eastAsia="Times New Roman" w:hAnsi="Times New Roman"/>
          <w:sz w:val="22"/>
          <w:szCs w:val="22"/>
          <w:color w:val="auto"/>
        </w:rPr>
        <w:t>. Subject to the rights, if any, of the holders of any series of Undesignated Preferred Stock to elect Directors and to fill vacancies in the Board of Directors relating thereto, any and all vacancies in the Board of Directors, however occurring, including, without limitation, by reason of an increase in the size of the Board of Directors, or the death, resignation, disqualification or removal of a Director, shall be filled solely and exclusively by the affirmative vote of a majority of the remaining Directors then in office, even if less than a quorum of the Board of Directors, and not by the stockholders. Any Director appointed in accordance with the preceding sentence shall hold office for the remainder of the full term of the class of Directors in which the new directorship was created or the vacancy occurred and until such Director’s successor shall have been duly elected and qualified or until his or her earlier resignation, death or removal. Subject to the rights, if any, of the holders of any series of Undesignated Preferred Stock to elect Directors, when the number of Directors is increased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944245</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3" w:name="page84"/>
    <w:bookmarkEnd w:id="83"/>
    <w:p>
      <w:pPr>
        <w:spacing w:after="0" w:line="77"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22"/>
          <w:szCs w:val="22"/>
          <w:color w:val="auto"/>
        </w:rPr>
        <w:t xml:space="preserve">decreased, the Board of Directors shall, subject to Article VI.3 hereof, determine the class or classes to which the increased or decreased number of Directors shall be apportioned;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no decrease in the number of Directors shall shorten the term of any incumbent Director. In the event of a vacancy in the Board of Directors, the remaining Directors, except as otherwise provided by law, shall exercise the powers of the full Board of Directors until the vacancy is filled.</w:t>
      </w:r>
    </w:p>
    <w:p>
      <w:pPr>
        <w:spacing w:after="0" w:line="200" w:lineRule="exact"/>
        <w:rPr>
          <w:sz w:val="20"/>
          <w:szCs w:val="20"/>
          <w:color w:val="auto"/>
        </w:rPr>
      </w:pPr>
    </w:p>
    <w:p>
      <w:pPr>
        <w:spacing w:after="0" w:line="223" w:lineRule="exact"/>
        <w:rPr>
          <w:sz w:val="20"/>
          <w:szCs w:val="20"/>
          <w:color w:val="auto"/>
        </w:rPr>
      </w:pPr>
    </w:p>
    <w:p>
      <w:pPr>
        <w:ind w:firstLine="757"/>
        <w:spacing w:after="0" w:line="235" w:lineRule="auto"/>
        <w:tabs>
          <w:tab w:leader="none" w:pos="1018" w:val="left"/>
        </w:tabs>
        <w:numPr>
          <w:ilvl w:val="0"/>
          <w:numId w:val="51"/>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Removal</w:t>
      </w:r>
      <w:r>
        <w:rPr>
          <w:rFonts w:ascii="Times New Roman" w:cs="Times New Roman" w:eastAsia="Times New Roman" w:hAnsi="Times New Roman"/>
          <w:sz w:val="22"/>
          <w:szCs w:val="22"/>
          <w:color w:val="auto"/>
        </w:rPr>
        <w:t>. Subject to the rights, if any, of any series of Undesignated Preferred Stock to elect Directors and to remove any Director whom the holders of any such series have the right to elect, any Director (including persons elected by Directors to fill vacancies in the Board of Directors) may be removed from office (i) only with cause and (ii) only by the affirmative vote of the holders not less than two-thirds (2/3) of the outstanding shares of capital stock then entitled to vote at an election of Directors. At least forty-five (45) days prior to any annual or special meeting of stockholders at which it is proposed that any Director be removed from office, written notice of such proposed removal and the alleged grounds thereof shall be sent to the Director whose removal will be considered at the meeting.</w:t>
      </w:r>
    </w:p>
    <w:p>
      <w:pPr>
        <w:spacing w:after="0" w:line="18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u w:val="single" w:color="auto"/>
          <w:color w:val="auto"/>
        </w:rPr>
        <w:t>ARTICLE VII</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u w:val="single" w:color="auto"/>
          <w:color w:val="auto"/>
        </w:rPr>
        <w:t>LIMITATION OF LIABILITY</w:t>
      </w:r>
    </w:p>
    <w:p>
      <w:pPr>
        <w:spacing w:after="0" w:line="206" w:lineRule="exact"/>
        <w:rPr>
          <w:sz w:val="20"/>
          <w:szCs w:val="20"/>
          <w:color w:val="auto"/>
        </w:rPr>
      </w:pPr>
    </w:p>
    <w:p>
      <w:pPr>
        <w:ind w:right="80" w:firstLine="749"/>
        <w:spacing w:after="0" w:line="235" w:lineRule="auto"/>
        <w:rPr>
          <w:sz w:val="20"/>
          <w:szCs w:val="20"/>
          <w:color w:val="auto"/>
        </w:rPr>
      </w:pPr>
      <w:r>
        <w:rPr>
          <w:rFonts w:ascii="Times New Roman" w:cs="Times New Roman" w:eastAsia="Times New Roman" w:hAnsi="Times New Roman"/>
          <w:sz w:val="22"/>
          <w:szCs w:val="22"/>
          <w:color w:val="auto"/>
        </w:rPr>
        <w:t>A Director of the Corporation shall not be personally liable to the Corporation or its stockholders for monetary damages for breach of his or her fiduciary duty as a Director, except for liability (a) for any breach of the Director’s duty of loyalty to the Corporation or its stockholders, (b) for acts or omissions not in good faith or which involve intentional misconduct or a knowing violation of law, (c) under Section 174 of the DGCL or (d) for any transaction from which the Director derived an improper personal benefit. If the DGCL is amended after the effective date of this Certificate to authorize corporate action further eliminating or limiting the personal liability of Directors, then the liability of a Director of the Corporation shall be eliminated or limited to the fullest extent permitted by the DGCL, as so amended.</w:t>
      </w:r>
    </w:p>
    <w:p>
      <w:pPr>
        <w:spacing w:after="0" w:line="210" w:lineRule="exact"/>
        <w:rPr>
          <w:sz w:val="20"/>
          <w:szCs w:val="20"/>
          <w:color w:val="auto"/>
        </w:rPr>
      </w:pPr>
    </w:p>
    <w:p>
      <w:pPr>
        <w:ind w:right="140" w:firstLine="749"/>
        <w:spacing w:after="0" w:line="239" w:lineRule="auto"/>
        <w:rPr>
          <w:sz w:val="20"/>
          <w:szCs w:val="20"/>
          <w:color w:val="auto"/>
        </w:rPr>
      </w:pPr>
      <w:r>
        <w:rPr>
          <w:rFonts w:ascii="Times New Roman" w:cs="Times New Roman" w:eastAsia="Times New Roman" w:hAnsi="Times New Roman"/>
          <w:sz w:val="22"/>
          <w:szCs w:val="22"/>
          <w:color w:val="auto"/>
        </w:rPr>
        <w:t>Any amendment, repeal or modification of this Article VII by either of (i) the stockholders of the Corporation or (ii) an amendment to the DGCL, shall not adversely affect any right or protection existing at the time of such amendment, repeal or modification with respect to any acts or omissions occurring before such amendment, repeal or modification of a person serving as a Director at the time of such amendment, repeal or modification.</w:t>
      </w:r>
    </w:p>
    <w:p>
      <w:pPr>
        <w:spacing w:after="0" w:line="207" w:lineRule="exact"/>
        <w:rPr>
          <w:sz w:val="20"/>
          <w:szCs w:val="20"/>
          <w:color w:val="auto"/>
        </w:rPr>
      </w:pPr>
    </w:p>
    <w:p>
      <w:pPr>
        <w:jc w:val="both"/>
        <w:ind w:right="80" w:firstLine="749"/>
        <w:spacing w:after="0" w:line="261" w:lineRule="auto"/>
        <w:rPr>
          <w:sz w:val="20"/>
          <w:szCs w:val="20"/>
          <w:color w:val="auto"/>
        </w:rPr>
      </w:pPr>
      <w:r>
        <w:rPr>
          <w:rFonts w:ascii="Times New Roman" w:cs="Times New Roman" w:eastAsia="Times New Roman" w:hAnsi="Times New Roman"/>
          <w:sz w:val="21"/>
          <w:szCs w:val="21"/>
          <w:color w:val="auto"/>
        </w:rPr>
        <w:t>Notwithstanding anything herein to the contrary, the affirmative vote of not less than two-thirds (2/3) of the outstanding shares of capital stock entitled to vote thereon, and the affirmative vote of not less than two-thirds (2/3) of the outstanding shares of each class entitled to vote thereon as a class, shall be required to amend or repeal any provision of this Article 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1150620</wp:posOffset>
            </wp:positionV>
            <wp:extent cx="71577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84" w:name="page85"/>
    <w:bookmarkEnd w:id="84"/>
    <w:p>
      <w:pPr>
        <w:spacing w:after="0" w:line="18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u w:val="single" w:color="auto"/>
          <w:color w:val="auto"/>
        </w:rPr>
        <w:t>ARTICLE VIII</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u w:val="single" w:color="auto"/>
          <w:color w:val="auto"/>
        </w:rPr>
        <w:t>AMENDMENT OF BY-LAWS</w:t>
      </w:r>
    </w:p>
    <w:p>
      <w:pPr>
        <w:spacing w:after="0" w:line="172" w:lineRule="exact"/>
        <w:rPr>
          <w:sz w:val="20"/>
          <w:szCs w:val="20"/>
          <w:color w:val="auto"/>
        </w:rPr>
      </w:pPr>
    </w:p>
    <w:p>
      <w:pPr>
        <w:ind w:right="120" w:firstLine="757"/>
        <w:spacing w:after="0" w:line="287" w:lineRule="exact"/>
        <w:tabs>
          <w:tab w:leader="none" w:pos="1018" w:val="left"/>
        </w:tabs>
        <w:numPr>
          <w:ilvl w:val="0"/>
          <w:numId w:val="52"/>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Amendment by Directors</w:t>
      </w:r>
      <w:r>
        <w:rPr>
          <w:rFonts w:ascii="Times New Roman" w:cs="Times New Roman" w:eastAsia="Times New Roman" w:hAnsi="Times New Roman"/>
          <w:sz w:val="22"/>
          <w:szCs w:val="22"/>
          <w:color w:val="auto"/>
        </w:rPr>
        <w:t>. Except as otherwise provided by law, the By</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laws of the Corporation may be amended or repealed by the Board of Directors by the affirmative vote of a majority of the Directors then in office.</w:t>
      </w:r>
    </w:p>
    <w:p>
      <w:pPr>
        <w:spacing w:after="0" w:line="385" w:lineRule="exact"/>
        <w:rPr>
          <w:rFonts w:ascii="Times New Roman" w:cs="Times New Roman" w:eastAsia="Times New Roman" w:hAnsi="Times New Roman"/>
          <w:sz w:val="22"/>
          <w:szCs w:val="22"/>
          <w:u w:val="single" w:color="auto"/>
          <w:color w:val="auto"/>
        </w:rPr>
      </w:pPr>
    </w:p>
    <w:p>
      <w:pPr>
        <w:ind w:firstLine="757"/>
        <w:spacing w:after="0" w:line="265" w:lineRule="exact"/>
        <w:tabs>
          <w:tab w:leader="none" w:pos="1018" w:val="left"/>
        </w:tabs>
        <w:numPr>
          <w:ilvl w:val="0"/>
          <w:numId w:val="52"/>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Amendment by Stockholders</w:t>
      </w:r>
      <w:r>
        <w:rPr>
          <w:rFonts w:ascii="Times New Roman" w:cs="Times New Roman" w:eastAsia="Times New Roman" w:hAnsi="Times New Roman"/>
          <w:sz w:val="22"/>
          <w:szCs w:val="22"/>
          <w:color w:val="auto"/>
        </w:rPr>
        <w:t>. Except as otherwise provided therein, the By</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laws of the Corporation may be amended or repealed at any annual meeting of stockholders, or special meeting of stockholders called for such purpose, by the affirmative vote of at least not less than two-thirds (2/3) of the outstanding shares of capital stock entitled to vote on such amendment or repeal, voting together as a single class.</w:t>
      </w:r>
    </w:p>
    <w:p>
      <w:pPr>
        <w:spacing w:after="0" w:line="1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u w:val="single" w:color="auto"/>
          <w:color w:val="auto"/>
        </w:rPr>
        <w:t>ARTICLE IX</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u w:val="single" w:color="auto"/>
          <w:color w:val="auto"/>
        </w:rPr>
        <w:t>AMENDMENT OF CERTIFICATE OF INCORPORATION</w:t>
      </w:r>
    </w:p>
    <w:p>
      <w:pPr>
        <w:spacing w:after="0" w:line="206" w:lineRule="exact"/>
        <w:rPr>
          <w:sz w:val="20"/>
          <w:szCs w:val="20"/>
          <w:color w:val="auto"/>
        </w:rPr>
      </w:pPr>
    </w:p>
    <w:p>
      <w:pPr>
        <w:ind w:right="20" w:firstLine="749"/>
        <w:spacing w:after="0" w:line="233" w:lineRule="auto"/>
        <w:rPr>
          <w:sz w:val="20"/>
          <w:szCs w:val="20"/>
          <w:color w:val="auto"/>
        </w:rPr>
      </w:pPr>
      <w:r>
        <w:rPr>
          <w:rFonts w:ascii="Times New Roman" w:cs="Times New Roman" w:eastAsia="Times New Roman" w:hAnsi="Times New Roman"/>
          <w:sz w:val="22"/>
          <w:szCs w:val="22"/>
          <w:color w:val="auto"/>
        </w:rPr>
        <w:t>The Corporation reserves the right to amend or repeal this Certificate in the manner now or hereafter prescribed by statute and this Certificate, and all rights conferred upon stockholders herein are granted subject to this reservation. Except as otherwise required by this Certificate or by law, whenever any vote of the holders of capital stock of the Corporation is required to amend or repeal any provision of this Certificate, such amendment or repeal shall require the affirmative vote of the majority of the outstanding shares of capital stock entitled to vote on such amendment or repeal, and the affirmative vote of the majority of the outstanding shares of each class entitled to vote thereon as a class at a duly constituted meeting of stockholders called expressly for such purpose.</w:t>
      </w:r>
    </w:p>
    <w:p>
      <w:pPr>
        <w:spacing w:after="0" w:line="6" w:lineRule="exact"/>
        <w:rPr>
          <w:sz w:val="20"/>
          <w:szCs w:val="20"/>
          <w:color w:val="auto"/>
        </w:rPr>
      </w:pPr>
    </w:p>
    <w:p>
      <w:pPr>
        <w:jc w:val="center"/>
        <w:ind w:right="-19"/>
        <w:spacing w:after="0"/>
        <w:tabs>
          <w:tab w:leader="none" w:pos="260" w:val="left"/>
          <w:tab w:leader="none" w:pos="240" w:val="left"/>
        </w:tabs>
        <w:rPr>
          <w:sz w:val="20"/>
          <w:szCs w:val="20"/>
          <w:color w:val="auto"/>
        </w:rPr>
      </w:pPr>
      <w:r>
        <w:rPr>
          <w:rFonts w:ascii="Times New Roman" w:cs="Times New Roman" w:eastAsia="Times New Roman" w:hAnsi="Times New Roman"/>
          <w:sz w:val="22"/>
          <w:szCs w:val="22"/>
          <w:color w:val="auto"/>
        </w:rPr>
        <w:t>*</w:t>
        <w:tab/>
        <w:t>*</w:t>
        <w:tab/>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874395</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5" w:name="page86"/>
    <w:bookmarkEnd w:id="85"/>
    <w:p>
      <w:pPr>
        <w:ind w:firstLine="749"/>
        <w:spacing w:after="0" w:line="258" w:lineRule="auto"/>
        <w:rPr>
          <w:sz w:val="20"/>
          <w:szCs w:val="20"/>
          <w:color w:val="auto"/>
        </w:rPr>
      </w:pPr>
      <w:r>
        <w:rPr>
          <w:rFonts w:ascii="Times New Roman" w:cs="Times New Roman" w:eastAsia="Times New Roman" w:hAnsi="Times New Roman"/>
          <w:sz w:val="22"/>
          <w:szCs w:val="22"/>
          <w:color w:val="auto"/>
        </w:rPr>
        <w:t>THIS TENTH AMENDED AND RESTATED CERTIFICATE OF INCORPORATION is executed as of this 2nd day of November, 2021.</w:t>
      </w:r>
    </w:p>
    <w:p>
      <w:pPr>
        <w:spacing w:after="0" w:line="200" w:lineRule="exact"/>
        <w:rPr>
          <w:sz w:val="20"/>
          <w:szCs w:val="20"/>
          <w:color w:val="auto"/>
        </w:rPr>
      </w:pPr>
    </w:p>
    <w:p>
      <w:pPr>
        <w:spacing w:after="0" w:line="22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2"/>
          <w:szCs w:val="22"/>
          <w:color w:val="auto"/>
        </w:rPr>
        <w:t>AURA BIOSCIENCES, INC.</w:t>
      </w:r>
    </w:p>
    <w:p>
      <w:pPr>
        <w:spacing w:after="0" w:line="200" w:lineRule="exact"/>
        <w:rPr>
          <w:sz w:val="20"/>
          <w:szCs w:val="20"/>
          <w:color w:val="auto"/>
        </w:rPr>
      </w:pPr>
    </w:p>
    <w:p>
      <w:pPr>
        <w:spacing w:after="0" w:line="276"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2"/>
          <w:szCs w:val="22"/>
          <w:color w:val="auto"/>
        </w:rPr>
        <w:t>By:/s/ Elisabet de los Pinos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3531870</wp:posOffset>
            </wp:positionH>
            <wp:positionV relativeFrom="paragraph">
              <wp:posOffset>-13970</wp:posOffset>
            </wp:positionV>
            <wp:extent cx="144780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9">
                      <a:extLst>
                        <a:ext uri="{28A0092B-C50C-407E-A947-70E740481C1C}"/>
                      </a:extLst>
                    </a:blip>
                    <a:srcRect/>
                    <a:stretch>
                      <a:fillRect/>
                    </a:stretch>
                  </pic:blipFill>
                  <pic:spPr bwMode="auto">
                    <a:xfrm>
                      <a:off x="0" y="0"/>
                      <a:ext cx="1447800" cy="8255"/>
                    </a:xfrm>
                    <a:prstGeom prst="rect">
                      <a:avLst/>
                    </a:prstGeom>
                    <a:noFill/>
                  </pic:spPr>
                </pic:pic>
              </a:graphicData>
            </a:graphic>
          </wp:anchor>
        </w:drawing>
      </w:r>
    </w:p>
    <w:p>
      <w:pPr>
        <w:ind w:left="5240"/>
        <w:spacing w:after="0"/>
        <w:rPr>
          <w:sz w:val="20"/>
          <w:szCs w:val="20"/>
          <w:color w:val="auto"/>
        </w:rPr>
      </w:pPr>
      <w:r>
        <w:rPr>
          <w:rFonts w:ascii="Times New Roman" w:cs="Times New Roman" w:eastAsia="Times New Roman" w:hAnsi="Times New Roman"/>
          <w:sz w:val="22"/>
          <w:szCs w:val="22"/>
          <w:color w:val="auto"/>
        </w:rPr>
        <w:t>Name: Elisabet de los Pinos</w:t>
      </w:r>
    </w:p>
    <w:p>
      <w:pPr>
        <w:ind w:left="5240"/>
        <w:spacing w:after="0"/>
        <w:rPr>
          <w:sz w:val="20"/>
          <w:szCs w:val="20"/>
          <w:color w:val="auto"/>
        </w:rPr>
      </w:pPr>
      <w:r>
        <w:rPr>
          <w:rFonts w:ascii="Times New Roman" w:cs="Times New Roman" w:eastAsia="Times New Roman" w:hAnsi="Times New Roman"/>
          <w:sz w:val="22"/>
          <w:szCs w:val="22"/>
          <w:color w:val="auto"/>
        </w:rPr>
        <w:t>Title: Chief Executive Officer and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1165860</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408" w:right="459" w:bottom="1440" w:gutter="0" w:footer="0" w:header="0"/>
        </w:sectPr>
      </w:pPr>
    </w:p>
    <w:bookmarkStart w:id="86" w:name="page87"/>
    <w:bookmarkEnd w:id="86"/>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CERTIFICATE OF AMENDMENT</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TO THE</w:t>
      </w:r>
    </w:p>
    <w:p>
      <w:pPr>
        <w:jc w:val="center"/>
        <w:spacing w:after="0" w:line="230" w:lineRule="auto"/>
        <w:rPr>
          <w:sz w:val="20"/>
          <w:szCs w:val="20"/>
          <w:color w:val="auto"/>
        </w:rPr>
      </w:pPr>
      <w:r>
        <w:rPr>
          <w:rFonts w:ascii="Times New Roman" w:cs="Times New Roman" w:eastAsia="Times New Roman" w:hAnsi="Times New Roman"/>
          <w:sz w:val="22"/>
          <w:szCs w:val="22"/>
          <w:b w:val="1"/>
          <w:bCs w:val="1"/>
          <w:color w:val="auto"/>
        </w:rPr>
        <w:t>TENTH AMENDED AND RESTATED CERTIFICATE OF INCORPORATION</w:t>
      </w:r>
    </w:p>
    <w:p>
      <w:pPr>
        <w:jc w:val="center"/>
        <w:spacing w:after="0" w:line="231" w:lineRule="auto"/>
        <w:rPr>
          <w:sz w:val="20"/>
          <w:szCs w:val="20"/>
          <w:color w:val="auto"/>
        </w:rPr>
      </w:pPr>
      <w:r>
        <w:rPr>
          <w:rFonts w:ascii="Times New Roman" w:cs="Times New Roman" w:eastAsia="Times New Roman" w:hAnsi="Times New Roman"/>
          <w:sz w:val="22"/>
          <w:szCs w:val="22"/>
          <w:b w:val="1"/>
          <w:bCs w:val="1"/>
          <w:color w:val="auto"/>
        </w:rPr>
        <w:t>OF</w:t>
      </w:r>
    </w:p>
    <w:p>
      <w:pPr>
        <w:jc w:val="center"/>
        <w:spacing w:after="0"/>
        <w:rPr>
          <w:sz w:val="20"/>
          <w:szCs w:val="20"/>
          <w:color w:val="auto"/>
        </w:rPr>
      </w:pPr>
      <w:r>
        <w:rPr>
          <w:rFonts w:ascii="Times New Roman" w:cs="Times New Roman" w:eastAsia="Times New Roman" w:hAnsi="Times New Roman"/>
          <w:sz w:val="22"/>
          <w:szCs w:val="22"/>
          <w:b w:val="1"/>
          <w:bCs w:val="1"/>
          <w:color w:val="auto"/>
        </w:rPr>
        <w:t>AURA BIOSCIENCES, INC.</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(Pursuant to Section 242 of the</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General Corporation Law of the State of Delaware)</w:t>
      </w:r>
    </w:p>
    <w:p>
      <w:pPr>
        <w:spacing w:after="0" w:line="155"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22"/>
          <w:szCs w:val="22"/>
          <w:color w:val="auto"/>
        </w:rPr>
        <w:t>Aura Biosciences, Inc., a corporation organized and existing under the laws of the State of Delaware (the “</w:t>
      </w:r>
      <w:r>
        <w:rPr>
          <w:rFonts w:ascii="Times New Roman" w:cs="Times New Roman" w:eastAsia="Times New Roman" w:hAnsi="Times New Roman"/>
          <w:sz w:val="22"/>
          <w:szCs w:val="22"/>
          <w:u w:val="single" w:color="auto"/>
          <w:color w:val="auto"/>
        </w:rPr>
        <w:t>Corporation</w:t>
      </w:r>
      <w:r>
        <w:rPr>
          <w:rFonts w:ascii="Times New Roman" w:cs="Times New Roman" w:eastAsia="Times New Roman" w:hAnsi="Times New Roman"/>
          <w:sz w:val="22"/>
          <w:szCs w:val="22"/>
          <w:color w:val="auto"/>
        </w:rPr>
        <w:t>”), hereby certifies as follows:</w:t>
      </w:r>
    </w:p>
    <w:p>
      <w:pPr>
        <w:spacing w:after="0" w:line="118" w:lineRule="exact"/>
        <w:rPr>
          <w:sz w:val="20"/>
          <w:szCs w:val="20"/>
          <w:color w:val="auto"/>
        </w:rPr>
      </w:pPr>
    </w:p>
    <w:p>
      <w:pPr>
        <w:jc w:val="both"/>
        <w:ind w:firstLine="757"/>
        <w:spacing w:after="0" w:line="239" w:lineRule="auto"/>
        <w:tabs>
          <w:tab w:leader="none" w:pos="1018"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Corporation was originally incorporated pursuant to the General Corporation Law of the State of Delaware (the “</w:t>
      </w:r>
      <w:r>
        <w:rPr>
          <w:rFonts w:ascii="Times New Roman" w:cs="Times New Roman" w:eastAsia="Times New Roman" w:hAnsi="Times New Roman"/>
          <w:sz w:val="22"/>
          <w:szCs w:val="22"/>
          <w:u w:val="single" w:color="auto"/>
          <w:color w:val="auto"/>
        </w:rPr>
        <w:t>DGCL</w:t>
      </w:r>
      <w:r>
        <w:rPr>
          <w:rFonts w:ascii="Times New Roman" w:cs="Times New Roman" w:eastAsia="Times New Roman" w:hAnsi="Times New Roman"/>
          <w:sz w:val="22"/>
          <w:szCs w:val="22"/>
          <w:color w:val="auto"/>
        </w:rPr>
        <w:t>”) on January 13, 2009. A Tenth Amended and Restated Certificate of Incorporation was filed with the Secretary of State of the State of Delaware on November 2, 2021 (the “</w:t>
      </w:r>
      <w:r>
        <w:rPr>
          <w:rFonts w:ascii="Times New Roman" w:cs="Times New Roman" w:eastAsia="Times New Roman" w:hAnsi="Times New Roman"/>
          <w:sz w:val="22"/>
          <w:szCs w:val="22"/>
          <w:u w:val="single" w:color="auto"/>
          <w:color w:val="auto"/>
        </w:rPr>
        <w:t>Charter</w:t>
      </w:r>
      <w:r>
        <w:rPr>
          <w:rFonts w:ascii="Times New Roman" w:cs="Times New Roman" w:eastAsia="Times New Roman" w:hAnsi="Times New Roman"/>
          <w:sz w:val="22"/>
          <w:szCs w:val="22"/>
          <w:color w:val="auto"/>
        </w:rPr>
        <w:t>”). Pursuant to Section 242 of the DGCL, this Certificate of Amendment (this “</w:t>
      </w:r>
      <w:r>
        <w:rPr>
          <w:rFonts w:ascii="Times New Roman" w:cs="Times New Roman" w:eastAsia="Times New Roman" w:hAnsi="Times New Roman"/>
          <w:sz w:val="22"/>
          <w:szCs w:val="22"/>
          <w:u w:val="single" w:color="auto"/>
          <w:color w:val="auto"/>
        </w:rPr>
        <w:t>Amendment</w:t>
      </w:r>
      <w:r>
        <w:rPr>
          <w:rFonts w:ascii="Times New Roman" w:cs="Times New Roman" w:eastAsia="Times New Roman" w:hAnsi="Times New Roman"/>
          <w:sz w:val="22"/>
          <w:szCs w:val="22"/>
          <w:color w:val="auto"/>
        </w:rPr>
        <w:t>”) amends certain provisions of the Charter.</w:t>
      </w:r>
    </w:p>
    <w:p>
      <w:pPr>
        <w:spacing w:after="0" w:line="180" w:lineRule="exact"/>
        <w:rPr>
          <w:rFonts w:ascii="Times New Roman" w:cs="Times New Roman" w:eastAsia="Times New Roman" w:hAnsi="Times New Roman"/>
          <w:sz w:val="22"/>
          <w:szCs w:val="22"/>
          <w:color w:val="auto"/>
        </w:rPr>
      </w:pPr>
    </w:p>
    <w:p>
      <w:pPr>
        <w:ind w:right="20" w:firstLine="757"/>
        <w:spacing w:after="0" w:line="258" w:lineRule="auto"/>
        <w:tabs>
          <w:tab w:leader="none" w:pos="1018"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Amendment has been approved and duly adopted by the Corporation’s Board of Directors and stockholders in accordance with the provisions of Section 242 of the DGCL.</w:t>
      </w:r>
    </w:p>
    <w:p>
      <w:pPr>
        <w:spacing w:after="0" w:line="158" w:lineRule="exact"/>
        <w:rPr>
          <w:rFonts w:ascii="Times New Roman" w:cs="Times New Roman" w:eastAsia="Times New Roman" w:hAnsi="Times New Roman"/>
          <w:sz w:val="22"/>
          <w:szCs w:val="22"/>
          <w:color w:val="auto"/>
        </w:rPr>
      </w:pPr>
    </w:p>
    <w:p>
      <w:pPr>
        <w:ind w:left="1020" w:hanging="263"/>
        <w:spacing w:after="0"/>
        <w:tabs>
          <w:tab w:leader="none" w:pos="1020"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Charter is hereby amended by adding a new Article X to read in its entirety as follows:</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X.</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LIMITATION OF OFFICER LIABILITY</w:t>
      </w:r>
    </w:p>
    <w:p>
      <w:pPr>
        <w:spacing w:after="0" w:line="206"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color w:val="auto"/>
        </w:rPr>
        <w:t>To the fullest extent permitted by the DGCL, an Officer (as defined below) of the Corporation shall not be personally liable to the Corporation or its stockholders for monetary damages for breach of his or her fiduciary duty as an officer of the Corporation, except for liability (a) for any breach of the Officer’s duty of loyalty to the Corporation or its stockholders, (b) for acts or omissions not in good faith or which involve intentional misconduct or a knowing violation of law, (c) for any transaction from which the Officer derived an improper personal benefit, or (d) arising from any claim brought by or in the right of the Corporation. If the DGCL is amended after the effective date of this Certificate to authorize corporate action further eliminating or limiting the personal liability of Officers, then the liability of an Officer of the Corporation shall be eliminated or limited to the fullest extent permitted by the DGCL, as so amended. For purposes of this Article X, “Officer” shall mean an individual who has been duly appointed as an officer of the Corporation and who, at the time of an act or omission as to which liability is asserted, is deemed to have consented to service of process to the registered agent of the Corporation as contemplated by 10 Del. C. § 3114(b).</w:t>
      </w:r>
    </w:p>
    <w:p>
      <w:pPr>
        <w:spacing w:after="0" w:line="187"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Any amendment, repeal or modification of this Article X by either of (i) the stockholders of the Corporation or (ii) an amendment to the DGCL, shall not adversely affect any right or protection existing at the time of such amendment, repeal or modification with respect to any acts or omissions occurring before such amendment, repeal or modification of a person serving as an Officer at the time of such amendment, repeal or modification.”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1010920</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87" w:name="page88"/>
    <w:bookmarkEnd w:id="87"/>
    <w:p>
      <w:pPr>
        <w:ind w:firstLine="749"/>
        <w:spacing w:after="0" w:line="290" w:lineRule="auto"/>
        <w:rPr>
          <w:sz w:val="20"/>
          <w:szCs w:val="20"/>
          <w:color w:val="auto"/>
        </w:rPr>
      </w:pPr>
      <w:r>
        <w:rPr>
          <w:rFonts w:ascii="Times New Roman" w:cs="Times New Roman" w:eastAsia="Times New Roman" w:hAnsi="Times New Roman"/>
          <w:sz w:val="22"/>
          <w:szCs w:val="22"/>
          <w:color w:val="auto"/>
        </w:rPr>
        <w:t>IN WITNESS WHEREOF, this Amendment, having been duly adopted in accordance with Section 242 of the DGCL, has been duly executed by a duly authorized officer of the Corporation on this 20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day of June, 2024.</w:t>
      </w:r>
    </w:p>
    <w:p>
      <w:pPr>
        <w:spacing w:after="0" w:line="200" w:lineRule="exact"/>
        <w:rPr>
          <w:sz w:val="20"/>
          <w:szCs w:val="20"/>
          <w:color w:val="auto"/>
        </w:rPr>
      </w:pPr>
    </w:p>
    <w:p>
      <w:pPr>
        <w:spacing w:after="0" w:line="212"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color w:val="auto"/>
        </w:rPr>
        <w:t>AURA BIOSCIENCES, INC.</w:t>
      </w:r>
    </w:p>
    <w:p>
      <w:pPr>
        <w:spacing w:after="0" w:line="200" w:lineRule="exact"/>
        <w:rPr>
          <w:sz w:val="20"/>
          <w:szCs w:val="20"/>
          <w:color w:val="auto"/>
        </w:rPr>
      </w:pPr>
    </w:p>
    <w:p>
      <w:pPr>
        <w:spacing w:after="0" w:line="384"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color w:val="auto"/>
        </w:rPr>
        <w:t>By: /s/ Elisabet de los Pinos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3328035</wp:posOffset>
            </wp:positionH>
            <wp:positionV relativeFrom="paragraph">
              <wp:posOffset>-13970</wp:posOffset>
            </wp:positionV>
            <wp:extent cx="141351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2">
                      <a:extLst>
                        <a:ext uri="{28A0092B-C50C-407E-A947-70E740481C1C}"/>
                      </a:extLst>
                    </a:blip>
                    <a:srcRect/>
                    <a:stretch>
                      <a:fillRect/>
                    </a:stretch>
                  </pic:blipFill>
                  <pic:spPr bwMode="auto">
                    <a:xfrm>
                      <a:off x="0" y="0"/>
                      <a:ext cx="1413510" cy="8890"/>
                    </a:xfrm>
                    <a:prstGeom prst="rect">
                      <a:avLst/>
                    </a:prstGeom>
                    <a:noFill/>
                  </pic:spPr>
                </pic:pic>
              </a:graphicData>
            </a:graphic>
          </wp:anchor>
        </w:drawing>
      </w:r>
    </w:p>
    <w:p>
      <w:pPr>
        <w:ind w:left="4880"/>
        <w:spacing w:after="0"/>
        <w:rPr>
          <w:sz w:val="20"/>
          <w:szCs w:val="20"/>
          <w:color w:val="auto"/>
        </w:rPr>
      </w:pPr>
      <w:r>
        <w:rPr>
          <w:rFonts w:ascii="Times New Roman" w:cs="Times New Roman" w:eastAsia="Times New Roman" w:hAnsi="Times New Roman"/>
          <w:sz w:val="22"/>
          <w:szCs w:val="22"/>
          <w:color w:val="auto"/>
        </w:rPr>
        <w:t>Name: Elisabet de los Pinos, Ph.D.</w:t>
      </w:r>
    </w:p>
    <w:p>
      <w:pPr>
        <w:ind w:left="4880"/>
        <w:spacing w:after="0"/>
        <w:rPr>
          <w:sz w:val="20"/>
          <w:szCs w:val="20"/>
          <w:color w:val="auto"/>
        </w:rPr>
      </w:pPr>
      <w:r>
        <w:rPr>
          <w:rFonts w:ascii="Times New Roman" w:cs="Times New Roman" w:eastAsia="Times New Roman" w:hAnsi="Times New Roman"/>
          <w:sz w:val="22"/>
          <w:szCs w:val="22"/>
          <w:color w:val="auto"/>
        </w:rPr>
        <w:t>Title: 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1645920</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320" w:top="1408" w:right="639" w:bottom="1440" w:gutter="0" w:footer="0" w:header="0"/>
        </w:sectPr>
      </w:pPr>
    </w:p>
    <w:bookmarkStart w:id="88" w:name="page89"/>
    <w:bookmarkEnd w:id="88"/>
    <w:p>
      <w:pPr>
        <w:jc w:val="right"/>
        <w:spacing w:after="0"/>
        <w:rPr>
          <w:sz w:val="20"/>
          <w:szCs w:val="20"/>
          <w:color w:val="auto"/>
        </w:rPr>
      </w:pPr>
      <w:r>
        <w:rPr>
          <w:rFonts w:ascii="Times New Roman" w:cs="Times New Roman" w:eastAsia="Times New Roman" w:hAnsi="Times New Roman"/>
          <w:sz w:val="22"/>
          <w:szCs w:val="22"/>
          <w:color w:val="auto"/>
        </w:rPr>
        <w:t>Exhibit 10.1</w:t>
      </w:r>
    </w:p>
    <w:p>
      <w:pPr>
        <w:spacing w:after="0" w:line="391"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22"/>
          <w:szCs w:val="22"/>
          <w:b w:val="1"/>
          <w:bCs w:val="1"/>
          <w:color w:val="auto"/>
        </w:rPr>
        <w:t>AURA BIOSCIENCES, INC.</w:t>
      </w:r>
    </w:p>
    <w:p>
      <w:pPr>
        <w:spacing w:after="0" w:line="206"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b w:val="1"/>
          <w:bCs w:val="1"/>
          <w:color w:val="auto"/>
        </w:rPr>
        <w:t>AMENDED AND RESTATED</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NON-EMPLOYEE DIRECTOR COMPENSATION POLICY</w:t>
      </w:r>
    </w:p>
    <w:p>
      <w:pPr>
        <w:spacing w:after="0" w:line="182" w:lineRule="exact"/>
        <w:rPr>
          <w:sz w:val="20"/>
          <w:szCs w:val="20"/>
          <w:color w:val="auto"/>
        </w:rPr>
      </w:pPr>
    </w:p>
    <w:p>
      <w:pPr>
        <w:ind w:right="260"/>
        <w:spacing w:after="0"/>
        <w:rPr>
          <w:sz w:val="20"/>
          <w:szCs w:val="20"/>
          <w:color w:val="auto"/>
        </w:rPr>
      </w:pPr>
      <w:r>
        <w:rPr>
          <w:rFonts w:ascii="Times New Roman" w:cs="Times New Roman" w:eastAsia="Times New Roman" w:hAnsi="Times New Roman"/>
          <w:sz w:val="22"/>
          <w:szCs w:val="22"/>
          <w:color w:val="auto"/>
        </w:rPr>
        <w:t xml:space="preserve">The purpose of this Non-Employee Director Compensation Policy (the “Policy”) of Aura Biosciences, Inc. (the “Company”) is to provide a total compensation package that enables the Company to attract and retain, on a long-term basis, high-caliber directors who are not employees or officers of the Company or its subsidiaries (“Outside Directors”). </w:t>
      </w:r>
      <w:r>
        <w:rPr>
          <w:rFonts w:ascii="Times New Roman" w:cs="Times New Roman" w:eastAsia="Times New Roman" w:hAnsi="Times New Roman"/>
          <w:sz w:val="20"/>
          <w:szCs w:val="20"/>
          <w:color w:val="auto"/>
        </w:rPr>
        <w:t>This Policy will become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0"/>
          <w:szCs w:val="20"/>
          <w:color w:val="auto"/>
        </w:rPr>
        <w:t xml:space="preserve">effective as of the effective time of the registration statement for the Company’s initial public offering of its equity securities (the “Effective Date”). </w:t>
      </w:r>
      <w:r>
        <w:rPr>
          <w:rFonts w:ascii="Times New Roman" w:cs="Times New Roman" w:eastAsia="Times New Roman" w:hAnsi="Times New Roman"/>
          <w:sz w:val="21"/>
          <w:szCs w:val="21"/>
          <w:color w:val="auto"/>
        </w:rPr>
        <w:t>In furtherance of the purpose stated above, all Outside Directors shall be paid compensation for services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provided to the Company as Outside Directors as set forth below:</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Cash Retainers</w:t>
      </w:r>
    </w:p>
    <w:p>
      <w:pPr>
        <w:spacing w:after="0" w:line="210" w:lineRule="exact"/>
        <w:rPr>
          <w:sz w:val="20"/>
          <w:szCs w:val="20"/>
          <w:color w:val="auto"/>
        </w:rPr>
      </w:pPr>
    </w:p>
    <w:p>
      <w:pPr>
        <w:ind w:left="200" w:right="140"/>
        <w:spacing w:after="0" w:line="239" w:lineRule="auto"/>
        <w:rPr>
          <w:sz w:val="20"/>
          <w:szCs w:val="20"/>
          <w:color w:val="auto"/>
        </w:rPr>
      </w:pPr>
      <w:r>
        <w:rPr>
          <w:rFonts w:ascii="Times New Roman" w:cs="Times New Roman" w:eastAsia="Times New Roman" w:hAnsi="Times New Roman"/>
          <w:sz w:val="22"/>
          <w:szCs w:val="22"/>
          <w:u w:val="single" w:color="auto"/>
          <w:color w:val="auto"/>
        </w:rPr>
        <w:t>Annual Retainer for Board Membership</w:t>
      </w:r>
      <w:r>
        <w:rPr>
          <w:rFonts w:ascii="Times New Roman" w:cs="Times New Roman" w:eastAsia="Times New Roman" w:hAnsi="Times New Roman"/>
          <w:sz w:val="22"/>
          <w:szCs w:val="22"/>
          <w:color w:val="auto"/>
        </w:rPr>
        <w:t>: $40,000 for general availability and participation in meetings and conference calls of our Board of Directors, to be paid quarterly in arrears, pro-rated based on the number of actual days served by the director during such calendar quarter. No additional compensation will be paid for attending individual meetings of the Board of Directors.</w:t>
      </w:r>
    </w:p>
    <w:p>
      <w:pPr>
        <w:spacing w:after="0" w:line="171" w:lineRule="exact"/>
        <w:rPr>
          <w:sz w:val="20"/>
          <w:szCs w:val="20"/>
          <w:color w:val="auto"/>
        </w:rPr>
      </w:pPr>
    </w:p>
    <w:tbl>
      <w:tblPr>
        <w:tblLayout w:type="fixed"/>
        <w:tblInd w:w="340" w:type="dxa"/>
        <w:tblCellMar>
          <w:top w:w="0" w:type="dxa"/>
          <w:left w:w="0" w:type="dxa"/>
          <w:bottom w:w="0" w:type="dxa"/>
          <w:right w:w="0" w:type="dxa"/>
        </w:tblCellMar>
      </w:tblPr>
      <w:tr>
        <w:trPr>
          <w:trHeight w:val="253"/>
        </w:trPr>
        <w:tc>
          <w:tcPr>
            <w:tcW w:w="76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Additional Annual Retainer for Non-Executive Chair:</w:t>
            </w:r>
          </w:p>
        </w:tc>
        <w:tc>
          <w:tcPr>
            <w:tcW w:w="3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$30,000</w:t>
            </w:r>
          </w:p>
        </w:tc>
      </w:tr>
      <w:tr>
        <w:trPr>
          <w:trHeight w:val="20"/>
        </w:trPr>
        <w:tc>
          <w:tcPr>
            <w:tcW w:w="46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r>
      <w:tr>
        <w:trPr>
          <w:trHeight w:val="466"/>
        </w:trPr>
        <w:tc>
          <w:tcPr>
            <w:tcW w:w="76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Additional Annual Retainers for Committee Membership:</w:t>
            </w:r>
          </w:p>
        </w:tc>
        <w:tc>
          <w:tcPr>
            <w:tcW w:w="3100" w:type="dxa"/>
            <w:vAlign w:val="bottom"/>
          </w:tcPr>
          <w:p>
            <w:pPr>
              <w:spacing w:after="0"/>
              <w:rPr>
                <w:sz w:val="24"/>
                <w:szCs w:val="24"/>
                <w:color w:val="auto"/>
              </w:rPr>
            </w:pPr>
          </w:p>
        </w:tc>
      </w:tr>
      <w:tr>
        <w:trPr>
          <w:trHeight w:val="518"/>
        </w:trPr>
        <w:tc>
          <w:tcPr>
            <w:tcW w:w="49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22"/>
                <w:szCs w:val="22"/>
                <w:color w:val="auto"/>
              </w:rPr>
              <w:t>Audit Committee Chair:</w:t>
            </w:r>
          </w:p>
        </w:tc>
        <w:tc>
          <w:tcPr>
            <w:tcW w:w="2700" w:type="dxa"/>
            <w:vAlign w:val="bottom"/>
          </w:tcPr>
          <w:p>
            <w:pPr>
              <w:spacing w:after="0"/>
              <w:rPr>
                <w:sz w:val="24"/>
                <w:szCs w:val="24"/>
                <w:color w:val="auto"/>
              </w:rPr>
            </w:pPr>
          </w:p>
        </w:tc>
        <w:tc>
          <w:tcPr>
            <w:tcW w:w="3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$15,000</w:t>
            </w:r>
          </w:p>
        </w:tc>
      </w:tr>
      <w:tr>
        <w:trPr>
          <w:trHeight w:val="486"/>
        </w:trPr>
        <w:tc>
          <w:tcPr>
            <w:tcW w:w="76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Audit Committee member:</w:t>
            </w:r>
          </w:p>
        </w:tc>
        <w:tc>
          <w:tcPr>
            <w:tcW w:w="3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$7,500</w:t>
            </w:r>
          </w:p>
        </w:tc>
      </w:tr>
      <w:tr>
        <w:trPr>
          <w:trHeight w:val="486"/>
        </w:trPr>
        <w:tc>
          <w:tcPr>
            <w:tcW w:w="76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Compensation Committee Chair:</w:t>
            </w:r>
          </w:p>
        </w:tc>
        <w:tc>
          <w:tcPr>
            <w:tcW w:w="3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$10,000</w:t>
            </w:r>
          </w:p>
        </w:tc>
      </w:tr>
      <w:tr>
        <w:trPr>
          <w:trHeight w:val="486"/>
        </w:trPr>
        <w:tc>
          <w:tcPr>
            <w:tcW w:w="76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Compensation Committee member:</w:t>
            </w:r>
          </w:p>
        </w:tc>
        <w:tc>
          <w:tcPr>
            <w:tcW w:w="3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$5,000</w:t>
            </w:r>
          </w:p>
        </w:tc>
      </w:tr>
      <w:tr>
        <w:trPr>
          <w:trHeight w:val="486"/>
        </w:trPr>
        <w:tc>
          <w:tcPr>
            <w:tcW w:w="76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Nominating and Corporate Governance Committee Chair:</w:t>
            </w:r>
          </w:p>
        </w:tc>
        <w:tc>
          <w:tcPr>
            <w:tcW w:w="3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$8,000</w:t>
            </w:r>
          </w:p>
        </w:tc>
      </w:tr>
      <w:tr>
        <w:trPr>
          <w:trHeight w:val="486"/>
        </w:trPr>
        <w:tc>
          <w:tcPr>
            <w:tcW w:w="76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Nominating and Corporate Governance Committee member:</w:t>
            </w:r>
          </w:p>
        </w:tc>
        <w:tc>
          <w:tcPr>
            <w:tcW w:w="31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$4,000</w:t>
            </w:r>
          </w:p>
        </w:tc>
      </w:tr>
    </w:tbl>
    <w:p>
      <w:pPr>
        <w:spacing w:after="0" w:line="190" w:lineRule="exact"/>
        <w:rPr>
          <w:sz w:val="20"/>
          <w:szCs w:val="20"/>
          <w:color w:val="auto"/>
        </w:rPr>
      </w:pPr>
    </w:p>
    <w:p>
      <w:pPr>
        <w:ind w:left="200" w:right="680"/>
        <w:spacing w:after="0" w:line="258" w:lineRule="auto"/>
        <w:rPr>
          <w:sz w:val="20"/>
          <w:szCs w:val="20"/>
          <w:color w:val="auto"/>
        </w:rPr>
      </w:pPr>
      <w:r>
        <w:rPr>
          <w:rFonts w:ascii="Times New Roman" w:cs="Times New Roman" w:eastAsia="Times New Roman" w:hAnsi="Times New Roman"/>
          <w:sz w:val="22"/>
          <w:szCs w:val="22"/>
          <w:color w:val="auto"/>
        </w:rPr>
        <w:t>Chair and committee member retainers are in addition to retainers for members of the Board of Directors. No additional compensation will be paid for attending individual committee meetings of the Board of Directors.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Equity Retainers</w:t>
      </w:r>
    </w:p>
    <w:p>
      <w:pPr>
        <w:spacing w:after="0" w:line="210"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22"/>
          <w:szCs w:val="22"/>
          <w:color w:val="auto"/>
        </w:rPr>
        <w:t>All grants of equity retainer awards to Outside Directors pursuant to this Policy will be automatic and nondiscretionary and will be made in accordance with the following provisions:</w:t>
      </w:r>
    </w:p>
    <w:p>
      <w:pPr>
        <w:spacing w:after="0" w:line="158" w:lineRule="exact"/>
        <w:rPr>
          <w:sz w:val="20"/>
          <w:szCs w:val="20"/>
          <w:color w:val="auto"/>
        </w:rPr>
      </w:pPr>
    </w:p>
    <w:p>
      <w:pPr>
        <w:ind w:left="200" w:right="180"/>
        <w:spacing w:after="0" w:line="258" w:lineRule="auto"/>
        <w:rPr>
          <w:sz w:val="20"/>
          <w:szCs w:val="20"/>
          <w:color w:val="auto"/>
        </w:rPr>
      </w:pPr>
      <w:r>
        <w:rPr>
          <w:rFonts w:ascii="Times New Roman" w:cs="Times New Roman" w:eastAsia="Times New Roman" w:hAnsi="Times New Roman"/>
          <w:sz w:val="22"/>
          <w:szCs w:val="22"/>
          <w:u w:val="single" w:color="auto"/>
          <w:color w:val="auto"/>
        </w:rPr>
        <w:t>Initial Award</w:t>
      </w:r>
      <w:r>
        <w:rPr>
          <w:rFonts w:ascii="Times New Roman" w:cs="Times New Roman" w:eastAsia="Times New Roman" w:hAnsi="Times New Roman"/>
          <w:sz w:val="22"/>
          <w:szCs w:val="22"/>
          <w:color w:val="auto"/>
        </w:rPr>
        <w:t>: Upon his or her initial election to the Board of Directors, each Outside Director will receive an initial, one-time stock option award to purchase 29,000 shares (the “Initial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996950</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bookmarkStart w:id="89" w:name="page90"/>
    <w:bookmarkEnd w:id="89"/>
    <w:p>
      <w:pPr>
        <w:ind w:left="200"/>
        <w:spacing w:after="0" w:line="235" w:lineRule="auto"/>
        <w:rPr>
          <w:sz w:val="20"/>
          <w:szCs w:val="20"/>
          <w:color w:val="auto"/>
        </w:rPr>
      </w:pPr>
      <w:r>
        <w:rPr>
          <w:rFonts w:ascii="Times New Roman" w:cs="Times New Roman" w:eastAsia="Times New Roman" w:hAnsi="Times New Roman"/>
          <w:sz w:val="22"/>
          <w:szCs w:val="22"/>
          <w:color w:val="auto"/>
        </w:rPr>
        <w:t>Option Award”) and an initial, one-time restricted stock unit award covering 21,000 shares (together with the Initial Option Award, the “Initial Award”), which shall vest in equal annual installments over three years from the date of grant, provided, however, that all vesting shall cease if the director resigns from the Board of Directors or otherwise ceases to serve on the Board of Directors of the Company, unless the Board of Directors determines that the circumstances warrant continuation of vesting. The Initial Award shall expire ten years from the date of grant, and shall have a per share exercise price equal to the Fair Market Value (as defined in the Company’s 2021 Stock Option and Incentive Plan) of the Company’s common stock on the date of grant. This Initial Award applies only to Outside Directors who are first elected to the Board of Directors subsequent to the Effective Date.</w:t>
      </w:r>
    </w:p>
    <w:p>
      <w:pPr>
        <w:spacing w:after="0" w:line="178" w:lineRule="exact"/>
        <w:rPr>
          <w:sz w:val="20"/>
          <w:szCs w:val="20"/>
          <w:color w:val="auto"/>
        </w:rPr>
      </w:pPr>
    </w:p>
    <w:p>
      <w:pPr>
        <w:ind w:left="200"/>
        <w:spacing w:after="0" w:line="246" w:lineRule="auto"/>
        <w:rPr>
          <w:sz w:val="20"/>
          <w:szCs w:val="20"/>
          <w:color w:val="auto"/>
        </w:rPr>
      </w:pPr>
      <w:r>
        <w:rPr>
          <w:rFonts w:ascii="Times New Roman" w:cs="Times New Roman" w:eastAsia="Times New Roman" w:hAnsi="Times New Roman"/>
          <w:sz w:val="21"/>
          <w:szCs w:val="21"/>
          <w:u w:val="single" w:color="auto"/>
          <w:color w:val="auto"/>
        </w:rPr>
        <w:t>Annual Award</w:t>
      </w:r>
      <w:r>
        <w:rPr>
          <w:rFonts w:ascii="Times New Roman" w:cs="Times New Roman" w:eastAsia="Times New Roman" w:hAnsi="Times New Roman"/>
          <w:sz w:val="21"/>
          <w:szCs w:val="21"/>
          <w:color w:val="auto"/>
        </w:rPr>
        <w:t>: On each date of each Annual Meeting of Stockholders of the Company following the Effective Date (the “Annual Meeting”), each continuing Outside Director, other than a director receiving an Initial Award, will receive an annual stock option award to purchase 14,500 shares (the “Annual Option Award”) and an annual restricted stock unit award covering 10,500 shares (together with the Annual Option Award, the “Annual Award”), which shall vest in full upon the earlier of (i) the first anniversary of the date of grant or (ii) the date of the next Annual Meeting; provided, however, that all vesting shall cease if the director resigns from the Board of Directors or otherwise ceases to serve on the Board of Directors of the Company, unless the Board of Directors determines that the circumstances warrant continuation of vesting. Such Annual Option Award shall expire ten years from the date of grant, and shall have a per share exercise price equal to the Fair Market Value (as defined in the Company’s 2021 Stock Option and Incentive Plan) of the Company’s common stock on the date of grant.</w:t>
      </w:r>
    </w:p>
    <w:p>
      <w:pPr>
        <w:spacing w:after="0" w:line="175" w:lineRule="exact"/>
        <w:rPr>
          <w:sz w:val="20"/>
          <w:szCs w:val="20"/>
          <w:color w:val="auto"/>
        </w:rPr>
      </w:pPr>
    </w:p>
    <w:p>
      <w:pPr>
        <w:ind w:left="200" w:right="20"/>
        <w:spacing w:after="0" w:line="244" w:lineRule="auto"/>
        <w:rPr>
          <w:sz w:val="20"/>
          <w:szCs w:val="20"/>
          <w:color w:val="auto"/>
        </w:rPr>
      </w:pPr>
      <w:r>
        <w:rPr>
          <w:rFonts w:ascii="Times New Roman" w:cs="Times New Roman" w:eastAsia="Times New Roman" w:hAnsi="Times New Roman"/>
          <w:sz w:val="22"/>
          <w:szCs w:val="22"/>
          <w:u w:val="single" w:color="auto"/>
          <w:color w:val="auto"/>
        </w:rPr>
        <w:t>Sale Event Acceleration</w:t>
      </w:r>
      <w:r>
        <w:rPr>
          <w:rFonts w:ascii="Times New Roman" w:cs="Times New Roman" w:eastAsia="Times New Roman" w:hAnsi="Times New Roman"/>
          <w:sz w:val="22"/>
          <w:szCs w:val="22"/>
          <w:color w:val="auto"/>
        </w:rPr>
        <w:t>: All outstanding Initial Awards and Annual Awards held by an Outside Director shall become fully vested and exercisable or nonforfeitable (as applicable) upon a Sale Event (as defined in the Company’s 2021 Stock Option and Incentive Plan).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Expenses</w:t>
      </w:r>
    </w:p>
    <w:p>
      <w:pPr>
        <w:spacing w:after="0" w:line="210" w:lineRule="exact"/>
        <w:rPr>
          <w:sz w:val="20"/>
          <w:szCs w:val="20"/>
          <w:color w:val="auto"/>
        </w:rPr>
      </w:pPr>
    </w:p>
    <w:p>
      <w:pPr>
        <w:ind w:left="200" w:right="100"/>
        <w:spacing w:after="0" w:line="258" w:lineRule="auto"/>
        <w:rPr>
          <w:sz w:val="20"/>
          <w:szCs w:val="20"/>
          <w:color w:val="auto"/>
        </w:rPr>
      </w:pPr>
      <w:r>
        <w:rPr>
          <w:rFonts w:ascii="Times New Roman" w:cs="Times New Roman" w:eastAsia="Times New Roman" w:hAnsi="Times New Roman"/>
          <w:sz w:val="22"/>
          <w:szCs w:val="22"/>
          <w:color w:val="auto"/>
        </w:rPr>
        <w:t>The Company will reimburse all reasonable out-of-pocket expenses incurred by Outside Directors in attending meetings of the Board of Directors or any committee thereof.</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Maximum Annual Compensation</w:t>
      </w:r>
    </w:p>
    <w:p>
      <w:pPr>
        <w:spacing w:after="0" w:line="210" w:lineRule="exact"/>
        <w:rPr>
          <w:sz w:val="20"/>
          <w:szCs w:val="20"/>
          <w:color w:val="auto"/>
        </w:rPr>
      </w:pPr>
    </w:p>
    <w:p>
      <w:pPr>
        <w:jc w:val="both"/>
        <w:ind w:left="200"/>
        <w:spacing w:after="0" w:line="235" w:lineRule="auto"/>
        <w:rPr>
          <w:sz w:val="20"/>
          <w:szCs w:val="20"/>
          <w:color w:val="auto"/>
        </w:rPr>
      </w:pPr>
      <w:r>
        <w:rPr>
          <w:rFonts w:ascii="Times New Roman" w:cs="Times New Roman" w:eastAsia="Times New Roman" w:hAnsi="Times New Roman"/>
          <w:sz w:val="22"/>
          <w:szCs w:val="22"/>
          <w:color w:val="auto"/>
        </w:rPr>
        <w:t>The aggregate amount of compensation, including both equity compensation and cash compensation, paid by the Company to any Outside Director in a calendar year for services as an Outside Director shall not exceed $750,000; provided, however, that such amount shall be $1,000,000 for the calendar year in which the applicable Outside Director is initially elected or appointed to the Board of Directors; (or such other limits as may be set forth in Section 3(b) of the Company’s 2021 Stock Option and Incentive Plan or any similar provision of a successor plan). For this purpose, the “amount” of equity compensation paid in a calendar year shall be determined based on the grant date fair value thereof, as determined in accordance with FASB ASC Topic 718 or its successor provision, but excluding the impact of estimated forfeitures related to service-based vesting conditions.</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22"/>
          <w:szCs w:val="22"/>
          <w:color w:val="auto"/>
        </w:rPr>
        <w:t>Adopted October 7, 2021.</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Amended and Restated June 20,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right"/>
        <w:ind w:right="4459"/>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08" w:right="1440" w:bottom="1440" w:gutter="0" w:footer="0" w:header="0"/>
        </w:sectPr>
      </w:pPr>
    </w:p>
    <w:bookmarkStart w:id="91" w:name="page92"/>
    <w:bookmarkEnd w:id="91"/>
    <w:p>
      <w:pPr>
        <w:jc w:val="right"/>
        <w:spacing w:after="0"/>
        <w:rPr>
          <w:sz w:val="20"/>
          <w:szCs w:val="20"/>
          <w:color w:val="auto"/>
        </w:rPr>
      </w:pPr>
      <w:r>
        <w:rPr>
          <w:rFonts w:ascii="Arial" w:cs="Arial" w:eastAsia="Arial" w:hAnsi="Arial"/>
          <w:sz w:val="16"/>
          <w:szCs w:val="16"/>
          <w:b w:val="1"/>
          <w:bCs w:val="1"/>
          <w:color w:val="auto"/>
        </w:rPr>
        <w:t>Exhibit 31.1</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I, Elisabet de los Pinos, certify that:</w:t>
      </w:r>
    </w:p>
    <w:p>
      <w:pPr>
        <w:spacing w:after="0" w:line="194" w:lineRule="exact"/>
        <w:rPr>
          <w:sz w:val="20"/>
          <w:szCs w:val="20"/>
          <w:color w:val="auto"/>
        </w:rPr>
      </w:pPr>
    </w:p>
    <w:p>
      <w:pPr>
        <w:ind w:left="180" w:hanging="172"/>
        <w:spacing w:after="0"/>
        <w:tabs>
          <w:tab w:leader="none" w:pos="180" w:val="left"/>
        </w:tabs>
        <w:numPr>
          <w:ilvl w:val="0"/>
          <w:numId w:val="54"/>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Aura Biosciences, Inc;</w:t>
      </w:r>
    </w:p>
    <w:p>
      <w:pPr>
        <w:spacing w:after="0" w:line="194" w:lineRule="exact"/>
        <w:rPr>
          <w:rFonts w:ascii="Arial" w:cs="Arial" w:eastAsia="Arial" w:hAnsi="Arial"/>
          <w:sz w:val="16"/>
          <w:szCs w:val="16"/>
          <w:color w:val="auto"/>
        </w:rPr>
      </w:pPr>
    </w:p>
    <w:p>
      <w:pPr>
        <w:ind w:right="280" w:firstLine="8"/>
        <w:spacing w:after="0" w:line="286" w:lineRule="auto"/>
        <w:tabs>
          <w:tab w:leader="none" w:pos="180" w:val="left"/>
        </w:tabs>
        <w:numPr>
          <w:ilvl w:val="0"/>
          <w:numId w:val="5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8" w:lineRule="exact"/>
        <w:rPr>
          <w:rFonts w:ascii="Arial" w:cs="Arial" w:eastAsia="Arial" w:hAnsi="Arial"/>
          <w:sz w:val="16"/>
          <w:szCs w:val="16"/>
          <w:color w:val="auto"/>
        </w:rPr>
      </w:pPr>
    </w:p>
    <w:p>
      <w:pPr>
        <w:ind w:right="60" w:firstLine="8"/>
        <w:spacing w:after="0" w:line="286" w:lineRule="auto"/>
        <w:tabs>
          <w:tab w:leader="none" w:pos="180" w:val="left"/>
        </w:tabs>
        <w:numPr>
          <w:ilvl w:val="0"/>
          <w:numId w:val="5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8" w:lineRule="exact"/>
        <w:rPr>
          <w:rFonts w:ascii="Arial" w:cs="Arial" w:eastAsia="Arial" w:hAnsi="Arial"/>
          <w:sz w:val="16"/>
          <w:szCs w:val="16"/>
          <w:color w:val="auto"/>
        </w:rPr>
      </w:pPr>
    </w:p>
    <w:p>
      <w:pPr>
        <w:ind w:firstLine="8"/>
        <w:spacing w:after="0" w:line="266" w:lineRule="auto"/>
        <w:tabs>
          <w:tab w:leader="none" w:pos="180"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4" w:lineRule="exact"/>
        <w:rPr>
          <w:rFonts w:ascii="Arial" w:cs="Arial" w:eastAsia="Arial" w:hAnsi="Arial"/>
          <w:sz w:val="16"/>
          <w:szCs w:val="16"/>
          <w:color w:val="auto"/>
        </w:rPr>
      </w:pPr>
    </w:p>
    <w:p>
      <w:pPr>
        <w:ind w:right="180" w:firstLine="517"/>
        <w:spacing w:after="0" w:line="266" w:lineRule="auto"/>
        <w:tabs>
          <w:tab w:leader="none" w:pos="752" w:val="left"/>
        </w:tabs>
        <w:numPr>
          <w:ilvl w:val="1"/>
          <w:numId w:val="54"/>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4" w:lineRule="exact"/>
        <w:rPr>
          <w:rFonts w:ascii="Arial" w:cs="Arial" w:eastAsia="Arial" w:hAnsi="Arial"/>
          <w:sz w:val="16"/>
          <w:szCs w:val="16"/>
          <w:color w:val="auto"/>
        </w:rPr>
      </w:pPr>
    </w:p>
    <w:p>
      <w:pPr>
        <w:ind w:right="120" w:firstLine="517"/>
        <w:spacing w:after="0" w:line="266" w:lineRule="auto"/>
        <w:tabs>
          <w:tab w:leader="none" w:pos="752" w:val="left"/>
        </w:tabs>
        <w:numPr>
          <w:ilvl w:val="1"/>
          <w:numId w:val="54"/>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4" w:lineRule="exact"/>
        <w:rPr>
          <w:rFonts w:ascii="Arial" w:cs="Arial" w:eastAsia="Arial" w:hAnsi="Arial"/>
          <w:sz w:val="16"/>
          <w:szCs w:val="16"/>
          <w:color w:val="auto"/>
        </w:rPr>
      </w:pPr>
    </w:p>
    <w:p>
      <w:pPr>
        <w:ind w:right="760" w:firstLine="517"/>
        <w:spacing w:after="0" w:line="286" w:lineRule="auto"/>
        <w:tabs>
          <w:tab w:leader="none" w:pos="743" w:val="left"/>
        </w:tabs>
        <w:numPr>
          <w:ilvl w:val="1"/>
          <w:numId w:val="5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8" w:lineRule="exact"/>
        <w:rPr>
          <w:rFonts w:ascii="Arial" w:cs="Arial" w:eastAsia="Arial" w:hAnsi="Arial"/>
          <w:sz w:val="16"/>
          <w:szCs w:val="16"/>
          <w:color w:val="auto"/>
        </w:rPr>
      </w:pPr>
    </w:p>
    <w:p>
      <w:pPr>
        <w:ind w:right="140" w:firstLine="517"/>
        <w:spacing w:after="0" w:line="266" w:lineRule="auto"/>
        <w:tabs>
          <w:tab w:leader="none" w:pos="752" w:val="left"/>
        </w:tabs>
        <w:numPr>
          <w:ilvl w:val="1"/>
          <w:numId w:val="54"/>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4" w:lineRule="exact"/>
        <w:rPr>
          <w:rFonts w:ascii="Arial" w:cs="Arial" w:eastAsia="Arial" w:hAnsi="Arial"/>
          <w:sz w:val="16"/>
          <w:szCs w:val="16"/>
          <w:color w:val="auto"/>
        </w:rPr>
      </w:pPr>
    </w:p>
    <w:p>
      <w:pPr>
        <w:ind w:right="460" w:firstLine="8"/>
        <w:spacing w:after="0" w:line="286" w:lineRule="auto"/>
        <w:tabs>
          <w:tab w:leader="none" w:pos="180" w:val="left"/>
        </w:tabs>
        <w:numPr>
          <w:ilvl w:val="0"/>
          <w:numId w:val="5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8" w:lineRule="exact"/>
        <w:rPr>
          <w:rFonts w:ascii="Arial" w:cs="Arial" w:eastAsia="Arial" w:hAnsi="Arial"/>
          <w:sz w:val="16"/>
          <w:szCs w:val="16"/>
          <w:color w:val="auto"/>
        </w:rPr>
      </w:pPr>
    </w:p>
    <w:p>
      <w:pPr>
        <w:ind w:right="360" w:firstLine="517"/>
        <w:spacing w:after="0" w:line="286" w:lineRule="auto"/>
        <w:tabs>
          <w:tab w:leader="none" w:pos="752" w:val="left"/>
        </w:tabs>
        <w:numPr>
          <w:ilvl w:val="1"/>
          <w:numId w:val="5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8" w:lineRule="exact"/>
        <w:rPr>
          <w:rFonts w:ascii="Arial" w:cs="Arial" w:eastAsia="Arial" w:hAnsi="Arial"/>
          <w:sz w:val="16"/>
          <w:szCs w:val="16"/>
          <w:color w:val="auto"/>
        </w:rPr>
      </w:pPr>
    </w:p>
    <w:p>
      <w:pPr>
        <w:ind w:right="280" w:firstLine="517"/>
        <w:spacing w:after="0" w:line="286" w:lineRule="auto"/>
        <w:tabs>
          <w:tab w:leader="none" w:pos="752" w:val="left"/>
        </w:tabs>
        <w:numPr>
          <w:ilvl w:val="1"/>
          <w:numId w:val="54"/>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345" w:lineRule="exact"/>
        <w:rPr>
          <w:sz w:val="20"/>
          <w:szCs w:val="20"/>
          <w:color w:val="auto"/>
        </w:rPr>
      </w:pPr>
    </w:p>
    <w:p>
      <w:pPr>
        <w:ind w:left="5920"/>
        <w:spacing w:after="0"/>
        <w:rPr>
          <w:sz w:val="20"/>
          <w:szCs w:val="20"/>
          <w:color w:val="auto"/>
        </w:rPr>
      </w:pPr>
      <w:r>
        <w:rPr>
          <w:rFonts w:ascii="Arial" w:cs="Arial" w:eastAsia="Arial" w:hAnsi="Arial"/>
          <w:sz w:val="16"/>
          <w:szCs w:val="16"/>
          <w:color w:val="auto"/>
        </w:rPr>
        <w:t>Aura Biosciences, Inc.</w:t>
      </w:r>
    </w:p>
    <w:p>
      <w:pPr>
        <w:spacing w:after="0" w:line="221" w:lineRule="exact"/>
        <w:rPr>
          <w:sz w:val="20"/>
          <w:szCs w:val="20"/>
          <w:color w:val="auto"/>
        </w:rPr>
      </w:pPr>
    </w:p>
    <w:p>
      <w:pPr>
        <w:ind w:left="80"/>
        <w:spacing w:after="0"/>
        <w:tabs>
          <w:tab w:leader="none" w:pos="620" w:val="left"/>
          <w:tab w:leader="none" w:pos="5900" w:val="left"/>
          <w:tab w:leader="none" w:pos="7900" w:val="left"/>
        </w:tabs>
        <w:rPr>
          <w:sz w:val="20"/>
          <w:szCs w:val="20"/>
          <w:color w:val="auto"/>
        </w:rPr>
      </w:pPr>
      <w:r>
        <w:rPr>
          <w:rFonts w:ascii="Arial" w:cs="Arial" w:eastAsia="Arial" w:hAnsi="Arial"/>
          <w:sz w:val="16"/>
          <w:szCs w:val="16"/>
          <w:color w:val="auto"/>
        </w:rPr>
        <w:t>Date:</w:t>
        <w:tab/>
        <w:t>August 8, 2024</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Elisabet de los Pinos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4042410</wp:posOffset>
            </wp:positionH>
            <wp:positionV relativeFrom="paragraph">
              <wp:posOffset>20955</wp:posOffset>
            </wp:positionV>
            <wp:extent cx="3060065"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7">
                      <a:extLst>
                        <a:ext uri="{28A0092B-C50C-407E-A947-70E740481C1C}"/>
                      </a:extLst>
                    </a:blip>
                    <a:srcRect/>
                    <a:stretch>
                      <a:fillRect/>
                    </a:stretch>
                  </pic:blipFill>
                  <pic:spPr bwMode="auto">
                    <a:xfrm>
                      <a:off x="0" y="0"/>
                      <a:ext cx="3060065" cy="8890"/>
                    </a:xfrm>
                    <a:prstGeom prst="rect">
                      <a:avLst/>
                    </a:prstGeom>
                    <a:noFill/>
                  </pic:spPr>
                </pic:pic>
              </a:graphicData>
            </a:graphic>
          </wp:anchor>
        </w:drawing>
      </w:r>
    </w:p>
    <w:p>
      <w:pPr>
        <w:spacing w:after="0" w:line="24" w:lineRule="exact"/>
        <w:rPr>
          <w:sz w:val="20"/>
          <w:szCs w:val="20"/>
          <w:color w:val="auto"/>
        </w:rPr>
      </w:pPr>
    </w:p>
    <w:p>
      <w:pPr>
        <w:jc w:val="center"/>
        <w:ind w:left="6280"/>
        <w:spacing w:after="0"/>
        <w:rPr>
          <w:sz w:val="20"/>
          <w:szCs w:val="20"/>
          <w:color w:val="auto"/>
        </w:rPr>
      </w:pPr>
      <w:r>
        <w:rPr>
          <w:rFonts w:ascii="Arial" w:cs="Arial" w:eastAsia="Arial" w:hAnsi="Arial"/>
          <w:sz w:val="16"/>
          <w:szCs w:val="16"/>
          <w:b w:val="1"/>
          <w:bCs w:val="1"/>
          <w:color w:val="auto"/>
        </w:rPr>
        <w:t>Elisabet de los Pinos</w:t>
      </w:r>
    </w:p>
    <w:p>
      <w:pPr>
        <w:spacing w:after="0" w:line="22" w:lineRule="exact"/>
        <w:rPr>
          <w:sz w:val="20"/>
          <w:szCs w:val="20"/>
          <w:color w:val="auto"/>
        </w:rPr>
      </w:pPr>
    </w:p>
    <w:p>
      <w:pPr>
        <w:jc w:val="center"/>
        <w:ind w:left="6280"/>
        <w:spacing w:after="0"/>
        <w:rPr>
          <w:sz w:val="20"/>
          <w:szCs w:val="20"/>
          <w:color w:val="auto"/>
        </w:rPr>
      </w:pPr>
      <w:r>
        <w:rPr>
          <w:rFonts w:ascii="Arial" w:cs="Arial" w:eastAsia="Arial" w:hAnsi="Arial"/>
          <w:sz w:val="16"/>
          <w:szCs w:val="16"/>
          <w:b w:val="1"/>
          <w:bCs w:val="1"/>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1395095</wp:posOffset>
            </wp:positionV>
            <wp:extent cx="71577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92" w:name="page93"/>
    <w:bookmarkEnd w:id="92"/>
    <w:p>
      <w:pPr>
        <w:jc w:val="right"/>
        <w:spacing w:after="0"/>
        <w:rPr>
          <w:sz w:val="20"/>
          <w:szCs w:val="20"/>
          <w:color w:val="auto"/>
        </w:rPr>
      </w:pPr>
      <w:r>
        <w:rPr>
          <w:rFonts w:ascii="Arial" w:cs="Arial" w:eastAsia="Arial" w:hAnsi="Arial"/>
          <w:sz w:val="16"/>
          <w:szCs w:val="16"/>
          <w:b w:val="1"/>
          <w:bCs w:val="1"/>
          <w:color w:val="auto"/>
        </w:rPr>
        <w:t>Exhibit 31.2</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I, Julie Feder, certify that:</w:t>
      </w:r>
    </w:p>
    <w:p>
      <w:pPr>
        <w:spacing w:after="0" w:line="194" w:lineRule="exact"/>
        <w:rPr>
          <w:sz w:val="20"/>
          <w:szCs w:val="20"/>
          <w:color w:val="auto"/>
        </w:rPr>
      </w:pPr>
    </w:p>
    <w:p>
      <w:pPr>
        <w:ind w:left="180" w:hanging="172"/>
        <w:spacing w:after="0"/>
        <w:tabs>
          <w:tab w:leader="none" w:pos="180" w:val="left"/>
        </w:tabs>
        <w:numPr>
          <w:ilvl w:val="0"/>
          <w:numId w:val="55"/>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Aura Biosciences, Inc;</w:t>
      </w:r>
    </w:p>
    <w:p>
      <w:pPr>
        <w:spacing w:after="0" w:line="194" w:lineRule="exact"/>
        <w:rPr>
          <w:rFonts w:ascii="Arial" w:cs="Arial" w:eastAsia="Arial" w:hAnsi="Arial"/>
          <w:sz w:val="16"/>
          <w:szCs w:val="16"/>
          <w:color w:val="auto"/>
        </w:rPr>
      </w:pPr>
    </w:p>
    <w:p>
      <w:pPr>
        <w:ind w:right="280" w:firstLine="8"/>
        <w:spacing w:after="0" w:line="286" w:lineRule="auto"/>
        <w:tabs>
          <w:tab w:leader="none" w:pos="180" w:val="left"/>
        </w:tabs>
        <w:numPr>
          <w:ilvl w:val="0"/>
          <w:numId w:val="5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8" w:lineRule="exact"/>
        <w:rPr>
          <w:rFonts w:ascii="Arial" w:cs="Arial" w:eastAsia="Arial" w:hAnsi="Arial"/>
          <w:sz w:val="16"/>
          <w:szCs w:val="16"/>
          <w:color w:val="auto"/>
        </w:rPr>
      </w:pPr>
    </w:p>
    <w:p>
      <w:pPr>
        <w:ind w:right="60" w:firstLine="8"/>
        <w:spacing w:after="0" w:line="286" w:lineRule="auto"/>
        <w:tabs>
          <w:tab w:leader="none" w:pos="180" w:val="left"/>
        </w:tabs>
        <w:numPr>
          <w:ilvl w:val="0"/>
          <w:numId w:val="5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8" w:lineRule="exact"/>
        <w:rPr>
          <w:rFonts w:ascii="Arial" w:cs="Arial" w:eastAsia="Arial" w:hAnsi="Arial"/>
          <w:sz w:val="16"/>
          <w:szCs w:val="16"/>
          <w:color w:val="auto"/>
        </w:rPr>
      </w:pPr>
    </w:p>
    <w:p>
      <w:pPr>
        <w:ind w:firstLine="8"/>
        <w:spacing w:after="0" w:line="266" w:lineRule="auto"/>
        <w:tabs>
          <w:tab w:leader="none" w:pos="180"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4" w:lineRule="exact"/>
        <w:rPr>
          <w:rFonts w:ascii="Arial" w:cs="Arial" w:eastAsia="Arial" w:hAnsi="Arial"/>
          <w:sz w:val="16"/>
          <w:szCs w:val="16"/>
          <w:color w:val="auto"/>
        </w:rPr>
      </w:pPr>
    </w:p>
    <w:p>
      <w:pPr>
        <w:ind w:right="180" w:firstLine="517"/>
        <w:spacing w:after="0" w:line="266" w:lineRule="auto"/>
        <w:tabs>
          <w:tab w:leader="none" w:pos="752" w:val="left"/>
        </w:tabs>
        <w:numPr>
          <w:ilvl w:val="1"/>
          <w:numId w:val="55"/>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4" w:lineRule="exact"/>
        <w:rPr>
          <w:rFonts w:ascii="Arial" w:cs="Arial" w:eastAsia="Arial" w:hAnsi="Arial"/>
          <w:sz w:val="16"/>
          <w:szCs w:val="16"/>
          <w:color w:val="auto"/>
        </w:rPr>
      </w:pPr>
    </w:p>
    <w:p>
      <w:pPr>
        <w:ind w:right="120" w:firstLine="517"/>
        <w:spacing w:after="0" w:line="266" w:lineRule="auto"/>
        <w:tabs>
          <w:tab w:leader="none" w:pos="752" w:val="left"/>
        </w:tabs>
        <w:numPr>
          <w:ilvl w:val="1"/>
          <w:numId w:val="55"/>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4" w:lineRule="exact"/>
        <w:rPr>
          <w:rFonts w:ascii="Arial" w:cs="Arial" w:eastAsia="Arial" w:hAnsi="Arial"/>
          <w:sz w:val="16"/>
          <w:szCs w:val="16"/>
          <w:color w:val="auto"/>
        </w:rPr>
      </w:pPr>
    </w:p>
    <w:p>
      <w:pPr>
        <w:ind w:right="760" w:firstLine="517"/>
        <w:spacing w:after="0" w:line="286" w:lineRule="auto"/>
        <w:tabs>
          <w:tab w:leader="none" w:pos="743" w:val="left"/>
        </w:tabs>
        <w:numPr>
          <w:ilvl w:val="1"/>
          <w:numId w:val="5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8" w:lineRule="exact"/>
        <w:rPr>
          <w:rFonts w:ascii="Arial" w:cs="Arial" w:eastAsia="Arial" w:hAnsi="Arial"/>
          <w:sz w:val="16"/>
          <w:szCs w:val="16"/>
          <w:color w:val="auto"/>
        </w:rPr>
      </w:pPr>
    </w:p>
    <w:p>
      <w:pPr>
        <w:ind w:right="140" w:firstLine="517"/>
        <w:spacing w:after="0" w:line="266" w:lineRule="auto"/>
        <w:tabs>
          <w:tab w:leader="none" w:pos="752" w:val="left"/>
        </w:tabs>
        <w:numPr>
          <w:ilvl w:val="1"/>
          <w:numId w:val="55"/>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4" w:lineRule="exact"/>
        <w:rPr>
          <w:rFonts w:ascii="Arial" w:cs="Arial" w:eastAsia="Arial" w:hAnsi="Arial"/>
          <w:sz w:val="16"/>
          <w:szCs w:val="16"/>
          <w:color w:val="auto"/>
        </w:rPr>
      </w:pPr>
    </w:p>
    <w:p>
      <w:pPr>
        <w:ind w:right="460" w:firstLine="8"/>
        <w:spacing w:after="0" w:line="286" w:lineRule="auto"/>
        <w:tabs>
          <w:tab w:leader="none" w:pos="180"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8" w:lineRule="exact"/>
        <w:rPr>
          <w:rFonts w:ascii="Arial" w:cs="Arial" w:eastAsia="Arial" w:hAnsi="Arial"/>
          <w:sz w:val="16"/>
          <w:szCs w:val="16"/>
          <w:color w:val="auto"/>
        </w:rPr>
      </w:pPr>
    </w:p>
    <w:p>
      <w:pPr>
        <w:ind w:right="360" w:firstLine="517"/>
        <w:spacing w:after="0" w:line="286" w:lineRule="auto"/>
        <w:tabs>
          <w:tab w:leader="none" w:pos="752" w:val="left"/>
        </w:tabs>
        <w:numPr>
          <w:ilvl w:val="1"/>
          <w:numId w:val="5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8" w:lineRule="exact"/>
        <w:rPr>
          <w:rFonts w:ascii="Arial" w:cs="Arial" w:eastAsia="Arial" w:hAnsi="Arial"/>
          <w:sz w:val="16"/>
          <w:szCs w:val="16"/>
          <w:color w:val="auto"/>
        </w:rPr>
      </w:pPr>
    </w:p>
    <w:p>
      <w:pPr>
        <w:ind w:right="280" w:firstLine="517"/>
        <w:spacing w:after="0" w:line="286" w:lineRule="auto"/>
        <w:tabs>
          <w:tab w:leader="none" w:pos="752" w:val="left"/>
        </w:tabs>
        <w:numPr>
          <w:ilvl w:val="1"/>
          <w:numId w:val="55"/>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345" w:lineRule="exact"/>
        <w:rPr>
          <w:sz w:val="20"/>
          <w:szCs w:val="20"/>
          <w:color w:val="auto"/>
        </w:rPr>
      </w:pPr>
    </w:p>
    <w:p>
      <w:pPr>
        <w:ind w:left="5920"/>
        <w:spacing w:after="0"/>
        <w:rPr>
          <w:sz w:val="20"/>
          <w:szCs w:val="20"/>
          <w:color w:val="auto"/>
        </w:rPr>
      </w:pPr>
      <w:r>
        <w:rPr>
          <w:rFonts w:ascii="Arial" w:cs="Arial" w:eastAsia="Arial" w:hAnsi="Arial"/>
          <w:sz w:val="16"/>
          <w:szCs w:val="16"/>
          <w:color w:val="auto"/>
        </w:rPr>
        <w:t>Aura Biosciences, Inc.</w:t>
      </w:r>
    </w:p>
    <w:p>
      <w:pPr>
        <w:spacing w:after="0" w:line="221" w:lineRule="exact"/>
        <w:rPr>
          <w:sz w:val="20"/>
          <w:szCs w:val="20"/>
          <w:color w:val="auto"/>
        </w:rPr>
      </w:pPr>
    </w:p>
    <w:p>
      <w:pPr>
        <w:ind w:left="80"/>
        <w:spacing w:after="0"/>
        <w:tabs>
          <w:tab w:leader="none" w:pos="660" w:val="left"/>
          <w:tab w:leader="none" w:pos="5900" w:val="left"/>
          <w:tab w:leader="none" w:pos="8240" w:val="left"/>
        </w:tabs>
        <w:rPr>
          <w:sz w:val="20"/>
          <w:szCs w:val="20"/>
          <w:color w:val="auto"/>
        </w:rPr>
      </w:pPr>
      <w:r>
        <w:rPr>
          <w:rFonts w:ascii="Arial" w:cs="Arial" w:eastAsia="Arial" w:hAnsi="Arial"/>
          <w:sz w:val="16"/>
          <w:szCs w:val="16"/>
          <w:color w:val="auto"/>
        </w:rPr>
        <w:t>Date:</w:t>
        <w:tab/>
        <w:t>August 8, 2024</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Julie Feder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4042410</wp:posOffset>
            </wp:positionH>
            <wp:positionV relativeFrom="paragraph">
              <wp:posOffset>20955</wp:posOffset>
            </wp:positionV>
            <wp:extent cx="3060065"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9">
                      <a:extLst>
                        <a:ext uri="{28A0092B-C50C-407E-A947-70E740481C1C}"/>
                      </a:extLst>
                    </a:blip>
                    <a:srcRect/>
                    <a:stretch>
                      <a:fillRect/>
                    </a:stretch>
                  </pic:blipFill>
                  <pic:spPr bwMode="auto">
                    <a:xfrm>
                      <a:off x="0" y="0"/>
                      <a:ext cx="3060065" cy="8890"/>
                    </a:xfrm>
                    <a:prstGeom prst="rect">
                      <a:avLst/>
                    </a:prstGeom>
                    <a:noFill/>
                  </pic:spPr>
                </pic:pic>
              </a:graphicData>
            </a:graphic>
          </wp:anchor>
        </w:drawing>
      </w:r>
    </w:p>
    <w:p>
      <w:pPr>
        <w:spacing w:after="0" w:line="24" w:lineRule="exact"/>
        <w:rPr>
          <w:sz w:val="20"/>
          <w:szCs w:val="20"/>
          <w:color w:val="auto"/>
        </w:rPr>
      </w:pPr>
    </w:p>
    <w:p>
      <w:pPr>
        <w:jc w:val="center"/>
        <w:ind w:left="6280"/>
        <w:spacing w:after="0"/>
        <w:rPr>
          <w:sz w:val="20"/>
          <w:szCs w:val="20"/>
          <w:color w:val="auto"/>
        </w:rPr>
      </w:pPr>
      <w:r>
        <w:rPr>
          <w:rFonts w:ascii="Arial" w:cs="Arial" w:eastAsia="Arial" w:hAnsi="Arial"/>
          <w:sz w:val="16"/>
          <w:szCs w:val="16"/>
          <w:b w:val="1"/>
          <w:bCs w:val="1"/>
          <w:color w:val="auto"/>
        </w:rPr>
        <w:t>Julie Feder</w:t>
      </w:r>
    </w:p>
    <w:p>
      <w:pPr>
        <w:spacing w:after="0" w:line="22" w:lineRule="exact"/>
        <w:rPr>
          <w:sz w:val="20"/>
          <w:szCs w:val="20"/>
          <w:color w:val="auto"/>
        </w:rPr>
      </w:pPr>
    </w:p>
    <w:p>
      <w:pPr>
        <w:jc w:val="center"/>
        <w:ind w:left="6280"/>
        <w:spacing w:after="0"/>
        <w:rPr>
          <w:sz w:val="20"/>
          <w:szCs w:val="20"/>
          <w:color w:val="auto"/>
        </w:rPr>
      </w:pPr>
      <w:r>
        <w:rPr>
          <w:rFonts w:ascii="Arial" w:cs="Arial" w:eastAsia="Arial" w:hAnsi="Arial"/>
          <w:sz w:val="16"/>
          <w:szCs w:val="16"/>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1395095</wp:posOffset>
            </wp:positionV>
            <wp:extent cx="71577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93" w:name="page94"/>
    <w:bookmarkEnd w:id="93"/>
    <w:p>
      <w:pPr>
        <w:jc w:val="right"/>
        <w:spacing w:after="0"/>
        <w:rPr>
          <w:sz w:val="20"/>
          <w:szCs w:val="20"/>
          <w:color w:val="auto"/>
        </w:rPr>
      </w:pPr>
      <w:r>
        <w:rPr>
          <w:rFonts w:ascii="Arial" w:cs="Arial" w:eastAsia="Arial" w:hAnsi="Arial"/>
          <w:sz w:val="16"/>
          <w:szCs w:val="16"/>
          <w:b w:val="1"/>
          <w:bCs w:val="1"/>
          <w:color w:val="auto"/>
        </w:rPr>
        <w:t>Exhibit 32.1</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w:t>
      </w:r>
    </w:p>
    <w:p>
      <w:pPr>
        <w:spacing w:after="0" w:line="21" w:lineRule="exact"/>
        <w:rPr>
          <w:sz w:val="20"/>
          <w:szCs w:val="20"/>
          <w:color w:val="auto"/>
        </w:rPr>
      </w:pPr>
    </w:p>
    <w:p>
      <w:pPr>
        <w:ind w:left="3500"/>
        <w:spacing w:after="0"/>
        <w:rPr>
          <w:sz w:val="20"/>
          <w:szCs w:val="20"/>
          <w:color w:val="auto"/>
        </w:rPr>
      </w:pPr>
      <w:r>
        <w:rPr>
          <w:rFonts w:ascii="Arial" w:cs="Arial" w:eastAsia="Arial" w:hAnsi="Arial"/>
          <w:sz w:val="16"/>
          <w:szCs w:val="16"/>
          <w:b w:val="1"/>
          <w:bCs w:val="1"/>
          <w:color w:val="auto"/>
        </w:rPr>
        <w:t>18 U.S.C. SECTION 1350, AS ADOPTED PURSUANT TO</w:t>
      </w:r>
    </w:p>
    <w:p>
      <w:pPr>
        <w:spacing w:after="0" w:line="5" w:lineRule="exact"/>
        <w:rPr>
          <w:sz w:val="20"/>
          <w:szCs w:val="20"/>
          <w:color w:val="auto"/>
        </w:rPr>
      </w:pPr>
    </w:p>
    <w:p>
      <w:pPr>
        <w:ind w:left="3480"/>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205" w:lineRule="exact"/>
        <w:rPr>
          <w:sz w:val="20"/>
          <w:szCs w:val="20"/>
          <w:color w:val="auto"/>
        </w:rPr>
      </w:pPr>
    </w:p>
    <w:p>
      <w:pPr>
        <w:jc w:val="both"/>
        <w:ind w:right="580"/>
        <w:spacing w:after="0" w:line="266" w:lineRule="auto"/>
        <w:rPr>
          <w:sz w:val="20"/>
          <w:szCs w:val="20"/>
          <w:color w:val="auto"/>
        </w:rPr>
      </w:pPr>
      <w:r>
        <w:rPr>
          <w:rFonts w:ascii="Arial" w:cs="Arial" w:eastAsia="Arial" w:hAnsi="Arial"/>
          <w:sz w:val="16"/>
          <w:szCs w:val="16"/>
          <w:color w:val="auto"/>
        </w:rPr>
        <w:t>In connection with the Quarterly Report on Form 10-Q of Aura Biosciences, Inc. (the “Company”) for the period ended June 30, 2024 as filed with the Securities and Exchange Commission on the date hereof (the “Report”), each of the undersigned certifies, pursuant to 18 U.S.C. §1350, as adopted pursuant to §906 of the Sarbanes-Oxley Act of 2002, that, to the best of her knowledge:</w:t>
      </w:r>
    </w:p>
    <w:p>
      <w:pPr>
        <w:spacing w:after="0" w:line="374" w:lineRule="exact"/>
        <w:rPr>
          <w:sz w:val="20"/>
          <w:szCs w:val="20"/>
          <w:color w:val="auto"/>
        </w:rPr>
      </w:pPr>
    </w:p>
    <w:p>
      <w:pPr>
        <w:ind w:left="760" w:hanging="378"/>
        <w:spacing w:after="0"/>
        <w:tabs>
          <w:tab w:leader="none" w:pos="760" w:val="left"/>
        </w:tabs>
        <w:numPr>
          <w:ilvl w:val="0"/>
          <w:numId w:val="56"/>
        </w:numPr>
        <w:rPr>
          <w:rFonts w:ascii="Arial" w:cs="Arial" w:eastAsia="Arial" w:hAnsi="Arial"/>
          <w:sz w:val="18"/>
          <w:szCs w:val="18"/>
          <w:color w:val="auto"/>
        </w:rPr>
      </w:pPr>
      <w:r>
        <w:rPr>
          <w:rFonts w:ascii="Arial" w:cs="Arial" w:eastAsia="Arial" w:hAnsi="Arial"/>
          <w:sz w:val="16"/>
          <w:szCs w:val="16"/>
          <w:color w:val="auto"/>
        </w:rPr>
        <w:t>The Report fully complies with the requirements of section 13(a) or 15(d) of the Securities Exchange Act of 1934, as amended; and</w:t>
      </w:r>
    </w:p>
    <w:p>
      <w:pPr>
        <w:spacing w:after="0" w:line="184" w:lineRule="exact"/>
        <w:rPr>
          <w:rFonts w:ascii="Arial" w:cs="Arial" w:eastAsia="Arial" w:hAnsi="Arial"/>
          <w:sz w:val="18"/>
          <w:szCs w:val="18"/>
          <w:color w:val="auto"/>
        </w:rPr>
      </w:pPr>
    </w:p>
    <w:p>
      <w:pPr>
        <w:ind w:left="5880" w:right="200" w:hanging="5498"/>
        <w:spacing w:after="0" w:line="505" w:lineRule="auto"/>
        <w:tabs>
          <w:tab w:leader="none" w:pos="763" w:val="left"/>
        </w:tabs>
        <w:numPr>
          <w:ilvl w:val="0"/>
          <w:numId w:val="56"/>
        </w:numPr>
        <w:rPr>
          <w:rFonts w:ascii="Arial" w:cs="Arial" w:eastAsia="Arial" w:hAnsi="Arial"/>
          <w:sz w:val="18"/>
          <w:szCs w:val="18"/>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 Aura Biosciences, Inc.</w:t>
      </w:r>
    </w:p>
    <w:p>
      <w:pPr>
        <w:spacing w:after="0" w:line="1" w:lineRule="exact"/>
        <w:rPr>
          <w:sz w:val="20"/>
          <w:szCs w:val="20"/>
          <w:color w:val="auto"/>
        </w:rPr>
      </w:pPr>
    </w:p>
    <w:p>
      <w:pPr>
        <w:ind w:left="80"/>
        <w:spacing w:after="0"/>
        <w:tabs>
          <w:tab w:leader="none" w:pos="660" w:val="left"/>
          <w:tab w:leader="none" w:pos="5860" w:val="left"/>
          <w:tab w:leader="none" w:pos="7800" w:val="left"/>
        </w:tabs>
        <w:rPr>
          <w:sz w:val="20"/>
          <w:szCs w:val="20"/>
          <w:color w:val="auto"/>
        </w:rPr>
      </w:pPr>
      <w:r>
        <w:rPr>
          <w:rFonts w:ascii="Arial" w:cs="Arial" w:eastAsia="Arial" w:hAnsi="Arial"/>
          <w:sz w:val="16"/>
          <w:szCs w:val="16"/>
          <w:color w:val="auto"/>
        </w:rPr>
        <w:t>Date:</w:t>
        <w:tab/>
        <w:t>August 8, 2024</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Elisabet de los Pinos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20955</wp:posOffset>
            </wp:positionV>
            <wp:extent cx="3162935"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1">
                      <a:extLst>
                        <a:ext uri="{28A0092B-C50C-407E-A947-70E740481C1C}"/>
                      </a:extLst>
                    </a:blip>
                    <a:srcRect/>
                    <a:stretch>
                      <a:fillRect/>
                    </a:stretch>
                  </pic:blipFill>
                  <pic:spPr bwMode="auto">
                    <a:xfrm>
                      <a:off x="0" y="0"/>
                      <a:ext cx="3162935" cy="8255"/>
                    </a:xfrm>
                    <a:prstGeom prst="rect">
                      <a:avLst/>
                    </a:prstGeom>
                    <a:noFill/>
                  </pic:spPr>
                </pic:pic>
              </a:graphicData>
            </a:graphic>
          </wp:anchor>
        </w:drawing>
      </w:r>
    </w:p>
    <w:p>
      <w:pPr>
        <w:spacing w:after="0" w:line="26" w:lineRule="exact"/>
        <w:rPr>
          <w:sz w:val="20"/>
          <w:szCs w:val="20"/>
          <w:color w:val="auto"/>
        </w:rPr>
      </w:pPr>
    </w:p>
    <w:p>
      <w:pPr>
        <w:jc w:val="center"/>
        <w:ind w:left="6120"/>
        <w:spacing w:after="0"/>
        <w:rPr>
          <w:sz w:val="20"/>
          <w:szCs w:val="20"/>
          <w:color w:val="auto"/>
        </w:rPr>
      </w:pPr>
      <w:r>
        <w:rPr>
          <w:rFonts w:ascii="Arial" w:cs="Arial" w:eastAsia="Arial" w:hAnsi="Arial"/>
          <w:sz w:val="16"/>
          <w:szCs w:val="16"/>
          <w:b w:val="1"/>
          <w:bCs w:val="1"/>
          <w:color w:val="auto"/>
        </w:rPr>
        <w:t>Elisabet de los Pinos</w:t>
      </w:r>
    </w:p>
    <w:p>
      <w:pPr>
        <w:spacing w:after="0" w:line="39" w:lineRule="exact"/>
        <w:rPr>
          <w:sz w:val="20"/>
          <w:szCs w:val="20"/>
          <w:color w:val="auto"/>
        </w:rPr>
      </w:pPr>
    </w:p>
    <w:p>
      <w:pPr>
        <w:jc w:val="center"/>
        <w:ind w:left="6120"/>
        <w:spacing w:after="0"/>
        <w:rPr>
          <w:sz w:val="20"/>
          <w:szCs w:val="20"/>
          <w:color w:val="auto"/>
        </w:rPr>
      </w:pPr>
      <w:r>
        <w:rPr>
          <w:rFonts w:ascii="Arial" w:cs="Arial" w:eastAsia="Arial" w:hAnsi="Arial"/>
          <w:sz w:val="16"/>
          <w:szCs w:val="16"/>
          <w:b w:val="1"/>
          <w:bCs w:val="1"/>
          <w:color w:val="auto"/>
        </w:rPr>
        <w:t>President and Chief Executive Officer</w:t>
      </w:r>
    </w:p>
    <w:p>
      <w:pPr>
        <w:spacing w:after="0" w:line="200" w:lineRule="exact"/>
        <w:rPr>
          <w:sz w:val="20"/>
          <w:szCs w:val="20"/>
          <w:color w:val="auto"/>
        </w:rPr>
      </w:pPr>
    </w:p>
    <w:p>
      <w:pPr>
        <w:spacing w:after="0" w:line="230" w:lineRule="exact"/>
        <w:rPr>
          <w:sz w:val="20"/>
          <w:szCs w:val="20"/>
          <w:color w:val="auto"/>
        </w:rPr>
      </w:pPr>
    </w:p>
    <w:p>
      <w:pPr>
        <w:ind w:left="80"/>
        <w:spacing w:after="0"/>
        <w:tabs>
          <w:tab w:leader="none" w:pos="620" w:val="left"/>
          <w:tab w:leader="none" w:pos="5860" w:val="left"/>
          <w:tab w:leader="none" w:pos="8160" w:val="left"/>
        </w:tabs>
        <w:rPr>
          <w:sz w:val="20"/>
          <w:szCs w:val="20"/>
          <w:color w:val="auto"/>
        </w:rPr>
      </w:pPr>
      <w:r>
        <w:rPr>
          <w:rFonts w:ascii="Arial" w:cs="Arial" w:eastAsia="Arial" w:hAnsi="Arial"/>
          <w:sz w:val="16"/>
          <w:szCs w:val="16"/>
          <w:color w:val="auto"/>
        </w:rPr>
        <w:t>Date:</w:t>
        <w:tab/>
        <w:t>August 8, 2024</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Julie Feder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20955</wp:posOffset>
            </wp:positionV>
            <wp:extent cx="3162935"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2">
                      <a:extLst>
                        <a:ext uri="{28A0092B-C50C-407E-A947-70E740481C1C}"/>
                      </a:extLst>
                    </a:blip>
                    <a:srcRect/>
                    <a:stretch>
                      <a:fillRect/>
                    </a:stretch>
                  </pic:blipFill>
                  <pic:spPr bwMode="auto">
                    <a:xfrm>
                      <a:off x="0" y="0"/>
                      <a:ext cx="3162935" cy="8255"/>
                    </a:xfrm>
                    <a:prstGeom prst="rect">
                      <a:avLst/>
                    </a:prstGeom>
                    <a:noFill/>
                  </pic:spPr>
                </pic:pic>
              </a:graphicData>
            </a:graphic>
          </wp:anchor>
        </w:drawing>
      </w:r>
    </w:p>
    <w:p>
      <w:pPr>
        <w:spacing w:after="0" w:line="26" w:lineRule="exact"/>
        <w:rPr>
          <w:sz w:val="20"/>
          <w:szCs w:val="20"/>
          <w:color w:val="auto"/>
        </w:rPr>
      </w:pPr>
    </w:p>
    <w:p>
      <w:pPr>
        <w:jc w:val="center"/>
        <w:ind w:left="6120"/>
        <w:spacing w:after="0"/>
        <w:rPr>
          <w:sz w:val="20"/>
          <w:szCs w:val="20"/>
          <w:color w:val="auto"/>
        </w:rPr>
      </w:pPr>
      <w:r>
        <w:rPr>
          <w:rFonts w:ascii="Arial" w:cs="Arial" w:eastAsia="Arial" w:hAnsi="Arial"/>
          <w:sz w:val="16"/>
          <w:szCs w:val="16"/>
          <w:b w:val="1"/>
          <w:bCs w:val="1"/>
          <w:color w:val="auto"/>
        </w:rPr>
        <w:t>Julie Feder</w:t>
      </w:r>
    </w:p>
    <w:p>
      <w:pPr>
        <w:spacing w:after="0" w:line="39" w:lineRule="exact"/>
        <w:rPr>
          <w:sz w:val="20"/>
          <w:szCs w:val="20"/>
          <w:color w:val="auto"/>
        </w:rPr>
      </w:pPr>
    </w:p>
    <w:p>
      <w:pPr>
        <w:jc w:val="center"/>
        <w:ind w:left="6120"/>
        <w:spacing w:after="0"/>
        <w:rPr>
          <w:sz w:val="20"/>
          <w:szCs w:val="20"/>
          <w:color w:val="auto"/>
        </w:rPr>
      </w:pPr>
      <w:r>
        <w:rPr>
          <w:rFonts w:ascii="Arial" w:cs="Arial" w:eastAsia="Arial" w:hAnsi="Arial"/>
          <w:sz w:val="16"/>
          <w:szCs w:val="16"/>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1247140</wp:posOffset>
            </wp:positionV>
            <wp:extent cx="715772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94" w:name="page95"/>
    <w:bookmarkEnd w:id="9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36C40E"/>
    <w:multiLevelType w:val="hybridMultilevel"/>
    <w:lvl w:ilvl="0">
      <w:lvlJc w:val="left"/>
      <w:lvlText w:val="☒"/>
      <w:numFmt w:val="bullet"/>
      <w:start w:val="1"/>
    </w:lvl>
  </w:abstractNum>
  <w:abstractNum w:abstractNumId="1">
    <w:nsid w:val="2901D82"/>
    <w:multiLevelType w:val="hybridMultilevel"/>
    <w:lvl w:ilvl="0">
      <w:lvlJc w:val="left"/>
      <w:lvlText w:val="☐"/>
      <w:numFmt w:val="bullet"/>
      <w:start w:val="1"/>
    </w:lvl>
  </w:abstractNum>
  <w:abstractNum w:abstractNumId="2">
    <w:nsid w:val="3A95F874"/>
    <w:multiLevelType w:val="hybridMultilevel"/>
    <w:lvl w:ilvl="0">
      <w:lvlJc w:val="left"/>
      <w:lvlText w:val="•"/>
      <w:numFmt w:val="bullet"/>
      <w:start w:val="1"/>
    </w:lvl>
  </w:abstractNum>
  <w:abstractNum w:abstractNumId="3">
    <w:nsid w:val="8138641"/>
    <w:multiLevelType w:val="hybridMultilevel"/>
    <w:lvl w:ilvl="0">
      <w:lvlJc w:val="left"/>
      <w:lvlText w:val="•"/>
      <w:numFmt w:val="bullet"/>
      <w:start w:val="1"/>
    </w:lvl>
  </w:abstractNum>
  <w:abstractNum w:abstractNumId="4">
    <w:nsid w:val="1E7FF521"/>
    <w:multiLevelType w:val="hybridMultilevel"/>
    <w:lvl w:ilvl="0">
      <w:lvlJc w:val="left"/>
      <w:lvlText w:val="%1."/>
      <w:numFmt w:val="decimal"/>
      <w:start w:val="2"/>
    </w:lvl>
  </w:abstractNum>
  <w:abstractNum w:abstractNumId="5">
    <w:nsid w:val="7C3DBD3D"/>
    <w:multiLevelType w:val="hybridMultilevel"/>
    <w:lvl w:ilvl="0">
      <w:lvlJc w:val="left"/>
      <w:lvlText w:val="▪"/>
      <w:numFmt w:val="bullet"/>
      <w:start w:val="1"/>
    </w:lvl>
  </w:abstractNum>
  <w:abstractNum w:abstractNumId="6">
    <w:nsid w:val="737B8DDC"/>
    <w:multiLevelType w:val="hybridMultilevel"/>
    <w:lvl w:ilvl="0">
      <w:lvlJc w:val="left"/>
      <w:lvlText w:val="%1."/>
      <w:numFmt w:val="decimal"/>
      <w:start w:val="12"/>
    </w:lvl>
  </w:abstractNum>
  <w:abstractNum w:abstractNumId="7">
    <w:nsid w:val="6CEAF087"/>
    <w:multiLevelType w:val="hybridMultilevel"/>
    <w:lvl w:ilvl="0">
      <w:lvlJc w:val="left"/>
      <w:lvlText w:val="▪"/>
      <w:numFmt w:val="bullet"/>
      <w:start w:val="1"/>
    </w:lvl>
  </w:abstractNum>
  <w:abstractNum w:abstractNumId="8">
    <w:nsid w:val="22221A70"/>
    <w:multiLevelType w:val="hybridMultilevel"/>
    <w:lvl w:ilvl="0">
      <w:lvlJc w:val="left"/>
      <w:lvlText w:val="▪"/>
      <w:numFmt w:val="bullet"/>
      <w:start w:val="1"/>
    </w:lvl>
  </w:abstractNum>
  <w:abstractNum w:abstractNumId="9">
    <w:nsid w:val="4516DDE9"/>
    <w:multiLevelType w:val="hybridMultilevel"/>
    <w:lvl w:ilvl="0">
      <w:lvlJc w:val="left"/>
      <w:lvlText w:val="▪"/>
      <w:numFmt w:val="bullet"/>
      <w:start w:val="1"/>
    </w:lvl>
  </w:abstractNum>
  <w:abstractNum w:abstractNumId="10">
    <w:nsid w:val="3006C83E"/>
    <w:multiLevelType w:val="hybridMultilevel"/>
    <w:lvl w:ilvl="0">
      <w:lvlJc w:val="left"/>
      <w:lvlText w:val="▪"/>
      <w:numFmt w:val="bullet"/>
      <w:start w:val="1"/>
    </w:lvl>
  </w:abstractNum>
  <w:abstractNum w:abstractNumId="11">
    <w:nsid w:val="614FD4A1"/>
    <w:multiLevelType w:val="hybridMultilevel"/>
    <w:lvl w:ilvl="0">
      <w:lvlJc w:val="left"/>
      <w:lvlText w:val="▪"/>
      <w:numFmt w:val="bullet"/>
      <w:start w:val="1"/>
    </w:lvl>
  </w:abstractNum>
  <w:abstractNum w:abstractNumId="12">
    <w:nsid w:val="419AC241"/>
    <w:multiLevelType w:val="hybridMultilevel"/>
    <w:lvl w:ilvl="0">
      <w:lvlJc w:val="left"/>
      <w:lvlText w:val="(%1)"/>
      <w:numFmt w:val="decimal"/>
      <w:start w:val="1"/>
    </w:lvl>
  </w:abstractNum>
  <w:abstractNum w:abstractNumId="13">
    <w:nsid w:val="5577F8E1"/>
    <w:multiLevelType w:val="hybridMultilevel"/>
    <w:lvl w:ilvl="0">
      <w:lvlJc w:val="left"/>
      <w:lvlText w:val="▪"/>
      <w:numFmt w:val="bullet"/>
      <w:start w:val="1"/>
    </w:lvl>
  </w:abstractNum>
  <w:abstractNum w:abstractNumId="14">
    <w:nsid w:val="440BADFC"/>
    <w:multiLevelType w:val="hybridMultilevel"/>
    <w:lvl w:ilvl="0">
      <w:lvlJc w:val="left"/>
      <w:lvlText w:val="▪"/>
      <w:numFmt w:val="bullet"/>
      <w:start w:val="1"/>
    </w:lvl>
  </w:abstractNum>
  <w:abstractNum w:abstractNumId="15">
    <w:nsid w:val="5072367"/>
    <w:multiLevelType w:val="hybridMultilevel"/>
    <w:lvl w:ilvl="0">
      <w:lvlJc w:val="left"/>
      <w:lvlText w:val="▪"/>
      <w:numFmt w:val="bullet"/>
      <w:start w:val="1"/>
    </w:lvl>
  </w:abstractNum>
  <w:abstractNum w:abstractNumId="16">
    <w:nsid w:val="3804823E"/>
    <w:multiLevelType w:val="hybridMultilevel"/>
    <w:lvl w:ilvl="0">
      <w:lvlJc w:val="left"/>
      <w:lvlText w:val="▪"/>
      <w:numFmt w:val="bullet"/>
      <w:start w:val="1"/>
    </w:lvl>
  </w:abstractNum>
  <w:abstractNum w:abstractNumId="17">
    <w:nsid w:val="77465F01"/>
    <w:multiLevelType w:val="hybridMultilevel"/>
    <w:lvl w:ilvl="0">
      <w:lvlJc w:val="left"/>
      <w:lvlText w:val="▪"/>
      <w:numFmt w:val="bullet"/>
      <w:start w:val="1"/>
    </w:lvl>
  </w:abstractNum>
  <w:abstractNum w:abstractNumId="18">
    <w:nsid w:val="7724C67E"/>
    <w:multiLevelType w:val="hybridMultilevel"/>
    <w:lvl w:ilvl="0">
      <w:lvlJc w:val="left"/>
      <w:lvlText w:val="▪"/>
      <w:numFmt w:val="bullet"/>
      <w:start w:val="1"/>
    </w:lvl>
  </w:abstractNum>
  <w:abstractNum w:abstractNumId="19">
    <w:nsid w:val="5C482A97"/>
    <w:multiLevelType w:val="hybridMultilevel"/>
    <w:lvl w:ilvl="0">
      <w:lvlJc w:val="left"/>
      <w:lvlText w:val="▪"/>
      <w:numFmt w:val="bullet"/>
      <w:start w:val="1"/>
    </w:lvl>
  </w:abstractNum>
  <w:abstractNum w:abstractNumId="20">
    <w:nsid w:val="2463B9EA"/>
    <w:multiLevelType w:val="hybridMultilevel"/>
    <w:lvl w:ilvl="0">
      <w:lvlJc w:val="left"/>
      <w:lvlText w:val="▪"/>
      <w:numFmt w:val="bullet"/>
      <w:start w:val="1"/>
    </w:lvl>
  </w:abstractNum>
  <w:abstractNum w:abstractNumId="21">
    <w:nsid w:val="5E884ADC"/>
    <w:multiLevelType w:val="hybridMultilevel"/>
    <w:lvl w:ilvl="0">
      <w:lvlJc w:val="left"/>
      <w:lvlText w:val="▪"/>
      <w:numFmt w:val="bullet"/>
      <w:start w:val="1"/>
    </w:lvl>
  </w:abstractNum>
  <w:abstractNum w:abstractNumId="22">
    <w:nsid w:val="51EAD36B"/>
    <w:multiLevelType w:val="hybridMultilevel"/>
    <w:lvl w:ilvl="0">
      <w:lvlJc w:val="left"/>
      <w:lvlText w:val="▪"/>
      <w:numFmt w:val="bullet"/>
      <w:start w:val="1"/>
    </w:lvl>
  </w:abstractNum>
  <w:abstractNum w:abstractNumId="23">
    <w:nsid w:val="2D517796"/>
    <w:multiLevelType w:val="hybridMultilevel"/>
    <w:lvl w:ilvl="0">
      <w:lvlJc w:val="left"/>
      <w:lvlText w:val="▪"/>
      <w:numFmt w:val="bullet"/>
      <w:start w:val="1"/>
    </w:lvl>
  </w:abstractNum>
  <w:abstractNum w:abstractNumId="24">
    <w:nsid w:val="580BD78F"/>
    <w:multiLevelType w:val="hybridMultilevel"/>
    <w:lvl w:ilvl="0">
      <w:lvlJc w:val="left"/>
      <w:lvlText w:val="▪"/>
      <w:numFmt w:val="bullet"/>
      <w:start w:val="1"/>
    </w:lvl>
  </w:abstractNum>
  <w:abstractNum w:abstractNumId="25">
    <w:nsid w:val="153EA438"/>
    <w:multiLevelType w:val="hybridMultilevel"/>
    <w:lvl w:ilvl="0">
      <w:lvlJc w:val="left"/>
      <w:lvlText w:val="▪"/>
      <w:numFmt w:val="bullet"/>
      <w:start w:val="1"/>
    </w:lvl>
  </w:abstractNum>
  <w:abstractNum w:abstractNumId="26">
    <w:nsid w:val="3855585C"/>
    <w:multiLevelType w:val="hybridMultilevel"/>
    <w:lvl w:ilvl="0">
      <w:lvlJc w:val="left"/>
      <w:lvlText w:val="▪"/>
      <w:numFmt w:val="bullet"/>
      <w:start w:val="1"/>
    </w:lvl>
  </w:abstractNum>
  <w:abstractNum w:abstractNumId="27">
    <w:nsid w:val="70A64E2A"/>
    <w:multiLevelType w:val="hybridMultilevel"/>
    <w:lvl w:ilvl="0">
      <w:lvlJc w:val="left"/>
      <w:lvlText w:val="▪"/>
      <w:numFmt w:val="bullet"/>
      <w:start w:val="1"/>
    </w:lvl>
  </w:abstractNum>
  <w:abstractNum w:abstractNumId="28">
    <w:nsid w:val="6A2342EC"/>
    <w:multiLevelType w:val="hybridMultilevel"/>
    <w:lvl w:ilvl="0">
      <w:lvlJc w:val="left"/>
      <w:lvlText w:val="▪"/>
      <w:numFmt w:val="bullet"/>
      <w:start w:val="1"/>
    </w:lvl>
  </w:abstractNum>
  <w:abstractNum w:abstractNumId="29">
    <w:nsid w:val="2A487CB0"/>
    <w:multiLevelType w:val="hybridMultilevel"/>
    <w:lvl w:ilvl="0">
      <w:lvlJc w:val="left"/>
      <w:lvlText w:val="▪"/>
      <w:numFmt w:val="bullet"/>
      <w:start w:val="1"/>
    </w:lvl>
  </w:abstractNum>
  <w:abstractNum w:abstractNumId="30">
    <w:nsid w:val="1D4ED43B"/>
    <w:multiLevelType w:val="hybridMultilevel"/>
    <w:lvl w:ilvl="0">
      <w:lvlJc w:val="left"/>
      <w:lvlText w:val="▪"/>
      <w:numFmt w:val="bullet"/>
      <w:start w:val="1"/>
    </w:lvl>
  </w:abstractNum>
  <w:abstractNum w:abstractNumId="31">
    <w:nsid w:val="725A06FB"/>
    <w:multiLevelType w:val="hybridMultilevel"/>
    <w:lvl w:ilvl="0">
      <w:lvlJc w:val="left"/>
      <w:lvlText w:val="▪"/>
      <w:numFmt w:val="bullet"/>
      <w:start w:val="1"/>
    </w:lvl>
  </w:abstractNum>
  <w:abstractNum w:abstractNumId="32">
    <w:nsid w:val="2CD89A32"/>
    <w:multiLevelType w:val="hybridMultilevel"/>
    <w:lvl w:ilvl="0">
      <w:lvlJc w:val="left"/>
      <w:lvlText w:val="▪"/>
      <w:numFmt w:val="bullet"/>
      <w:start w:val="1"/>
    </w:lvl>
  </w:abstractNum>
  <w:abstractNum w:abstractNumId="33">
    <w:nsid w:val="57E4CCAF"/>
    <w:multiLevelType w:val="hybridMultilevel"/>
    <w:lvl w:ilvl="0">
      <w:lvlJc w:val="left"/>
      <w:lvlText w:val="▪"/>
      <w:numFmt w:val="bullet"/>
      <w:start w:val="1"/>
    </w:lvl>
  </w:abstractNum>
  <w:abstractNum w:abstractNumId="34">
    <w:nsid w:val="7A6D8D3C"/>
    <w:multiLevelType w:val="hybridMultilevel"/>
    <w:lvl w:ilvl="0">
      <w:lvlJc w:val="left"/>
      <w:lvlText w:val="▪"/>
      <w:numFmt w:val="bullet"/>
      <w:start w:val="1"/>
    </w:lvl>
  </w:abstractNum>
  <w:abstractNum w:abstractNumId="35">
    <w:nsid w:val="4B588F54"/>
    <w:multiLevelType w:val="hybridMultilevel"/>
    <w:lvl w:ilvl="0">
      <w:lvlJc w:val="left"/>
      <w:lvlText w:val="▪"/>
      <w:numFmt w:val="bullet"/>
      <w:start w:val="1"/>
    </w:lvl>
  </w:abstractNum>
  <w:abstractNum w:abstractNumId="36">
    <w:nsid w:val="542289EC"/>
    <w:multiLevelType w:val="hybridMultilevel"/>
    <w:lvl w:ilvl="0">
      <w:lvlJc w:val="left"/>
      <w:lvlText w:val="▪"/>
      <w:numFmt w:val="bullet"/>
      <w:start w:val="1"/>
    </w:lvl>
  </w:abstractNum>
  <w:abstractNum w:abstractNumId="37">
    <w:nsid w:val="6DE91B18"/>
    <w:multiLevelType w:val="hybridMultilevel"/>
    <w:lvl w:ilvl="0">
      <w:lvlJc w:val="left"/>
      <w:lvlText w:val="▪"/>
      <w:numFmt w:val="bullet"/>
      <w:start w:val="1"/>
    </w:lvl>
  </w:abstractNum>
  <w:abstractNum w:abstractNumId="38">
    <w:nsid w:val="38437FDB"/>
    <w:multiLevelType w:val="hybridMultilevel"/>
    <w:lvl w:ilvl="0">
      <w:lvlJc w:val="left"/>
      <w:lvlText w:val="▪"/>
      <w:numFmt w:val="bullet"/>
      <w:start w:val="1"/>
    </w:lvl>
  </w:abstractNum>
  <w:abstractNum w:abstractNumId="39">
    <w:nsid w:val="7644A45C"/>
    <w:multiLevelType w:val="hybridMultilevel"/>
    <w:lvl w:ilvl="0">
      <w:lvlJc w:val="left"/>
      <w:lvlText w:val="(%1)"/>
      <w:numFmt w:val="lowerLetter"/>
      <w:start w:val="1"/>
    </w:lvl>
  </w:abstractNum>
  <w:abstractNum w:abstractNumId="40">
    <w:nsid w:val="32FFF902"/>
    <w:multiLevelType w:val="hybridMultilevel"/>
    <w:lvl w:ilvl="0">
      <w:lvlJc w:val="left"/>
      <w:lvlText w:val="*"/>
      <w:numFmt w:val="bullet"/>
      <w:start w:val="1"/>
    </w:lvl>
    <w:lvl w:ilvl="1">
      <w:lvlJc w:val="left"/>
      <w:lvlText w:val="%2"/>
      <w:numFmt w:val="decimal"/>
      <w:start w:val="104"/>
    </w:lvl>
  </w:abstractNum>
  <w:abstractNum w:abstractNumId="41">
    <w:nsid w:val="684A481A"/>
    <w:multiLevelType w:val="hybridMultilevel"/>
    <w:lvl w:ilvl="0">
      <w:lvlJc w:val="left"/>
      <w:lvlText w:val="#"/>
      <w:numFmt w:val="bullet"/>
      <w:start w:val="1"/>
    </w:lvl>
  </w:abstractNum>
  <w:abstractNum w:abstractNumId="42">
    <w:nsid w:val="579478FE"/>
    <w:multiLevelType w:val="hybridMultilevel"/>
    <w:lvl w:ilvl="0">
      <w:lvlJc w:val="left"/>
      <w:lvlText w:val="%1."/>
      <w:numFmt w:val="decimal"/>
      <w:start w:val="1"/>
    </w:lvl>
  </w:abstractNum>
  <w:abstractNum w:abstractNumId="43">
    <w:nsid w:val="749ABB43"/>
    <w:multiLevelType w:val="hybridMultilevel"/>
    <w:lvl w:ilvl="0">
      <w:lvlJc w:val="left"/>
      <w:lvlText w:val="%1."/>
      <w:numFmt w:val="upperLetter"/>
      <w:start w:val="1"/>
    </w:lvl>
  </w:abstractNum>
  <w:abstractNum w:abstractNumId="44">
    <w:nsid w:val="3DC240FB"/>
    <w:multiLevelType w:val="hybridMultilevel"/>
    <w:lvl w:ilvl="0">
      <w:lvlJc w:val="left"/>
      <w:lvlText w:val="(%1)"/>
      <w:numFmt w:val="lowerLetter"/>
      <w:start w:val="1"/>
    </w:lvl>
  </w:abstractNum>
  <w:abstractNum w:abstractNumId="45">
    <w:nsid w:val="1BA026FA"/>
    <w:multiLevelType w:val="hybridMultilevel"/>
    <w:lvl w:ilvl="0">
      <w:lvlJc w:val="left"/>
      <w:lvlText w:val="(%1)"/>
      <w:numFmt w:val="lowerLetter"/>
      <w:start w:val="3"/>
    </w:lvl>
    <w:lvl w:ilvl="1">
      <w:lvlJc w:val="left"/>
      <w:lvlText w:val="%2."/>
      <w:numFmt w:val="upperLetter"/>
      <w:start w:val="2"/>
    </w:lvl>
  </w:abstractNum>
  <w:abstractNum w:abstractNumId="46">
    <w:nsid w:val="79A1DEAA"/>
    <w:multiLevelType w:val="hybridMultilevel"/>
    <w:lvl w:ilvl="0">
      <w:lvlJc w:val="left"/>
      <w:lvlText w:val="%1."/>
      <w:numFmt w:val="decimal"/>
      <w:start w:val="1"/>
    </w:lvl>
  </w:abstractNum>
  <w:abstractNum w:abstractNumId="47">
    <w:nsid w:val="75C6C33A"/>
    <w:multiLevelType w:val="hybridMultilevel"/>
    <w:lvl w:ilvl="0">
      <w:lvlJc w:val="left"/>
      <w:lvlText w:val="%1."/>
      <w:numFmt w:val="decimal"/>
      <w:start w:val="1"/>
    </w:lvl>
  </w:abstractNum>
  <w:abstractNum w:abstractNumId="48">
    <w:nsid w:val="12E685FB"/>
    <w:multiLevelType w:val="hybridMultilevel"/>
    <w:lvl w:ilvl="0">
      <w:lvlJc w:val="left"/>
      <w:lvlText w:val="%1."/>
      <w:numFmt w:val="decimal"/>
      <w:start w:val="2"/>
    </w:lvl>
  </w:abstractNum>
  <w:abstractNum w:abstractNumId="49">
    <w:nsid w:val="70C6A529"/>
    <w:multiLevelType w:val="hybridMultilevel"/>
    <w:lvl w:ilvl="0">
      <w:lvlJc w:val="left"/>
      <w:lvlText w:val="%1."/>
      <w:numFmt w:val="decimal"/>
      <w:start w:val="4"/>
    </w:lvl>
  </w:abstractNum>
  <w:abstractNum w:abstractNumId="50">
    <w:nsid w:val="520EEDD1"/>
    <w:multiLevelType w:val="hybridMultilevel"/>
    <w:lvl w:ilvl="0">
      <w:lvlJc w:val="left"/>
      <w:lvlText w:val="%1."/>
      <w:numFmt w:val="decimal"/>
      <w:start w:val="5"/>
    </w:lvl>
  </w:abstractNum>
  <w:abstractNum w:abstractNumId="51">
    <w:nsid w:val="374A3FE6"/>
    <w:multiLevelType w:val="hybridMultilevel"/>
    <w:lvl w:ilvl="0">
      <w:lvlJc w:val="left"/>
      <w:lvlText w:val="%1."/>
      <w:numFmt w:val="decimal"/>
      <w:start w:val="1"/>
    </w:lvl>
  </w:abstractNum>
  <w:abstractNum w:abstractNumId="52">
    <w:nsid w:val="4F4EF005"/>
    <w:multiLevelType w:val="hybridMultilevel"/>
    <w:lvl w:ilvl="0">
      <w:lvlJc w:val="left"/>
      <w:lvlText w:val="%1."/>
      <w:numFmt w:val="decimal"/>
      <w:start w:val="1"/>
    </w:lvl>
  </w:abstractNum>
  <w:abstractNum w:abstractNumId="53">
    <w:nsid w:val="23F9C13C"/>
    <w:multiLevelType w:val="hybridMultilevel"/>
    <w:lvl w:ilvl="0">
      <w:lvlJc w:val="left"/>
      <w:lvlText w:val="%1."/>
      <w:numFmt w:val="decimal"/>
      <w:start w:val="1"/>
    </w:lvl>
    <w:lvl w:ilvl="1">
      <w:lvlJc w:val="left"/>
      <w:lvlText w:val="(%2)"/>
      <w:numFmt w:val="lowerLetter"/>
      <w:start w:val="1"/>
    </w:lvl>
  </w:abstractNum>
  <w:abstractNum w:abstractNumId="54">
    <w:nsid w:val="649BB77C"/>
    <w:multiLevelType w:val="hybridMultilevel"/>
    <w:lvl w:ilvl="0">
      <w:lvlJc w:val="left"/>
      <w:lvlText w:val="%1."/>
      <w:numFmt w:val="decimal"/>
      <w:start w:val="1"/>
    </w:lvl>
    <w:lvl w:ilvl="1">
      <w:lvlJc w:val="left"/>
      <w:lvlText w:val="(%2)"/>
      <w:numFmt w:val="lowerLetter"/>
      <w:start w:val="1"/>
    </w:lvl>
  </w:abstractNum>
  <w:abstractNum w:abstractNumId="55">
    <w:nsid w:val="275AC79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8" Type="http://schemas.openxmlformats.org/officeDocument/2006/relationships/image" Target="media/image269.png"/><Relationship Id="rId279" Type="http://schemas.openxmlformats.org/officeDocument/2006/relationships/image" Target="media/image270.png"/><Relationship Id="rId280" Type="http://schemas.openxmlformats.org/officeDocument/2006/relationships/image" Target="media/image271.png"/><Relationship Id="rId281" Type="http://schemas.openxmlformats.org/officeDocument/2006/relationships/image" Target="media/image272.png"/><Relationship Id="rId282" Type="http://schemas.openxmlformats.org/officeDocument/2006/relationships/image" Target="media/image273.png"/><Relationship Id="rId283" Type="http://schemas.openxmlformats.org/officeDocument/2006/relationships/image" Target="media/image274.png"/><Relationship Id="rId284" Type="http://schemas.openxmlformats.org/officeDocument/2006/relationships/image" Target="media/image275.png"/><Relationship Id="rId285" Type="http://schemas.openxmlformats.org/officeDocument/2006/relationships/image" Target="media/image276.png"/><Relationship Id="rId286" Type="http://schemas.openxmlformats.org/officeDocument/2006/relationships/image" Target="media/image277.png"/><Relationship Id="rId287" Type="http://schemas.openxmlformats.org/officeDocument/2006/relationships/image" Target="media/image278.png"/><Relationship Id="rId288" Type="http://schemas.openxmlformats.org/officeDocument/2006/relationships/image" Target="media/image279.png"/><Relationship Id="rId289" Type="http://schemas.openxmlformats.org/officeDocument/2006/relationships/image" Target="media/image280.png"/><Relationship Id="rId290" Type="http://schemas.openxmlformats.org/officeDocument/2006/relationships/image" Target="media/image281.png"/><Relationship Id="rId291" Type="http://schemas.openxmlformats.org/officeDocument/2006/relationships/image" Target="media/image282.png"/><Relationship Id="rId292" Type="http://schemas.openxmlformats.org/officeDocument/2006/relationships/image" Target="media/image283.png"/><Relationship Id="rId293" Type="http://schemas.openxmlformats.org/officeDocument/2006/relationships/image" Target="media/image284.png"/><Relationship Id="rId294" Type="http://schemas.openxmlformats.org/officeDocument/2006/relationships/image" Target="media/image285.png"/><Relationship Id="rId295" Type="http://schemas.openxmlformats.org/officeDocument/2006/relationships/image" Target="media/image286.png"/><Relationship Id="rId296" Type="http://schemas.openxmlformats.org/officeDocument/2006/relationships/image" Target="media/image287.png"/><Relationship Id="rId297" Type="http://schemas.openxmlformats.org/officeDocument/2006/relationships/image" Target="media/image288.png"/><Relationship Id="rId298" Type="http://schemas.openxmlformats.org/officeDocument/2006/relationships/image" Target="media/image289.png"/><Relationship Id="rId299" Type="http://schemas.openxmlformats.org/officeDocument/2006/relationships/image" Target="media/image290.png"/><Relationship Id="rId300" Type="http://schemas.openxmlformats.org/officeDocument/2006/relationships/image" Target="media/image291.png"/><Relationship Id="rId301" Type="http://schemas.openxmlformats.org/officeDocument/2006/relationships/image" Target="media/image292.png"/><Relationship Id="rId302" Type="http://schemas.openxmlformats.org/officeDocument/2006/relationships/image" Target="media/image293.png"/><Relationship Id="rId303" Type="http://schemas.openxmlformats.org/officeDocument/2006/relationships/image" Target="media/image294.png"/><Relationship Id="rId276" Type="http://schemas.openxmlformats.org/officeDocument/2006/relationships/hyperlink" Target="https://www.sec.gov/Archives/edgar/data/1501796/000095017022004425/aura-ex3_2.htm" TargetMode="External"/><Relationship Id="rId277" Type="http://schemas.openxmlformats.org/officeDocument/2006/relationships/hyperlink" Target="https://www.sec.gov/Archives/edgar/data/1501796/000119312521295543/d209588dex4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2024-08-08T06:21:52Z</dcterms:created>
  <dcterms:modified xsi:type="dcterms:W3CDTF">2024-08-08T06:21:52Z</dcterms:modified>
</cp:coreProperties>
</file>