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4020" w:right="3200" w:hanging="3999"/>
        <w:spacing w:after="0" w:line="298" w:lineRule="auto"/>
        <w:tabs>
          <w:tab w:leader="none" w:pos="48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57" w:lineRule="exact"/>
        <w:rPr>
          <w:sz w:val="24"/>
          <w:szCs w:val="24"/>
          <w:color w:val="auto"/>
        </w:rPr>
      </w:pPr>
    </w:p>
    <w:p>
      <w:pPr>
        <w:ind w:left="480" w:right="20" w:hanging="459"/>
        <w:spacing w:after="0" w:line="268" w:lineRule="auto"/>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AURA BIOSCIENCES, INC.</w:t>
      </w:r>
    </w:p>
    <w:p>
      <w:pPr>
        <w:sectPr>
          <w:pgSz w:w="11900" w:h="16838" w:orient="portrait"/>
          <w:cols w:equalWidth="0" w:num="1">
            <w:col w:w="11240"/>
          </w:cols>
          <w:pgMar w:left="320" w:top="1055"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Delaware</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(State or other jurisdiction of</w:t>
      </w:r>
    </w:p>
    <w:p>
      <w:pPr>
        <w:spacing w:after="0" w:line="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incorporation or organization)</w:t>
      </w:r>
    </w:p>
    <w:p>
      <w:pPr>
        <w:spacing w:after="0" w:line="57"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80 Guest Street</w:t>
      </w:r>
    </w:p>
    <w:p>
      <w:pPr>
        <w:spacing w:after="0" w:line="35"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32-0271970</w:t>
      </w:r>
    </w:p>
    <w:p>
      <w:pPr>
        <w:spacing w:after="0" w:line="3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(I.R.S. Employer</w:t>
      </w:r>
    </w:p>
    <w:p>
      <w:pPr>
        <w:spacing w:after="0" w:line="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Identification No.)</w:t>
      </w:r>
    </w:p>
    <w:p>
      <w:pPr>
        <w:spacing w:after="0" w:line="259"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02135</w:t>
      </w:r>
    </w:p>
    <w:p>
      <w:pPr>
        <w:spacing w:after="0" w:line="13" w:lineRule="exact"/>
        <w:rPr>
          <w:sz w:val="24"/>
          <w:szCs w:val="24"/>
          <w:color w:val="auto"/>
        </w:rPr>
      </w:pPr>
    </w:p>
    <w:p>
      <w:pPr>
        <w:sectPr>
          <w:pgSz w:w="11900" w:h="16838" w:orient="portrait"/>
          <w:cols w:equalWidth="0" w:num="2">
            <w:col w:w="7540" w:space="200"/>
            <w:col w:w="3500"/>
          </w:cols>
          <w:pgMar w:left="320" w:top="1055"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500-8864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280" w:type="dxa"/>
            <w:vAlign w:val="bottom"/>
            <w:vMerge w:val="restart"/>
          </w:tcPr>
          <w:p>
            <w:pPr>
              <w:ind w:left="1560"/>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23"/>
                <w:szCs w:val="23"/>
                <w:color w:val="auto"/>
              </w:rPr>
            </w:pPr>
          </w:p>
        </w:tc>
        <w:tc>
          <w:tcPr>
            <w:tcW w:w="282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rPr>
              <w:t>Trading</w:t>
            </w:r>
          </w:p>
        </w:tc>
        <w:tc>
          <w:tcPr>
            <w:tcW w:w="4020" w:type="dxa"/>
            <w:vAlign w:val="bottom"/>
            <w:vMerge w:val="restart"/>
          </w:tcPr>
          <w:p>
            <w:pPr>
              <w:jc w:val="center"/>
              <w:ind w:right="953"/>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rPr>
              <w:t>Symbol(s)</w:t>
            </w: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Stock, par value $0.00001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AURA</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20" w:type="dxa"/>
            <w:vAlign w:val="bottom"/>
            <w:tcBorders>
              <w:top w:val="single" w:sz="8" w:color="auto"/>
            </w:tcBorders>
          </w:tcPr>
          <w:p>
            <w:pPr>
              <w:jc w:val="center"/>
              <w:ind w:right="973"/>
              <w:spacing w:after="0"/>
              <w:rPr>
                <w:sz w:val="20"/>
                <w:szCs w:val="20"/>
                <w:color w:val="auto"/>
              </w:rPr>
            </w:pPr>
            <w:r>
              <w:rPr>
                <w:rFonts w:ascii="Arial" w:cs="Arial" w:eastAsia="Arial" w:hAnsi="Arial"/>
                <w:sz w:val="13"/>
                <w:szCs w:val="13"/>
                <w:color w:val="auto"/>
              </w:rPr>
              <w:t>Nasdaq Global Market LLC</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240" w:type="dxa"/>
            <w:vAlign w:val="bottom"/>
            <w:gridSpan w:val="6"/>
          </w:tcPr>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27"/>
        </w:trPr>
        <w:tc>
          <w:tcPr>
            <w:tcW w:w="7220" w:type="dxa"/>
            <w:vAlign w:val="bottom"/>
            <w:gridSpan w:val="5"/>
          </w:tcPr>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p>
        </w:tc>
        <w:tc>
          <w:tcPr>
            <w:tcW w:w="4020" w:type="dxa"/>
            <w:vAlign w:val="bottom"/>
          </w:tcPr>
          <w:p>
            <w:pPr>
              <w:ind w:left="10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jc w:val="both"/>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jc w:val="both"/>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7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0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14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7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00" w:type="dxa"/>
            <w:vAlign w:val="bottom"/>
          </w:tcPr>
          <w:p>
            <w:pPr>
              <w:ind w:left="44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514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227"/>
        </w:trPr>
        <w:tc>
          <w:tcPr>
            <w:tcW w:w="17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14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84"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ind w:right="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tabs>
          <w:tab w:leader="none" w:pos="74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35" w:lineRule="exact"/>
        <w:rPr>
          <w:sz w:val="24"/>
          <w:szCs w:val="24"/>
          <w:color w:val="auto"/>
        </w:rPr>
      </w:pPr>
    </w:p>
    <w:p>
      <w:pPr>
        <w:spacing w:after="0" w:line="281" w:lineRule="auto"/>
        <w:rPr>
          <w:sz w:val="20"/>
          <w:szCs w:val="20"/>
          <w:color w:val="auto"/>
        </w:rPr>
      </w:pPr>
      <w:r>
        <w:rPr>
          <w:rFonts w:ascii="Arial" w:cs="Arial" w:eastAsia="Arial" w:hAnsi="Arial"/>
          <w:sz w:val="13"/>
          <w:szCs w:val="13"/>
          <w:color w:val="auto"/>
        </w:rPr>
        <w:t>As of June 30, 2024 (the last business day of the Registrant’s most recently completed second fiscal quarter), the Registrant's aggregate market value of its voting common equity held by non-affiliates was $191.7 million based on the closing sale price of $7.56 per share as reported on the Nasdaq Global Market on that date.</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19, 2025 was 50,225,312.</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55" w:lineRule="exact"/>
        <w:rPr>
          <w:sz w:val="24"/>
          <w:szCs w:val="24"/>
          <w:color w:val="auto"/>
        </w:rPr>
      </w:pPr>
    </w:p>
    <w:p>
      <w:pPr>
        <w:spacing w:after="0" w:line="281" w:lineRule="auto"/>
        <w:rPr>
          <w:sz w:val="20"/>
          <w:szCs w:val="20"/>
          <w:color w:val="auto"/>
        </w:rPr>
      </w:pPr>
      <w:r>
        <w:rPr>
          <w:rFonts w:ascii="Arial" w:cs="Arial" w:eastAsia="Arial" w:hAnsi="Arial"/>
          <w:sz w:val="13"/>
          <w:szCs w:val="13"/>
          <w:color w:val="auto"/>
        </w:rPr>
        <w:t>Portions of the Registrant’s proxy statement for the 2025 annual meeting of stockholders to be filed pursuant to Regulation 14A within 120 days after the registrant’s fiscal year ended December 31, 2024,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80" w:type="dxa"/>
            <w:vAlign w:val="bottom"/>
            <w:gridSpan w:val="10"/>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0" w:type="dxa"/>
            <w:vAlign w:val="bottom"/>
            <w:vMerge w:val="restart"/>
          </w:tcPr>
          <w:p>
            <w:pPr>
              <w:spacing w:after="0"/>
              <w:rPr>
                <w:sz w:val="24"/>
                <w:szCs w:val="24"/>
                <w:color w:val="auto"/>
              </w:rPr>
            </w:pP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640" w:type="dxa"/>
            <w:vAlign w:val="bottom"/>
            <w:gridSpan w:val="5"/>
            <w:vMerge w:val="restart"/>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600" w:type="dxa"/>
            <w:vAlign w:val="bottom"/>
            <w:tcBorders>
              <w:bottom w:val="single" w:sz="8" w:color="0000FF"/>
            </w:tcBorders>
            <w:vMerge w:val="continue"/>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9200" w:type="dxa"/>
            <w:vAlign w:val="bottom"/>
            <w:gridSpan w:val="26"/>
            <w:vMerge w:val="restart"/>
          </w:tcPr>
          <w:p>
            <w:pPr>
              <w:spacing w:after="0"/>
              <w:rPr>
                <w:sz w:val="20"/>
                <w:szCs w:val="20"/>
                <w:color w:val="auto"/>
              </w:rPr>
            </w:pPr>
            <w:r>
              <w:rPr>
                <w:rFonts w:ascii="Arial" w:cs="Arial" w:eastAsia="Arial" w:hAnsi="Arial"/>
                <w:sz w:val="18"/>
                <w:szCs w:val="18"/>
                <w:color w:val="0000FF"/>
              </w:rPr>
              <w:t>Business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w:t>
            </w:r>
          </w:p>
        </w:tc>
        <w:tc>
          <w:tcPr>
            <w:tcW w:w="920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180" w:type="dxa"/>
            <w:vAlign w:val="bottom"/>
            <w:gridSpan w:val="25"/>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20"/>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0000FF"/>
              </w:rPr>
              <w:t>Unresolved</w:t>
            </w:r>
          </w:p>
        </w:tc>
        <w:tc>
          <w:tcPr>
            <w:tcW w:w="8180" w:type="dxa"/>
            <w:vAlign w:val="bottom"/>
            <w:gridSpan w:val="2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1C.</w:t>
            </w: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2260" w:type="dxa"/>
            <w:vAlign w:val="bottom"/>
            <w:gridSpan w:val="14"/>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1100" w:type="dxa"/>
            <w:vAlign w:val="bottom"/>
            <w:gridSpan w:val="7"/>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9200" w:type="dxa"/>
            <w:vAlign w:val="bottom"/>
            <w:gridSpan w:val="26"/>
          </w:tcPr>
          <w:p>
            <w:pPr>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9200" w:type="dxa"/>
            <w:vAlign w:val="bottom"/>
            <w:gridSpan w:val="26"/>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0000FF"/>
              </w:rPr>
              <w:t>PART II</w:t>
            </w:r>
          </w:p>
        </w:tc>
        <w:tc>
          <w:tcPr>
            <w:tcW w:w="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gridSpan w:val="7"/>
            <w:vMerge w:val="continue"/>
          </w:tcPr>
          <w:p>
            <w:pPr>
              <w:spacing w:after="0"/>
              <w:rPr>
                <w:sz w:val="24"/>
                <w:szCs w:val="24"/>
                <w:color w:val="auto"/>
              </w:rPr>
            </w:pPr>
          </w:p>
        </w:tc>
        <w:tc>
          <w:tcPr>
            <w:tcW w:w="9200" w:type="dxa"/>
            <w:vAlign w:val="bottom"/>
            <w:gridSpan w:val="26"/>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0000FF"/>
            </w:tcBorders>
            <w:gridSpan w:val="2"/>
          </w:tcPr>
          <w:p>
            <w:pPr>
              <w:ind w:left="120"/>
              <w:spacing w:after="0" w:line="182" w:lineRule="exact"/>
              <w:rPr>
                <w:sz w:val="20"/>
                <w:szCs w:val="20"/>
                <w:color w:val="auto"/>
              </w:rPr>
            </w:pPr>
            <w:r>
              <w:rPr>
                <w:rFonts w:ascii="Arial" w:cs="Arial" w:eastAsia="Arial" w:hAnsi="Arial"/>
                <w:sz w:val="18"/>
                <w:szCs w:val="18"/>
                <w:color w:val="auto"/>
                <w:w w:val="90"/>
              </w:rPr>
              <w:t>Item 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5"/>
                <w:szCs w:val="15"/>
                <w:color w:val="auto"/>
              </w:rPr>
            </w:pPr>
          </w:p>
        </w:tc>
        <w:tc>
          <w:tcPr>
            <w:tcW w:w="88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p>
        </w:tc>
        <w:tc>
          <w:tcPr>
            <w:tcW w:w="3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7.</w:t>
            </w: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140" w:type="dxa"/>
            <w:vAlign w:val="bottom"/>
            <w:gridSpan w:val="2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7080" w:type="dxa"/>
            <w:vAlign w:val="bottom"/>
            <w:gridSpan w:val="22"/>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472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460" w:type="dxa"/>
            <w:vAlign w:val="bottom"/>
            <w:gridSpan w:val="9"/>
            <w:vMerge w:val="restart"/>
          </w:tcPr>
          <w:p>
            <w:pPr>
              <w:ind w:left="240"/>
              <w:spacing w:after="0" w:line="20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3740" w:type="dxa"/>
            <w:vAlign w:val="bottom"/>
            <w:gridSpan w:val="17"/>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46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7140" w:type="dxa"/>
            <w:vAlign w:val="bottom"/>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2000" w:type="dxa"/>
            <w:vAlign w:val="bottom"/>
            <w:gridSpan w:val="12"/>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9200" w:type="dxa"/>
            <w:vAlign w:val="bottom"/>
            <w:gridSpan w:val="26"/>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98"/>
              </w:rPr>
              <w:t>PART III</w:t>
            </w:r>
          </w:p>
        </w:tc>
        <w:tc>
          <w:tcPr>
            <w:tcW w:w="2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vMerge w:val="continue"/>
          </w:tcPr>
          <w:p>
            <w:pPr>
              <w:spacing w:after="0"/>
              <w:rPr>
                <w:sz w:val="24"/>
                <w:szCs w:val="24"/>
                <w:color w:val="auto"/>
              </w:rPr>
            </w:pPr>
          </w:p>
        </w:tc>
        <w:tc>
          <w:tcPr>
            <w:tcW w:w="70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9200" w:type="dxa"/>
            <w:vAlign w:val="bottom"/>
            <w:gridSpan w:val="26"/>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10.</w:t>
            </w:r>
          </w:p>
        </w:tc>
        <w:tc>
          <w:tcPr>
            <w:tcW w:w="920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11.</w:t>
            </w:r>
          </w:p>
        </w:tc>
        <w:tc>
          <w:tcPr>
            <w:tcW w:w="20" w:type="dxa"/>
            <w:vAlign w:val="bottom"/>
            <w:tcBorders>
              <w:bottom w:val="single" w:sz="8" w:color="0000EE"/>
            </w:tcBorders>
          </w:tcPr>
          <w:p>
            <w:pPr>
              <w:spacing w:after="0"/>
              <w:rPr>
                <w:sz w:val="15"/>
                <w:szCs w:val="15"/>
                <w:color w:val="auto"/>
              </w:rPr>
            </w:pPr>
          </w:p>
        </w:tc>
        <w:tc>
          <w:tcPr>
            <w:tcW w:w="198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5"/>
          </w:tcPr>
          <w:p>
            <w:pPr>
              <w:spacing w:after="0"/>
              <w:rPr>
                <w:sz w:val="15"/>
                <w:szCs w:val="15"/>
                <w:color w:val="auto"/>
              </w:rPr>
            </w:pPr>
          </w:p>
        </w:tc>
        <w:tc>
          <w:tcPr>
            <w:tcW w:w="158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1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12.</w:t>
            </w:r>
          </w:p>
        </w:tc>
        <w:tc>
          <w:tcPr>
            <w:tcW w:w="9200" w:type="dxa"/>
            <w:vAlign w:val="bottom"/>
            <w:gridSpan w:val="26"/>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8020" w:type="dxa"/>
            <w:vAlign w:val="bottom"/>
            <w:gridSpan w:val="24"/>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202"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6080" w:type="dxa"/>
            <w:vAlign w:val="bottom"/>
            <w:gridSpan w:val="21"/>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12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gridSpan w:val="4"/>
            <w:vMerge w:val="restart"/>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vMerge w:val="continue"/>
          </w:tcPr>
          <w:p>
            <w:pPr>
              <w:spacing w:after="0"/>
              <w:rPr>
                <w:sz w:val="24"/>
                <w:szCs w:val="24"/>
                <w:color w:val="auto"/>
              </w:rPr>
            </w:pPr>
          </w:p>
        </w:tc>
        <w:tc>
          <w:tcPr>
            <w:tcW w:w="720" w:type="dxa"/>
            <w:vAlign w:val="bottom"/>
            <w:tcBorders>
              <w:bottom w:val="single" w:sz="8" w:color="0000FF"/>
            </w:tcBorders>
            <w:gridSpan w:val="4"/>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9200" w:type="dxa"/>
            <w:vAlign w:val="bottom"/>
            <w:gridSpan w:val="26"/>
            <w:vMerge w:val="restart"/>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15.</w:t>
            </w:r>
          </w:p>
        </w:tc>
        <w:tc>
          <w:tcPr>
            <w:tcW w:w="920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6"/>
          </w:tcPr>
          <w:p>
            <w:pPr>
              <w:ind w:left="120"/>
              <w:spacing w:after="0" w:line="182" w:lineRule="exact"/>
              <w:rPr>
                <w:sz w:val="20"/>
                <w:szCs w:val="20"/>
                <w:color w:val="auto"/>
              </w:rPr>
            </w:pPr>
            <w:r>
              <w:rPr>
                <w:rFonts w:ascii="Arial" w:cs="Arial" w:eastAsia="Arial" w:hAnsi="Arial"/>
                <w:sz w:val="18"/>
                <w:szCs w:val="18"/>
                <w:color w:val="auto"/>
              </w:rPr>
              <w:t>Item 16.</w:t>
            </w:r>
          </w:p>
        </w:tc>
        <w:tc>
          <w:tcPr>
            <w:tcW w:w="20" w:type="dxa"/>
            <w:vAlign w:val="bottom"/>
            <w:tcBorders>
              <w:bottom w:val="single" w:sz="8" w:color="0000EE"/>
            </w:tcBorders>
          </w:tcPr>
          <w:p>
            <w:pPr>
              <w:spacing w:after="0"/>
              <w:rPr>
                <w:sz w:val="15"/>
                <w:szCs w:val="15"/>
                <w:color w:val="auto"/>
              </w:rPr>
            </w:pPr>
          </w:p>
        </w:tc>
        <w:tc>
          <w:tcPr>
            <w:tcW w:w="16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8"/>
              </w:rPr>
              <w:t>Form 10-K Summary</w:t>
            </w:r>
          </w:p>
        </w:tc>
        <w:tc>
          <w:tcPr>
            <w:tcW w:w="1540" w:type="dxa"/>
            <w:vAlign w:val="bottom"/>
            <w:tcBorders>
              <w:top w:val="single" w:sz="8" w:color="0000FF"/>
            </w:tcBorders>
            <w:gridSpan w:val="6"/>
          </w:tcPr>
          <w:p>
            <w:pPr>
              <w:spacing w:after="0"/>
              <w:rPr>
                <w:sz w:val="15"/>
                <w:szCs w:val="15"/>
                <w:color w:val="auto"/>
              </w:rPr>
            </w:pPr>
          </w:p>
        </w:tc>
        <w:tc>
          <w:tcPr>
            <w:tcW w:w="598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10"/>
          </w:tcPr>
          <w:p>
            <w:pPr>
              <w:spacing w:after="0" w:line="182" w:lineRule="exact"/>
              <w:rPr>
                <w:sz w:val="20"/>
                <w:szCs w:val="20"/>
                <w:color w:val="auto"/>
              </w:rPr>
            </w:pPr>
            <w:r>
              <w:rPr>
                <w:rFonts w:ascii="Arial" w:cs="Arial" w:eastAsia="Arial" w:hAnsi="Arial"/>
                <w:sz w:val="18"/>
                <w:szCs w:val="18"/>
                <w:color w:val="0000FF"/>
              </w:rPr>
              <w:t>Signatures</w:t>
            </w:r>
          </w:p>
        </w:tc>
        <w:tc>
          <w:tcPr>
            <w:tcW w:w="7520" w:type="dxa"/>
            <w:vAlign w:val="bottom"/>
            <w:gridSpan w:val="16"/>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7"/>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Form 10-K, or Annual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9" w:lineRule="exact"/>
        <w:rPr>
          <w:sz w:val="20"/>
          <w:szCs w:val="20"/>
          <w:color w:val="auto"/>
        </w:rPr>
      </w:pPr>
    </w:p>
    <w:p>
      <w:pPr>
        <w:jc w:val="both"/>
        <w:ind w:left="1020" w:hanging="368"/>
        <w:spacing w:after="0" w:line="24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368"/>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and inflation, on our business operations;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Annual Report on Form 10-K and include, but are not limited to, the following:</w:t>
      </w:r>
    </w:p>
    <w:p>
      <w:pPr>
        <w:spacing w:after="0" w:line="2" w:lineRule="exact"/>
        <w:rPr>
          <w:sz w:val="20"/>
          <w:szCs w:val="20"/>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ind w:left="10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or bel-sar, our only product candidate to date.</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right="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368"/>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jc w:val="both"/>
        <w:ind w:left="1020" w:hanging="368"/>
        <w:spacing w:after="0" w:line="24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jc w:val="both"/>
        <w:ind w:left="10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4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primary choroidal melanoma and is also in clinical development for other ocular oncology indications and bladder cancer.</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small choroidal melanoma and indeterminate lesions, or early-stage choroidal melanoma. Moreover, we intend to assess the safety and efficacy of bel-sar in treating a range of other solid tumors, beginning with metastases of the choroid and bladder cancer where bel-sar is in clinical development. We believe bel-sar, if approved, has the potential to change the current treatment paradigm for patients with ocular and urologic cancers and other solid tumors.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or SC, administration of bel-sar for the first-line treatment of early-stage choroidal melanoma,</w:t>
      </w:r>
    </w:p>
    <w:p>
      <w:pPr>
        <w:spacing w:after="0" w:line="234" w:lineRule="auto"/>
        <w:rPr>
          <w:sz w:val="20"/>
          <w:szCs w:val="20"/>
          <w:color w:val="auto"/>
        </w:rPr>
      </w:pPr>
      <w:r>
        <w:rPr>
          <w:rFonts w:ascii="Arial" w:cs="Arial" w:eastAsia="Arial" w:hAnsi="Arial"/>
          <w:sz w:val="18"/>
          <w:szCs w:val="18"/>
          <w:color w:val="auto"/>
        </w:rPr>
        <w:t>patients were closely monitored over a twelve-month follow-up period to assess tumor control, visual acuity preservation, and tumor growth</w:t>
      </w:r>
    </w:p>
    <w:p>
      <w:pPr>
        <w:spacing w:after="0" w:line="235" w:lineRule="auto"/>
        <w:rPr>
          <w:sz w:val="20"/>
          <w:szCs w:val="20"/>
          <w:color w:val="auto"/>
        </w:rPr>
      </w:pPr>
      <w:r>
        <w:rPr>
          <w:rFonts w:ascii="Arial" w:cs="Arial" w:eastAsia="Arial" w:hAnsi="Arial"/>
          <w:sz w:val="18"/>
          <w:szCs w:val="18"/>
          <w:color w:val="auto"/>
        </w:rPr>
        <w:t>rate. A total of 22 patients were enrolled in the study. Bel-sar achieved an 80% tumor control rate (n=8/10) among Phase 3-eligible patients</w:t>
      </w:r>
    </w:p>
    <w:p>
      <w:pPr>
        <w:spacing w:after="0" w:line="235" w:lineRule="auto"/>
        <w:rPr>
          <w:sz w:val="20"/>
          <w:szCs w:val="20"/>
          <w:color w:val="auto"/>
        </w:rPr>
      </w:pPr>
      <w:r>
        <w:rPr>
          <w:rFonts w:ascii="Arial" w:cs="Arial" w:eastAsia="Arial" w:hAnsi="Arial"/>
          <w:sz w:val="18"/>
          <w:szCs w:val="18"/>
          <w:color w:val="auto"/>
        </w:rPr>
        <w:t>who received the therapeutic regimen, with complete cessation of growth following treatment among responders (post-treatment average</w:t>
      </w:r>
    </w:p>
    <w:p>
      <w:pPr>
        <w:spacing w:after="0" w:line="235" w:lineRule="auto"/>
        <w:rPr>
          <w:sz w:val="20"/>
          <w:szCs w:val="20"/>
          <w:color w:val="auto"/>
        </w:rPr>
      </w:pPr>
      <w:r>
        <w:rPr>
          <w:rFonts w:ascii="Arial" w:cs="Arial" w:eastAsia="Arial" w:hAnsi="Arial"/>
          <w:sz w:val="18"/>
          <w:szCs w:val="18"/>
          <w:color w:val="auto"/>
        </w:rPr>
        <w:t>growth rate of 0.011 mm/yr among responders compared to 0.351 mm/yr prior to study entry; p&lt;0.0001). Visual acuity preservation was</w:t>
      </w:r>
    </w:p>
    <w:p>
      <w:pPr>
        <w:spacing w:after="0" w:line="235" w:lineRule="auto"/>
        <w:rPr>
          <w:sz w:val="20"/>
          <w:szCs w:val="20"/>
          <w:color w:val="auto"/>
        </w:rPr>
      </w:pPr>
      <w:r>
        <w:rPr>
          <w:rFonts w:ascii="Arial" w:cs="Arial" w:eastAsia="Arial" w:hAnsi="Arial"/>
          <w:sz w:val="18"/>
          <w:szCs w:val="18"/>
          <w:color w:val="auto"/>
        </w:rPr>
        <w:t>achieved in 90% of these ten patients. Importantly, 80% of these ten patients were at high risk for vision loss with tumors close to the fovea</w:t>
      </w:r>
    </w:p>
    <w:p>
      <w:pPr>
        <w:spacing w:after="0" w:line="234" w:lineRule="auto"/>
        <w:rPr>
          <w:sz w:val="20"/>
          <w:szCs w:val="20"/>
          <w:color w:val="auto"/>
        </w:rPr>
      </w:pPr>
      <w:r>
        <w:rPr>
          <w:rFonts w:ascii="Arial" w:cs="Arial" w:eastAsia="Arial" w:hAnsi="Arial"/>
          <w:sz w:val="18"/>
          <w:szCs w:val="18"/>
          <w:color w:val="auto"/>
        </w:rPr>
        <w:t>or optic disc, highlighting the potential for vision preservation with this novel class of drugs. The safety profile of bel-sar was highly favorable</w:t>
      </w:r>
    </w:p>
    <w:p>
      <w:pPr>
        <w:spacing w:after="0" w:line="235" w:lineRule="auto"/>
        <w:rPr>
          <w:sz w:val="20"/>
          <w:szCs w:val="20"/>
          <w:color w:val="auto"/>
        </w:rPr>
      </w:pPr>
      <w:r>
        <w:rPr>
          <w:rFonts w:ascii="Arial" w:cs="Arial" w:eastAsia="Arial" w:hAnsi="Arial"/>
          <w:sz w:val="18"/>
          <w:szCs w:val="18"/>
          <w:color w:val="auto"/>
        </w:rPr>
        <w:t>in all 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line="235" w:lineRule="auto"/>
        <w:rPr>
          <w:sz w:val="20"/>
          <w:szCs w:val="20"/>
          <w:color w:val="auto"/>
        </w:rPr>
      </w:pPr>
      <w:r>
        <w:rPr>
          <w:rFonts w:ascii="Arial" w:cs="Arial" w:eastAsia="Arial" w:hAnsi="Arial"/>
          <w:sz w:val="18"/>
          <w:szCs w:val="18"/>
          <w:color w:val="auto"/>
        </w:rPr>
        <w:t>date. We believe bel-sar has the possibility to transform the field of ocular oncology beyond choroidal melanoma and we plan to expand</w:t>
      </w:r>
    </w:p>
    <w:p>
      <w:pPr>
        <w:spacing w:after="0" w:line="235" w:lineRule="auto"/>
        <w:rPr>
          <w:sz w:val="20"/>
          <w:szCs w:val="20"/>
          <w:color w:val="auto"/>
        </w:rPr>
      </w:pPr>
      <w:r>
        <w:rPr>
          <w:rFonts w:ascii="Arial" w:cs="Arial" w:eastAsia="Arial" w:hAnsi="Arial"/>
          <w:sz w:val="18"/>
          <w:szCs w:val="18"/>
          <w:color w:val="auto"/>
        </w:rPr>
        <w:t>clinical development in two additional indications: metastases to the choroid and cancers of the ocular surface. We have initiated a Phase 2</w:t>
      </w:r>
    </w:p>
    <w:p>
      <w:pPr>
        <w:spacing w:after="0" w:line="234" w:lineRule="auto"/>
        <w:rPr>
          <w:sz w:val="20"/>
          <w:szCs w:val="20"/>
          <w:color w:val="auto"/>
        </w:rPr>
      </w:pPr>
      <w:r>
        <w:rPr>
          <w:rFonts w:ascii="Arial" w:cs="Arial" w:eastAsia="Arial" w:hAnsi="Arial"/>
          <w:sz w:val="18"/>
          <w:szCs w:val="18"/>
          <w:color w:val="auto"/>
        </w:rPr>
        <w:t>clinical trial in metastases to the choroid and have activated sites with patients in prescreening. We also plan to continue to advance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preclinical work designed to be IND-enabling in cancers of the ocular surface.</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Virus-like drug conjugates, or 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virus-like particles, or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ind w:firstLine="509"/>
        <w:spacing w:after="0" w:line="247" w:lineRule="auto"/>
        <w:rPr>
          <w:sz w:val="20"/>
          <w:szCs w:val="20"/>
          <w:color w:val="auto"/>
        </w:rPr>
      </w:pPr>
      <w:r>
        <w:rPr>
          <w:rFonts w:ascii="Arial" w:cs="Arial" w:eastAsia="Arial" w:hAnsi="Arial"/>
          <w:sz w:val="18"/>
          <w:szCs w:val="18"/>
          <w:color w:val="auto"/>
        </w:rPr>
        <w:t>Beyond ocular cancers, bel-sar is in early-stage clinical development in bladder cancer. Bladder cancer is the ninth most common cancer worldwide and it is diagnosed early as non-muscle invasive bladder cancer, or NMIBC, with a prevalence of approximately 80,000 cases per year in the United States. Despite the early diagnosis, patients with NMIBC have a high risk of recurrence and progression with current SoC treatments. In March 2025, we announced positive data from our Phase 1 trial in NMIBC (</w:t>
      </w:r>
      <w:r>
        <w:rPr>
          <w:rFonts w:ascii="Arial" w:cs="Arial" w:eastAsia="Arial" w:hAnsi="Arial"/>
          <w:sz w:val="18"/>
          <w:szCs w:val="18"/>
          <w:u w:val="single" w:color="auto"/>
          <w:color w:val="0000FF"/>
        </w:rPr>
        <w:t>NCT05483868</w:t>
      </w:r>
      <w:r>
        <w:rPr>
          <w:rFonts w:ascii="Arial" w:cs="Arial" w:eastAsia="Arial" w:hAnsi="Arial"/>
          <w:sz w:val="18"/>
          <w:szCs w:val="18"/>
          <w:color w:val="auto"/>
        </w:rPr>
        <w:t>).</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vision is to innovate the future of cancer care to cure patients and preserve organ function. We are developing bel-sar in a number of indications in ocular oncology, with the goal of preserving vision and preventing blindness in patients. Our lead indication is a potential multi-billion dollar market opportunity. We are also evaluating bel-sar in urologic oncology indications, initially in bladder cancer, which is one of the most expensive cancers to treat on a per patient basis. The global market for bladder cancer is expected to be greater than $8.0 billion by 2032.</w:t>
      </w:r>
    </w:p>
    <w:p>
      <w:pPr>
        <w:spacing w:after="0" w:line="28"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initial focus is in ocular and urologic oncology, both areas of high unmet medical need where local targeted therapies may enable early intervention, as shown in our pipeline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100965</wp:posOffset>
            </wp:positionV>
            <wp:extent cx="5280660"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06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a. Virus-like drug conjugates (VDCs) bind to a subset of modified tumor associated glycosaminoglycans (GAGs) that are part of the heparan sulphate chain of heparan sulfate proteoglycans (HSPGs).</w:t>
      </w:r>
      <w:r>
        <w:rPr>
          <w:rFonts w:ascii="Arial" w:cs="Arial" w:eastAsia="Arial" w:hAnsi="Arial"/>
          <w:sz w:val="13"/>
          <w:szCs w:val="13"/>
          <w:i w:val="1"/>
          <w:iCs w:val="1"/>
          <w:color w:val="auto"/>
          <w:vertAlign w:val="superscript"/>
        </w:rPr>
        <w:t>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0"/>
          <w:szCs w:val="10"/>
          <w:b w:val="1"/>
          <w:bCs w:val="1"/>
          <w:i w:val="1"/>
          <w:iCs w:val="1"/>
          <w:color w:val="auto"/>
        </w:rPr>
        <w:t>1</w:t>
      </w:r>
      <w:r>
        <w:rPr>
          <w:rFonts w:ascii="Arial" w:cs="Arial" w:eastAsia="Arial" w:hAnsi="Arial"/>
          <w:sz w:val="10"/>
          <w:szCs w:val="10"/>
          <w:i w:val="1"/>
          <w:iCs w:val="1"/>
          <w:color w:val="auto"/>
        </w:rPr>
        <w:t>. Kines RC, and Schiller JT. Viruses. 2022;14(8):1656.</w:t>
      </w:r>
      <w:r>
        <w:rPr>
          <w:rFonts w:ascii="Arial" w:cs="Arial" w:eastAsia="Arial" w:hAnsi="Arial"/>
          <w:sz w:val="10"/>
          <w:szCs w:val="10"/>
          <w:b w:val="1"/>
          <w:bCs w:val="1"/>
          <w:i w:val="1"/>
          <w:iCs w:val="1"/>
          <w:color w:val="auto"/>
        </w:rPr>
        <w:t xml:space="preserve"> mHSPG</w:t>
      </w:r>
      <w:r>
        <w:rPr>
          <w:rFonts w:ascii="Arial" w:cs="Arial" w:eastAsia="Arial" w:hAnsi="Arial"/>
          <w:sz w:val="10"/>
          <w:szCs w:val="10"/>
          <w:i w:val="1"/>
          <w:iCs w:val="1"/>
          <w:color w:val="auto"/>
        </w:rPr>
        <w:t>, modified heparan sulphate proteoglycan;</w:t>
      </w:r>
      <w:r>
        <w:rPr>
          <w:rFonts w:ascii="Arial" w:cs="Arial" w:eastAsia="Arial" w:hAnsi="Arial"/>
          <w:sz w:val="10"/>
          <w:szCs w:val="10"/>
          <w:b w:val="1"/>
          <w:bCs w:val="1"/>
          <w:i w:val="1"/>
          <w:iCs w:val="1"/>
          <w:color w:val="auto"/>
        </w:rPr>
        <w:t xml:space="preserve"> MIBC</w:t>
      </w:r>
      <w:r>
        <w:rPr>
          <w:rFonts w:ascii="Arial" w:cs="Arial" w:eastAsia="Arial" w:hAnsi="Arial"/>
          <w:sz w:val="10"/>
          <w:szCs w:val="10"/>
          <w:i w:val="1"/>
          <w:iCs w:val="1"/>
          <w:color w:val="auto"/>
        </w:rPr>
        <w:t>, muscle invasive bladder cancer;</w:t>
      </w:r>
      <w:r>
        <w:rPr>
          <w:rFonts w:ascii="Arial" w:cs="Arial" w:eastAsia="Arial" w:hAnsi="Arial"/>
          <w:sz w:val="10"/>
          <w:szCs w:val="10"/>
          <w:b w:val="1"/>
          <w:bCs w:val="1"/>
          <w:i w:val="1"/>
          <w:iCs w:val="1"/>
          <w:color w:val="auto"/>
        </w:rPr>
        <w:t xml:space="preserve"> NMIBC</w:t>
      </w:r>
      <w:r>
        <w:rPr>
          <w:rFonts w:ascii="Arial" w:cs="Arial" w:eastAsia="Arial" w:hAnsi="Arial"/>
          <w:sz w:val="10"/>
          <w:szCs w:val="10"/>
          <w:i w:val="1"/>
          <w:iCs w:val="1"/>
          <w:color w:val="auto"/>
        </w:rPr>
        <w:t>, non-muscle-invasive bladder cancer</w:t>
      </w:r>
      <w:r>
        <w:rPr>
          <w:rFonts w:ascii="Arial" w:cs="Arial" w:eastAsia="Arial" w:hAnsi="Arial"/>
          <w:sz w:val="20"/>
          <w:szCs w:val="20"/>
          <w:i w:val="1"/>
          <w:iCs w:val="1"/>
          <w:color w:val="auto"/>
          <w:vertAlign w:val="superscript"/>
        </w:rPr>
        <w:t>.</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envision the potential for development of additional therapeutic areas in addition to ocular and urologic cancers.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Team</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management team includes industry executives with extensive biopharmaceutical experience in developing and commercializing drugs in oncology and ophthalmology. Elisabet de los Pinos, Ph.D., our Chief Executive Officer, led the marketing strategy and European commercialization of Alimta® for the treatment of lung cancer at Eli Lilly and Company. Our Chief Medical Officer and President of Research</w:t>
      </w:r>
    </w:p>
    <w:p>
      <w:pPr>
        <w:spacing w:after="0" w:line="2" w:lineRule="exact"/>
        <w:rPr>
          <w:sz w:val="20"/>
          <w:szCs w:val="20"/>
          <w:color w:val="auto"/>
        </w:rPr>
      </w:pPr>
    </w:p>
    <w:p>
      <w:pPr>
        <w:jc w:val="both"/>
        <w:ind w:firstLine="8"/>
        <w:spacing w:after="0" w:line="235" w:lineRule="auto"/>
        <w:tabs>
          <w:tab w:leader="none" w:pos="18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J. Jill Hopkins, M.D., is an ophthalmologist and retinal specialist with more than 30 years of experience in ophthalmology, including serving as Senior Vice President, Global Head of Ophthalmology and Exploratory Development at Novartis AG, or Novartis, and Chief Executive Officer of Gyroscope Therapeutics, a Novartis company, where she was responsible for the global ophthalmic pipeline. Amy Elazzouzi, our Senior Vice President, Finance, interim principal financial officer and interim principal accounting officer, has served as Director of Finance and Operations at KEW Group, Inc. and Controller at AVEO Pharmaceuticals, Inc. Conor Kilroy, our Chief Legal Officer and Secretary, served as general counsel and secretary at Neurogastrx, Inc. from September 2021 to May 2023. Mr. Kilroy also served in roles of increasing responsibility at Ironwood Pharmaceuticals, Inc. (Nasdaq: IRWD) from June 2013 to February 2021, serving as senior vice president, general counsel and secretary beginning in April 2020 and vice president, general counsel and secretary beginning in April 2019. Earlier in his carrier, Mr. Kilroy held roles at Boston Scientific Corporation and in the business law department of Goodwin Procter LLP. Mark Plavsic, Ph.D. is our Chief Technology Officer and brings 30 years of global biopharmaceutical experience including end-to-end technical operations in the United States, Europe, and Australasia and successful translation and scale-up of complex biologics from preclinical development through commercial launch and distribution. He previously served as Chief Technology Officer at Fate Therapeutics, Inc. and at Lysogene. We believe the breadth and depth of experience amongst our management team will enable us to advance the clinical and development strategy for bel-sar and, if approved, its commercialization. Our Chairman of the Board of Directors, David Johnson, is a biopharmaceutical industry veteran with more than 25 years of experience in drug development. Mr. Johnson is currently Chief Executive Officer and founder of Solve Therapeutics, Inc., a biotechnology company developing next-generation mAb-based oncology therapeutics. Prior to founding Solve Therapeutics, he was Chief Executive Officer of VelosBio Inc., an oncology company acquired by Merck &amp; Co. for $2.75 billion in 2020. He was also Chief Executive Officer at Acerta Pharma, which was acquired by AstraZeneca for $7 billion. Mr. Johnson has extensive experience leading the development of first-in-class cancer therapies and has made significant contributions to drugs which ultimately garnered regulatory approvals, including bortezomib (Velcade®), romidepsin (Istodax®), idelalisib (Zydelig®), and acalabrutinib (Calquence®).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At Aura Biosciences, our vision is to innovate the future of cancer care to cure patients and preserve organ function, with an initial focus on ocular and urologic oncology. Key elements of our strategy to accomplish this objective include:</w:t>
      </w:r>
    </w:p>
    <w:p>
      <w:pPr>
        <w:spacing w:after="0" w:line="46" w:lineRule="exact"/>
        <w:rPr>
          <w:sz w:val="20"/>
          <w:szCs w:val="20"/>
          <w:color w:val="auto"/>
        </w:rPr>
      </w:pPr>
    </w:p>
    <w:p>
      <w:pPr>
        <w:jc w:val="both"/>
        <w:ind w:left="1020" w:hanging="503"/>
        <w:spacing w:after="0" w:line="23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Complete the ongoing global Phase 3 CoMpass trial of bel-sar as a first-line treatment of small choroidal melanoma and/or indeterminate lesions and pursue U.S. Food and Drug Administration, or FDA, approval. </w:t>
      </w:r>
      <w:r>
        <w:rPr>
          <w:rFonts w:ascii="Arial" w:cs="Arial" w:eastAsia="Arial" w:hAnsi="Arial"/>
          <w:sz w:val="18"/>
          <w:szCs w:val="18"/>
          <w:color w:val="auto"/>
        </w:rPr>
        <w:t>If approved, this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the first therapy for primary choroidal melanomas as a potential first-line treatment option for small tumors and indeterminate lesions, reserving radiotherapy for a second-line treatment option. If approved, we see the potential to independently commercialize bel-sar in choroidal melanoma, which has an incidence of 11,000 patients diagnosed per year in the United States and Europe. There are approximately 50 ocular oncologists in the United States and approximately 50 ocular oncologists in Europe, representing a focused call point and providing an opportunity for our company to capture the value of the market with a manageable sales team globally.</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Expand the development of bel-sar in additional ocular oncology indications, starting with metastases to the choroid and cancers of the ocular surface</w:t>
      </w:r>
      <w:r>
        <w:rPr>
          <w:rFonts w:ascii="Arial" w:cs="Arial" w:eastAsia="Arial" w:hAnsi="Arial"/>
          <w:sz w:val="18"/>
          <w:szCs w:val="18"/>
          <w:color w:val="auto"/>
        </w:rPr>
        <w:t>. We believe bel-sar's dual mechanism of action has potential to treat tumors while</w:t>
      </w:r>
      <w:r>
        <w:rPr>
          <w:rFonts w:ascii="Arial" w:cs="Arial" w:eastAsia="Arial" w:hAnsi="Arial"/>
          <w:sz w:val="18"/>
          <w:szCs w:val="18"/>
          <w:b w:val="1"/>
          <w:bCs w:val="1"/>
          <w:color w:val="auto"/>
        </w:rPr>
        <w:t xml:space="preserve"> </w:t>
      </w:r>
      <w:r>
        <w:rPr>
          <w:rFonts w:ascii="Arial" w:cs="Arial" w:eastAsia="Arial" w:hAnsi="Arial"/>
          <w:sz w:val="18"/>
          <w:szCs w:val="18"/>
          <w:color w:val="auto"/>
        </w:rPr>
        <w:t>preserving key ocular structures, in other ocular cancers that affect a large number of patients. We have initiated a Phase 2 clinical trial in metastases to the choroid and have activated sites with patients in prescreening. Metastases to the choroid has an annual incidence rate of 20,000 patients in the Unites States and Europe. In addition, we are advancing bel-sar for cancers of the ocular surface, including both melanomas and squamous cell carcinomas, that has an incidence rate of 35,000 patients a year in the United States and Europe, based on strong interest from the ocular oncology community to develop better treatment options for patients.</w:t>
      </w:r>
    </w:p>
    <w:p>
      <w:pPr>
        <w:spacing w:after="0" w:line="7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Advance the development of bel-sar in NMIBC. </w:t>
      </w:r>
      <w:r>
        <w:rPr>
          <w:rFonts w:ascii="Arial" w:cs="Arial" w:eastAsia="Arial" w:hAnsi="Arial"/>
          <w:sz w:val="18"/>
          <w:szCs w:val="18"/>
          <w:color w:val="auto"/>
        </w:rPr>
        <w:t>We believe that bel-sar has the opportunity to become a front-line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with a paradigm shifting approach driven by its unique dual mechanism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 w:name="page8"/>
    <w:bookmarkEnd w:id="7"/>
    <w:p>
      <w:pPr>
        <w:jc w:val="both"/>
        <w:ind w:left="1020"/>
        <w:spacing w:after="0" w:line="244" w:lineRule="auto"/>
        <w:rPr>
          <w:sz w:val="20"/>
          <w:szCs w:val="20"/>
          <w:color w:val="auto"/>
        </w:rPr>
      </w:pPr>
      <w:r>
        <w:rPr>
          <w:rFonts w:ascii="Arial" w:cs="Arial" w:eastAsia="Arial" w:hAnsi="Arial"/>
          <w:sz w:val="18"/>
          <w:szCs w:val="18"/>
          <w:color w:val="auto"/>
        </w:rPr>
        <w:t>action and the possibility to generate a robust cell mediated immune response against the tumor to prevent recurrence of the disease. As such, our goal is to evaluate two different front-line interventions in a Phase 1b/2 trial: neoadjuvant treatment in combination with transurethral resection of bladder tumor, or TURBT, and immune-ablative treatment (without TURBT), with the opportunity to not only evaluate the dose and treatment regimen but also to assess durability of response at up to 12 months in patients with intermediate and high-risk NMIBC. Bel-sar has received FDA Fast Track Designation in NMIBC.</w:t>
      </w:r>
    </w:p>
    <w:p>
      <w:pPr>
        <w:spacing w:after="0" w:line="68" w:lineRule="exact"/>
        <w:rPr>
          <w:sz w:val="20"/>
          <w:szCs w:val="20"/>
          <w:color w:val="auto"/>
        </w:rPr>
      </w:pP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evaluate bel-sar, to potentially further enhance its clinical utility across additional solid cancers based on its mechanism of action. </w:t>
      </w:r>
      <w:r>
        <w:rPr>
          <w:rFonts w:ascii="Arial" w:cs="Arial" w:eastAsia="Arial" w:hAnsi="Arial"/>
          <w:sz w:val="18"/>
          <w:szCs w:val="18"/>
          <w:color w:val="auto"/>
        </w:rPr>
        <w:t>Due to our preclinical data and robust publications in collaboration with our scientific founder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Institutes of Health, or NIH, demonstrating the binding of our proprietary VLPs to tumor associated GAGs across a wide range of solid tumors, we plan to expand our clinical pipeline across multiple solid cancer indications.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Build our operational capabilities to successfully commercialize bel-sar (if approved) in ocular oncology</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 in Ocular Oncology</w:t>
      </w:r>
    </w:p>
    <w:p>
      <w:pPr>
        <w:spacing w:after="0" w:line="6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Bel-sar is in development in multiple indications in ocular oncology: early-stage choroidal melanoma, metastases to the choroid, and cancers of the ocular surface. We believe bel-sar has several strengths that support our goal of developing bel-sar as a potential vision-sparing therapy in ocular oncology, including:</w:t>
      </w:r>
    </w:p>
    <w:p>
      <w:pPr>
        <w:spacing w:after="0" w:line="61" w:lineRule="exact"/>
        <w:rPr>
          <w:sz w:val="20"/>
          <w:szCs w:val="20"/>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clinical utility in choroidal melanoma, with Phase 2 end of study results of patients at twelve months of follow-up who received three cycles of therapy in Cohorts 5 and 6, and who match the criteria for our ongoing global Phase 3 trial.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Tumor control rate of 80% (8/10) and visual acuity preservation rate of 90% (9/10), with the majority of patients being at high-risk for vision loss with tumors close to the fovea or optic disc.</w:t>
      </w:r>
    </w:p>
    <w:p>
      <w:pPr>
        <w:spacing w:after="0" w:line="46" w:lineRule="exact"/>
        <w:rPr>
          <w:rFonts w:ascii="Times New Roman" w:cs="Times New Roman" w:eastAsia="Times New Roman" w:hAnsi="Times New Roman"/>
          <w:sz w:val="18"/>
          <w:szCs w:val="18"/>
          <w:color w:val="auto"/>
        </w:rPr>
      </w:pPr>
    </w:p>
    <w:p>
      <w:pPr>
        <w:ind w:left="1020" w:hanging="503"/>
        <w:spacing w:after="0" w:line="28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Favorable safety profile, with no posterior inflammation, treatment-related serious adverse events or grade three to five treatment-related adverse events reported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-757555</wp:posOffset>
            </wp:positionV>
            <wp:extent cx="3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Choroidal Melanoma</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Primary choroidal melanoma is our most advanced clinical program, with an ongoing global Phase 3 trial. We have received Orphan Drug Designation, or ODD, for the treatment of early-stage choroidal (also referred to as uveal) melanoma from the FDA and the European Medicines Agency, or EMA, and Fast Track Designation from the FDA for the treatment of early-stage choroidal melanoma. SC administration of bel-sar in a completed Phase 2 trial, provided data which supported this SC route of administration in the Phase 3 trial.</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received written agreement from the FDA under a Special Protocol Assessment, or SPA, for the design and planned analysis of the global Phase 3 trial indicating concurrence by the FDA with the adequacy of the study, if successful, to address the objectives necessary to support our planned biologics license application, or BLA, submission. Disease state overview and the clinical development plan with key findings and updates from each stage of development are found below.</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Choroidal Melanoma Overview</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Choroidal melanoma is the most common primary malignant intraocular tumor and the second most common type of primary malignant melanoma in the body. More than 11,000 patients are diagnosed annually in the United States and Europe. This comprises approximately 90% of all cases of uveal melanoma, consisting of melanomas in the choroid, ciliary body and iris, which are collectively referred to as the uvea. Most choroidal melanomas result from transformation of a benign choroidal nevus. In early-stage lesions, most of the tumor is composed of benign nevus cells with a small cluster of malignant melanoma cells. Benign choroidal nevi are found in approximately 5% of adults in the United States 40 years or older. Most cases are found in adults with a median age of 55, light eye color and fair skin. It is often discovered in patients who are asymptomatic, although some patients report decreased vision or non-specific visual symptoms such as flashes, floaters, blurry or distorted vision or visual field defects and are referred to the ocular oncologist.</w:t>
      </w:r>
    </w:p>
    <w:p>
      <w:pPr>
        <w:spacing w:after="0" w:line="4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Most patients with choroidal melanoma are diagnosed with early-stage disease localized to the eye with no evidence of metastatic disease. It is estimated that 96% of patients are diagnosed without clinical evidence of metastatic disease. These patients are not treated immediately as there are no effective targeted therapies that can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spacing w:after="0" w:line="244" w:lineRule="auto"/>
        <w:rPr>
          <w:sz w:val="20"/>
          <w:szCs w:val="20"/>
          <w:color w:val="auto"/>
        </w:rPr>
      </w:pPr>
      <w:r>
        <w:rPr>
          <w:rFonts w:ascii="Arial" w:cs="Arial" w:eastAsia="Arial" w:hAnsi="Arial"/>
          <w:sz w:val="18"/>
          <w:szCs w:val="18"/>
          <w:color w:val="auto"/>
        </w:rPr>
        <w:t>preserve vision. Early-stage patients are defined as patients with small choroidal melanoma and/or indeterminate lesions representing approximately 8,000 patients in the United States and Europe. The only current treatment option for patients with primary choroidal melanoma is radiotherapy which leaves patients with vision loss and other comorbidities. Approximately 2,300 patients are diagnosed with medium to large tumors and are treated with radiotherapy or enucleation, or full surgical removal of the eye, which results in total vision loss and is irreversible.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115570</wp:posOffset>
            </wp:positionV>
            <wp:extent cx="5683250"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32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vertAlign w:val="superscript"/>
        </w:rPr>
        <w:t>a</w:t>
      </w:r>
      <w:r>
        <w:rPr>
          <w:rFonts w:ascii="Arial" w:cs="Arial" w:eastAsia="Arial" w:hAnsi="Arial"/>
          <w:sz w:val="12"/>
          <w:szCs w:val="12"/>
          <w:i w:val="1"/>
          <w:iCs w:val="1"/>
          <w:color w:val="auto"/>
        </w:rPr>
        <w:t>Each figure represents approximately 250 persons.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Distribution of Stages of Choroidal Melanoma Cases</w:t>
      </w:r>
    </w:p>
    <w:p>
      <w:pPr>
        <w:spacing w:after="0" w:line="2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developing bel-sar as a potential first line vision-sparing treatment option for early intervention in small choroidal melanoma and/or indeterminate lesions, avoiding the need for radiotherapy and reducing the risk for metastasis for these patients. Earlier diagnosis and treatment intervention of lesions in the eye has the potential to dramatically improve outcomes for patients and reduce the risk of blindness caused by radiotherapy.</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Current Treatment Options for Primary Choroidal Melanoma</w:t>
      </w:r>
    </w:p>
    <w:p>
      <w:pPr>
        <w:spacing w:after="0" w:line="7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There are no FDA-approved therapies for primary choroidal melanoma. There are three common treatments routinely used as SoC for local control of choroidal melanoma: plaque brachytherapy; proton beam irradiation; and enucleation, or removal of the affected eye, each of which represent invasive surgical procedures and are associated with significant vision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110490</wp:posOffset>
            </wp:positionV>
            <wp:extent cx="5229225" cy="183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922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 Three Treatment Options for Primary Choroidal Melanoma</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There are limited treatment options to treat primary choroidal melanoma, which pose a challenge to clinicians and patients. The current treatments are invasive procedures and are associated with irreversible loss of visual acuity and other side effects. Lesions that are detected early are often monitored without treatment since the current SoC is invasive and causes vision loss and is therefore typically reserved for medium to large or growing lesions. As choroidal melanoma tends to metastasize early, even with radical treatments such as enucleation, metastatic disease still occurs, which results in a high degree of mortality. There is an urgent unmet medical need for an effective, vision-sparing therapy and the availability of such a therapy may encourage treatment of small choroidal melanomas and indeterminate lesions at the time of early detection. This could subsequently increase the awareness of the importance of early diagnosis and intervention for this life-threatening disease and increase the number of patients treated annually.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 w:name="page10"/>
    <w:bookmarkEnd w:id="9"/>
    <w:p>
      <w:pPr>
        <w:ind w:left="1020"/>
        <w:spacing w:after="0"/>
        <w:rPr>
          <w:sz w:val="20"/>
          <w:szCs w:val="20"/>
          <w:color w:val="auto"/>
        </w:rPr>
      </w:pPr>
      <w:r>
        <w:rPr>
          <w:rFonts w:ascii="Arial" w:cs="Arial" w:eastAsia="Arial" w:hAnsi="Arial"/>
          <w:sz w:val="18"/>
          <w:szCs w:val="18"/>
          <w:i w:val="1"/>
          <w:iCs w:val="1"/>
          <w:u w:val="single" w:color="auto"/>
          <w:color w:val="auto"/>
        </w:rPr>
        <w:t>Bel-sar in Primary Choroidal Melanoma</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Bel-sar is a VDC consisting of an HPV-derived VLP and a phthalocyanine dye, a light activated cytotoxic payload. Our VLP was created using the capsid proteins of HPV that have been genetically modified to avoid cross-reactivity with pre-existing immunity against the virus and bind with high affinity to modified tumor associated GAGs that are part of the heparan sulphate chain of HSPGs expressed on the surface of tumors cells, including ocular melanoma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250825</wp:posOffset>
            </wp:positionV>
            <wp:extent cx="4800600" cy="1971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Figure 3. Bel-sar, Administered by Intraocular Injection, Binds to Tumor Cells. Activation Using an Ophthalmic Laser Leads to Rupture of the Tumor Cell Membrane, Acute Necrosis and a Secondary Immune Activation Leading to Long Term Antitumor Immunity.</w:t>
      </w:r>
    </w:p>
    <w:p>
      <w:pPr>
        <w:spacing w:after="0" w:line="200" w:lineRule="exact"/>
        <w:rPr>
          <w:sz w:val="20"/>
          <w:szCs w:val="20"/>
          <w:color w:val="auto"/>
        </w:rPr>
      </w:pPr>
    </w:p>
    <w:p>
      <w:pPr>
        <w:spacing w:after="0" w:line="3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Goal of Treatment with Bel-sar</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ocular oncology, early detection, and timely local intervention has the goal of achieving a local complete response, or CR, which in ocular oncology is described as tumor control. This involves completely halting tumor growth while safeguarding critical ocular structures, such as the retina, essential for maintaining visual function. Early treatment is believed to reduce the risk of metastasis. After treatment, if tumors do not have an increase in thickness by ultrasound or an increase in diameter as evaluated with digital photography, it is believed that the malignant cells have been killed, and a local complete response has been achieved and the treatment is considered equivalent to a local cure. Ocular oncologists measure the antitumor activity after plaque brachytherapy by evaluating tumor control as well as systemic disease to detect the presence of metastasis.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1279525</wp:posOffset>
            </wp:positionH>
            <wp:positionV relativeFrom="page">
              <wp:posOffset>835025</wp:posOffset>
            </wp:positionV>
            <wp:extent cx="4989195" cy="1962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98919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4. Goal of Treatment with Bel-sar is a Local Complete Response Achieving Tumor Control with Targeted Killing of Melanoma Cells and Preservation of Key Ocular Structures.</w:t>
      </w:r>
    </w:p>
    <w:p>
      <w:pPr>
        <w:spacing w:after="0" w:line="13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believe that patients with small choroidal melanoma or indeterminate lesions would gain the most advantage from bel-sar treatment. These tumors are not only the most likely to respond to our therapy but, based on historic data, these patients also have the lowest risk of having developed life-threatening metastatic disease, and as such, bel-sar has the potential to confer the greatest long-term benefit.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Clinical Development Plan in Primary Choroidal Melanoma:</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color w:val="auto"/>
        </w:rPr>
        <w:t xml:space="preserve">Phase 1b/2 Intravitreal Study: </w:t>
      </w:r>
      <w:r>
        <w:rPr>
          <w:rFonts w:ascii="Arial" w:cs="Arial" w:eastAsia="Arial" w:hAnsi="Arial"/>
          <w:sz w:val="18"/>
          <w:szCs w:val="18"/>
          <w:color w:val="auto"/>
        </w:rPr>
        <w:t>This study evaluated the safety and efficacy of bel-sar delivered via intravitreal, or IVT,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light activation in a dose escalation design in 56 patients. The majority of patients treated at the therapeutic regimen with two cycles of therapy at the highest dose achieved a local complete response showing a tumor control rate of 70% at 12 months. Visual acuity preservation was demonstrated in &gt;70% including a high percentage of patients with tumors close to the fovea or optic disc considered at high risk for vision loss when treated with radiotherapy. Treatment with bel-sar was generally well-tolerated at all doses including the highest treatment regimen with two cycles of therapy. Adverse events were generally mild or moderate, transient and manageable with SoC treatments in most patients. Adverse events of vitreous inflammation, anterior chamber inflammation and increased intraocular pressure were manageable with steroid treatment and ocular antihypertensives. There were only two drug-related serious adverse events of vision loss related to pigmentary changes around the edge of the tumor.</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b w:val="1"/>
          <w:bCs w:val="1"/>
          <w:color w:val="auto"/>
        </w:rPr>
        <w:t xml:space="preserve">Phase 2 Suprachoroidal Study: </w:t>
      </w:r>
      <w:r>
        <w:rPr>
          <w:rFonts w:ascii="Arial" w:cs="Arial" w:eastAsia="Arial" w:hAnsi="Arial"/>
          <w:sz w:val="18"/>
          <w:szCs w:val="18"/>
          <w:color w:val="auto"/>
        </w:rPr>
        <w:t>We also evaluated and developed the SC route of administration to optimize the delivery of bel-sar</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the choroid where the tumor is located. The suprachoroidal space, or SCS, is a potential space bound between the external surface of the choroid and the internal surface of the sclera and encompasses the full circumference of the posterior segment of the eye. The Phase 2 study was an open-label, ascending single and repeat dose escalation trial in patients with early-stage choroidal melanoma designed to evaluate the safety, tolerability and efficacy of up to three cycles of bel-sar treatment. (ClinicalTrials.gov ID: NCT04417530)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835025</wp:posOffset>
            </wp:positionV>
            <wp:extent cx="2280285" cy="2125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8028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SC Administration with SCS Microinjector</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w:t>
      </w:r>
    </w:p>
    <w:p>
      <w:pPr>
        <w:spacing w:after="0" w:line="15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trial included both single and multiple ascending dose cohorts, with a total of 22 patients enrolled. Patients were closely monitored over a twelve-month follow-up period to assess tumor control, visual acuity preservation and tumor growth rate. The Phase 2 end of study results demonstrated that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Of note, the current standard of care is radiotherapy, which leads to visual acuity of &lt;20/200 (the cutoff for legal blindness) in the treated eye in up to 87% of patients. The safety profile of bel-sar was highly favorable in all participants regardless of dose. There were no treatment-related serious adverse events reported. Ocular treatment-related adverse events were mild (Grade 1), included anterior chamber inflammation (18%) or cell (9%) and resolved without sequelae. The vast majority (~70%) of the anterior chamber inflammation/cell events were self-limited, requiring no treatment, and resolved in a median of six days. For those events that did require treatment, topical steroid eye drops, administered for a median of six days, achieved complete resolution of the inflammation. Eye pain occurred in 9% of patients and was mild (Grade 1). Importantly, no treatment-related posterior inflammation events (no vitritis, choroiditis, retinitis, retinal pigment epithelium changes or vasculitis) were reported. We believe the Phase 2 results are a significant achievement considering the typically poor prognosis associated with choroidal melanoma, a rare and life-threatening ocular cancer, where there are no approved vision-preserving therapies to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1254125</wp:posOffset>
            </wp:positionH>
            <wp:positionV relativeFrom="page">
              <wp:posOffset>706120</wp:posOffset>
            </wp:positionV>
            <wp:extent cx="5048885" cy="3385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04888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Adverse Events among the 22 Patients Enrolled in the Phase 2 SC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4886325" cy="269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632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7. Dose Response and Tumor Control Rates Demonstrate Meaningful Clinical Benefit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1288415</wp:posOffset>
            </wp:positionH>
            <wp:positionV relativeFrom="page">
              <wp:posOffset>808990</wp:posOffset>
            </wp:positionV>
            <wp:extent cx="4980305" cy="3531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98030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8. High Vision Preservation Rates with 12 Months of Follow Up.</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b w:val="1"/>
          <w:bCs w:val="1"/>
          <w:color w:val="auto"/>
        </w:rPr>
        <w:t xml:space="preserve">Phase 3 Randomized Controlled Trial: </w:t>
      </w:r>
      <w:r>
        <w:rPr>
          <w:rFonts w:ascii="Arial" w:cs="Arial" w:eastAsia="Arial" w:hAnsi="Arial"/>
          <w:sz w:val="18"/>
          <w:szCs w:val="18"/>
          <w:color w:val="auto"/>
        </w:rPr>
        <w:t>The Phase 3 trial is designed as a superiority trial comparing bel-sar versus sham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via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is powered at greater than 90%. (ClinicalTrials.gov ID: NCT06007690)</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design of the trial and the endpoints utilized have been agreed upon through an SPA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137795</wp:posOffset>
            </wp:positionV>
            <wp:extent cx="5760720" cy="1619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9. Global Phase 3 Trial Design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509"/>
        <w:spacing w:after="0" w:line="244" w:lineRule="auto"/>
        <w:rPr>
          <w:sz w:val="20"/>
          <w:szCs w:val="20"/>
          <w:color w:val="auto"/>
        </w:rPr>
      </w:pPr>
      <w:r>
        <w:rPr>
          <w:rFonts w:ascii="Arial" w:cs="Arial" w:eastAsia="Arial" w:hAnsi="Arial"/>
          <w:sz w:val="18"/>
          <w:szCs w:val="18"/>
          <w:color w:val="auto"/>
        </w:rPr>
        <w:t>The trial is patient, assessor (VA examiners and Independent Reading Center, or IRC, readers) and sponsor-masked. Masked readers at the IRC will assess the imaging data-based efficacy assessments including tumor thickness and largest basal diameter, or LBD, during the trial. Best corrected visual acuity will be assessed using the ETDRS protocol by masked, certified, VA examiners. All measures will be taken to mask the patients during their trial participation period including the use of sham SC injections and sham laser on assigned treatment days.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Any patient in the trial who meets the tumor progression definition will be treated with SoC therapies as rescue treatment per Investigator judgment. SoC therapies will include, but are not limited to, brachytherapy and proton beam therapy. This will ensure that no patient has a delayed treatment if the tumor is progressing, and importantly, that all of the sham patients receive their SoC treatment in a timely manner and no later than in regular clinical practice.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trial is powered at greater than 90%. Since there is no drug approved for the treatment of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warranted by the data, we plan to submit the results of the Phase 3 trial to support approval of bel-sar for the treatment of primary small choroidal melanoma and indeterminate lesions. Based on the results of the Phase 3 trial, if positive, and a lack of therapies approved for the treatment of this rare disease, with the current SoC with radiotherapy causing patients irreversible vision loss, the FDA and EMA may agree to grant approval based on a single Phase 3 trial. However, the FDA and/or EMA may require two Phase 3 trials for approval, which will be addressed subsequent to reviewing the data from the Phase 3 trial with the regulators.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we previously reported, there was an administrative error in the original International Nonproprietary Name, or INN, application (INN: belzupacap sarotalocan) with the World Health Organization, or WHO. In subsequent communications with the WHO, the WHO has confirmed an amendment to the existing INN allowing the continued use of belzupacap sarotalocan.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Registry Study</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discussions with the FDA and EMA, we will monitor patients in a long-term registry study, for a total of five years after start of dosing in the parent study. All 57 patients enrolled in the Phase 1b/2 trial (AU-011-101) with intravitreal administration completed the trial and 45/57 elected to enter the registry study. In addition, 18/22 patients from the Phase 2 trial (AU-011-202) with SC administration also elected to enter the registry study. The data collected in the registry study is intended to assess the long-term (5 total years) safety, rate of metastatic disease, and mortality from bel-sar treatment.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Retrospective natural history study to evaluate long-term visual acuity benefit versus plaque brachytherapy</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to demonstrate tumor control with long-term visual acuity preservation supports the potential of bel-sar to become the SoC for the first-line treatment of patients with small choroidal melanoma/indeterminate lesions compared to an invasive radiotherapy procedure that leaves most patients with irreversible vision loss and other long-term comorbidities. To demonstrate the long-term visual decline that patients (who would otherwise have been eligible for our clinical trials) experienced by undergoing radiotherapy, we have conducted a retrospective natural history study to evaluate the visual acuity of patients treated with plaque brachytherapy who were matched to actual patients in our Phase 1b/2 study with IVT administration to provide an estimate of the vision benefit of bel-sar. This study is discussed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ind w:firstLine="509"/>
        <w:spacing w:after="0" w:line="239" w:lineRule="auto"/>
        <w:rPr>
          <w:sz w:val="20"/>
          <w:szCs w:val="20"/>
          <w:color w:val="auto"/>
        </w:rPr>
      </w:pPr>
      <w:r>
        <w:rPr>
          <w:rFonts w:ascii="Arial" w:cs="Arial" w:eastAsia="Arial" w:hAnsi="Arial"/>
          <w:sz w:val="18"/>
          <w:szCs w:val="18"/>
          <w:color w:val="auto"/>
        </w:rPr>
        <w:t>We conducted a retrospective natural history study comparing a group of historic patients that underwent radiotherapy, who were matched to the 43 patients in our Phase 1b/2 trial with IVT administration, in terms of patient and tumor factors such as tumor size and location. Like the patients in our Phase 1b/2 study, tumors in the matched patients were at high risk for vision loss due to their locations close to the fovea or optic disc. The matched patients had all been previously treated with brachytherapy at the Wills Eye Hospital Ocular Oncology Service led by Dr. Carol Shields, and had long-term follow-up. This study matched patients up to 5:1 using the key baseline characteristics that impact long-term visual acuity – tumor location, tumor size and baseline visual acuity – to determine the visual acuity after radiation treatment for small tumors that might otherwise have been considered for bel-sar treatment in a clinical trial. As shown in Figure 10, matched patients who underwent radiotherapy demonstrated progressive vision loss. At five years post-treatment, mean visual acuity was &lt;20/200 (20/200 is the definition of “legal blindness”), with a mean loss in vision of almost 50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128270</wp:posOffset>
            </wp:positionV>
            <wp:extent cx="4783455" cy="131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8345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Figure 10. A) Vision Loss, and B) Visual Acuity Outcomes, after Treatment with Brachytherapy</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believe that the results of this retrospective study validate and strengthen our data supporting that treatment with bel-sar provides an important advantage in terms of vision preservation compared to brachytherapy, as a first line treatment option for early-stage disease.</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to these data, we plan to develop a long-term follow up plan to assess visual acuity and other outcomes from the Phase 3 trial, to continue to support the long term benefit of visual acuity preservation with bel-sar compared to SoC brachytherapy.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Metastases to the Choroid</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Metastases to the choroid, where different types of primary cancers from elsewhere in the body (e.g., breast and lung cancer) metastasize to the eye, is an even more common cause of intraocular malignancy than primary (i.e., originating within the eye) choroidal melanoma. There is a high unmet need in these patients, as current therapy consists primarily of external radiotherapy, which is typically given daily for four weeks, which comes with a very high treatment burden and with ocular morbidity. As such, an easier-to-apply treatment that preserves vision is needed. These patients are treated by the same ocular oncologists that treat choroidal melanoma. We have an open IND in the United States and have received Fast Track Designation from the FDA’s Division of Oncology in metastases to the choroid. We have initiated a Phase 2 clinical trial in metastases to the choroid and have sites activated with patients in prescreening. We expect initial data from this trial in 2025.</w:t>
      </w:r>
    </w:p>
    <w:p>
      <w:pPr>
        <w:spacing w:after="0" w:line="31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Phase 2 trial is expected to enroll approximately 12-24 patients with unilateral/unifocal metastasis to the choroid, arising from breast or lung primary tumors. The goal of the study is to evaluate safety and early efficacy, including tumor shrinkage and visual acuity, to establish the dose and the dosing regimen for future development.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749300</wp:posOffset>
            </wp:positionV>
            <wp:extent cx="5760720" cy="1259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DLT: dose-limiting toxicity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Metastases to the choroid Phase 2 Trial Design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of the Ocular Surface</w:t>
      </w:r>
    </w:p>
    <w:p>
      <w:pPr>
        <w:spacing w:after="0" w:line="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We are also evaluating the development of bel-sar in cancers of the ocular surface. Ocular surface tumors are tumors that start in the conjunctiva and are treated by the same ocular oncologists that treat choroidal melanoma and metastases to the choroid. These tumors are diagnosed early, when they are not yet metastatic, not unlike choroidal melanoma. However, they remain life-threatening – despite early diagnosis and therapeutic options including disfiguring surgeries, 5-year mortality for conjunctival melanoma remains approximately 25%.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(see below).</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42424"/>
        </w:rPr>
        <w:t>There are currently no drugs approved for cancers of the ocular surface, and patients are treated with surgery, off-label chemotherapy, and radiation. The readily accessible location of these tumors, on the surface of the eye, would be expected to facilitate local treatment with bel-sar in clinic. We continue to advance our preclinical work designed to be IND-enabling in cancers of the ocular surface.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Urologic Oncology</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actively leveraging our precision oncology platform to advance the development of bel-sar in urologic oncology, with ongoing clinical development. We believe bel-sar has the potential, if approved, to serve as an immune-based, function-preserving and organ-sparing treatment approach, offering a novel therapeutic option for patients.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Bladder Cancer Overview</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Bladder cancer is the most common malignancy of the urinary system and remains a significant global health concern, with over 600,000 new cases diagnosed annually, making it the ninth most diagnosed cancer worldwide. In the United States, it ranks as the eighth leading cause of cancer-related deaths in men. The disease primarily affects men and individuals over the age of 65. The primary risk factor is smoking, responsible for approximately half of all cases, followed by occupational exposure to certain chemicals, chronic infections, and genetic predispositions. Most patients are diagnosed at a localized stage; within this group, about 75% have NMIBC, while 25% present with muscle-invasive bladder cancer, or MIBC. Early detection and reducing exposure to known carcinogens, particularly tobacco, are crucial for prevention and improved outcomes.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 Options for Bladder Cancer</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Although several adjuvant intravesical therapies are utilized for patients with NMIBC, there are currently no FDA-approved treatment options specifically indicated for low-grade, intermediate-risk NMIBC. In high-risk NMIBC, various intravesical therapies, including BCG, are approved and commonly used as adjuvant treatments following surgical resection. However, their efficacy is limited by several factors, including BCG shortages and treatment-related adverse events that often lead to early discontinuation, ultimately leaving patients at a substantial risk of recurrence, disease progression, and long-term bladder function impairment.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732155</wp:posOffset>
            </wp:positionV>
            <wp:extent cx="5760720" cy="2512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20"/>
        <w:spacing w:after="0"/>
        <w:rPr>
          <w:sz w:val="20"/>
          <w:szCs w:val="20"/>
          <w:color w:val="auto"/>
        </w:rPr>
      </w:pPr>
      <w:r>
        <w:rPr>
          <w:rFonts w:ascii="Arial" w:cs="Arial" w:eastAsia="Arial" w:hAnsi="Arial"/>
          <w:sz w:val="16"/>
          <w:szCs w:val="16"/>
          <w:b w:val="1"/>
          <w:bCs w:val="1"/>
          <w:i w:val="1"/>
          <w:iCs w:val="1"/>
          <w:color w:val="auto"/>
          <w:vertAlign w:val="superscript"/>
        </w:rPr>
        <w:t>a</w:t>
      </w:r>
      <w:r>
        <w:rPr>
          <w:rFonts w:ascii="Arial" w:cs="Arial" w:eastAsia="Arial" w:hAnsi="Arial"/>
          <w:sz w:val="12"/>
          <w:szCs w:val="12"/>
          <w:i w:val="1"/>
          <w:iCs w:val="1"/>
          <w:color w:val="auto"/>
        </w:rPr>
        <w:t>Each figure represents 1000 persons</w:t>
      </w:r>
      <w:r>
        <w:rPr>
          <w:rFonts w:ascii="Arial" w:cs="Arial" w:eastAsia="Arial" w:hAnsi="Arial"/>
          <w:sz w:val="12"/>
          <w:szCs w:val="12"/>
          <w:b w:val="1"/>
          <w:bCs w:val="1"/>
          <w:i w:val="1"/>
          <w:iCs w:val="1"/>
          <w:color w:val="auto"/>
        </w:rPr>
        <w:t>.</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1</w:t>
      </w:r>
      <w:r>
        <w:rPr>
          <w:rFonts w:ascii="Arial" w:cs="Arial" w:eastAsia="Arial" w:hAnsi="Arial"/>
          <w:sz w:val="12"/>
          <w:szCs w:val="12"/>
          <w:i w:val="1"/>
          <w:iCs w:val="1"/>
          <w:color w:val="auto"/>
        </w:rPr>
        <w:t>. Holzbeierlein JM et al. J Urol. 2024;212(1):3–10.</w:t>
      </w:r>
      <w:r>
        <w:rPr>
          <w:rFonts w:ascii="Arial" w:cs="Arial" w:eastAsia="Arial" w:hAnsi="Arial"/>
          <w:sz w:val="12"/>
          <w:szCs w:val="12"/>
          <w:b w:val="1"/>
          <w:bCs w:val="1"/>
          <w:i w:val="1"/>
          <w:iCs w:val="1"/>
          <w:color w:val="auto"/>
        </w:rPr>
        <w:t xml:space="preserve"> 2</w:t>
      </w:r>
      <w:r>
        <w:rPr>
          <w:rFonts w:ascii="Arial" w:cs="Arial" w:eastAsia="Arial" w:hAnsi="Arial"/>
          <w:sz w:val="12"/>
          <w:szCs w:val="12"/>
          <w:i w:val="1"/>
          <w:iCs w:val="1"/>
          <w:color w:val="auto"/>
        </w:rPr>
        <w:t>. Holzbeierlein JM et al. J Urol. 2024 Apr;211(4):533-538.</w:t>
      </w:r>
      <w:r>
        <w:rPr>
          <w:rFonts w:ascii="Arial" w:cs="Arial" w:eastAsia="Arial" w:hAnsi="Arial"/>
          <w:sz w:val="12"/>
          <w:szCs w:val="12"/>
          <w:b w:val="1"/>
          <w:bCs w:val="1"/>
          <w:i w:val="1"/>
          <w:iCs w:val="1"/>
          <w:color w:val="auto"/>
        </w:rPr>
        <w:t xml:space="preserve"> 3</w:t>
      </w:r>
      <w:r>
        <w:rPr>
          <w:rFonts w:ascii="Arial" w:cs="Arial" w:eastAsia="Arial" w:hAnsi="Arial"/>
          <w:sz w:val="12"/>
          <w:szCs w:val="12"/>
          <w:i w:val="1"/>
          <w:iCs w:val="1"/>
          <w:color w:val="auto"/>
        </w:rPr>
        <w:t>. Internal Aura epidemiology of market size; data on file.</w:t>
      </w:r>
      <w:r>
        <w:rPr>
          <w:rFonts w:ascii="Arial" w:cs="Arial" w:eastAsia="Arial" w:hAnsi="Arial"/>
          <w:sz w:val="12"/>
          <w:szCs w:val="12"/>
          <w:b w:val="1"/>
          <w:bCs w:val="1"/>
          <w:i w:val="1"/>
          <w:iCs w:val="1"/>
          <w:color w:val="auto"/>
        </w:rPr>
        <w:t xml:space="preserve"> 4</w:t>
      </w:r>
      <w:r>
        <w:rPr>
          <w:rFonts w:ascii="Arial" w:cs="Arial" w:eastAsia="Arial" w:hAnsi="Arial"/>
          <w:sz w:val="12"/>
          <w:szCs w:val="12"/>
          <w:i w:val="1"/>
          <w:iCs w:val="1"/>
          <w:color w:val="auto"/>
        </w:rPr>
        <w:t>. Shalata AT, et al. Cancers (Basel).</w:t>
      </w:r>
    </w:p>
    <w:p>
      <w:pPr>
        <w:jc w:val="center"/>
        <w:ind w:right="40"/>
        <w:spacing w:after="0"/>
        <w:rPr>
          <w:sz w:val="20"/>
          <w:szCs w:val="20"/>
          <w:color w:val="auto"/>
        </w:rPr>
      </w:pPr>
      <w:r>
        <w:rPr>
          <w:rFonts w:ascii="Arial" w:cs="Arial" w:eastAsia="Arial" w:hAnsi="Arial"/>
          <w:sz w:val="12"/>
          <w:szCs w:val="12"/>
          <w:i w:val="1"/>
          <w:iCs w:val="1"/>
          <w:color w:val="auto"/>
        </w:rPr>
        <w:t xml:space="preserve">2022;14(20):5019. </w:t>
      </w:r>
      <w:r>
        <w:rPr>
          <w:rFonts w:ascii="Arial" w:cs="Arial" w:eastAsia="Arial" w:hAnsi="Arial"/>
          <w:sz w:val="12"/>
          <w:szCs w:val="12"/>
          <w:b w:val="1"/>
          <w:bCs w:val="1"/>
          <w:i w:val="1"/>
          <w:iCs w:val="1"/>
          <w:color w:val="auto"/>
        </w:rPr>
        <w:t>5</w:t>
      </w:r>
      <w:r>
        <w:rPr>
          <w:rFonts w:ascii="Arial" w:cs="Arial" w:eastAsia="Arial" w:hAnsi="Arial"/>
          <w:sz w:val="12"/>
          <w:szCs w:val="12"/>
          <w:i w:val="1"/>
          <w:iCs w:val="1"/>
          <w:color w:val="auto"/>
        </w:rPr>
        <w:t>. van Rhijn BWG, et al. Eur Urol. 2009;56(3):430–42.</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i w:val="1"/>
          <w:iCs w:val="1"/>
          <w:color w:val="auto"/>
        </w:rPr>
        <w:t>BCG</w:t>
      </w:r>
      <w:r>
        <w:rPr>
          <w:rFonts w:ascii="Arial" w:cs="Arial" w:eastAsia="Arial" w:hAnsi="Arial"/>
          <w:sz w:val="12"/>
          <w:szCs w:val="12"/>
          <w:i w:val="1"/>
          <w:iCs w:val="1"/>
          <w:color w:val="auto"/>
        </w:rPr>
        <w:t>, Bacillus Calmette-Guérin;</w:t>
      </w:r>
      <w:r>
        <w:rPr>
          <w:rFonts w:ascii="Arial" w:cs="Arial" w:eastAsia="Arial" w:hAnsi="Arial"/>
          <w:sz w:val="12"/>
          <w:szCs w:val="12"/>
          <w:b w:val="1"/>
          <w:bCs w:val="1"/>
          <w:i w:val="1"/>
          <w:iCs w:val="1"/>
          <w:color w:val="auto"/>
        </w:rPr>
        <w:t xml:space="preserve"> CIS</w:t>
      </w:r>
      <w:r>
        <w:rPr>
          <w:rFonts w:ascii="Arial" w:cs="Arial" w:eastAsia="Arial" w:hAnsi="Arial"/>
          <w:sz w:val="12"/>
          <w:szCs w:val="12"/>
          <w:i w:val="1"/>
          <w:iCs w:val="1"/>
          <w:color w:val="auto"/>
        </w:rPr>
        <w:t>, carcinoma in situ;</w:t>
      </w:r>
      <w:r>
        <w:rPr>
          <w:rFonts w:ascii="Arial" w:cs="Arial" w:eastAsia="Arial" w:hAnsi="Arial"/>
          <w:sz w:val="12"/>
          <w:szCs w:val="12"/>
          <w:b w:val="1"/>
          <w:bCs w:val="1"/>
          <w:i w:val="1"/>
          <w:iCs w:val="1"/>
          <w:color w:val="auto"/>
        </w:rPr>
        <w:t xml:space="preserve"> IR</w:t>
      </w:r>
      <w:r>
        <w:rPr>
          <w:rFonts w:ascii="Arial" w:cs="Arial" w:eastAsia="Arial" w:hAnsi="Arial"/>
          <w:sz w:val="12"/>
          <w:szCs w:val="12"/>
          <w:i w:val="1"/>
          <w:iCs w:val="1"/>
          <w:color w:val="auto"/>
        </w:rPr>
        <w:t>, intermediate risk;</w:t>
      </w:r>
      <w:r>
        <w:rPr>
          <w:rFonts w:ascii="Arial" w:cs="Arial" w:eastAsia="Arial" w:hAnsi="Arial"/>
          <w:sz w:val="12"/>
          <w:szCs w:val="12"/>
          <w:b w:val="1"/>
          <w:bCs w:val="1"/>
          <w:i w:val="1"/>
          <w:iCs w:val="1"/>
          <w:color w:val="auto"/>
        </w:rPr>
        <w:t xml:space="preserve"> NMIBC</w:t>
      </w:r>
      <w:r>
        <w:rPr>
          <w:rFonts w:ascii="Arial" w:cs="Arial" w:eastAsia="Arial" w:hAnsi="Arial"/>
          <w:sz w:val="12"/>
          <w:szCs w:val="12"/>
          <w:i w:val="1"/>
          <w:iCs w:val="1"/>
          <w:color w:val="auto"/>
        </w:rPr>
        <w:t>, non-muscle-invasive bladder cancer;</w:t>
      </w:r>
      <w:r>
        <w:rPr>
          <w:rFonts w:ascii="Arial" w:cs="Arial" w:eastAsia="Arial" w:hAnsi="Arial"/>
          <w:sz w:val="12"/>
          <w:szCs w:val="12"/>
          <w:b w:val="1"/>
          <w:bCs w:val="1"/>
          <w:i w:val="1"/>
          <w:iCs w:val="1"/>
          <w:color w:val="auto"/>
        </w:rPr>
        <w:t xml:space="preserve"> TURBT</w:t>
      </w:r>
      <w:r>
        <w:rPr>
          <w:rFonts w:ascii="Arial" w:cs="Arial" w:eastAsia="Arial" w:hAnsi="Arial"/>
          <w:sz w:val="12"/>
          <w:szCs w:val="12"/>
          <w:i w:val="1"/>
          <w:iCs w:val="1"/>
          <w:color w:val="auto"/>
        </w:rPr>
        <w:t>, transurethral resection of bladder tumor</w:t>
      </w:r>
      <w:r>
        <w:rPr>
          <w:rFonts w:ascii="Arial" w:cs="Arial" w:eastAsia="Arial" w:hAnsi="Arial"/>
          <w:sz w:val="12"/>
          <w:szCs w:val="12"/>
          <w:b w:val="1"/>
          <w:bCs w:val="1"/>
          <w:color w:val="auto"/>
        </w:rPr>
        <w: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Figure 12. Distribution of Risk Categories and Associated Treatments of NMIBC</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For MIBC, the current standard of care consists of neoadjuvant systemic therapy followed by radical cystectomy or adjuvant systemic treatment post-cystectomy. Despite available therapies, there remains a significant unmet medical need in both NMIBC and MIBC for safe and effective function- and organ-sparing treatment options.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Bel-sar in Bladder Cancer</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nonclinical in vivo data support bel-sar’s dual mechanism of action, demonstrating its potential to induce cytotoxicity and promote long-term antitumor immunity, which may help reduce the risk of recurrence and progression. Additionally, we have shown in preclinical studies that bel-sar exhibits strong synergy with checkpoint inhibitors, which are approved for a subset of patients with NMIBC, further enhancing its therapeutic potential. Given the well-documented sensitivity of bladder cancer to immune activation, we believe this immune response can play a critical role in improving treatment outcomes. We have announced positive data from our Phase 1 clinical trial of bel-sar in patients with NMIBC and have initiated a Phase 1b/2 trial in patients with NMIBC with enrollment expected to begin in the second quarter of 2025. We anticipate initial data from this Phase 1b/2 trial in 2025. We received Fast Track Designation from the FDA for bel-sar for the treatment of NMIBC in June 2022.</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believe the immune response induced by bel-sar could play an even greater role in improving outcomes, given the well-documented immune sensitivity of bladder cancer. The immune sensitivity is further supported by the effectiveness of immune-modulating therapies such as BCG. In nonclinical studies, bel-sar effectively targeted bladder cancer cells in both in vitro and in vivo tumor models. Light activation of bel-sar resulted in selective cytotoxicity, eliminating bladder tumor cells while sparing normal surrounding tissue. This targeted cell killing triggered a pro-immunogenic antitumor response, leading to complete and durable tumor regressions in mouse xenograft models and preventing tumor re-implantation. These preclinical findings highlight bel-sar’s potential to generate lasting antitumor immunity and prevent tumor recurrence. Additionally, nonclinical data indicate that bel-sar exhibits strong synergy with checkpoint inhibitors, including those with mechanisms of action similar to already approved and emerging immunotherapies for bladder cancer patients.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835025</wp:posOffset>
            </wp:positionV>
            <wp:extent cx="5760720" cy="3197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13. Overview of Bel-sar’s Dual Mechanism of Action with Acute Tumor Cell Necrosis and Secondary Antitumor Immunity.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in Bladder Cancer</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Phase 1 Window of Opportunity Study: </w:t>
      </w:r>
      <w:r>
        <w:rPr>
          <w:rFonts w:ascii="Arial" w:cs="Arial" w:eastAsia="Arial" w:hAnsi="Arial"/>
          <w:sz w:val="18"/>
          <w:szCs w:val="18"/>
          <w:color w:val="auto"/>
        </w:rPr>
        <w:t>The Phase 1 multi-center, open-label clinical trial was designed to evaluate the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feasibility of bel-sar as a monotherapy. The study treatment was administered seven to 12 days before the scheduled TURBT, the standard of care procedure. The participants were followed for safety monitoring over a 56-day period. The trial also evaluated bel-sar’s biological activity with histopathological evaluation of tissue samples collected at the time of TURBT (regardless of tumor response) with evaluation of focal necrosis and immune changes in the tumor microenvironment as secondary endpoints. The study design is presented in Figure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160020</wp:posOffset>
            </wp:positionV>
            <wp:extent cx="5760720" cy="1602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14. Phase 1 Window of Opportunity Trial to Establish Safety and Tumor Response by Histopathology after Focal Administration.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2024, we announced positive early data from our ongoing Phase 1 clinical trial of bel-sar in patients with NMIBC.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Subsequent data was presented in March 2025.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firstLine="509"/>
        <w:spacing w:after="0" w:line="253" w:lineRule="auto"/>
        <w:rPr>
          <w:sz w:val="20"/>
          <w:szCs w:val="20"/>
          <w:color w:val="auto"/>
        </w:rPr>
      </w:pPr>
      <w:r>
        <w:rPr>
          <w:rFonts w:ascii="Arial" w:cs="Arial" w:eastAsia="Arial" w:hAnsi="Arial"/>
          <w:sz w:val="18"/>
          <w:szCs w:val="18"/>
          <w:color w:val="auto"/>
        </w:rPr>
        <w:t>In Part 1 of the study (n=5), patients received a single dose of bel-sar without light activation to evaluate its safety profile. Part 2 of the study (n=11) was designed to evaluate three different cohorts of patients with a confirmed tumor at time of treatment, who received either 100ug or 200ug of bel-sar as a single dose.</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Ten of the patients enrolled in part 2 of the study were evaluable for biological activity. Among these ten patients, five had intermediate-risk NMIBC and five had high-risk NMIBC. Eight of these ten patients had a history of recurrent bladder cancer and had undergone multiple TURBTs and adjuvant treatments such as BCG, mitomycin, gemcitabine, cetrelimab and tamoxifen prior to trial enrollment.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Bel-sar was well-tolerated, with less than 10% of patients reporting Grade 1 drug-related adverse events and no reports of Grade 2 or higher drug-related adverse events. No serious adverse events were reported, and no significant differences between the light-activated and non-light activated cohorts were observed.</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Part 2, the ten patients who received bel-sar with light activation showed clinical activity detectable as soon as seven days after a single low dose of bel-sar with light activation. This was demonstrated by histopathological evidence of clinical complete response, necrosis, immune activation, or visual tumor shrinkage observed on cystoscopy. In contrast, no clinical activity was seen in the five patients receiving bel-sar with no light activation. For this analysis, a “clinical complete response” was defined as the absence of tumor cells on histopathologic evaluation, with results as follows:</w:t>
      </w:r>
    </w:p>
    <w:p>
      <w:pPr>
        <w:spacing w:after="0" w:line="68" w:lineRule="exact"/>
        <w:rPr>
          <w:sz w:val="20"/>
          <w:szCs w:val="20"/>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Intermediate-risk NMIBC: </w:t>
      </w:r>
      <w:r>
        <w:rPr>
          <w:rFonts w:ascii="Arial" w:cs="Arial" w:eastAsia="Arial" w:hAnsi="Arial"/>
          <w:sz w:val="18"/>
          <w:szCs w:val="18"/>
          <w:color w:val="auto"/>
        </w:rPr>
        <w:t>Four out of five patients exhibited a clinical complete response, with no tumor cells detected in</w:t>
      </w:r>
      <w:r>
        <w:rPr>
          <w:rFonts w:ascii="Arial" w:cs="Arial" w:eastAsia="Arial" w:hAnsi="Arial"/>
          <w:sz w:val="18"/>
          <w:szCs w:val="18"/>
          <w:b w:val="1"/>
          <w:bCs w:val="1"/>
          <w:color w:val="auto"/>
        </w:rPr>
        <w:t xml:space="preserve"> </w:t>
      </w:r>
      <w:r>
        <w:rPr>
          <w:rFonts w:ascii="Arial" w:cs="Arial" w:eastAsia="Arial" w:hAnsi="Arial"/>
          <w:sz w:val="18"/>
          <w:szCs w:val="18"/>
          <w:color w:val="auto"/>
        </w:rPr>
        <w:t>histopathological evaluation post-treatment in the target and several non-target bladder tumors and necrosis was observed in three out of five patients. In addition, visual tumor shrinkage was observed in several non-target tumors on cystoscopy.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High-risk NMIBC: </w:t>
      </w:r>
      <w:r>
        <w:rPr>
          <w:rFonts w:ascii="Arial" w:cs="Arial" w:eastAsia="Arial" w:hAnsi="Arial"/>
          <w:sz w:val="18"/>
          <w:szCs w:val="18"/>
          <w:color w:val="auto"/>
        </w:rPr>
        <w:t>One of the patients with high-risk disease (based on BCG failure) had a clinical complete response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 lesion and in one of three non-target lesions. Visual tumor shrinkage was observed in three of five patients on cystoscopy, while tumor cells were still present on histopathological evaluation.</w:t>
      </w:r>
    </w:p>
    <w:p>
      <w:pPr>
        <w:spacing w:after="0" w:line="17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Additionally, immune activation was noted in all ten patients in both target and non-target bladder tumors. Furthermore, 4 out of 7 patients with multiple tumors (57%) demonstrated a clinical complete response in at least one non-target lesion with infiltration of effector CD8+ and CD4+ T-cells. This data provides evidence of a bladder urothelial field effect with a single low-dose of bel-sar with light activation, potentially indicating a broader immune response and immune surveillance in the bladder beyond the target tumor in these patients.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evaluate the local immune response after the treatment with bel-sar in the tumor microenvironment, or TME, multiplex immunofluorescence staining for key immune cell types was performed on tumor biopsies. Initial post-treatment results from three patients showed significant infiltration per unit area of cytotoxic effector cells demonstrating early activation of both innate and adaptive immunity (Natural Killer cells, CD4+ and CD8+ T cells). In addition, de novo formation of mature tertiary lymphoid structures, or TLS, post-treatment was observed in two of these three participants. Early TLS were also observed in distant, non-target lesions, suggestive of an immune mediated urothelial field effect. These early observations showing induction of effector immunity and the development of local active immunosurveillance, highlight key features of bel-sar’s dual mechanism of action and the potential to translate into durable treatment responses.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b w:val="1"/>
          <w:bCs w:val="1"/>
          <w:color w:val="auto"/>
        </w:rPr>
        <w:t xml:space="preserve">Phase 1b/2 Trial: </w:t>
      </w:r>
      <w:r>
        <w:rPr>
          <w:rFonts w:ascii="Arial" w:cs="Arial" w:eastAsia="Arial" w:hAnsi="Arial"/>
          <w:sz w:val="18"/>
          <w:szCs w:val="18"/>
          <w:color w:val="auto"/>
        </w:rPr>
        <w:t>We are advancing the development of bel-sar in bladder cancer, with an initial focus on intermediate risk and high</w:t>
      </w:r>
      <w:r>
        <w:rPr>
          <w:rFonts w:ascii="Arial" w:cs="Arial" w:eastAsia="Arial" w:hAnsi="Arial"/>
          <w:sz w:val="18"/>
          <w:szCs w:val="18"/>
          <w:b w:val="1"/>
          <w:bCs w:val="1"/>
          <w:color w:val="auto"/>
        </w:rPr>
        <w:t xml:space="preserve"> </w:t>
      </w:r>
      <w:r>
        <w:rPr>
          <w:rFonts w:ascii="Arial" w:cs="Arial" w:eastAsia="Arial" w:hAnsi="Arial"/>
          <w:sz w:val="18"/>
          <w:szCs w:val="18"/>
          <w:color w:val="auto"/>
        </w:rPr>
        <w:t>risk NMIBC patients through a Phase 1b/2 trial. This study is designed to evaluate additional doses and treatment regimens, allowing for the assessment of clinical response at three months and durability of response at up to 12 months. We have initiated this Phase 1b/2 trial in patients with NMIBC with enrollment expected to begin in the second quarter of 2025. We expect initial data from this trial in 2025. Additionally, we are planning further regulatory discussions focused on defining a registrational strategy to guide clinical development. The Phase 1b/2 study design is illustrated in Figure 15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1450975</wp:posOffset>
            </wp:positionH>
            <wp:positionV relativeFrom="page">
              <wp:posOffset>706120</wp:posOffset>
            </wp:positionV>
            <wp:extent cx="4972050" cy="3643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972050" cy="364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Figure 15. Phase 1b/2 Trial in Intermediate and High Risk NMIBC Patients.</w:t>
      </w:r>
    </w:p>
    <w:p>
      <w:pPr>
        <w:spacing w:after="0" w:line="200" w:lineRule="exact"/>
        <w:rPr>
          <w:sz w:val="20"/>
          <w:szCs w:val="20"/>
          <w:color w:val="auto"/>
        </w:rPr>
      </w:pPr>
    </w:p>
    <w:p>
      <w:pPr>
        <w:spacing w:after="0" w:line="214"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Our goal is to establish bel-sar, if approved, as an immune-based frontline treatment, either as an immune-ablative approach that eliminates the need for TURBT or as a neo-adjuvant multimodal therapy prior to TURBT in NMIBC patients. We also plan to evaluate bel-sar’s efficacy in patients with MIBC.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mHSPG-Expressing Tumors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HPV-derived VLPs have a unique tropism towards cancer cells based on their multivalent binding to modified HSPGs that are specifically found in tumor cells. In vitro, we have observed our VLPs bind to multiple cancer cell lines. In vivo</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also observed binding using our HPV-derived VLPs using xenografts of human tumor cell lines and allografts of murine tumor cell lines, like lung, ovarian, bladder, melanoma and colon. These results help to corroborate the thesis that multiple tumors appear to consistently express and specifically modify HSPGs. Accordingly, we believe we may be able treat a broad spectrum of solid tumors.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biotechnology and pharmaceutical industries are characterized by rapid innovation of new technologies, fierce competition and a strong defense of intellectual property. While we believe that bel-sar’s mechanism of action provides the opportunity and competitive advantage for an early intervention approach in cancer indications that do not have existing approved therapies, we may face competition from major pharmaceutical and biotechnology companies, academic institutions, governmental agencies and public and private research institutions, among others.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ind w:firstLine="509"/>
        <w:spacing w:after="0" w:line="242" w:lineRule="auto"/>
        <w:rPr>
          <w:sz w:val="20"/>
          <w:szCs w:val="20"/>
          <w:color w:val="auto"/>
        </w:rPr>
      </w:pPr>
      <w:r>
        <w:rPr>
          <w:rFonts w:ascii="Arial" w:cs="Arial" w:eastAsia="Arial" w:hAnsi="Arial"/>
          <w:sz w:val="18"/>
          <w:szCs w:val="18"/>
          <w:color w:val="auto"/>
        </w:rPr>
        <w:t>We compete in the segments of the pharmaceutical, biotechnology, and companies focusing on developing oncology therapies .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oncology therapeutics. Key product features that would affect our ability to effectively compete with other therapeutics include the efficacy, safety and convenience of our products.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bel-sar and any future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Ocular Oncology</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Currently we are not aware of any other company that has a drug in clinical development for early intervention in small choroidal melanoma or indeterminate lesions, or for the treatment of metastases to the choroid, which are our first two planned ocular oncology indications. The SoC as a first line treatment for patients is radiotherapy – plaque brachytherapy for melanoma, and external beam radiotherapy for metastases. Verteporfin (Visudyne) is currently used off label in some cases of very small choroidal metastases, but is generally not utilized for melanomas. Transpupillary thermotherapy is generally used as an adjunct to previous radiotherapy for melanoma, but in most cases is no longer used as a standalone treatment modality. Proton beam radiotherapy is sometimes used for choroidal melanoma and metastases to the choroid, and can be associated with similar vision loss as other radiotherapy techniques. It is possible that there may be other companies with compounds in preclinical development but we are not aware of any data that has been published or presented at any conference. Given our stage of development, we believe we are the furthest along in development. Our focus in ocular oncology is the early treatment of the primary cancer in the eye before it metastasizes. Immunocore Holdings PLC, or Immunocore, received FDA approval for KIMMTRAK® (tebentafusp-tebn) injection for metastatic uveal melanoma. Immunocore’s drug is indicated for the treatment of HLA-A*02:01-positive adult patients with unresectable or metastatic uveal melanoma and has not been developed to treat early-stage disease in the eye. Ideaya Biosciences is in Phase 2 clinical development to treat metastatic uveal melanoma. In addition, they have an ongoing Phase 2 study with neoadjuvant treatment in patients with large melanomas that are selected to receive enucleation, or neoadjuvant treatment in patients with medium-to-large tumors that are scheduled to receive radiotherapy, with the goal of either preventing enucleation or reducing the dose of radiotherapy. Neither of those drugs and the patient population they target overlap with our development plan and path to approval.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left="1020"/>
        <w:spacing w:after="0"/>
        <w:rPr>
          <w:sz w:val="20"/>
          <w:szCs w:val="20"/>
          <w:color w:val="auto"/>
        </w:rPr>
      </w:pPr>
      <w:r>
        <w:rPr>
          <w:rFonts w:ascii="Arial" w:cs="Arial" w:eastAsia="Arial" w:hAnsi="Arial"/>
          <w:sz w:val="18"/>
          <w:szCs w:val="18"/>
          <w:i w:val="1"/>
          <w:iCs w:val="1"/>
          <w:color w:val="auto"/>
        </w:rPr>
        <w:t>Urologic Oncology</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are multiple companies that have drugs in clinical development for the treatment of NMIBC and MIBC. Pembrolizumab has been approved for the treatment of BCG-unresponsive NMIBC with carcinoma in situ, or CIS, (with or without papillary tumors) for patients who are unfit or unwilling to undergo radical cystectomy. Ferring Pharmaceuticals has obtained FDA approval for ADSTILADRIN for the treatment of adult patients with high-risk BCG-unresponsive NMIBC with CIS, with or without papillary tumors. ImmunityBio, Inc. has an approved drug, Anktiva, in combination with BCG in patients with BCG-unresponsive NMIBC. CG Oncology’s cretostimogene grenadenorepvec, or CG0070, has presented data in a global Phase 3 clinical trial as a monotherapy for the treatment of BCG-unresponsive NMIBC and has received breakthrough therapy designation and Fast Track Designation. The same drug is being studied as monotherapy for intermediate risk NMIBC, in combination with KEYTRUDA for BCG-unresponsive NMIBC, and in combination with Nivolumab in MIBC.TAR-200 (from Johnson &amp; Johnson Innovative Medicine) has also received breakthrough therapy designation for BCG-unresponsive NMIBC and is being studied in multiple trials in NMIBC and MIBC. A New Drug Application was initiated for TAR-200 for patients with BCG-unresponsive high-risk NMIBC in 2025. UroGen Pharma Ltd., or UroGen, has a drug, Jelmyto, which is a gel reformulation of mitomycin that is currently approved to treat low grade upper tract urothelial cancer. UroGen has also announced that another drug, UGN-102, has met its primary endpoint in a Phase 3 study for NMIBC, and has submitted a BLA with a Prescription Drug User Fee Act, or PDUFA, date of June 13, 2025 for this drug. In addition, there are several additional immune checkpoint inhibitors, or ICIs, in development as a monotherapy and there are several combination trials with ICIs in an effort to improve efficacy and durability of response. In addition, there are several early-stage treatments in clinical development such as Protara Therapeutics, Inc.’s TARA-002 and Asieris Pharmaceuticals’ APL-1202. While there are multiple drugs in development, we believe our competitive advantage as an early intervention approach may help reduce the risk of recurrence and metastasis. In addition, the utilization of bel-sar may be synergistic with other approved therapies like checkpoint inhibitors.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 Agreements</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NIH Patent License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September 2013, we entered into an exclusive patent license agreement, or the NIH License Agreement, with the NIH for certain intellectual property rights, which was amended in September 2015, August 2018 and April 2019. Under the NIH License Agreement, NIH granted us a worldwide, exclusive, sublicensable license to certain patent rights related to VLPs and papilloma pseudovirus for our development and use in combination with our proprietary nanoparticle encapsulation technology both (1) for the treatment, diagnosis and imaging of cancer tumors and metastases as well as their respective pre-cursor dysplasia states and (2) conjugated with light activated drugs for the diagnosis and treatment of cancer tumors and metastases as well as their respective pre-cursor dysplasia states.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Pursuant to the NIH License Agreement, we are required to use commercially reasonable efforts to develop the licensed products using the licensed processes to make the licensed products available to the United States public on reasonable terms, including by adhering to a commercial development plan and meeting specified benchmarks with regards to specified deadlines for regulatory filings, initiation of clinical trials, and gaining regulatory approval for the licensed products.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consideration of the rights granted under the NIH License Agreement, we paid NIH a one-time upfront payment of $0.1 million. We are required to make low single-digit percentage royalty payments based on specified levels of annual net sales of licensed products subject to certain specified reductions. We are required to make development and regulatory milestone payments up to $0.7 million in the aggregate and sales milestone payments up to $0.6 million in the aggregate. We are also required to pay NIH a mid-single to low teen-digit percentage of any sublicensing revenue we receive. Additionally, our payment obligations to NIH are subject to an annual minimum royalty payment of low five figures. We recognized milestones related to this agreement and related amendments of $0.03 million and $0.2 million for the years ended December 31, 2024 and 2023. In addition to milestones under the agreement, we reimburse NIH for any patent prosecution costs incurred.</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NIH License Agreement will terminate upon the last expiration of the patent rights, or we may terminate the entirety of the agreement upon written notice thereof to NIH. The expiry of the last to expire patent licensed under the agreement is September 2034.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Rakuten License and Supply Agreement</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we received notice from LI-COR, Inc., or LI-COR, that as of April 16, 2024, LI-COR assigned, and Rakuten Medical, Inc., or Rakuten, assumed, the 2014 Exclusive Agreement and the 2014 Non-Exclusive Agreement (each described below), each originally entered into by and between us and LI-COR. The 2014 Exclusive Agreement and 2014 Non-Exclusive Agreement were not otherwise modified by this assignment and assumption and remain in effect.</w:t>
      </w:r>
    </w:p>
    <w:p>
      <w:pPr>
        <w:spacing w:after="0" w:line="3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January 2014, we entered into an Exclusive License and Supply Agreement, or the 2014 Exclusive Agreement, with LI-COR for the license of IRDye 700DX and a related licensed patent (now expired) for the treatment and diagnosis of ocular cancers, ocular pre-cancer and indeterminate lesions in humans, as amended in January 2016, July 2017, April 2018 and April 2019. The 2014 Exclusive Agreement required a one-time upfront license issue fee of $0.1 million and requires aggregate milestone payments of up to $0.2 million upon certain regulatory and development milestones. We are also required to pay Rakuten low-single digit royalties on net sales.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term of the 2014 Exclusive Agreement expires on a country-by-country basis, until the longer of (i) ten years from the first commercial sale of a licensed product in such country and (ii) the last to expire valid claim in such country.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Clearside License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2019, we entered into a license agreement, as amended, or the Clearside License Agreement, with Clearside Biomedical, Inc., or Clearside, for the license of Clearside’s SC microinjector technology. Upon execution of the Clearside License Agreement, we paid Clearside a one-time upfront payment of $0.1 million. Under the Clearside License Agreement, we are required to pay milestones up to $21.0 million in the aggregate to Clearside upon the achievement of specified regulatory and development milestones, and upon the achievement of certain commercial sales milestones. We are also required to pay low to mid-single digit royalties on net sales. If we sublicense a product for which royalties are payable, then we are required to pay the greater of 20% received or low single digit royalties on net sales.</w:t>
      </w:r>
    </w:p>
    <w:p>
      <w:pPr>
        <w:spacing w:after="0" w:line="17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 The expiry of the last to expire patent licensed under the agreement is August 2034.</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recognized $ 0 million and $1.0 million in expense related to this agreement and related amendments for the years ended December 31,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success depends in part on our abilities to (1) obtain and maintain proprietary protection for our lead virus-like drug conjugate product candidate bel-sar, (2) defend and enforce our intellectual property rights, in particular, our patent rights, (3) preserve the confidentiality of our know-how relating to, for example, certain manufacturing steps, material components and characteristics of our formulations, and (4) operate without infringing valid and enforceable intellectual property rights of others. We seek to protect our proprietary position by, among other things, exclusively licensing United States and certain foreign patents and patent applications and filing United States and certain foreign patent applications related to bel-sar, where patent protection is available. We also rely on know-how, continuing technological innovation and confidential information as well as pursue licensing opportunities to develop and maintain our proprietary position and protect aspects of our business that are not amenable to, or that we do not consider appropriate for, patent protection. We seek to protect our proprietary technology,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by maintaining physical security of our premises and physical and electronic security of our information technology systems.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cannot be sure that patents will be granted with respect to any patent applications we have licensed or filed or may license or file in the future, and we cannot be sure that any patents we have licensed or which have been granted to us, or patents that may be licensed or granted to us in the future, will not be challenged, invalidated or circumvented or that such patents will be commercially useful in protecting our technology. For more information regarding the risks related to our intellectual property,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4" w:name="page25"/>
    <w:bookmarkEnd w:id="24"/>
    <w:p>
      <w:pPr>
        <w:jc w:val="both"/>
        <w:ind w:firstLine="509"/>
        <w:spacing w:after="0" w:line="239" w:lineRule="auto"/>
        <w:rPr>
          <w:sz w:val="20"/>
          <w:szCs w:val="20"/>
          <w:color w:val="auto"/>
        </w:rPr>
      </w:pPr>
      <w:r>
        <w:rPr>
          <w:rFonts w:ascii="Arial" w:cs="Arial" w:eastAsia="Arial" w:hAnsi="Arial"/>
          <w:sz w:val="18"/>
          <w:szCs w:val="18"/>
          <w:color w:val="auto"/>
        </w:rPr>
        <w:t>Our patent portfolio includes a combination of issued patents and pending patent applications that are owned by us, co-owned by us or licensed by us from third parties. As of March 24, 2025, we have an exclusive license (with regard to ocular cancers) and a non-exclusive license (with regard to solid tumors in humans for a specific indication) from Rakuten under one United States patent, which expired December 19, 2023; an exclusive license from NIH under four issued United States patents and three issued foreign patents; an exclusive license from INSERM-TRANSFERT, or Inserm, under three issued United States patents, and six granted foreign patents; and exclusive rights under a Cooperative Research and Development Agreement, or CRADA, with the United States Department of Health and Human Services, or DHHS, as represented by the National Cancer Institute, and Institute, Center, or Division of the NIH, under five issued United States patents, two pending non-provisional United States patent applications, twelve foreign patents, and eleven pending foreign patent applications.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as of March 24, 2025, we solely own four issued United States patents, one pending non-provisional United States patent application, four pending provisional United States patent applications, two granted foreign patents, and five pending foreign patent applications. We intend to pursue, when possible, additional patent protection, including composition of matter, method of use and process claims related to bel-sar.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Families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license one patent family from Rakuten and one patent family from the NIH, co-own and license one patent family from Inserm, co-own two patent families with DHHS/NIH and have exclusive rights under a CRADA, and solely own three patent families, all of which are generally directed to the bel-sar product and related methods of use and production.</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first family, licensed from Rakuten, includes one United States patent, which expired December 19, 2023. This patent includes claims directed to (1) fluorescent phthalocyanine dyes and (2) processes for making the dyes (e.g., the IRDye 700DX® dye molecules used in bel-sar).</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second family, licensed from NIH, includes four issued United States patents, one issued European patent, and one issued patent in each of Australia and Canada. Patents in this family include claims directed to (1) methods for inhibiting the proliferation of and/or killing of cancer cells using a therapeutic agent formulated with a papilloma VLP, (2) methods that include administering to a patient (e.g., a patient having a melanoma) a papilloma VLP having a fluorescent dye and exposing the dye to an excitation wavelength of light, and (3) methods for detecting cancer cells using a papilloma VLP having a detectable label. The patents in this patent family have a standard expiration date of May 1, 2028, subject to potential extensions.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third family, which we co-own with and license from Inserm, includes three issued United States patents, two issued European patents, an issued patent in each of Canada, Hong Kong, India and Japan. Patents in this family include claims directed to (1) a modified papillomavirus (HPV16) L1 protein having reduced immunogenicity relative to wild-type HPV16 L1 protein and an FG loop having the specific amino acid sequence that is present in bel-sar, (2) nanoparticles comprising the modified L1 protein, (3) methods of using the modified L1 protein to deliver therapeutic agents, and/or (4) methods of producing nanoparticles comprising the modified L1 protein. The patents in this patent family have a standard expiration date of July 24, 2029, subject to potential extensions.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fourth patent family, which we own, includes four issued United States patents. Patents in this family include claims directed to (1) codon-optimized nucleic acids having the particular nucleotide sequence that encodes the modified papillomavirus (HPV16) L1 protein present in bel-sar, (2) methods of producing nanoparticles that include the modified HPV16 L1 protein encoded by the codon-optimized nucleic acids, and (3) methods of using the nanoparticles that include the modified HPV16 L1 protein encoded by the codon-optimized nucleic acids to deliver a therapeutic agent to a patient having cancer. The patents in this patent family have a standard expiration date of February 7, 2033, subject to potential extensions.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jc w:val="both"/>
        <w:ind w:firstLine="509"/>
        <w:spacing w:after="0"/>
        <w:rPr>
          <w:sz w:val="20"/>
          <w:szCs w:val="20"/>
          <w:color w:val="auto"/>
        </w:rPr>
      </w:pPr>
      <w:r>
        <w:rPr>
          <w:rFonts w:ascii="Arial" w:cs="Arial" w:eastAsia="Arial" w:hAnsi="Arial"/>
          <w:sz w:val="18"/>
          <w:szCs w:val="18"/>
          <w:color w:val="auto"/>
        </w:rPr>
        <w:t>The fifth patent family, which we co-own with DHHS/NIH and have exclusive rights under a CRADA, includes five issued United States patents, two issued patents in each of Europe, Australia, and Japan, an issued patent in each of Brazil, Canada, Hong Kong, Republic of Korea and Mexico, one pending patent applications in the United States, and one pending patent application in each of Australia, China and Europe. Patents in this family include claims directed to (1) tumor-targeting papilloma VLPs containing near infrared phthalocyanine dye molecules that become toxic or produce a toxic molecule upon light activation, (2) methods that include delivering the papilloma VLPs to an ocular tumor, and/or (3) methods of producing tumor-targeting bioconjugates that include the papilloma VLPs and near infrared phthalocyanine dye molecules. The patents in this patent family have a standard expiration date of September 18, 2034, subject to potential extensions.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sixth patent family, which we co-own with DHHS/NIH and have exclusive rights under a CRADA, includes a granted patent in Israel, a pending patent application in each of the United States, Australia, Brazil, Canada, China, Europe, and Israel, and two pending patent applications in Japan. Patent applications in this family include claims to a combination therapy that uses (1) tumor-targeting papillomavirus nanoparticles containing photosensitive molecules and (2) a checkpoint inhibitor. Patents issuing from this family would have a standard expiration date of April 11, 2038, subject to potential extensions.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seventh patent family, which we own, includes a granted patent in each of Europe and China, and a pending patent application in each of the United States, Australia, Canada, Japan and Republic of Korea with claims directed to an ophthalmic composition that includes a near-isotonic solution of VLP drug conjugates in suspension. Patents issuing from national stage applications based on this international application would have a standard expiration date of March 25, 2040, subject to potential extensions.</w:t>
      </w:r>
    </w:p>
    <w:p>
      <w:pPr>
        <w:spacing w:after="0" w:line="17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eighth patent family, which we own, includes four pending provisional United States patent applications with claims directed to methods for treating a target tumor while simultaneously inducing a therapeutic field effect. Patents issuing from this family would have a standard expiration date of October 16, 2045, subject to potential extensions.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United States, where we have initially focused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 bel-sar, has not been approved by the FDA for marketing in the United States.</w:t>
      </w:r>
    </w:p>
    <w:p>
      <w:pPr>
        <w:spacing w:after="0" w:line="17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process required by the FDA before any product candidates we develop are approved for therapeutic indications and may be marketed in the United States generally involves the following:</w:t>
      </w:r>
    </w:p>
    <w:p>
      <w:pPr>
        <w:ind w:left="1020" w:right="20" w:hanging="368"/>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jc w:val="both"/>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left="1020" w:hanging="368"/>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preparation and submission to the FDA of a BLA after completion of all pivotal trials, accompanied by payment of FDA user fees;</w:t>
      </w: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39"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Nonclinical Studies and Clinical Trials for Biologics</w:t>
      </w:r>
    </w:p>
    <w:p>
      <w:pPr>
        <w:spacing w:after="0" w:line="7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testing any drug or biologic in humans, the product candidate must undergo rigorous nonclinical testing. Nonclinical studies include laboratory evaluations of chemistry, formulation and stability, as well as in vitro and animal studies to assess safety and in some cases to establish the rationale for therapeutic use. The conduct of nonclinical studies is subject to federal and state regulations and requirements, including GLP requirements for safety and toxicology studies. The results of the nonclinical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protocol(s) for the initial clinical trial and the general investigational plan.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protocol submission to an existing IND must also be made for each successive clinical trial conducted in the United States, each of which may begin following a 30 day period unless the FDA issues a clinical hold on the clinical trial.</w:t>
      </w:r>
    </w:p>
    <w:p>
      <w:pPr>
        <w:spacing w:after="0" w:line="18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to be conducted in the United States, and any subsequent amendments to the protocol, must be submitted to the FDA as an amendment to the IND. Furthermore, each clinical trial must be reviewed and approved by an IRB for each institution at which the clinical trial will be conducted, or by a central IRB,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www.clinicaltrials.gov website.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jc w:val="both"/>
        <w:ind w:firstLine="509"/>
        <w:spacing w:after="0" w:line="244" w:lineRule="auto"/>
        <w:rPr>
          <w:sz w:val="20"/>
          <w:szCs w:val="20"/>
          <w:color w:val="auto"/>
        </w:rPr>
      </w:pPr>
      <w:r>
        <w:rPr>
          <w:rFonts w:ascii="Arial" w:cs="Arial" w:eastAsia="Arial" w:hAnsi="Arial"/>
          <w:sz w:val="18"/>
          <w:szCs w:val="18"/>
          <w:color w:val="auto"/>
        </w:rPr>
        <w:t>A sponsor who wishes to conduct a clinical trial outside of the United States under its IND may need to obtain waivers for certain regulatory compliance requirements such as those requiring IRB review and approval. However, the FDA does not require that all foreign clinical trials be conducted under United States INDs.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phases may overlap or be conducted in combination.</w:t>
      </w:r>
    </w:p>
    <w:p>
      <w:pPr>
        <w:jc w:val="both"/>
        <w:ind w:left="1020" w:hanging="368"/>
        <w:spacing w:after="0" w:line="245"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jc w:val="both"/>
        <w:ind w:left="1020" w:hanging="368"/>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 although there are known exceptions, particularly for rare diseases.</w:t>
      </w:r>
    </w:p>
    <w:p>
      <w:pPr>
        <w:spacing w:after="0" w:line="17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Expanded Access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Expanded access, sometimes called “compassionate use,” is the use of investigational products outside of intended clinical development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for the following expanded access requests: individual patients (single-patient IND applications for treatment in emergency settings and non-emergency settings); intermediate-size patient populations; and larger populations for use of the investigational product under a treatment protocol or treatment IND application. There is no requirement for a company to provide expanded access to its investigational product.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clinically active component,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74"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for example, as to whether the biologic is sufficiently safe and efficacious in a given indication for a given population and under what conditions. The FDA is not bound by the recommendations of an advisory committee, but it considers such recommendations carefully when making marketing approval decisions.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jc w:val="both"/>
        <w:ind w:firstLine="509"/>
        <w:spacing w:after="0"/>
        <w:rPr>
          <w:sz w:val="20"/>
          <w:szCs w:val="20"/>
          <w:color w:val="auto"/>
        </w:rPr>
      </w:pPr>
      <w:r>
        <w:rPr>
          <w:rFonts w:ascii="Arial" w:cs="Arial" w:eastAsia="Arial" w:hAnsi="Arial"/>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Under the Food and Drug Omnibus Reform Act of 2022, or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the Orphan Drug Act, the FDA may grant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jc w:val="both"/>
        <w:ind w:firstLine="509"/>
        <w:spacing w:after="0"/>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drug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jc w:val="both"/>
        <w:ind w:firstLine="509"/>
        <w:spacing w:after="0" w:line="237"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including those supplying products, ingredients, and components of such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6" w:lineRule="exact"/>
        <w:rPr>
          <w:sz w:val="20"/>
          <w:szCs w:val="20"/>
          <w:color w:val="auto"/>
        </w:rPr>
      </w:pPr>
    </w:p>
    <w:p>
      <w:pPr>
        <w:ind w:left="1020" w:hanging="368"/>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ind w:left="1020" w:right="20" w:hanging="368"/>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holds on clinical trials;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3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Patent Protection and Affordable Care Act, as amended by the Health Care and Education Reconciliation Act,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jc w:val="both"/>
        <w:ind w:firstLine="509"/>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6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by different centers at the FDA. These products are known as combination products. Specifically, under regulations issued by the FDA, a combination product may be:</w:t>
      </w:r>
    </w:p>
    <w:p>
      <w:pPr>
        <w:spacing w:after="0" w:line="1" w:lineRule="exact"/>
        <w:rPr>
          <w:sz w:val="20"/>
          <w:szCs w:val="20"/>
          <w:color w:val="auto"/>
        </w:rPr>
      </w:pPr>
    </w:p>
    <w:p>
      <w:pPr>
        <w:ind w:left="1020" w:hanging="368"/>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jc w:val="both"/>
        <w:ind w:left="1020" w:hanging="368"/>
        <w:spacing w:after="0" w:line="241"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3"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is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509"/>
        <w:spacing w:after="0" w:line="244" w:lineRule="auto"/>
        <w:rPr>
          <w:sz w:val="20"/>
          <w:szCs w:val="20"/>
          <w:color w:val="auto"/>
        </w:rPr>
      </w:pPr>
      <w:r>
        <w:rPr>
          <w:rFonts w:ascii="Arial" w:cs="Arial" w:eastAsia="Arial" w:hAnsi="Arial"/>
          <w:sz w:val="18"/>
          <w:szCs w:val="18"/>
          <w:color w:val="auto"/>
        </w:rPr>
        <w:t>A combination product with a biologic primary mode of action generally would be reviewed and approved pursuant to FDA’s biologic approval processes. In reviewing the BLA application for such a product, however, FDA reviewers in the biologics center could consult with their counterparts in the device center to ensure that the device component of the combination product met applicable requirements regarding safety, effectiveness, durability and performance. In addition, under FDA’s regulations, combination products are subject to applicable cGMP requirements for drugs, biologics and devices, including the Quality System regulations applicable to medical devices.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DHHS,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the DHHS. CMS decides whether and to what extent a new medicine will be covered and reimbursed under Medicare and private payors tend to follow CMS to a substantial degree.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32" w:lineRule="exact"/>
        <w:rPr>
          <w:sz w:val="20"/>
          <w:szCs w:val="20"/>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2" w:lineRule="exact"/>
        <w:rPr>
          <w:sz w:val="20"/>
          <w:szCs w:val="20"/>
          <w:color w:val="auto"/>
        </w:rPr>
      </w:pPr>
    </w:p>
    <w:p>
      <w:pPr>
        <w:jc w:val="both"/>
        <w:ind w:left="1020" w:hanging="368"/>
        <w:spacing w:after="0" w:line="239"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7"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false claims and civil monetary penalties laws, including the False Claims Act, prohibit individuals or entities from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1"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DHHS information related to payments and other transfers of value made to physician (defined to include doctors, dentists, optometrists, podiatrists and chiropractors), certain other licensed health care practitioners and teaching hospitals; as well as the ownership and investment interests of such physicians and their immediate family members;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38"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5" w:lineRule="exact"/>
        <w:rPr>
          <w:rFonts w:ascii="Times New Roman" w:cs="Times New Roman" w:eastAsia="Times New Roman" w:hAnsi="Times New Roman"/>
          <w:sz w:val="18"/>
          <w:szCs w:val="18"/>
          <w:color w:val="auto"/>
        </w:rPr>
      </w:pPr>
    </w:p>
    <w:p>
      <w:pPr>
        <w:jc w:val="both"/>
        <w:ind w:left="1020" w:hanging="368"/>
        <w:spacing w:after="0" w:line="259"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6" w:name="page37"/>
    <w:bookmarkEnd w:id="36"/>
    <w:p>
      <w:pPr>
        <w:ind w:left="1020" w:hanging="368"/>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jc w:val="both"/>
        <w:ind w:left="1020" w:hanging="368"/>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8"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governing the privacy and security of health information in certain circumstances, many of which differ from each other in significant ways and often are not preempted by HIPAA, thus complicating compliance efforts, and analogous foreign laws and regulations. 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and exclusion from participation in federal and state healthcare programs, and responsible individuals may be subject to imprisonment.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 Care Reform &amp; Legislative Updates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the Budget Control Act of 2011, among other things, created measures for spending reductions by Congress that include aggregate reductions of Medicare payments to providers up to 2% per fiscal year, which remain in effect through 2031. Due to the Statutory Pay-As-You-Go Act of 2010, estimated budget deficit increases resulting from the American Rescue Plan Act of 2021, and subsequent legislation, Medicare payments to providers were further reduced starting on January 1, 2025; however, legislation has been introduced (but not passed)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beginning January 1, 2024. These laws and regulations may result in additional restrictions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7" w:name="page38"/>
    <w:bookmarkEnd w:id="37"/>
    <w:p>
      <w:pPr>
        <w:jc w:val="both"/>
        <w:ind w:firstLine="509"/>
        <w:spacing w:after="0" w:line="238"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This includes provisions that reduce the out-of-pocket cap for Medicare Part D beneficiaries to $2,000 starting in 2025; impose new manufacturer financial liability on certain drugs under Medicare Part D; and require companies to pay rebates to Medicare for certain drugs whose prices have increased faster than inflation. The IRA also allows DHHS to negotiate Medicare Part B and Part D price caps for certain high-cost drugs and biologics without generic or biosimilar competition. For a biological product to be selected for participation in the Medicare drug price negotiation program, at least 11 years must have elapsed since the biological product was licensed by FDA for its first indication. FDA approval of future indications or changes to a formulation of a product will not delay or halt this timing. Further, under the IRA, orphan drugs are exempted from the Medicare drug price negotiation program, but only if they have one orphan designation and for which the only approved indication is for that rare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drug price negotiation program provisions. The outcome of this litigation as well as the effects of the IRA on our business and the healthcare industry in general are not yet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EU</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Similar to the United States, the various phases of preclinical and clinical research in the EU are subject to significant regulatory controls. In April 2014, the EU adopted a Clinical Trials Regulation (EU) No 536/2014, which replaced the Clinical Trials Directive 2001/20/EC on January 31, 2022. The Clinical Trials Regulation is directly applicable in all EU Member States (and so does not require national implementing legislation in each Member State), and aims at simplifying and streamlining the approval of clinical studies in the EU. For example, a single application is now made through the Clinical Trials Information System, or CTIS, for clinical trial authorization in up to 30 European Economic Area (i.e. the EU Member States plus Iceland, Liechtenstein and Norway), or EEA, countries at the same time and with a single set of documentation.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Member States Concerned, however overall related timelines are defined by the Clinical Trials Regulation. The Clinical Trials Regulation also provides for simplified reporting procedures for clinical trial sponsors.</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have an SME status with the EMA as a small and medium-sized enterprise. This enables us to continue to have access to administrative, regulatory and financial support, including fee reductions for scientific advice and regulatory procedures.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Drug Review and Approval</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EU, medicinal products can only be commercialized after obtaining a marketing authorization, or MA. There are two types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MAs.</w:t>
      </w:r>
    </w:p>
    <w:p>
      <w:pPr>
        <w:spacing w:after="0" w:line="14" w:lineRule="exact"/>
        <w:rPr>
          <w:sz w:val="20"/>
          <w:szCs w:val="20"/>
          <w:color w:val="auto"/>
        </w:rPr>
      </w:pPr>
    </w:p>
    <w:p>
      <w:pPr>
        <w:jc w:val="both"/>
        <w:ind w:left="1020" w:hanging="368"/>
        <w:spacing w:after="0" w:line="23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 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We therefore consider our product candidates would fall within the mandatory scope of the centralized procedure.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the EMA provides the opinion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left="1020"/>
        <w:spacing w:after="0" w:line="241" w:lineRule="auto"/>
        <w:rPr>
          <w:sz w:val="20"/>
          <w:szCs w:val="20"/>
          <w:color w:val="auto"/>
        </w:rPr>
      </w:pPr>
      <w:r>
        <w:rPr>
          <w:rFonts w:ascii="Arial" w:cs="Arial" w:eastAsia="Arial" w:hAnsi="Arial"/>
          <w:sz w:val="18"/>
          <w:szCs w:val="18"/>
          <w:color w:val="auto"/>
        </w:rPr>
        <w:t>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4" w:lineRule="exact"/>
        <w:rPr>
          <w:sz w:val="20"/>
          <w:szCs w:val="20"/>
          <w:color w:val="auto"/>
        </w:rPr>
      </w:pPr>
    </w:p>
    <w:p>
      <w:pPr>
        <w:jc w:val="both"/>
        <w:ind w:left="1020" w:hanging="368"/>
        <w:spacing w:after="0" w:line="241"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part of its marketing authorization process, the European Commission may grant MAs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CHMP to recommend the granting of an MA, subject to certain specific obligations to be reviewed annually, which is referred to as a conditional MA. This may apply to medicinal products for human use that fall under the jurisdiction of the EMA, including those that are aimed at the treatment, the prevention, or the medical diagnosis of seriously debilitating or life-threatening diseases.</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Regulation (EC) No 1901/2006 provides that prior to obtaining an MA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EU, innovative medicinal products approved on the basis of a complete and independent data package qualify for eight years of data exclusivity upon the grant of an MA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application can be submitted and authorized, and the innovator’s data may be referenced, but no generic or biosimilar product can be placed on the EU market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another company may market another version of the product if such company obtained an MA based on an application with a complete and independent data package of pharmaceutical tests, preclinical tests and clinical trials.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EU, the European Commission grants an orphan designation in respect of a product if its sponsor can establish that the product is intended for the diagnosis, prevention or treatment of a life-threatening or chronically debilitating condition and either (i) such condition affects no more than 5 in 10,000 persons in the EU when the application is made, or (ii) without incentives, it is unlikely that the marketing of the medicine would generate sufficient return in the EU to justify the necessary investment in its development. In each case, there must be no satisfactory method of diagnosis, prevention or treatment of the condition which has been authorized (or, if such a method exists, the product in question would be of significant benefit to those affected by the applicable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jc w:val="both"/>
        <w:ind w:firstLine="509"/>
        <w:spacing w:after="0" w:line="238" w:lineRule="auto"/>
        <w:rPr>
          <w:sz w:val="20"/>
          <w:szCs w:val="20"/>
          <w:color w:val="auto"/>
        </w:rPr>
      </w:pPr>
      <w:r>
        <w:rPr>
          <w:rFonts w:ascii="Arial" w:cs="Arial" w:eastAsia="Arial" w:hAnsi="Arial"/>
          <w:sz w:val="18"/>
          <w:szCs w:val="18"/>
          <w:color w:val="auto"/>
        </w:rPr>
        <w:t>In the EU, orphan designation entitles a party to financial incentives such as reduction of fees or fee waivers and ten years of market exclusivity is granted following the grant of an MA for the orphan product. This period may be reduced to six years if, at the end of the fifth year, it is established that the orphan designation criteria are no longer met, including where it is shown that the product is sufficiently profitable not to justify maintenance of market exclusivity. During the period of market exclusivity, an MA may only be granted to a “similar medicinal product” for the same therapeutic indication as an authorized orphan product if: (i) a second applicant can establish that its product, although similar to the authorized product, is safer, more effective or otherwise clinically superior; (ii) the MA holder for the authorized product consents to a second medicinal product application; or (iii) the MA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designation must be requested before submitting an application for an MA. Orphan designation does not convey any advantage in, or shorten the duration of, the regulatory review and approval process.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All new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conducting of additional clinical trials or post-authorization safety studies.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color w:val="auto"/>
        </w:rPr>
        <w:t>Regulation of Combination Products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In the case of drug-delivery products intended to administer a medicinal product where the device and the medicinal product do not form a single integral product (i.e. where the medicinal product and the device do not form a single product which is intended exclusively for use in the given combination and which is not reusable), the medicinal product is regulated in accordance with the aforementioned rules while the device part is regulated as a medical device and will have to comply with all the requirements set forth by Regulation 2017/745, or the Medical Devices Regulation (which became applicable on May 26, 2021 and repealed the EU Council Directive 93/42/EEC, or the Medical Devices Directive). There is a transition period until December 31, 2028 at the latest during which certificates issued under the Medical Devices Directive remain valid, to ensure that there is sufficient time for devices to be re-certified subject to certain conditions (including compliance with requirements for market surveillance and quality management systems under the Medical Devices Regulation, and engagement with notified bodies).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 application for the medicinal product on the characteristics of the medical device(s) that may impact on the quality, safety and/or efficacy of the medicinal product. The requirements regarding quality aspects for integral drug-device combination products, including devices that are co-packaged with medicinal products, are outlined in an EMA guideline which came into effect on January 1, 2022.</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 a medical device to obtain a CE mark under the Medical Devices Regulation, the device must meet the relevant general safety and performance requirements laid down in Annex I of the Medical Devices Regulation. The most fundamental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laid down in Annex I to the Medical Devices Regulation, medical device manufacturers must undergo a conformity assessment procedure, which varies according to the type of medical device and its (risk)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general safety and performance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88"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aforementioned EU rules are generally applicable in the EEA.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i w:val="1"/>
          <w:iCs w:val="1"/>
          <w:color w:val="auto"/>
        </w:rPr>
        <w:t>Reform of the Regulatory Framework in the European Union</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EU, pricing and reimbursement schemes vary widely from country to country.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required on pharmaceuticals and these efforts could continue as countries attempt to manage healthcare expenditures, especially in light of the severe fiscal and debt crises experienced by many EU Member States.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medicinal products. Inclusion of orphan medicinal products in reimbursement systems tend to focus on the medical usefulness, need, quality and economic benefits to patients and the healthcare system as for any medicinal product. Acceptance of any medicinal product for reimbursement may come with cost, use and often volume restrictions, which again can vary by country. In addition, results-based rules of reimbursement may apply.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collection, use, or other processing of personal data, including clinical trial data, regarding individuals in the EEA is governed by the EU General Data Protection Regulation, or GDPR, and similar processing of personal data regarding individuals in the UK, is governed by the UK General Data Protection Regulation, or UK GDPR, and the UK Data Protection Act 2018. In this document, “GDPR” refers to both the EU GDPR and the UK GDPR, unless specified otherwise. The GDPR applies to any company established in the EEA/UK and to companies established outside the EEA/UK that process personal data in connection with the offering of goods or services to, or the monitoring of the behavior of data subjects in the EEA/UK. The GDPR enhances data protection obligations for companies processing personal data, including stringent requirements relating to ensuring an appropriate legal basis applies to the processing of personal data, expanded disclosures about how personal data is used, requirements to conduct data protection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processors. The GDPR also imposes strict rules and restrictions on the transfer of personal data outside of the EEA/UK to countries that do not ensure an adequate level of protection, like the United States in certain circumstances. Failure to comply with the requirements of the GDPR and the related national data protection laws of the EEA Member States/UK may result in fines up to 20 million euros (£17.5 million under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infringement of the GDPR. Following the UK’s decision to leave the EU on January 31, 2020, the UK’s data protection regime is independent from but aligned to the EU’s data protection regime. However, the UK government is planning to reform its data protection law with the Data (Use and Access) Bill, which it introduced to Parliament in October 2024. These potential future changes to UK data protection laws may alter the similarities between the UK and EEA data protection regime.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UK</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Brexit and the Regulatory Framework in the UK</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UK formally left the EU on January 31, 2020.</w:t>
      </w:r>
    </w:p>
    <w:p>
      <w:pPr>
        <w:spacing w:after="0" w:line="2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EU-UL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 from the EMA (and certain other regulators) when considering an application for a UK marketing authorization.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Data Privacy and Security Laws and Regulations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collect, store, transmit and process sensitive and confidential data and information, including health information, and personal data. As we seek to expand our business, we are, and will increasingly become, subject to numerous state, federal and foreign laws, regulations, rules and government and industry standards relating to the collection, use, retention, security, disclosure, transfer and other processing of sensitive and personal information in the jurisdictions in which we operate. The regulatory framework for data privacy, data security and data transfers worldwide is rapidly evolving, and there has been an increasing focus on privacy and data protection issues.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3" w:name="page44"/>
    <w:bookmarkEnd w:id="43"/>
    <w:p>
      <w:pPr>
        <w:jc w:val="both"/>
        <w:ind w:firstLine="509"/>
        <w:spacing w:after="0" w:line="239"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health information. HIPAA, as amended by HITECH,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 In addition, many states and foreign countries in which we operate have laws that protect the privacy and security of sensitive and personal information. Certain of these laws may be more stringent or broader in scope, or offer greater individual rights, with respect to sensitive and personal information than federal, international or other state laws, and such laws may differ from each other.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February 28, 2025, we had 106 full-time employees and three part-time employees, of which 30 have M.D. (or its equivalent), Ph.D. or J.D. degrees. Within our workforce, 87 employees are engaged in research and development and 22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7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Internet address is www.aurabiosciences.com.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&amp; Media” portion of our website free of charge as soon as reasonably practicable after we electronically file such material with, or furnish it to, the Securities and Exchange Commission, or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Annual Report on Form 10-K, including our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$86.9 million and $76.4 million for the years ended December 31, 2024 and 2023, respectively. As of December 31, 2024, we had an accumulated deficit of $374.2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900" w:hanging="383"/>
        <w:spacing w:after="0" w:line="248"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metastases to the choroid and bladder cancer as well as any other research programs from our VDC technology platform and any future product candidates;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 -sar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900" w:hanging="383"/>
        <w:spacing w:after="0" w:line="246"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900" w:hanging="383"/>
        <w:spacing w:after="0" w:line="252"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jc w:val="both"/>
        <w:ind w:left="90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ind w:left="900" w:hanging="383"/>
        <w:spacing w:after="0" w:line="255"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8" w:name="page49"/>
    <w:bookmarkEnd w:id="48"/>
    <w:p>
      <w:pPr>
        <w:ind w:left="900" w:hanging="383"/>
        <w:spacing w:after="0" w:line="255"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900" w:right="20" w:hanging="383"/>
        <w:spacing w:after="0" w:line="252"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900" w:hanging="383"/>
        <w:spacing w:after="0" w:line="252"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900" w:right="20" w:hanging="383"/>
        <w:spacing w:after="0" w:line="257"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0" w:name="page51"/>
    <w:bookmarkEnd w:id="50"/>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47" w:lineRule="auto"/>
        <w:rPr>
          <w:sz w:val="20"/>
          <w:szCs w:val="20"/>
          <w:color w:val="auto"/>
        </w:rPr>
      </w:pPr>
      <w:r>
        <w:rPr>
          <w:rFonts w:ascii="Arial" w:cs="Arial" w:eastAsia="Arial" w:hAnsi="Arial"/>
          <w:sz w:val="18"/>
          <w:szCs w:val="18"/>
          <w:color w:val="auto"/>
        </w:rPr>
        <w:t>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early-stage choroidal melanoma is a rare disease and as such clinical trial recruitment estimates may be inaccurate and such recruitment may take longer than expected.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Ireland, the UK, Canada, Australia, Austria, Italy, Greece, South Korea, Israel, Germany, France, Spain, Denmark, Sweden, Belgium, Finland,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42" w:lineRule="auto"/>
        <w:rPr>
          <w:sz w:val="20"/>
          <w:szCs w:val="20"/>
          <w:color w:val="auto"/>
        </w:rPr>
      </w:pPr>
      <w:r>
        <w:rPr>
          <w:rFonts w:ascii="Arial" w:cs="Arial" w:eastAsia="Arial" w:hAnsi="Arial"/>
          <w:sz w:val="18"/>
          <w:szCs w:val="18"/>
          <w:color w:val="auto"/>
        </w:rPr>
        <w:t>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spacing w:after="0" w:line="242" w:lineRule="auto"/>
        <w:rPr>
          <w:sz w:val="20"/>
          <w:szCs w:val="20"/>
          <w:color w:val="auto"/>
        </w:rPr>
      </w:pPr>
      <w:r>
        <w:rPr>
          <w:rFonts w:ascii="Arial" w:cs="Arial" w:eastAsia="Arial" w:hAnsi="Arial"/>
          <w:sz w:val="18"/>
          <w:szCs w:val="18"/>
          <w:color w:val="auto"/>
        </w:rPr>
        <w:t>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900" w:hanging="383"/>
        <w:spacing w:after="0" w:line="257"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jc w:val="both"/>
        <w:ind w:left="900" w:hanging="383"/>
        <w:spacing w:after="0" w:line="267" w:lineRule="auto"/>
        <w:tabs>
          <w:tab w:leader="none" w:pos="9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900" w:hanging="383"/>
        <w:spacing w:after="0" w:line="25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900" w:hanging="383"/>
        <w:spacing w:after="0" w:line="255"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900" w:hanging="383"/>
        <w:spacing w:after="0" w:line="246"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6"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 w:lineRule="exact"/>
        <w:rPr>
          <w:sz w:val="20"/>
          <w:szCs w:val="20"/>
          <w:color w:val="auto"/>
        </w:rPr>
      </w:pPr>
    </w:p>
    <w:p>
      <w:pPr>
        <w:ind w:left="900" w:hanging="38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ind w:left="900" w:hanging="383"/>
        <w:spacing w:after="0" w:line="255"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900" w:hanging="383"/>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inclusion of additional warnings, contraindications or other safety information, including boxed warnings;</w:t>
      </w: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8"/>
          <w:szCs w:val="18"/>
          <w:color w:val="auto"/>
        </w:rPr>
        <w:t>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or SPA,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spacing w:after="0" w:line="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early-stage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both"/>
        <w:ind w:right="20"/>
        <w:spacing w:after="0" w:line="253" w:lineRule="auto"/>
        <w:rPr>
          <w:sz w:val="20"/>
          <w:szCs w:val="20"/>
          <w:color w:val="auto"/>
        </w:rPr>
      </w:pPr>
      <w:r>
        <w:rPr>
          <w:rFonts w:ascii="Arial" w:cs="Arial" w:eastAsia="Arial" w:hAnsi="Arial"/>
          <w:sz w:val="18"/>
          <w:szCs w:val="18"/>
          <w:color w:val="auto"/>
        </w:rPr>
        <w:t>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early-stage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jc w:val="both"/>
        <w:ind w:right="20"/>
        <w:spacing w:after="0" w:line="271" w:lineRule="auto"/>
        <w:rPr>
          <w:sz w:val="20"/>
          <w:szCs w:val="20"/>
          <w:color w:val="auto"/>
        </w:rPr>
      </w:pPr>
      <w:r>
        <w:rPr>
          <w:rFonts w:ascii="Arial" w:cs="Arial" w:eastAsia="Arial" w:hAnsi="Arial"/>
          <w:sz w:val="18"/>
          <w:szCs w:val="18"/>
          <w:color w:val="auto"/>
        </w:rPr>
        <w:t>manufacture if any of our product candidates receive marketing approval. We are currently reliant on a single source for each of our regulatory starting materials, drug substance and drug product manufacturing for bel-sar.</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2" w:name="page63"/>
    <w:bookmarkEnd w:id="62"/>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48"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3" w:name="page64"/>
    <w:bookmarkEnd w:id="63"/>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5" w:lineRule="exact"/>
        <w:rPr>
          <w:rFonts w:ascii="Times New Roman" w:cs="Times New Roman" w:eastAsia="Times New Roman" w:hAnsi="Times New Roman"/>
          <w:sz w:val="18"/>
          <w:szCs w:val="18"/>
          <w:color w:val="auto"/>
        </w:rPr>
      </w:pPr>
    </w:p>
    <w:p>
      <w:pPr>
        <w:jc w:val="both"/>
        <w:ind w:left="900" w:hanging="383"/>
        <w:spacing w:after="0" w:line="25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jc w:val="both"/>
        <w:ind w:left="900" w:hanging="383"/>
        <w:spacing w:after="0" w:line="25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ind w:left="900" w:hanging="383"/>
        <w:spacing w:after="0" w:line="255"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35"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4" w:name="page65"/>
    <w:bookmarkEnd w:id="64"/>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early-stage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2024 titled “Business—Competition.”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2024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early-stage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2024 titled “Business—Government Regulation—Health Care Laws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6" w:name="page67"/>
    <w:bookmarkEnd w:id="66"/>
    <w:p>
      <w:pPr>
        <w:jc w:val="both"/>
        <w:ind w:firstLine="509"/>
        <w:spacing w:after="0" w:line="237"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2024 titled “Business—Government Regulation—Health Care Reform &amp; Legislative Updates.”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4" w:lineRule="exact"/>
        <w:rPr>
          <w:sz w:val="20"/>
          <w:szCs w:val="20"/>
          <w:color w:val="auto"/>
        </w:rPr>
      </w:pPr>
    </w:p>
    <w:p>
      <w:pPr>
        <w:ind w:left="900" w:hanging="38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6"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ind w:left="900" w:hanging="383"/>
        <w:spacing w:after="0" w:line="252"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1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0" w:name="page71"/>
    <w:bookmarkEnd w:id="70"/>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1" w:name="page72"/>
    <w:bookmarkEnd w:id="71"/>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2" w:name="page73"/>
    <w:bookmarkEnd w:id="72"/>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3" w:name="page74"/>
    <w:bookmarkEnd w:id="73"/>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Inadequate funding, substantial changes in leadership, personnel, policies or priorities of, or other disruptions at federal governmental agencies, including from government shut downs,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Currently, federal agencies in the United States are operating under a continuing resolution that is set to expire on September 30, 2025.</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Disruptions in staffing, funding or operations at the FDA, SEC, NIH, USPTO and other government agencies, including a potential or actual government shutdown or any changes and/or additional policies or regulations relating to federal agencies as a result of the new U.S. presidential administration, may also prevent, delay or hinder the research, development or commercialization of new products, including review and/or approval of new products by necessary government agencies, any of which would adversely affect our business. For example, over the last several years, the U.S. government has shut down at times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that may be asserted against us in connection with our storage or disposal of biological, hazardous or radioactive materials.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United States will be capitalized and amortized, which may have an adverse effect on our cash flow.</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We, and our service providers, have from time to time and may in the future continue to experience threats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to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jc w:val="both"/>
        <w:spacing w:after="0" w:line="239" w:lineRule="auto"/>
        <w:rPr>
          <w:sz w:val="20"/>
          <w:szCs w:val="20"/>
          <w:color w:val="auto"/>
        </w:rPr>
      </w:pPr>
      <w:r>
        <w:rPr>
          <w:rFonts w:ascii="Arial" w:cs="Arial" w:eastAsia="Arial" w:hAnsi="Arial"/>
          <w:sz w:val="18"/>
          <w:szCs w:val="18"/>
          <w:color w:val="auto"/>
        </w:rPr>
        <w:t>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 the state level, the CCPA established a comprehensive privacy framework for covered businesses by creating an expanded definition of personal information, providing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law also provides California residents with the ability to limit use of certain sensitive information, establishes restrictions on the retention of personal data, and established a new state regulatory agency, the California Privacy Protection Agency, to implement and enforce the legislation. Although there are limited exemptions for protected health information covered under HIPAA and clinical trial data, the CCPA may increase our compliance costs and potential liability.</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enacted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8" w:name="page79"/>
    <w:bookmarkEnd w:id="78"/>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(Use and Access)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Regulators and legislators in the United States are increasingly scrutinizing and restricting certain personal data transfers and transactions involving foreign countries. For example, Executive Order 14117 of February 28, 2024,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entered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w:t>
      </w:r>
    </w:p>
    <w:p>
      <w:pPr>
        <w:spacing w:after="0" w:line="5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Likewise, in the United States,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The FDA, for example, issued guidance on the use of artificial intelligence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2"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2" w:name="page83"/>
    <w:bookmarkEnd w:id="82"/>
    <w:p>
      <w:pPr>
        <w:jc w:val="both"/>
        <w:spacing w:after="0" w:line="244" w:lineRule="auto"/>
        <w:rPr>
          <w:sz w:val="20"/>
          <w:szCs w:val="20"/>
          <w:color w:val="auto"/>
        </w:rPr>
      </w:pPr>
      <w:r>
        <w:rPr>
          <w:rFonts w:ascii="Arial" w:cs="Arial" w:eastAsia="Arial" w:hAnsi="Arial"/>
          <w:sz w:val="18"/>
          <w:szCs w:val="18"/>
          <w:color w:val="auto"/>
        </w:rPr>
        <w:t>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color w:val="auto"/>
        </w:rPr>
        <w:t>other sanctions, contractual damages, reputational harm, diminished profits and future earnings and curtailment of our operations, any of which could adversely affect our ability to operate our business and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December 31, 2024, our executive officers, directors, holders of 5% or more of our capital stock and their respective affiliates beneficially owned approximately 52.6%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2024, we had federal gross operating loss carryforwards of approximately $209.8 million, state gross operating loss carryforwards of $183.6 million, and foreign gross operating loss carryforwards of $0.7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4" w:name="page85"/>
    <w:bookmarkEnd w:id="84"/>
    <w:p>
      <w:pPr>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900" w:hanging="383"/>
        <w:spacing w:after="0" w:line="252"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900" w:hanging="383"/>
        <w:spacing w:after="0" w:line="257"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5" w:name="page86"/>
    <w:bookmarkEnd w:id="85"/>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1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1" w:lineRule="exact"/>
        <w:rPr>
          <w:sz w:val="20"/>
          <w:szCs w:val="20"/>
          <w:color w:val="auto"/>
        </w:rPr>
      </w:pPr>
    </w:p>
    <w:p>
      <w:pPr>
        <w:ind w:left="900" w:right="20" w:hanging="383"/>
        <w:spacing w:after="0" w:line="257"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jc w:val="both"/>
        <w:ind w:left="900" w:hanging="383"/>
        <w:spacing w:after="0" w:line="246"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8"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6"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December 31, 2024, we have 49,998,279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7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7" w:name="page88"/>
    <w:bookmarkEnd w:id="87"/>
    <w:p>
      <w:pPr>
        <w:jc w:val="both"/>
        <w:spacing w:after="0" w:line="271" w:lineRule="auto"/>
        <w:rPr>
          <w:sz w:val="20"/>
          <w:szCs w:val="20"/>
          <w:color w:val="auto"/>
        </w:rPr>
      </w:pPr>
      <w:r>
        <w:rPr>
          <w:rFonts w:ascii="Arial" w:cs="Arial" w:eastAsia="Arial" w:hAnsi="Arial"/>
          <w:sz w:val="18"/>
          <w:szCs w:val="18"/>
          <w:color w:val="auto"/>
        </w:rPr>
        <w:t>financial services industry generally, or concerns or rumors about any events of these kinds or other similar risks, have in the past and may in the future lead to market-wide liquidity problems.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ind w:left="900" w:hanging="383"/>
        <w:spacing w:after="0" w:line="252"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35"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8" w:name="page89"/>
    <w:bookmarkEnd w:id="88"/>
    <w:p>
      <w:pPr>
        <w:jc w:val="both"/>
        <w:spacing w:after="0" w:line="247" w:lineRule="auto"/>
        <w:rPr>
          <w:sz w:val="20"/>
          <w:szCs w:val="20"/>
          <w:color w:val="auto"/>
        </w:rPr>
      </w:pPr>
      <w:r>
        <w:rPr>
          <w:rFonts w:ascii="Arial" w:cs="Arial" w:eastAsia="Arial" w:hAnsi="Arial"/>
          <w:sz w:val="18"/>
          <w:szCs w:val="18"/>
          <w:color w:val="auto"/>
        </w:rPr>
        <w:t>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9" w:name="page90"/>
    <w:bookmarkEnd w:id="89"/>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Annual Report titled “Risk Factors” and the following:</w:t>
      </w:r>
    </w:p>
    <w:p>
      <w:pPr>
        <w:spacing w:after="0" w:line="2" w:lineRule="exact"/>
        <w:rPr>
          <w:sz w:val="20"/>
          <w:szCs w:val="20"/>
          <w:color w:val="auto"/>
        </w:rPr>
      </w:pPr>
    </w:p>
    <w:p>
      <w:pPr>
        <w:ind w:left="900" w:hanging="383"/>
        <w:spacing w:after="0" w:line="257"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0" w:name="page91"/>
    <w:bookmarkEnd w:id="90"/>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the conflict in the Middle East; and</w:t>
      </w: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1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1" w:name="page92"/>
    <w:bookmarkEnd w:id="91"/>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spacing w:after="0" w:line="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On February 1, 2025, the United States imposed a 25% tariff on imports from Canada and Mexico, which were subsequently suspended for a period of one month, and a 10% additional tariff on imports from China.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p>
      <w:pPr>
        <w:jc w:val="both"/>
        <w:ind w:firstLine="509"/>
        <w:spacing w:after="0" w:line="239" w:lineRule="auto"/>
        <w:rPr>
          <w:sz w:val="20"/>
          <w:szCs w:val="20"/>
          <w:color w:val="auto"/>
        </w:rPr>
      </w:pPr>
      <w:r>
        <w:rPr>
          <w:rFonts w:ascii="Arial" w:cs="Arial" w:eastAsia="Arial" w:hAnsi="Arial"/>
          <w:sz w:val="18"/>
          <w:szCs w:val="18"/>
          <w:color w:val="auto"/>
        </w:rPr>
        <w:t>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implemented cybersecurity risk management procedures, in accordance with our risk profile and business size, that are designed to identify, assess, and mitigate risks from current and emerging cybersecurity threats. Our cybersecurity procedures, which are informed by the National Institute of Standards and Technology cybersecurity framework, are supported by a third-party managed services provider that assists us in managing our information technology systems.</w:t>
      </w:r>
    </w:p>
    <w:p>
      <w:pPr>
        <w:spacing w:after="0" w:line="16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cybersecurity procedures are comprised of a variety of tools designed to protect our data and information technology systems, including but not limited to endpoint protection and network security measures, that are supported by our third-party service providers. We also have a process to require our employees to undergo cybersecurity awareness training. Further, we have a process to review risks to our company in connection with certain third-party providers and vendors, as appropriate.</w:t>
      </w:r>
    </w:p>
    <w:p>
      <w:pPr>
        <w:spacing w:after="0" w:line="16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information technology service providers and vendors have from time to time experienced threats that could affect our information or systems. For more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cybersecurity program is managed and directed by our Head of Information Technology, or IT, who has nearly thirty years of experience in information technology and information systems management. Our Head of IT reports to our Chief Legal Officer and Secretary. Our Cybersecurity Governance Team, which is made up of representatives from across the organization, is responsible for oversight of cybersecurity risks and addressing potential cybersecurity risks to business programs, employees, clients, vendors and partners.</w:t>
      </w:r>
    </w:p>
    <w:p>
      <w:pPr>
        <w:spacing w:after="0" w:line="16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Board has delegated oversight of our cybersecurity risk management program to our Audit Committee, per the Audit Committee charter. Our Head of IT provides periodic updates to the Audit Committee regarding our cybersecurity risk management program, including information about cybersecurity risk management governance, as well as status updates on plans intended to enhance the overall cybersecurity posture of our company, as applicable. In the event of a cybersecurity incident, we have established a process for escalation to the Audit Committee as well as our Board, as appropriate.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corporate headquarters are located in Boston, Massachusetts, where we lease and occupy approximately 29,836 square feet of office and laboratory space at 80 Guest Street, Boston, MA 02135. The current term of our Boston lease expires in August 2032.</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3.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December 31, 2024,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000"/>
        <w:spacing w:after="0" w:line="399"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ind w:right="600" w:firstLine="509"/>
        <w:spacing w:after="0" w:line="271" w:lineRule="auto"/>
        <w:rPr>
          <w:sz w:val="20"/>
          <w:szCs w:val="20"/>
          <w:color w:val="auto"/>
        </w:rPr>
      </w:pPr>
      <w:r>
        <w:rPr>
          <w:rFonts w:ascii="Arial" w:cs="Arial" w:eastAsia="Arial" w:hAnsi="Arial"/>
          <w:sz w:val="18"/>
          <w:szCs w:val="18"/>
          <w:color w:val="auto"/>
        </w:rPr>
        <w:t>Our common stock has been listed on the Nasdaq Global Market since November 3, 2021. Our common stock trades under the symbol “AURA”. Prior to this time, there was no public market for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7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As of March 19, 2025, we had approximately 53 stockholders of record for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6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available funds and any future earnings, if any, for use in the operation of our business and do not anticipate paying cash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6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6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a performance graph.</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 of Equity Securities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primary choroidal melanoma and is also in clinical development for other ocular oncology indications and bladder cancer.</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small choroidal melanoma and indeterminate lesions, or early-stage choroidal melanoma. Moreover, we intend to assess the safety and efficacy of bel-sar in treating a range of other solid tumors, beginning with metastases of the choroid and bladder cancer where bel-sar is in clinical development. We believe bel-sar, if approved, has the potential to change the current treatment paradigm for patients with ocular and urologic cancers and other solid tumors.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administration of bel-sar for the first-line treatment of early-stage choroidal melanoma, patients</w:t>
      </w:r>
    </w:p>
    <w:p>
      <w:pPr>
        <w:spacing w:after="0" w:line="234" w:lineRule="auto"/>
        <w:rPr>
          <w:sz w:val="20"/>
          <w:szCs w:val="20"/>
          <w:color w:val="auto"/>
        </w:rPr>
      </w:pPr>
      <w:r>
        <w:rPr>
          <w:rFonts w:ascii="Arial" w:cs="Arial" w:eastAsia="Arial" w:hAnsi="Arial"/>
          <w:sz w:val="18"/>
          <w:szCs w:val="18"/>
          <w:color w:val="auto"/>
        </w:rPr>
        <w:t>were closely monitored over a twelve-month follow-up period to assess tumor control, visual acuity preservation, and tumor growth rate. A</w:t>
      </w:r>
    </w:p>
    <w:p>
      <w:pPr>
        <w:spacing w:after="0" w:line="235" w:lineRule="auto"/>
        <w:rPr>
          <w:sz w:val="20"/>
          <w:szCs w:val="20"/>
          <w:color w:val="auto"/>
        </w:rPr>
      </w:pPr>
      <w:r>
        <w:rPr>
          <w:rFonts w:ascii="Arial" w:cs="Arial" w:eastAsia="Arial" w:hAnsi="Arial"/>
          <w:sz w:val="18"/>
          <w:szCs w:val="18"/>
          <w:color w:val="auto"/>
        </w:rPr>
        <w:t>total of 22 patients were enrolled in the study. Bel-sar achieved an 80% tumor control rate (n=8/10) among Phase 3-eligible patients who</w:t>
      </w:r>
    </w:p>
    <w:p>
      <w:pPr>
        <w:spacing w:after="0" w:line="235" w:lineRule="auto"/>
        <w:rPr>
          <w:sz w:val="20"/>
          <w:szCs w:val="20"/>
          <w:color w:val="auto"/>
        </w:rPr>
      </w:pPr>
      <w:r>
        <w:rPr>
          <w:rFonts w:ascii="Arial" w:cs="Arial" w:eastAsia="Arial" w:hAnsi="Arial"/>
          <w:sz w:val="18"/>
          <w:szCs w:val="18"/>
          <w:color w:val="auto"/>
        </w:rPr>
        <w:t>received the therapeutic regimen, with complete cessation of growth following treatment among responders (post-treatment average growth</w:t>
      </w:r>
    </w:p>
    <w:p>
      <w:pPr>
        <w:spacing w:after="0" w:line="235" w:lineRule="auto"/>
        <w:rPr>
          <w:sz w:val="20"/>
          <w:szCs w:val="20"/>
          <w:color w:val="auto"/>
        </w:rPr>
      </w:pPr>
      <w:r>
        <w:rPr>
          <w:rFonts w:ascii="Arial" w:cs="Arial" w:eastAsia="Arial" w:hAnsi="Arial"/>
          <w:sz w:val="18"/>
          <w:szCs w:val="18"/>
          <w:color w:val="auto"/>
        </w:rPr>
        <w:t>rate of 0.011 mm/yr among responders compared to 0.351 mm/yr prior to study entry; p&lt;0.0001). Visual acuity preservation was achieved in</w:t>
      </w:r>
    </w:p>
    <w:p>
      <w:pPr>
        <w:spacing w:after="0" w:line="235" w:lineRule="auto"/>
        <w:rPr>
          <w:sz w:val="20"/>
          <w:szCs w:val="20"/>
          <w:color w:val="auto"/>
        </w:rPr>
      </w:pPr>
      <w:r>
        <w:rPr>
          <w:rFonts w:ascii="Arial" w:cs="Arial" w:eastAsia="Arial" w:hAnsi="Arial"/>
          <w:sz w:val="18"/>
          <w:szCs w:val="18"/>
          <w:color w:val="auto"/>
        </w:rPr>
        <w:t>90% of these ten patients. Importantly, 80% of these ten patients were at high risk for vision loss with tumors close to the fovea or optic disc,</w:t>
      </w:r>
    </w:p>
    <w:p>
      <w:pPr>
        <w:spacing w:after="0" w:line="234" w:lineRule="auto"/>
        <w:rPr>
          <w:sz w:val="20"/>
          <w:szCs w:val="20"/>
          <w:color w:val="auto"/>
        </w:rPr>
      </w:pPr>
      <w:r>
        <w:rPr>
          <w:rFonts w:ascii="Arial" w:cs="Arial" w:eastAsia="Arial" w:hAnsi="Arial"/>
          <w:sz w:val="18"/>
          <w:szCs w:val="18"/>
          <w:color w:val="auto"/>
        </w:rPr>
        <w:t>highlighting the potential for vision preservation with this novel class of drugs. The safety profile of bel-sar was highly favorable in all</w:t>
      </w:r>
    </w:p>
    <w:p>
      <w:pPr>
        <w:spacing w:after="0" w:line="235" w:lineRule="auto"/>
        <w:rPr>
          <w:sz w:val="20"/>
          <w:szCs w:val="20"/>
          <w:color w:val="auto"/>
        </w:rPr>
      </w:pPr>
      <w:r>
        <w:rPr>
          <w:rFonts w:ascii="Arial" w:cs="Arial" w:eastAsia="Arial" w:hAnsi="Arial"/>
          <w:sz w:val="18"/>
          <w:szCs w:val="18"/>
          <w:color w:val="auto"/>
        </w:rPr>
        <w:t>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line="235" w:lineRule="auto"/>
        <w:rPr>
          <w:sz w:val="20"/>
          <w:szCs w:val="20"/>
          <w:color w:val="auto"/>
        </w:rPr>
      </w:pPr>
      <w:r>
        <w:rPr>
          <w:rFonts w:ascii="Arial" w:cs="Arial" w:eastAsia="Arial" w:hAnsi="Arial"/>
          <w:sz w:val="18"/>
          <w:szCs w:val="18"/>
          <w:color w:val="auto"/>
        </w:rPr>
        <w:t>date. We believe bel-sar has the possibility to transform the field of ocular oncology beyond choroidal melanoma and we plan to expand</w:t>
      </w:r>
    </w:p>
    <w:p>
      <w:pPr>
        <w:spacing w:after="0" w:line="235" w:lineRule="auto"/>
        <w:rPr>
          <w:sz w:val="20"/>
          <w:szCs w:val="20"/>
          <w:color w:val="auto"/>
        </w:rPr>
      </w:pPr>
      <w:r>
        <w:rPr>
          <w:rFonts w:ascii="Arial" w:cs="Arial" w:eastAsia="Arial" w:hAnsi="Arial"/>
          <w:sz w:val="18"/>
          <w:szCs w:val="18"/>
          <w:color w:val="auto"/>
        </w:rPr>
        <w:t>clinical development in two additional indications: metastases to the choroid and cancers of the ocular surface. We have initiated a Phase 2</w:t>
      </w:r>
    </w:p>
    <w:p>
      <w:pPr>
        <w:spacing w:after="0" w:line="234" w:lineRule="auto"/>
        <w:rPr>
          <w:sz w:val="20"/>
          <w:szCs w:val="20"/>
          <w:color w:val="auto"/>
        </w:rPr>
      </w:pPr>
      <w:r>
        <w:rPr>
          <w:rFonts w:ascii="Arial" w:cs="Arial" w:eastAsia="Arial" w:hAnsi="Arial"/>
          <w:sz w:val="18"/>
          <w:szCs w:val="18"/>
          <w:color w:val="auto"/>
        </w:rPr>
        <w:t>clinical trial in metastases to the choroid and have activated sites with patients in prescreening. We also plan to continue to advance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preclinical work designed to be IND-enabling in cancers of the ocular surface.</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18"/>
          <w:szCs w:val="18"/>
          <w:color w:val="auto"/>
        </w:rPr>
        <w:t>VDCs is driven by the selective binding of the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Beyond ocular cancers, bel-sar is in early-stage clinical development in bladder cancer. Bladder cancer is the ninth most common cancer worldwide and it is diagnosed early as non-muscle invasive bladder cancer, or NMIBC, with a prevalence of approximately 80,000 cases per year in the United States. Despite the early diagnosis, patients with NMIBC have a high risk of recurrence and progression with current SoC treatments. In March 2025, we announced positive data from our Phase 1 trial in NMIBC (</w:t>
      </w:r>
      <w:r>
        <w:rPr>
          <w:rFonts w:ascii="Arial" w:cs="Arial" w:eastAsia="Arial" w:hAnsi="Arial"/>
          <w:sz w:val="18"/>
          <w:szCs w:val="18"/>
          <w:u w:val="single" w:color="auto"/>
          <w:color w:val="0000FF"/>
        </w:rPr>
        <w:t>NCT05483868</w:t>
      </w:r>
      <w:r>
        <w:rPr>
          <w:rFonts w:ascii="Arial" w:cs="Arial" w:eastAsia="Arial" w:hAnsi="Arial"/>
          <w:sz w:val="18"/>
          <w:szCs w:val="18"/>
          <w:color w:val="auto"/>
        </w:rPr>
        <w:t>).</w:t>
      </w:r>
    </w:p>
    <w:p>
      <w:pPr>
        <w:spacing w:after="0" w:line="174"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December 31, 2024, we have raised an aggregate of approximately $419.9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an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year ended December 31, 2024 under the ATM.</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$86.9 million and $ 76.4 million for the years ended December 31, 2024 and 2023, respectively. As of December 31, 2024, we had an accumulated deficit of $374.2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CDMO relationships;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December 31, 2024, we had cash and cash equivalents and marketable securities of $151.1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020" w:right="20" w:hanging="368"/>
        <w:spacing w:after="0" w:line="257"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9" w:name="page100"/>
    <w:bookmarkEnd w:id="99"/>
    <w:p>
      <w:pPr>
        <w:jc w:val="both"/>
        <w:ind w:left="1020" w:hanging="368"/>
        <w:spacing w:after="0" w:line="248"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potential cost of CDMOs that manufacture product for use in our preclinical studies and clinical trials and perform analytical testing, scale-up and other services in connection with our development activities;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gains and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Provision, Net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the year ended December 31, 2024, we recorded a $0.1 million income tax provision related to current state income taxes. Since our inception, we have not recorded any U.S. federal or state tax benefits for our net operating loss carryforwards or research and development tax credits due to the realizability of future taxable income to utilize these tax attributes. As of December 31, 2024, we had accumulated federal, state, and foreign net operating loss carryforwards of approximately $209.8 million, $ 183.6 million, and $0.7 million, respectively, which may be available to offset future taxable income before applicable expiration periods. As of December 31, 2024, we had federal and state research and development credit carryforwards of $ 11.3 million and $2.9 million, respectively, which may be available to offset future income tax liabilities before applicable expiration periods. We have recorded a full valuation allowance against the tax benefits, as the determination of the realization of the deferred tax assets was not determined to be more likely than not.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2023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76"/>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73,302</w:t>
            </w:r>
          </w:p>
        </w:tc>
        <w:tc>
          <w:tcPr>
            <w:tcW w:w="240" w:type="dxa"/>
            <w:vAlign w:val="bottom"/>
          </w:tcPr>
          <w:p>
            <w:pPr>
              <w:spacing w:after="0"/>
              <w:rPr>
                <w:sz w:val="17"/>
                <w:szCs w:val="17"/>
                <w:color w:val="auto"/>
              </w:rPr>
            </w:pP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65,232</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22,814</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19,759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84,991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(96,116 )</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(84,991 )</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(11,125 )</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9,429</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80"/>
              <w:spacing w:after="0" w:line="202" w:lineRule="exact"/>
              <w:rPr>
                <w:sz w:val="20"/>
                <w:szCs w:val="20"/>
                <w:color w:val="auto"/>
              </w:rPr>
            </w:pPr>
            <w:r>
              <w:rPr>
                <w:rFonts w:ascii="Arial" w:cs="Arial" w:eastAsia="Arial" w:hAnsi="Arial"/>
                <w:sz w:val="18"/>
                <w:szCs w:val="18"/>
                <w:color w:val="auto"/>
              </w:rPr>
              <w:t>Gain on disposal of property and equipment</w:t>
            </w:r>
          </w:p>
        </w:tc>
        <w:tc>
          <w:tcPr>
            <w:tcW w:w="260" w:type="dxa"/>
            <w:vAlign w:val="bottom"/>
          </w:tcPr>
          <w:p>
            <w:pPr>
              <w:spacing w:after="0"/>
              <w:rPr>
                <w:sz w:val="17"/>
                <w:szCs w:val="17"/>
                <w:color w:val="auto"/>
              </w:rPr>
            </w:pP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(120 )</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(76 )</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9,309</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8,720</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(86,807 )</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(76,271 )</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(10,536 )</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Income tax provision, net</w:t>
            </w:r>
          </w:p>
        </w:tc>
        <w:tc>
          <w:tcPr>
            <w:tcW w:w="260" w:type="dxa"/>
            <w:vAlign w:val="bottom"/>
          </w:tcPr>
          <w:p>
            <w:pPr>
              <w:spacing w:after="0"/>
              <w:rPr>
                <w:sz w:val="17"/>
                <w:szCs w:val="17"/>
                <w:color w:val="auto"/>
              </w:rPr>
            </w:pP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(112 )</w:t>
            </w:r>
          </w:p>
        </w:tc>
        <w:tc>
          <w:tcPr>
            <w:tcW w:w="420" w:type="dxa"/>
            <w:vAlign w:val="bottom"/>
          </w:tcPr>
          <w:p>
            <w:pPr>
              <w:spacing w:after="0"/>
              <w:rPr>
                <w:sz w:val="17"/>
                <w:szCs w:val="17"/>
                <w:color w:val="auto"/>
              </w:rPr>
            </w:pPr>
          </w:p>
        </w:tc>
        <w:tc>
          <w:tcPr>
            <w:tcW w:w="10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(137 )</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(86,919 )</w:t>
            </w: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(76,408 )</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(10,511 )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-1370965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-1096645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-1096645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-573405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-573405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-299720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50"/>
              <w:spacing w:after="0" w:line="196" w:lineRule="exact"/>
              <w:rPr>
                <w:sz w:val="20"/>
                <w:szCs w:val="20"/>
                <w:color w:val="auto"/>
              </w:rPr>
            </w:pPr>
            <w:r>
              <w:rPr>
                <w:rFonts w:ascii="Arial" w:cs="Arial" w:eastAsia="Arial" w:hAnsi="Arial"/>
                <w:sz w:val="18"/>
                <w:szCs w:val="18"/>
                <w:b w:val="1"/>
                <w:bCs w:val="1"/>
                <w:color w:val="auto"/>
                <w:w w:val="72"/>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Preclinical</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1,651</w:t>
            </w:r>
          </w:p>
        </w:tc>
        <w:tc>
          <w:tcPr>
            <w:tcW w:w="6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805</w:t>
            </w:r>
          </w:p>
        </w:tc>
        <w:tc>
          <w:tcPr>
            <w:tcW w:w="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Clinical trials</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22,512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5,202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Manufacturing development</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15,977</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12,992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Personnel/overhead expenses</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33,162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34,125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(963 )</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73,302</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65,232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$73.3 million for the year ended December 31, 2024, from $65.2 million for the year ended December 31, 2023, primarily due to ongoing clinical and CRO costs associated with the progression of our Phase 3 global trial, and manufacturing and development costs for bel-sar.</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increased to $22.8 million for the year ended December 31, 2024, from $19.8 million for the year ended December 31, 2023, primarily driven by personnel expenses, as well as increases in general corporate expenses related to the global growth of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warrants and common stock. Through December 31, 2024, we have raised an aggregate of approximately $419.9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an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year ended December 31, 2024 under the ATM.</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6"/>
              </w:rPr>
              <w:t>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(79,805 )</w:t>
            </w:r>
          </w:p>
        </w:tc>
        <w:tc>
          <w:tcPr>
            <w:tcW w:w="5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(63,847 )</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68,821</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(113,963 )</w:t>
            </w:r>
          </w:p>
        </w:tc>
      </w:tr>
      <w:tr>
        <w:trPr>
          <w:trHeight w:val="202"/>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1,595</w:t>
            </w: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(9,389 )</w:t>
            </w:r>
          </w:p>
        </w:tc>
        <w:tc>
          <w:tcPr>
            <w:tcW w:w="54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(80,520 )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2024, net cash used in operating activities was $79.8 million, primarily due to our net loss of $86.9 million and an increase in clinical and CRO prepaid expenses and other assets for bel-sar, partially offset by an increase in stock-based compensation expense.</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2023, net cash used in operating activities was $63.8 million, primarily due to our net loss of $76.4 million, partially offset by an increase in accrued clinical and CRO expenses for bel-sar.</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for the year ended December 31, 2024 was $68.8 million, primarily due to maturities of marketable securities, partially offset by purchases of marketable securities and property and equipment.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for the year ended December 31, 2023 was $114.0 million, primarily due to purchases of marketable securities and property and equipment, partially offset by proceeds from maturities of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2024, net cash provided by financing activities was $1.6 million from proceeds from stock option exercises and ESPP purchases.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2023, net cash provided by financing activities was $ 97.3 million from the net proceeds from the 2023 Follow-On Offering, ATM draw-downs, and proceeds from stock option exercises and ESPP purchases.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ind w:left="1020" w:hanging="368"/>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December 31, 2024, we had cash, cash equivalents, and marketable securities of $151.1 million. Based on our research and development plans, we believe that our existing cash, cash equivalents, and marketable securities will be sufficient to fund our operations into the second half of 2026. We have based this estimate on assumptions that may prove to be wrong, and we could exhaust our available capital resources sooner than we expect.</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3" w:name="page104"/>
    <w:bookmarkEnd w:id="103"/>
    <w:p>
      <w:pPr>
        <w:jc w:val="both"/>
        <w:spacing w:after="0" w:line="271" w:lineRule="auto"/>
        <w:rPr>
          <w:sz w:val="20"/>
          <w:szCs w:val="20"/>
          <w:color w:val="auto"/>
        </w:rPr>
      </w:pPr>
      <w:r>
        <w:rPr>
          <w:rFonts w:ascii="Arial" w:cs="Arial" w:eastAsia="Arial" w:hAnsi="Arial"/>
          <w:sz w:val="18"/>
          <w:szCs w:val="18"/>
          <w:color w:val="auto"/>
        </w:rPr>
        <w:t>that may be senior to those of our common stock. If we incur indebtedness, we could become subject to covenants that would restrict our operations.</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Payments Due by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3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10"/>
              <w:spacing w:after="0" w:line="177" w:lineRule="exact"/>
              <w:rPr>
                <w:sz w:val="20"/>
                <w:szCs w:val="20"/>
                <w:color w:val="auto"/>
              </w:rPr>
            </w:pPr>
            <w:r>
              <w:rPr>
                <w:rFonts w:ascii="Arial" w:cs="Arial" w:eastAsia="Arial" w:hAnsi="Arial"/>
                <w:sz w:val="18"/>
                <w:szCs w:val="18"/>
                <w:b w:val="1"/>
                <w:bCs w:val="1"/>
                <w:color w:val="auto"/>
              </w:rPr>
              <w:t>Less than</w:t>
            </w:r>
          </w:p>
        </w:tc>
        <w:tc>
          <w:tcPr>
            <w:tcW w:w="360" w:type="dxa"/>
            <w:vAlign w:val="bottom"/>
          </w:tcPr>
          <w:p>
            <w:pPr>
              <w:spacing w:after="0"/>
              <w:rPr>
                <w:sz w:val="15"/>
                <w:szCs w:val="15"/>
                <w:color w:val="auto"/>
              </w:rPr>
            </w:pPr>
          </w:p>
        </w:tc>
        <w:tc>
          <w:tcPr>
            <w:tcW w:w="1260" w:type="dxa"/>
            <w:vAlign w:val="bottom"/>
            <w:gridSpan w:val="2"/>
          </w:tcPr>
          <w:p>
            <w:pPr>
              <w:ind w:left="300"/>
              <w:spacing w:after="0" w:line="177" w:lineRule="exact"/>
              <w:rPr>
                <w:sz w:val="20"/>
                <w:szCs w:val="20"/>
                <w:color w:val="auto"/>
              </w:rPr>
            </w:pPr>
            <w:r>
              <w:rPr>
                <w:rFonts w:ascii="Arial" w:cs="Arial" w:eastAsia="Arial" w:hAnsi="Arial"/>
                <w:sz w:val="18"/>
                <w:szCs w:val="18"/>
                <w:b w:val="1"/>
                <w:bCs w:val="1"/>
                <w:color w:val="auto"/>
              </w:rPr>
              <w:t>1 to 3</w:t>
            </w:r>
          </w:p>
        </w:tc>
        <w:tc>
          <w:tcPr>
            <w:tcW w:w="160" w:type="dxa"/>
            <w:vAlign w:val="bottom"/>
          </w:tcPr>
          <w:p>
            <w:pPr>
              <w:spacing w:after="0"/>
              <w:rPr>
                <w:sz w:val="15"/>
                <w:szCs w:val="15"/>
                <w:color w:val="auto"/>
              </w:rPr>
            </w:pPr>
          </w:p>
        </w:tc>
        <w:tc>
          <w:tcPr>
            <w:tcW w:w="1140" w:type="dxa"/>
            <w:vAlign w:val="bottom"/>
          </w:tcPr>
          <w:p>
            <w:pPr>
              <w:jc w:val="right"/>
              <w:ind w:right="250"/>
              <w:spacing w:after="0" w:line="177" w:lineRule="exact"/>
              <w:rPr>
                <w:sz w:val="20"/>
                <w:szCs w:val="20"/>
                <w:color w:val="auto"/>
              </w:rPr>
            </w:pPr>
            <w:r>
              <w:rPr>
                <w:rFonts w:ascii="Arial" w:cs="Arial" w:eastAsia="Arial" w:hAnsi="Arial"/>
                <w:sz w:val="18"/>
                <w:szCs w:val="18"/>
                <w:b w:val="1"/>
                <w:bCs w:val="1"/>
                <w:color w:val="auto"/>
              </w:rPr>
              <w:t>3 to 5</w:t>
            </w:r>
          </w:p>
        </w:tc>
        <w:tc>
          <w:tcPr>
            <w:tcW w:w="360" w:type="dxa"/>
            <w:vAlign w:val="bottom"/>
          </w:tcPr>
          <w:p>
            <w:pPr>
              <w:spacing w:after="0"/>
              <w:rPr>
                <w:sz w:val="15"/>
                <w:szCs w:val="15"/>
                <w:color w:val="auto"/>
              </w:rPr>
            </w:pPr>
          </w:p>
        </w:tc>
        <w:tc>
          <w:tcPr>
            <w:tcW w:w="1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5"/>
                <w:szCs w:val="15"/>
                <w:color w:val="auto"/>
              </w:rPr>
            </w:pPr>
          </w:p>
        </w:tc>
      </w:tr>
      <w:tr>
        <w:trPr>
          <w:trHeight w:val="221"/>
        </w:trPr>
        <w:tc>
          <w:tcPr>
            <w:tcW w:w="3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6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36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5 Years</w:t>
            </w:r>
          </w:p>
        </w:tc>
      </w:tr>
      <w:tr>
        <w:trPr>
          <w:trHeight w:val="196"/>
        </w:trPr>
        <w:tc>
          <w:tcPr>
            <w:tcW w:w="3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3"/>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commitments</w:t>
            </w:r>
          </w:p>
        </w:tc>
        <w:tc>
          <w:tcPr>
            <w:tcW w:w="9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27,653</w:t>
            </w:r>
          </w:p>
        </w:tc>
        <w:tc>
          <w:tcPr>
            <w:tcW w:w="3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3,306</w:t>
            </w:r>
          </w:p>
        </w:tc>
        <w:tc>
          <w:tcPr>
            <w:tcW w:w="3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6,913</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7,327</w:t>
            </w:r>
          </w:p>
        </w:tc>
        <w:tc>
          <w:tcPr>
            <w:tcW w:w="3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27,653</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3,306</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6,913</w:t>
            </w:r>
          </w:p>
        </w:tc>
        <w:tc>
          <w:tcPr>
            <w:tcW w:w="20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7,327</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10,107</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-162560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-162560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8572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Amounts in the table above reflect payments due for our lease of office and lab space in Boston, MA, that expires in August 2032.</w:t>
      </w:r>
    </w:p>
    <w:p>
      <w:pPr>
        <w:spacing w:after="0" w:line="21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While our significant accounting policies are described in greater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expense all costs in performing research and development activities in the periods in which they are incurred.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account for our stock-based compensation as expense in the consolidated statements of operations and comprehensive loss based on the awards’ grant date fair values. We account for forfeitures as they occur by reversing any expense recognized for unvested awards.</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For grants of restricted stock units, we base the fair value on the stock price as of the date of grant. We estimate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or SAB, No. 107,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to calculate the expected term for options granted to employees as we do not have sufficient historical exercise data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The fair value of stock-based payments is recognized as expense over the requisite service period which is generally the vesting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See Note 2 in our consolidated financial statements included elsewhere in this Annual Report on Form 10-K for a description of recent accounting pronouncements applicable to our consolidated financial statements. Other than as disclosed in our consolidated financial statements, we do not expect that any recently issued accounting standards will have a material impact on our consolidated financial statements or will otherwise apply to our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7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or ICFR, from an outside auditor.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 item.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beginning on page F-1 of this Annual Report for the year ended December 31, 2024.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63"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As of December 31, 2024, our management, under the supervision of our Chief Executive Officer and Senior Vice President, Finance (Interim Principal Financial Officer and Interim Principal Accounting Officer), performed an evaluation of the effectiveness of our disclosure controls and procedures. Based on this evaluation, our Chief Executive Officer and Senior Vice President, Finance (Interim Principal Financial Officer and Interim Principal Accounting Officer) concluded that our disclosure controls and procedures were effective at the reasonable assurance level as of December 31,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 Integrated Framework. Based on the assessment, management concluded that, as of December 31, 2024, our internal control over financial reporting was effective.</w:t>
      </w:r>
    </w:p>
    <w:p>
      <w:pPr>
        <w:spacing w:after="0" w:line="163"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jc w:val="both"/>
        <w:ind w:firstLine="569"/>
        <w:spacing w:after="0" w:line="239"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 Due to the inherent limitations in all control systems, no evaluation of controls can provide absolute assurance that all control issues and instances of fraud, if any, within our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jc w:val="both"/>
        <w:ind w:firstLine="56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Senior Vice President, Finance (Interim Principal Financial Officer and Interim Principal Accounting Officer), has evaluated the effectiveness of our disclosure controls and procedures (as defined in Rules 13a-15(e) and 15d-15(e) under the Exchange Act), as of the end of the period covered by this Annual Report. Based on such evaluation, our Chief Executive Officer and Senior Vice President, Finance (Interim Principal Financial Officer and Interim Principal Accounting Officer) have concluded that as of December 31, 2024, our disclosure controls and procedures were effective to provide reasonable assurance that the information required to be disclosed by us in this Annual Report was (a) reported within the time periods specified by the SEC rules and regulations, and (b) communicated to our management, including our Chief Executive Officer and Senior Vice President, Finance (Interim Principal Financial Officer and Interim Principal Accounting Officer), to allow timely decisions regarding any required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year ended December 31, 2024, that have materially affected, or are reasonably likely to materially affect, our internal controls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9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80" w:hanging="263"/>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80" w:hanging="263"/>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Insider Trading Arrangements.</w:t>
      </w:r>
    </w:p>
    <w:p>
      <w:pPr>
        <w:spacing w:after="0" w:line="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63" w:lineRule="exact"/>
        <w:rPr>
          <w:sz w:val="20"/>
          <w:szCs w:val="20"/>
          <w:color w:val="auto"/>
        </w:rPr>
      </w:pPr>
    </w:p>
    <w:p>
      <w:pPr>
        <w:ind w:left="1020" w:hanging="503"/>
        <w:spacing w:after="0" w:line="27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 list of the consolidated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on page F-1 of this Annual Report on Form 10-K, incorporated into this Item by reference.</w:t>
      </w:r>
    </w:p>
    <w:p>
      <w:pPr>
        <w:spacing w:after="0" w:line="18" w:lineRule="exact"/>
        <w:rPr>
          <w:rFonts w:ascii="Arial" w:cs="Arial" w:eastAsia="Arial" w:hAnsi="Arial"/>
          <w:sz w:val="18"/>
          <w:szCs w:val="18"/>
          <w:color w:val="auto"/>
        </w:rPr>
      </w:pPr>
    </w:p>
    <w:p>
      <w:pPr>
        <w:ind w:left="1020" w:right="20" w:hanging="503"/>
        <w:spacing w:after="0" w:line="27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financial statements or the notes thereto.</w:t>
      </w:r>
    </w:p>
    <w:p>
      <w:pPr>
        <w:spacing w:after="0" w:line="5"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28"/>
          </w:tcPr>
          <w:p>
            <w:pPr>
              <w:ind w:left="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34"/>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Tenth Amended and Restated Certificate of Incorporation of the Registrant, as currently in effect, as amended by the</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Certificate of Amendment, dated June 20, 2024 (incorporated by reference to Exhibit 3.1 of the Registrant’s Quarterly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Report on Form 10-Q (File No. 001-40971) filed on August 8, 2024).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Amended and Restated Bylaws of the Registrant, as currently in</w:t>
              </w:r>
            </w:hyperlink>
          </w:p>
        </w:tc>
        <w:tc>
          <w:tcPr>
            <w:tcW w:w="20" w:type="dxa"/>
            <w:vAlign w:val="bottom"/>
            <w:tcBorders>
              <w:top w:val="single" w:sz="8" w:color="0000EE"/>
            </w:tcBorders>
          </w:tcPr>
          <w:p>
            <w:pPr>
              <w:spacing w:after="0"/>
              <w:rPr>
                <w:sz w:val="15"/>
                <w:szCs w:val="15"/>
                <w:color w:val="auto"/>
              </w:rPr>
            </w:pPr>
          </w:p>
        </w:tc>
        <w:tc>
          <w:tcPr>
            <w:tcW w:w="4640" w:type="dxa"/>
            <w:vAlign w:val="bottom"/>
            <w:gridSpan w:val="25"/>
          </w:tcPr>
          <w:p>
            <w:pPr>
              <w:jc w:val="right"/>
              <w:ind w:right="340"/>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effect (incorporated by reference to Exhibit 3.2 of the</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Registrant's Annual Report on Form 10-K (File No. 001-40971) filed on March 23,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Description of Securities</w:t>
            </w:r>
            <w:r>
              <w:rPr>
                <w:rFonts w:ascii="Arial" w:cs="Arial" w:eastAsia="Arial" w:hAnsi="Arial"/>
                <w:sz w:val="18"/>
                <w:szCs w:val="18"/>
                <w:color w:val="000000"/>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4.2</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4"/>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Fifth Amended and Restated Investors’ Rights Agreement (incorporated by reference to Exhibit 4.2 of the Registrant’s</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Registration Statement on Form S-1 (File No. 333-260156) filed on October 8, 2021)</w:t>
              </w:r>
              <w:r>
                <w:rPr>
                  <w:rFonts w:ascii="Arial" w:cs="Arial" w:eastAsia="Arial" w:hAnsi="Arial"/>
                  <w:sz w:val="18"/>
                  <w:szCs w:val="18"/>
                  <w:color w:val="000000"/>
                </w:rPr>
                <w:t>.</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2009 Amended and Restated Stock Option and Restricted Stock Plan, and form of award agreements thereunder</w:t>
              </w:r>
            </w:hyperlink>
          </w:p>
        </w:tc>
        <w:tc>
          <w:tcPr>
            <w:tcW w:w="20" w:type="dxa"/>
            <w:vAlign w:val="bottom"/>
            <w:tcBorders>
              <w:bottom w:val="single" w:sz="8" w:color="0000EE"/>
            </w:tcBorders>
          </w:tcPr>
          <w:p>
            <w:pPr>
              <w:spacing w:after="0"/>
              <w:rPr>
                <w:sz w:val="15"/>
                <w:szCs w:val="15"/>
                <w:color w:val="auto"/>
              </w:rPr>
            </w:pPr>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24"/>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10.1 of the Registrant’s Registration Statement on Form S-8 (File No. 333-260589)</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33"/>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filed on October 29,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4"/>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2018 Equity Incentive Plan, and form of award agreements thereunder (incorporated by reference to Exhibit 10.2 of the</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Registrant’s Registration Statement on Form S-1 (File No. 333-260156) filed on October 25,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2"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2021 Stock Option and Incentive Plan, and form of award agreements thereunder (incorporated</w:t>
              </w:r>
            </w:hyperlink>
          </w:p>
        </w:tc>
        <w:tc>
          <w:tcPr>
            <w:tcW w:w="2260" w:type="dxa"/>
            <w:vAlign w:val="bottom"/>
            <w:gridSpan w:val="19"/>
          </w:tcPr>
          <w:p>
            <w:pPr>
              <w:jc w:val="right"/>
              <w:ind w:right="340"/>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by reference to Exhibit</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Registrant’s Registration Statement on Form S-8, as amended (File No. 333-260589) filed on October 29,</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spacing w:after="0"/>
              <w:rPr>
                <w:sz w:val="15"/>
                <w:szCs w:val="15"/>
                <w:color w:val="auto"/>
              </w:rPr>
            </w:pPr>
          </w:p>
        </w:tc>
        <w:tc>
          <w:tcPr>
            <w:tcW w:w="146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2021)</w:t>
              </w:r>
              <w:r>
                <w:rPr>
                  <w:rFonts w:ascii="Arial" w:cs="Arial" w:eastAsia="Arial" w:hAnsi="Arial"/>
                  <w:sz w:val="18"/>
                  <w:szCs w:val="18"/>
                  <w:color w:val="000000"/>
                </w:rPr>
                <w:t>.</w:t>
              </w:r>
            </w:hyperlink>
          </w:p>
        </w:tc>
        <w:tc>
          <w:tcPr>
            <w:tcW w:w="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14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tcBorders>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2021</w:t>
              </w:r>
            </w:hyperlink>
          </w:p>
        </w:tc>
        <w:tc>
          <w:tcPr>
            <w:tcW w:w="20" w:type="dxa"/>
            <w:vAlign w:val="bottom"/>
            <w:tcBorders>
              <w:top w:val="single" w:sz="8" w:color="0000EE"/>
            </w:tcBorders>
          </w:tcPr>
          <w:p>
            <w:pPr>
              <w:spacing w:after="0"/>
              <w:rPr>
                <w:sz w:val="15"/>
                <w:szCs w:val="15"/>
                <w:color w:val="auto"/>
              </w:rPr>
            </w:pPr>
          </w:p>
        </w:tc>
        <w:tc>
          <w:tcPr>
            <w:tcW w:w="9580" w:type="dxa"/>
            <w:vAlign w:val="bottom"/>
            <w:gridSpan w:val="32"/>
          </w:tcPr>
          <w:p>
            <w:pPr>
              <w:jc w:val="right"/>
              <w:ind w:right="340"/>
              <w:spacing w:after="0" w:line="182"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Employee Stock Purchase Plan (incorporated by reference to Exhibit 10.4 of the Registrant’s Registration Statement</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on Form S-1 (File No. 333-260156) filed on October 25, 2021)</w:t>
              </w:r>
              <w:r>
                <w:rPr>
                  <w:rFonts w:ascii="Arial" w:cs="Arial" w:eastAsia="Arial" w:hAnsi="Arial"/>
                  <w:sz w:val="18"/>
                  <w:szCs w:val="18"/>
                  <w:color w:val="000000"/>
                </w:rPr>
                <w:t>.</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2"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tcBorders>
            <w:gridSpan w:val="7"/>
          </w:tcPr>
          <w:p>
            <w:pPr>
              <w:spacing w:after="0" w:line="182"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Amended and Restated Non-Employee Director Compensation</w:t>
              </w:r>
            </w:hyperlink>
          </w:p>
        </w:tc>
        <w:tc>
          <w:tcPr>
            <w:tcW w:w="5140" w:type="dxa"/>
            <w:vAlign w:val="bottom"/>
            <w:gridSpan w:val="27"/>
          </w:tcPr>
          <w:p>
            <w:pPr>
              <w:jc w:val="right"/>
              <w:ind w:right="340"/>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Policy (incorporated by reference to Exhibit 10.1 of the</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Registrant’s Quarterly Report on Form 10-Q (File No. 001-40971) filed on August 8,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4"/>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Senior Executive Cash Bonus Plan (incorporated by reference to Exhibit 10.6 of the Registrant’s Registration Statement</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on Form S-1 (File No. 333-260156) filed on October 25,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4"/>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Form of Indemnification Agreement between the Registrant and each of its directors and executive officers (incorporated</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by reference to Exhibit 10.7 of the Registrant’s Registration Statement on Form S-1 (File No. 333-260156) filed on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October 25,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2"/>
          </w:tcPr>
          <w:p>
            <w:pPr>
              <w:spacing w:after="0"/>
              <w:rPr>
                <w:rFonts w:ascii="Arial" w:cs="Arial" w:eastAsia="Arial" w:hAnsi="Arial"/>
                <w:sz w:val="18"/>
                <w:szCs w:val="18"/>
                <w:color w:val="0000FF"/>
              </w:rPr>
            </w:pPr>
            <w:hyperlink r:id="rId182">
              <w:r>
                <w:rPr>
                  <w:rFonts w:ascii="Arial" w:cs="Arial" w:eastAsia="Arial" w:hAnsi="Arial"/>
                  <w:sz w:val="18"/>
                  <w:szCs w:val="18"/>
                  <w:color w:val="0000FF"/>
                </w:rPr>
                <w:t>Employment Agreement between the Registrant and Elisabet de los Pinos, dated January 1, 2015, as amended on</w:t>
              </w:r>
            </w:hyperlink>
          </w:p>
        </w:tc>
        <w:tc>
          <w:tcPr>
            <w:tcW w:w="20" w:type="dxa"/>
            <w:vAlign w:val="bottom"/>
            <w:tcBorders>
              <w:bottom w:val="single" w:sz="8" w:color="0000EE"/>
            </w:tcBorders>
          </w:tcPr>
          <w:p>
            <w:pPr>
              <w:spacing w:after="0"/>
              <w:rPr>
                <w:sz w:val="24"/>
                <w:szCs w:val="24"/>
                <w:color w:val="auto"/>
              </w:rPr>
            </w:pPr>
          </w:p>
        </w:tc>
        <w:tc>
          <w:tcPr>
            <w:tcW w:w="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3"/>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October 13, 2017 (incorporated by reference to Exhibit 10.8 of the Registrant’s Registration Statement on Form S-1 (File</w:t>
              </w:r>
            </w:hyperlink>
          </w:p>
        </w:tc>
        <w:tc>
          <w:tcPr>
            <w:tcW w:w="1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No. 333-260156) filed on October 25, 2021)</w:t>
              </w:r>
              <w:r>
                <w:rPr>
                  <w:rFonts w:ascii="Arial" w:cs="Arial" w:eastAsia="Arial" w:hAnsi="Arial"/>
                  <w:sz w:val="18"/>
                  <w:szCs w:val="18"/>
                  <w:color w:val="000000"/>
                </w:rPr>
                <w:t>.</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rPr>
              <w:t>Employment Offer Letter between the Registrant and Amy Elazzouzi, dated August 19, 2015.</w:t>
            </w:r>
          </w:p>
        </w:tc>
        <w:tc>
          <w:tcPr>
            <w:tcW w:w="26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Employment Offer Letter between the Registrant and Conor Kilroy, dated March 12, 2024 (incorporated by reference to</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Exhibit 10.1 of the Registrant’s Quarterly Report on Form 10-Q (File No. 001-40971) filed on May 9, 2024).</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6380" w:type="dxa"/>
            <w:vAlign w:val="bottom"/>
            <w:tcBorders>
              <w:right w:val="single" w:sz="8" w:color="0000EE"/>
            </w:tcBorders>
            <w:gridSpan w:val="11"/>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40" w:type="dxa"/>
            <w:vAlign w:val="bottom"/>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rPr>
            </w:pPr>
            <w:hyperlink r:id="rId184">
              <w:r>
                <w:rPr>
                  <w:rFonts w:ascii="Arial" w:cs="Arial" w:eastAsia="Arial" w:hAnsi="Arial"/>
                  <w:sz w:val="18"/>
                  <w:szCs w:val="18"/>
                  <w:color w:val="0000FF"/>
                </w:rPr>
                <w:t>Exclusive Patent License Agreement with the National Institutes of Health, dated September 3, 2013 as amended</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(incorporated by reference to Exhibit 10.11 of the Registrant’s Registration Statement on Form S-1 (File No. 333-260156)</w:t>
              </w:r>
            </w:hyperlink>
          </w:p>
        </w:tc>
        <w:tc>
          <w:tcPr>
            <w:tcW w:w="40" w:type="dxa"/>
            <w:vAlign w:val="bottom"/>
            <w:tcBorders>
              <w:bottom w:val="single" w:sz="8" w:color="0000FF"/>
            </w:tcBorders>
            <w:gridSpan w:val="2"/>
          </w:tcPr>
          <w:p>
            <w:pPr>
              <w:spacing w:after="0"/>
              <w:rPr>
                <w:sz w:val="15"/>
                <w:szCs w:val="15"/>
                <w:color w:val="auto"/>
              </w:rPr>
            </w:pPr>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1"/>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filed on October 8, 2021).</w:t>
              </w:r>
            </w:hyperlink>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2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100" w:type="dxa"/>
            <w:vAlign w:val="bottom"/>
            <w:tcBorders>
              <w:top w:val="single" w:sz="8" w:color="0000FF"/>
            </w:tcBorders>
            <w:gridSpan w:val="5"/>
          </w:tcPr>
          <w:p>
            <w:pPr>
              <w:spacing w:after="0"/>
              <w:rPr>
                <w:sz w:val="24"/>
                <w:szCs w:val="24"/>
                <w:color w:val="auto"/>
              </w:rPr>
            </w:pPr>
          </w:p>
        </w:tc>
        <w:tc>
          <w:tcPr>
            <w:tcW w:w="2820" w:type="dxa"/>
            <w:vAlign w:val="bottom"/>
            <w:gridSpan w:val="2"/>
          </w:tcPr>
          <w:p>
            <w:pPr>
              <w:jc w:val="right"/>
              <w:ind w:right="568"/>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960" w:type="dxa"/>
            <w:vAlign w:val="bottom"/>
            <w:gridSpan w:val="36"/>
          </w:tcPr>
          <w:p>
            <w:pPr>
              <w:spacing w:after="0"/>
              <w:rPr>
                <w:rFonts w:ascii="Arial" w:cs="Arial" w:eastAsia="Arial" w:hAnsi="Arial"/>
                <w:sz w:val="18"/>
                <w:szCs w:val="18"/>
                <w:color w:val="0000FF"/>
              </w:rPr>
            </w:pPr>
            <w:hyperlink r:id="rId187">
              <w:r>
                <w:rPr>
                  <w:rFonts w:ascii="Arial" w:cs="Arial" w:eastAsia="Arial" w:hAnsi="Arial"/>
                  <w:sz w:val="18"/>
                  <w:szCs w:val="18"/>
                  <w:color w:val="0000FF"/>
                </w:rPr>
                <w:t>Exclusive License and Supply Agreement with Rakuten Medical, Inc. (successor-in-interest to LI-COR, Inc.), dated</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8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January 31, 2014, as amended (incorporated by reference to Exhibit 10.12 of the Registrant’s Registration Statement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8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Form S-1 (File No. 333-260156) filed on October 8,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960" w:type="dxa"/>
            <w:vAlign w:val="bottom"/>
            <w:gridSpan w:val="36"/>
          </w:tcPr>
          <w:p>
            <w:pPr>
              <w:spacing w:after="0"/>
              <w:rPr>
                <w:rFonts w:ascii="Arial" w:cs="Arial" w:eastAsia="Arial" w:hAnsi="Arial"/>
                <w:sz w:val="18"/>
                <w:szCs w:val="18"/>
                <w:color w:val="0000FF"/>
              </w:rPr>
            </w:pPr>
            <w:hyperlink r:id="rId188">
              <w:r>
                <w:rPr>
                  <w:rFonts w:ascii="Arial" w:cs="Arial" w:eastAsia="Arial" w:hAnsi="Arial"/>
                  <w:sz w:val="18"/>
                  <w:szCs w:val="18"/>
                  <w:color w:val="0000FF"/>
                </w:rPr>
                <w:t>License Agreement with Clearside Biomedical, Inc., dated July 3, 2019 (incorporated by reference to Exhibit 10.13 of the</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Registrant’s Registration Statement on Form S-1 (File No. 333-260156) filed on October 8, 2021).</w:t>
              </w:r>
            </w:hyperlink>
          </w:p>
        </w:tc>
        <w:tc>
          <w:tcPr>
            <w:tcW w:w="40" w:type="dxa"/>
            <w:vAlign w:val="bottom"/>
            <w:tcBorders>
              <w:top w:val="single" w:sz="8" w:color="0000FF"/>
              <w:bottom w:val="single" w:sz="8" w:color="0000EE"/>
            </w:tcBorders>
          </w:tcPr>
          <w:p>
            <w:pPr>
              <w:spacing w:after="0"/>
              <w:rPr>
                <w:sz w:val="15"/>
                <w:szCs w:val="15"/>
                <w:color w:val="auto"/>
              </w:rPr>
            </w:pPr>
          </w:p>
        </w:tc>
        <w:tc>
          <w:tcPr>
            <w:tcW w:w="21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960" w:type="dxa"/>
            <w:vAlign w:val="bottom"/>
            <w:gridSpan w:val="36"/>
          </w:tcPr>
          <w:p>
            <w:pPr>
              <w:spacing w:after="0"/>
              <w:rPr>
                <w:sz w:val="20"/>
                <w:szCs w:val="20"/>
                <w:color w:val="auto"/>
              </w:rPr>
            </w:pPr>
            <w:r>
              <w:rPr>
                <w:rFonts w:ascii="Arial" w:cs="Arial" w:eastAsia="Arial" w:hAnsi="Arial"/>
                <w:sz w:val="18"/>
                <w:szCs w:val="18"/>
                <w:color w:val="0000FF"/>
              </w:rPr>
              <w:t>First Amendment to License Agreement with Clearside Biomedical, Inc., dated February 23, 2022.</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02" w:lineRule="exact"/>
              <w:rPr>
                <w:sz w:val="20"/>
                <w:szCs w:val="20"/>
                <w:color w:val="auto"/>
              </w:rPr>
            </w:pPr>
            <w:r>
              <w:rPr>
                <w:rFonts w:ascii="Arial" w:cs="Arial" w:eastAsia="Arial" w:hAnsi="Arial"/>
                <w:sz w:val="18"/>
                <w:szCs w:val="18"/>
                <w:color w:val="auto"/>
              </w:rPr>
              <w:t>10.15</w:t>
            </w: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960" w:type="dxa"/>
            <w:vAlign w:val="bottom"/>
            <w:gridSpan w:val="36"/>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Lease Agreement, between the Registrant and Ice Box, LLC, dated as of May 16, 2022 (incorporated by reference to</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82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Exhibit 10.1 of the Registrant’s Quarterly Report on Form 10-Q (File No. 001-40971) filed on August 11, 2022).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9960" w:type="dxa"/>
            <w:vAlign w:val="bottom"/>
            <w:gridSpan w:val="36"/>
          </w:tcPr>
          <w:p>
            <w:pPr>
              <w:spacing w:after="0"/>
              <w:rPr>
                <w:rFonts w:ascii="Arial" w:cs="Arial" w:eastAsia="Arial" w:hAnsi="Arial"/>
                <w:sz w:val="18"/>
                <w:szCs w:val="18"/>
                <w:color w:val="0000FF"/>
              </w:rPr>
            </w:pPr>
            <w:hyperlink r:id="rId190">
              <w:r>
                <w:rPr>
                  <w:rFonts w:ascii="Arial" w:cs="Arial" w:eastAsia="Arial" w:hAnsi="Arial"/>
                  <w:sz w:val="18"/>
                  <w:szCs w:val="18"/>
                  <w:color w:val="0000FF"/>
                </w:rPr>
                <w:t>Employment Offer Letter, dated August 9, 2023, by and between Jill Hopkins and the Registrant (incorporated by</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7"/>
              </w:rPr>
            </w:pPr>
            <w:hyperlink r:id="rId190">
              <w:r>
                <w:rPr>
                  <w:rFonts w:ascii="Arial" w:cs="Arial" w:eastAsia="Arial" w:hAnsi="Arial"/>
                  <w:sz w:val="18"/>
                  <w:szCs w:val="18"/>
                  <w:color w:val="0000FF"/>
                  <w:w w:val="97"/>
                </w:rPr>
                <w:t>reference to Exhibit 10.1 of the Registrant’s Quarterly Report on Form 10-Q (File No. 001-40971) filed on November</w:t>
              </w:r>
            </w:hyperlink>
          </w:p>
        </w:tc>
        <w:tc>
          <w:tcPr>
            <w:tcW w:w="440" w:type="dxa"/>
            <w:vAlign w:val="bottom"/>
            <w:tcBorders>
              <w:bottom w:val="single" w:sz="8" w:color="0000FF"/>
            </w:tcBorders>
          </w:tcPr>
          <w:p>
            <w:pPr>
              <w:jc w:val="right"/>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9,</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50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2023).</w:t>
              </w:r>
            </w:hyperlink>
          </w:p>
        </w:tc>
        <w:tc>
          <w:tcPr>
            <w:tcW w:w="20" w:type="dxa"/>
            <w:vAlign w:val="bottom"/>
            <w:tcBorders>
              <w:bottom w:val="single" w:sz="8" w:color="0000EE"/>
            </w:tcBorders>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960" w:type="dxa"/>
            <w:vAlign w:val="bottom"/>
            <w:gridSpan w:val="36"/>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Employment Offer Letter, dated August 10, 2023, by and between Mark Plavsic and the Registrant (incorporated by</w:t>
              </w:r>
            </w:hyperlink>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972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reference to Exhibit 10.17 of the Registrant's Annual Report on Form 10-K (File No. 001-40971) filed on March 27,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5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Resignation and Consulting Agreement, dated September 25, 2024, by and between Julie Feder and the Registrant</w:t>
              </w:r>
            </w:hyperlink>
          </w:p>
        </w:tc>
        <w:tc>
          <w:tcPr>
            <w:tcW w:w="20" w:type="dxa"/>
            <w:vAlign w:val="bottom"/>
            <w:tcBorders>
              <w:top w:val="single" w:sz="8" w:color="0000EE"/>
              <w:bottom w:val="single" w:sz="8" w:color="0000FF"/>
            </w:tcBorders>
          </w:tcPr>
          <w:p>
            <w:pPr>
              <w:spacing w:after="0"/>
              <w:rPr>
                <w:sz w:val="15"/>
                <w:szCs w:val="15"/>
                <w:color w:val="auto"/>
              </w:rPr>
            </w:pPr>
          </w:p>
        </w:tc>
        <w:tc>
          <w:tcPr>
            <w:tcW w:w="1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920" w:type="dxa"/>
            <w:vAlign w:val="bottom"/>
            <w:gridSpan w:val="34"/>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(incorporated by reference to Exhibit 10.2 of the Registrant's Quarterly Report on Form 10-Q (File No. 001-40971) filed on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4"/>
                <w:szCs w:val="24"/>
                <w:color w:val="auto"/>
                <w:vertAlign w:val="superscript"/>
              </w:rPr>
              <w:t>(1)</w:t>
            </w:r>
          </w:p>
        </w:tc>
        <w:tc>
          <w:tcPr>
            <w:tcW w:w="988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November 12, 2024).</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6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Transition and Release</w:t>
              </w:r>
            </w:hyperlink>
          </w:p>
        </w:tc>
        <w:tc>
          <w:tcPr>
            <w:tcW w:w="20" w:type="dxa"/>
            <w:vAlign w:val="bottom"/>
            <w:tcBorders>
              <w:top w:val="single" w:sz="8" w:color="0000EE"/>
              <w:bottom w:val="single" w:sz="8" w:color="0000FF"/>
            </w:tcBorders>
          </w:tcPr>
          <w:p>
            <w:pPr>
              <w:spacing w:after="0"/>
              <w:rPr>
                <w:sz w:val="15"/>
                <w:szCs w:val="15"/>
                <w:color w:val="auto"/>
              </w:rPr>
            </w:pPr>
          </w:p>
        </w:tc>
        <w:tc>
          <w:tcPr>
            <w:tcW w:w="7180" w:type="dxa"/>
            <w:vAlign w:val="bottom"/>
            <w:tcBorders>
              <w:bottom w:val="single" w:sz="8" w:color="0000FF"/>
            </w:tcBorders>
            <w:gridSpan w:val="15"/>
          </w:tcPr>
          <w:p>
            <w:pPr>
              <w:ind w:left="200"/>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Agreement, dated September 25, 2024, by and between Julie Feder and the Registrant</w:t>
              </w:r>
            </w:hyperlink>
          </w:p>
        </w:tc>
        <w:tc>
          <w:tcPr>
            <w:tcW w:w="108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960" w:type="dxa"/>
            <w:vAlign w:val="bottom"/>
            <w:gridSpan w:val="36"/>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(incorporated by reference to Exhibit 10.1 of the Registrant's Quarterly Report on Form 10-Q (File No. 001-40971) filed on</w:t>
              </w:r>
            </w:hyperlink>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986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November 12, 2024).</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680" w:type="dxa"/>
            <w:vAlign w:val="bottom"/>
            <w:tcBorders>
              <w:top w:val="single" w:sz="8" w:color="0000FF"/>
            </w:tcBorders>
            <w:gridSpan w:val="3"/>
          </w:tcPr>
          <w:p>
            <w:pPr>
              <w:spacing w:after="0" w:line="182"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Executive Severance</w:t>
              </w:r>
            </w:hyperlink>
          </w:p>
        </w:tc>
        <w:tc>
          <w:tcPr>
            <w:tcW w:w="8280" w:type="dxa"/>
            <w:vAlign w:val="bottom"/>
            <w:gridSpan w:val="33"/>
          </w:tcPr>
          <w:p>
            <w:pPr>
              <w:ind w:left="60"/>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Plan, and form of participation agreement thereunder (incorporated by reference to Exhibit 10.3 of</w:t>
              </w:r>
            </w:hyperlink>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19.1*</w:t>
            </w:r>
          </w:p>
        </w:tc>
        <w:tc>
          <w:tcPr>
            <w:tcW w:w="95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the Registrant’s Quarterly Report on Form 10-Q (File No. 001-40971) filed on November 12, 2024).</w:t>
              </w:r>
            </w:hyperlink>
          </w:p>
        </w:tc>
        <w:tc>
          <w:tcPr>
            <w:tcW w:w="1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78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Amended and Restated Insider Trading Policy.</w:t>
            </w:r>
          </w:p>
        </w:tc>
        <w:tc>
          <w:tcPr>
            <w:tcW w:w="18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372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List of Subsidiaries of Registrant.</w:t>
            </w:r>
          </w:p>
        </w:tc>
        <w:tc>
          <w:tcPr>
            <w:tcW w:w="106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4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40" w:type="dxa"/>
            <w:vAlign w:val="bottom"/>
            <w:tcBorders>
              <w:right w:val="single" w:sz="8" w:color="0000EE"/>
            </w:tcBorders>
            <w:gridSpan w:val="5"/>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58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Consent of Ernst &amp; Young, independent registered public accounting firm.</w:t>
            </w:r>
          </w:p>
        </w:tc>
        <w:tc>
          <w:tcPr>
            <w:tcW w:w="20" w:type="dxa"/>
            <w:vAlign w:val="bottom"/>
            <w:tcBorders>
              <w:bottom w:val="single" w:sz="8" w:color="0000EE"/>
            </w:tcBorders>
          </w:tcPr>
          <w:p>
            <w:pPr>
              <w:spacing w:after="0"/>
              <w:rPr>
                <w:sz w:val="24"/>
                <w:szCs w:val="24"/>
                <w:color w:val="auto"/>
              </w:rPr>
            </w:pPr>
          </w:p>
        </w:tc>
        <w:tc>
          <w:tcPr>
            <w:tcW w:w="40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36"/>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of 1934, as Adopted Pursuant to Section 302 of the Sarbanes-Oxley Act of 2002.</w:t>
            </w: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36"/>
          </w:tcPr>
          <w:p>
            <w:pPr>
              <w:spacing w:after="0"/>
              <w:rPr>
                <w:sz w:val="20"/>
                <w:szCs w:val="20"/>
                <w:color w:val="auto"/>
              </w:rPr>
            </w:pPr>
            <w:r>
              <w:rPr>
                <w:rFonts w:ascii="Arial" w:cs="Arial" w:eastAsia="Arial" w:hAnsi="Arial"/>
                <w:sz w:val="18"/>
                <w:szCs w:val="18"/>
                <w:color w:val="0000FF"/>
              </w:rPr>
              <w:t>Certification of Interim Principal Financial Officer Pursuant to Rules 13a-14(a) and 15d-14(a) under the Securities</w:t>
            </w: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78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tcBorders>
              <w:right w:val="single" w:sz="8" w:color="0000EE"/>
            </w:tcBorders>
            <w:gridSpan w:val="4"/>
            <w:shd w:val="clear" w:color="auto" w:fill="0000FF"/>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36"/>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900" w:type="dxa"/>
            <w:vAlign w:val="bottom"/>
            <w:tcBorders>
              <w:top w:val="single" w:sz="8" w:color="0000FF"/>
            </w:tcBorders>
            <w:gridSpan w:val="33"/>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4960" w:type="dxa"/>
            <w:vAlign w:val="bottom"/>
            <w:gridSpan w:val="15"/>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97.1</w:t>
            </w:r>
          </w:p>
        </w:tc>
        <w:tc>
          <w:tcPr>
            <w:tcW w:w="9960" w:type="dxa"/>
            <w:vAlign w:val="bottom"/>
            <w:gridSpan w:val="36"/>
          </w:tcPr>
          <w:p>
            <w:pPr>
              <w:spacing w:after="0"/>
              <w:rPr>
                <w:rFonts w:ascii="Arial" w:cs="Arial" w:eastAsia="Arial" w:hAnsi="Arial"/>
                <w:sz w:val="18"/>
                <w:szCs w:val="18"/>
                <w:color w:val="0000FF"/>
              </w:rPr>
            </w:pPr>
            <w:hyperlink r:id="rId195">
              <w:r>
                <w:rPr>
                  <w:rFonts w:ascii="Arial" w:cs="Arial" w:eastAsia="Arial" w:hAnsi="Arial"/>
                  <w:sz w:val="18"/>
                  <w:szCs w:val="18"/>
                  <w:color w:val="0000FF"/>
                </w:rPr>
                <w:t>Compensation Recovery Policy (incorporated by reference to Exhibit 97.1 of the Registrant's Annual Report on Form 10-K</w:t>
              </w:r>
            </w:hyperlink>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(File No. 001-40971) filed on March 27, 2024.</w:t>
              </w:r>
            </w:hyperlink>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vMerge w:val="continue"/>
          </w:tcPr>
          <w:p>
            <w:pPr>
              <w:spacing w:after="0"/>
              <w:rPr>
                <w:sz w:val="16"/>
                <w:szCs w:val="16"/>
                <w:color w:val="auto"/>
              </w:rPr>
            </w:pPr>
          </w:p>
        </w:tc>
        <w:tc>
          <w:tcPr>
            <w:tcW w:w="3620" w:type="dxa"/>
            <w:vAlign w:val="bottom"/>
            <w:tcBorders>
              <w:top w:val="single" w:sz="8" w:color="0000FF"/>
            </w:tcBorders>
            <w:gridSpan w:val="6"/>
          </w:tcPr>
          <w:p>
            <w:pPr>
              <w:spacing w:after="0" w:line="191" w:lineRule="exact"/>
              <w:rPr>
                <w:sz w:val="20"/>
                <w:szCs w:val="20"/>
                <w:color w:val="auto"/>
              </w:rPr>
            </w:pPr>
            <w:r>
              <w:rPr>
                <w:rFonts w:ascii="Arial" w:cs="Arial" w:eastAsia="Arial" w:hAnsi="Arial"/>
                <w:sz w:val="18"/>
                <w:szCs w:val="18"/>
                <w:color w:val="auto"/>
                <w:w w:val="96"/>
              </w:rPr>
              <w:t>Inline XBRL Instance Document – the instance</w:t>
            </w:r>
          </w:p>
        </w:tc>
        <w:tc>
          <w:tcPr>
            <w:tcW w:w="20" w:type="dxa"/>
            <w:vAlign w:val="bottom"/>
            <w:tcBorders>
              <w:top w:val="single" w:sz="8" w:color="0000EE"/>
            </w:tcBorders>
          </w:tcPr>
          <w:p>
            <w:pPr>
              <w:spacing w:after="0"/>
              <w:rPr>
                <w:sz w:val="16"/>
                <w:szCs w:val="16"/>
                <w:color w:val="auto"/>
              </w:rPr>
            </w:pPr>
          </w:p>
        </w:tc>
        <w:tc>
          <w:tcPr>
            <w:tcW w:w="6320" w:type="dxa"/>
            <w:vAlign w:val="bottom"/>
            <w:gridSpan w:val="29"/>
          </w:tcPr>
          <w:p>
            <w:pPr>
              <w:ind w:left="140"/>
              <w:spacing w:after="0" w:line="191" w:lineRule="exact"/>
              <w:rPr>
                <w:sz w:val="20"/>
                <w:szCs w:val="20"/>
                <w:color w:val="auto"/>
              </w:rPr>
            </w:pPr>
            <w:r>
              <w:rPr>
                <w:rFonts w:ascii="Arial" w:cs="Arial" w:eastAsia="Arial" w:hAnsi="Arial"/>
                <w:sz w:val="18"/>
                <w:szCs w:val="18"/>
                <w:color w:val="auto"/>
              </w:rPr>
              <w:t>document does not appear in the Interactive Data File because XBRL tags</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9960" w:type="dxa"/>
            <w:vAlign w:val="bottom"/>
            <w:gridSpan w:val="36"/>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00" w:hanging="1479"/>
        <w:spacing w:after="0"/>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104" w:lineRule="exact"/>
        <w:rPr>
          <w:sz w:val="20"/>
          <w:szCs w:val="20"/>
          <w:color w:val="auto"/>
        </w:rPr>
      </w:pPr>
    </w:p>
    <w:p>
      <w:pPr>
        <w:ind w:firstLine="8"/>
        <w:spacing w:after="0" w:line="271" w:lineRule="auto"/>
        <w:tabs>
          <w:tab w:leader="none" w:pos="1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46" w:lineRule="exact"/>
        <w:rPr>
          <w:sz w:val="20"/>
          <w:szCs w:val="20"/>
          <w:color w:val="auto"/>
        </w:rPr>
      </w:pPr>
    </w:p>
    <w:p>
      <w:pPr>
        <w:ind w:right="40" w:firstLine="8"/>
        <w:spacing w:after="0" w:line="253"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under the Securities Act of 1933, as amended, because they are both (i) not material and (ii) the type that the Registrant treats as private or confidential. A copy of the omitted portions will be furnished to the SEC upon its request.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Certain information in this document (indicated by asterisks) has been excluded pursuant to Regulation S-K, Item 601(a)(6).</w:t>
      </w:r>
    </w:p>
    <w:p>
      <w:pPr>
        <w:spacing w:after="0" w:line="117" w:lineRule="exact"/>
        <w:rPr>
          <w:sz w:val="20"/>
          <w:szCs w:val="20"/>
          <w:color w:val="auto"/>
        </w:rPr>
      </w:pPr>
    </w:p>
    <w:p>
      <w:pPr>
        <w:ind w:right="900" w:firstLine="8"/>
        <w:spacing w:after="0" w:line="230" w:lineRule="auto"/>
        <w:tabs>
          <w:tab w:leader="none" w:pos="197" w:val="left"/>
        </w:tabs>
        <w:numPr>
          <w:ilvl w:val="0"/>
          <w:numId w:val="54"/>
        </w:numPr>
        <w:rPr>
          <w:rFonts w:ascii="Arial" w:cs="Arial" w:eastAsia="Arial" w:hAnsi="Arial"/>
          <w:sz w:val="23"/>
          <w:szCs w:val="23"/>
          <w:color w:val="auto"/>
          <w:vertAlign w:val="superscript"/>
        </w:rPr>
      </w:pPr>
      <w:r>
        <w:rPr>
          <w:rFonts w:ascii="Arial" w:cs="Arial" w:eastAsia="Arial" w:hAnsi="Arial"/>
          <w:sz w:val="17"/>
          <w:szCs w:val="17"/>
          <w:color w:val="auto"/>
        </w:rPr>
        <w:t>Certain schedules and exhibits have been excluded pursuant to Regulation S-K Item 601(a)(5). The Company agrees to furnish supplementally a copy of any omitted schedule or exhibit to the SEC upon its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620" w:type="dxa"/>
            <w:vAlign w:val="bottom"/>
            <w:gridSpan w:val="8"/>
            <w:vMerge w:val="restart"/>
          </w:tcPr>
          <w:p>
            <w:pPr>
              <w:ind w:left="20"/>
              <w:spacing w:after="0"/>
              <w:rPr>
                <w:sz w:val="20"/>
                <w:szCs w:val="20"/>
                <w:color w:val="auto"/>
              </w:rPr>
            </w:pPr>
            <w:r>
              <w:rPr>
                <w:rFonts w:ascii="Arial" w:cs="Arial" w:eastAsia="Arial" w:hAnsi="Arial"/>
                <w:sz w:val="18"/>
                <w:szCs w:val="18"/>
                <w:color w:val="0000FF"/>
              </w:rPr>
              <w:t>Report of Independent Registered Public Accounting Firm (PCAOB ID 42)</w:t>
            </w: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8"/>
            <w:vMerge w:val="continue"/>
          </w:tcPr>
          <w:p>
            <w:pPr>
              <w:spacing w:after="0"/>
              <w:rPr>
                <w:sz w:val="14"/>
                <w:szCs w:val="14"/>
                <w:color w:val="auto"/>
              </w:rPr>
            </w:pPr>
          </w:p>
        </w:tc>
        <w:tc>
          <w:tcPr>
            <w:tcW w:w="3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F-2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0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Consolidated Balance Sheets</w:t>
            </w:r>
          </w:p>
        </w:tc>
        <w:tc>
          <w:tcPr>
            <w:tcW w:w="4720" w:type="dxa"/>
            <w:vAlign w:val="bottom"/>
          </w:tcPr>
          <w:p>
            <w:pPr>
              <w:spacing w:after="0"/>
              <w:rPr>
                <w:sz w:val="15"/>
                <w:szCs w:val="15"/>
                <w:color w:val="auto"/>
              </w:rPr>
            </w:pPr>
          </w:p>
        </w:tc>
        <w:tc>
          <w:tcPr>
            <w:tcW w:w="62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FF"/>
            </w:tcBorders>
          </w:tcPr>
          <w:p>
            <w:pPr>
              <w:ind w:left="20"/>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tcBorders>
          </w:tcPr>
          <w:p>
            <w:pPr>
              <w:spacing w:after="0"/>
              <w:rPr>
                <w:sz w:val="15"/>
                <w:szCs w:val="15"/>
                <w:color w:val="auto"/>
              </w:rPr>
            </w:pPr>
          </w:p>
        </w:tc>
        <w:tc>
          <w:tcPr>
            <w:tcW w:w="8220" w:type="dxa"/>
            <w:vAlign w:val="bottom"/>
            <w:gridSpan w:val="6"/>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62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526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Consolidated Statements of Stockholders’ Equity</w:t>
            </w:r>
          </w:p>
        </w:tc>
        <w:tc>
          <w:tcPr>
            <w:tcW w:w="5360" w:type="dxa"/>
            <w:vAlign w:val="bottom"/>
            <w:gridSpan w:val="2"/>
          </w:tcPr>
          <w:p>
            <w:pPr>
              <w:spacing w:after="0"/>
              <w:rPr>
                <w:sz w:val="15"/>
                <w:szCs w:val="15"/>
                <w:color w:val="auto"/>
              </w:rPr>
            </w:pPr>
          </w:p>
        </w:tc>
        <w:tc>
          <w:tcPr>
            <w:tcW w:w="62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392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Consolidated Statements of Cash Flows</w:t>
            </w:r>
          </w:p>
        </w:tc>
        <w:tc>
          <w:tcPr>
            <w:tcW w:w="6700" w:type="dxa"/>
            <w:vAlign w:val="bottom"/>
            <w:gridSpan w:val="3"/>
          </w:tcPr>
          <w:p>
            <w:pPr>
              <w:spacing w:after="0"/>
              <w:rPr>
                <w:sz w:val="15"/>
                <w:szCs w:val="15"/>
                <w:color w:val="auto"/>
              </w:rPr>
            </w:pPr>
          </w:p>
        </w:tc>
        <w:tc>
          <w:tcPr>
            <w:tcW w:w="62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220" w:type="dxa"/>
            <w:vAlign w:val="bottom"/>
            <w:tcBorders>
              <w:lef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620" w:type="dxa"/>
            <w:vAlign w:val="bottom"/>
            <w:gridSpan w:val="2"/>
            <w:vMerge w:val="restart"/>
          </w:tcPr>
          <w:p>
            <w:pPr>
              <w:jc w:val="center"/>
              <w:ind w:right="260"/>
              <w:spacing w:after="0" w:line="202" w:lineRule="exact"/>
              <w:rPr>
                <w:sz w:val="20"/>
                <w:szCs w:val="20"/>
                <w:color w:val="auto"/>
              </w:rPr>
            </w:pPr>
            <w:r>
              <w:rPr>
                <w:rFonts w:ascii="Arial" w:cs="Arial" w:eastAsia="Arial" w:hAnsi="Arial"/>
                <w:sz w:val="18"/>
                <w:szCs w:val="18"/>
                <w:color w:val="auto"/>
              </w:rPr>
              <w:t>F-7</w:t>
            </w:r>
          </w:p>
        </w:tc>
        <w:tc>
          <w:tcPr>
            <w:tcW w:w="0" w:type="dxa"/>
            <w:vAlign w:val="bottom"/>
          </w:tcPr>
          <w:p>
            <w:pPr>
              <w:spacing w:after="0" w:line="20" w:lineRule="exact"/>
              <w:rPr>
                <w:sz w:val="1"/>
                <w:szCs w:val="1"/>
                <w:color w:val="auto"/>
              </w:rPr>
            </w:pPr>
          </w:p>
        </w:tc>
      </w:tr>
      <w:tr>
        <w:trPr>
          <w:trHeight w:val="183"/>
        </w:trPr>
        <w:tc>
          <w:tcPr>
            <w:tcW w:w="10620" w:type="dxa"/>
            <w:vAlign w:val="bottom"/>
            <w:gridSpan w:val="8"/>
          </w:tcPr>
          <w:p>
            <w:pPr>
              <w:ind w:left="20"/>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Aura Biosciences,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Aura Biosciences,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24,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 31, 2023</w:t>
            </w: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41,063</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and deposits</w:t>
            </w:r>
          </w:p>
        </w:tc>
        <w:tc>
          <w:tcPr>
            <w:tcW w:w="160" w:type="dxa"/>
            <w:vAlign w:val="bottom"/>
            <w:shd w:val="clear" w:color="auto" w:fill="CFF0FC"/>
          </w:tcPr>
          <w:p>
            <w:pPr>
              <w:spacing w:after="0"/>
              <w:rPr>
                <w:sz w:val="17"/>
                <w:szCs w:val="17"/>
                <w:color w:val="auto"/>
              </w:rPr>
            </w:pPr>
          </w:p>
        </w:tc>
        <w:tc>
          <w:tcPr>
            <w:tcW w:w="174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5,625</w:t>
            </w:r>
          </w:p>
        </w:tc>
        <w:tc>
          <w:tcPr>
            <w:tcW w:w="100" w:type="dxa"/>
            <w:vAlign w:val="bottom"/>
          </w:tcPr>
          <w:p>
            <w:pPr>
              <w:spacing w:after="0"/>
              <w:rPr>
                <w:sz w:val="17"/>
                <w:szCs w:val="17"/>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160,623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231,794</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and deposits, net of current portion</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 operating lease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17,379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18,854</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tcPr>
          <w:p>
            <w:pPr>
              <w:spacing w:after="0"/>
              <w:rPr>
                <w:sz w:val="17"/>
                <w:szCs w:val="17"/>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3,215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Short-term operating lease liability</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2,687</w:t>
            </w:r>
          </w:p>
        </w:tc>
        <w:tc>
          <w:tcPr>
            <w:tcW w:w="100" w:type="dxa"/>
            <w:vAlign w:val="bottom"/>
          </w:tcPr>
          <w:p>
            <w:pPr>
              <w:spacing w:after="0"/>
              <w:rPr>
                <w:sz w:val="17"/>
                <w:szCs w:val="17"/>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9,460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14,913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12,357</w:t>
            </w:r>
          </w:p>
        </w:tc>
        <w:tc>
          <w:tcPr>
            <w:tcW w:w="100" w:type="dxa"/>
            <w:vAlign w:val="bottom"/>
          </w:tcPr>
          <w:p>
            <w:pPr>
              <w:spacing w:after="0"/>
              <w:rPr>
                <w:sz w:val="17"/>
                <w:szCs w:val="17"/>
                <w:color w:val="auto"/>
              </w:rPr>
            </w:pPr>
          </w:p>
        </w:tc>
      </w:tr>
      <w:tr>
        <w:trPr>
          <w:trHeight w:val="203"/>
        </w:trPr>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15,620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30,533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29,227</w:t>
            </w:r>
          </w:p>
        </w:tc>
        <w:tc>
          <w:tcPr>
            <w:tcW w:w="100" w:type="dxa"/>
            <w:vAlign w:val="bottom"/>
          </w:tcPr>
          <w:p>
            <w:pPr>
              <w:spacing w:after="0"/>
              <w:rPr>
                <w:sz w:val="17"/>
                <w:szCs w:val="17"/>
                <w:color w:val="auto"/>
              </w:rPr>
            </w:pPr>
          </w:p>
        </w:tc>
      </w:tr>
      <w:tr>
        <w:trPr>
          <w:trHeight w:val="196"/>
        </w:trPr>
        <w:tc>
          <w:tcPr>
            <w:tcW w:w="7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Common stock, $0.00001 par value, 150,000,000 authorized at December 31, 2024 and</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2023, and 49,998,279 and 49,350,788 shares issued and outstanding at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31, 2024 and December 31, 2023, respectively</w:t>
            </w:r>
          </w:p>
        </w:tc>
        <w:tc>
          <w:tcPr>
            <w:tcW w:w="16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525,934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512,617</w:t>
            </w:r>
          </w:p>
        </w:tc>
        <w:tc>
          <w:tcPr>
            <w:tcW w:w="10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(374,227 )</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(287,308 )</w:t>
            </w: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7"/>
                <w:szCs w:val="17"/>
                <w:color w:val="auto"/>
              </w:rPr>
            </w:pPr>
          </w:p>
        </w:tc>
      </w:tr>
      <w:tr>
        <w:trPr>
          <w:trHeight w:val="196"/>
        </w:trPr>
        <w:tc>
          <w:tcPr>
            <w:tcW w:w="75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151,970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225,848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-2545715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-1739265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-1473835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20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65,232</w:t>
            </w:r>
          </w:p>
        </w:tc>
        <w:tc>
          <w:tcPr>
            <w:tcW w:w="100" w:type="dxa"/>
            <w:vAlign w:val="bottom"/>
          </w:tcPr>
          <w:p>
            <w:pPr>
              <w:spacing w:after="0"/>
              <w:rPr>
                <w:sz w:val="18"/>
                <w:szCs w:val="18"/>
                <w:color w:val="auto"/>
              </w:rPr>
            </w:pPr>
          </w:p>
        </w:tc>
      </w:tr>
      <w:tr>
        <w:trPr>
          <w:trHeight w:val="203"/>
        </w:trPr>
        <w:tc>
          <w:tcPr>
            <w:tcW w:w="80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22,814</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8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84,991</w:t>
            </w:r>
          </w:p>
        </w:tc>
        <w:tc>
          <w:tcPr>
            <w:tcW w:w="100" w:type="dxa"/>
            <w:vAlign w:val="bottom"/>
          </w:tcPr>
          <w:p>
            <w:pPr>
              <w:spacing w:after="0"/>
              <w:rPr>
                <w:sz w:val="17"/>
                <w:szCs w:val="17"/>
                <w:color w:val="auto"/>
              </w:rPr>
            </w:pPr>
          </w:p>
        </w:tc>
      </w:tr>
      <w:tr>
        <w:trPr>
          <w:trHeight w:val="196"/>
        </w:trPr>
        <w:tc>
          <w:tcPr>
            <w:tcW w:w="8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loss</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(96,116 )</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(84,991 )</w:t>
            </w:r>
          </w:p>
        </w:tc>
      </w:tr>
      <w:tr>
        <w:trPr>
          <w:trHeight w:val="209"/>
        </w:trPr>
        <w:tc>
          <w:tcPr>
            <w:tcW w:w="8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30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9,429</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CECFF"/>
          </w:tcPr>
          <w:p>
            <w:pPr>
              <w:spacing w:after="0"/>
              <w:rPr>
                <w:sz w:val="18"/>
                <w:szCs w:val="18"/>
                <w:color w:val="auto"/>
              </w:rPr>
            </w:pPr>
          </w:p>
        </w:tc>
      </w:tr>
      <w:tr>
        <w:trPr>
          <w:trHeight w:val="216"/>
        </w:trPr>
        <w:tc>
          <w:tcPr>
            <w:tcW w:w="8080" w:type="dxa"/>
            <w:vAlign w:val="bottom"/>
          </w:tcPr>
          <w:p>
            <w:pPr>
              <w:ind w:left="280"/>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03"/>
        </w:trPr>
        <w:tc>
          <w:tcPr>
            <w:tcW w:w="80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(120 )</w:t>
            </w:r>
          </w:p>
        </w:tc>
        <w:tc>
          <w:tcPr>
            <w:tcW w:w="220" w:type="dxa"/>
            <w:vAlign w:val="bottom"/>
            <w:shd w:val="clear" w:color="auto" w:fill="CCECFF"/>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(76 )</w:t>
            </w:r>
          </w:p>
        </w:tc>
      </w:tr>
      <w:tr>
        <w:trPr>
          <w:trHeight w:val="196"/>
        </w:trPr>
        <w:tc>
          <w:tcPr>
            <w:tcW w:w="80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9,309</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8,720</w:t>
            </w:r>
          </w:p>
        </w:tc>
        <w:tc>
          <w:tcPr>
            <w:tcW w:w="100" w:type="dxa"/>
            <w:vAlign w:val="bottom"/>
            <w:tcBorders>
              <w:top w:val="single" w:sz="8" w:color="CFF0FC"/>
            </w:tcBorders>
          </w:tcPr>
          <w:p>
            <w:pPr>
              <w:spacing w:after="0"/>
              <w:rPr>
                <w:sz w:val="17"/>
                <w:szCs w:val="17"/>
                <w:color w:val="auto"/>
              </w:rPr>
            </w:pPr>
          </w:p>
        </w:tc>
      </w:tr>
      <w:tr>
        <w:trPr>
          <w:trHeight w:val="203"/>
        </w:trPr>
        <w:tc>
          <w:tcPr>
            <w:tcW w:w="8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(86,807 )</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(76,271 )</w:t>
            </w:r>
          </w:p>
        </w:tc>
      </w:tr>
      <w:tr>
        <w:trPr>
          <w:trHeight w:val="203"/>
        </w:trPr>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Income tax provision, net</w:t>
            </w:r>
          </w:p>
        </w:tc>
        <w:tc>
          <w:tcPr>
            <w:tcW w:w="3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(137 )</w:t>
            </w:r>
          </w:p>
        </w:tc>
      </w:tr>
      <w:tr>
        <w:trPr>
          <w:trHeight w:val="236"/>
        </w:trPr>
        <w:tc>
          <w:tcPr>
            <w:tcW w:w="8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(86,919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CFF"/>
            </w:tcBorders>
            <w:shd w:val="clear" w:color="auto" w:fill="CCECFF"/>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808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300" w:type="dxa"/>
            <w:vAlign w:val="bottom"/>
          </w:tcPr>
          <w:p>
            <w:pPr>
              <w:spacing w:after="0"/>
              <w:rPr>
                <w:sz w:val="15"/>
                <w:szCs w:val="15"/>
                <w:color w:val="auto"/>
              </w:rPr>
            </w:pPr>
          </w:p>
        </w:tc>
        <w:tc>
          <w:tcPr>
            <w:tcW w:w="12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(1.75 )</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(1.93 )</w:t>
            </w:r>
          </w:p>
        </w:tc>
      </w:tr>
      <w:tr>
        <w:trPr>
          <w:trHeight w:val="20"/>
        </w:trPr>
        <w:tc>
          <w:tcPr>
            <w:tcW w:w="8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common stock outstanding—basic and diluted</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49,650,480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39,620,036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7"/>
        </w:trPr>
        <w:tc>
          <w:tcPr>
            <w:tcW w:w="80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(86,919 )</w:t>
            </w:r>
          </w:p>
        </w:tc>
        <w:tc>
          <w:tcPr>
            <w:tcW w:w="220" w:type="dxa"/>
            <w:vAlign w:val="bottom"/>
            <w:shd w:val="clear" w:color="auto" w:fill="CCECFF"/>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(76,408 )</w:t>
            </w: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(271 )</w:t>
            </w:r>
          </w:p>
        </w:tc>
        <w:tc>
          <w:tcPr>
            <w:tcW w:w="220" w:type="dxa"/>
            <w:vAlign w:val="bottom"/>
            <w:shd w:val="clear" w:color="auto" w:fill="CCECFF"/>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FF0FC"/>
          </w:tcPr>
          <w:p>
            <w:pPr>
              <w:spacing w:after="0"/>
              <w:rPr>
                <w:sz w:val="18"/>
                <w:szCs w:val="18"/>
                <w:color w:val="auto"/>
              </w:rPr>
            </w:pPr>
          </w:p>
        </w:tc>
      </w:tr>
      <w:tr>
        <w:trPr>
          <w:trHeight w:val="203"/>
        </w:trPr>
        <w:tc>
          <w:tcPr>
            <w:tcW w:w="808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8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comprehensive (loss) income</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8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(87,195 )</w:t>
            </w:r>
          </w:p>
        </w:tc>
        <w:tc>
          <w:tcPr>
            <w:tcW w:w="220" w:type="dxa"/>
            <w:vAlign w:val="bottom"/>
          </w:tcPr>
          <w:p>
            <w:pPr>
              <w:spacing w:after="0"/>
              <w:rPr>
                <w:sz w:val="17"/>
                <w:szCs w:val="17"/>
                <w:color w:val="auto"/>
              </w:rPr>
            </w:pP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(75,797 )</w:t>
            </w:r>
          </w:p>
        </w:tc>
      </w:tr>
      <w:tr>
        <w:trPr>
          <w:trHeight w:val="20"/>
        </w:trPr>
        <w:tc>
          <w:tcPr>
            <w:tcW w:w="8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-2665095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-2390775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-1842135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-1310640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-1293495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-1002030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-985520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40" w:type="dxa"/>
            <w:vAlign w:val="bottom"/>
          </w:tcPr>
          <w:p>
            <w:pPr>
              <w:spacing w:after="0"/>
              <w:rPr>
                <w:sz w:val="18"/>
                <w:szCs w:val="18"/>
                <w:color w:val="auto"/>
              </w:rPr>
            </w:pP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240" w:type="dxa"/>
            <w:vAlign w:val="bottom"/>
          </w:tcPr>
          <w:p>
            <w:pPr>
              <w:spacing w:after="0"/>
              <w:rPr>
                <w:sz w:val="20"/>
                <w:szCs w:val="20"/>
                <w:color w:val="auto"/>
              </w:rPr>
            </w:pPr>
          </w:p>
        </w:tc>
        <w:tc>
          <w:tcPr>
            <w:tcW w:w="2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Other Comprehensive</w:t>
            </w: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09"/>
        </w:trPr>
        <w:tc>
          <w:tcPr>
            <w:tcW w:w="3240" w:type="dxa"/>
            <w:vAlign w:val="bottom"/>
          </w:tcPr>
          <w:p>
            <w:pPr>
              <w:spacing w:after="0"/>
              <w:rPr>
                <w:sz w:val="18"/>
                <w:szCs w:val="18"/>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Income Amount</w:t>
            </w: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3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December 31, 2023</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49,350,788</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$512,617</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$(287,308)</w:t>
            </w:r>
          </w:p>
        </w:tc>
        <w:tc>
          <w:tcPr>
            <w:tcW w:w="2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$539</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225,848</w:t>
            </w:r>
          </w:p>
        </w:tc>
      </w:tr>
      <w:tr>
        <w:trPr>
          <w:trHeight w:val="183"/>
        </w:trPr>
        <w:tc>
          <w:tcPr>
            <w:tcW w:w="3240" w:type="dxa"/>
            <w:vAlign w:val="bottom"/>
          </w:tcPr>
          <w:p>
            <w:pPr>
              <w:ind w:left="20"/>
              <w:spacing w:after="0" w:line="183" w:lineRule="exact"/>
              <w:rPr>
                <w:sz w:val="20"/>
                <w:szCs w:val="20"/>
                <w:color w:val="auto"/>
              </w:rPr>
            </w:pPr>
            <w:r>
              <w:rPr>
                <w:rFonts w:ascii="Arial" w:cs="Arial" w:eastAsia="Arial" w:hAnsi="Arial"/>
                <w:sz w:val="18"/>
                <w:szCs w:val="18"/>
                <w:color w:val="auto"/>
              </w:rPr>
              <w:t>Stock-based compensation expense</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11,722</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3" w:lineRule="exact"/>
              <w:rPr>
                <w:sz w:val="20"/>
                <w:szCs w:val="20"/>
                <w:color w:val="auto"/>
              </w:rPr>
            </w:pPr>
            <w:r>
              <w:rPr>
                <w:rFonts w:ascii="Arial" w:cs="Arial" w:eastAsia="Arial" w:hAnsi="Arial"/>
                <w:sz w:val="18"/>
                <w:szCs w:val="18"/>
                <w:color w:val="auto"/>
              </w:rPr>
              <w:t>11,722</w:t>
            </w:r>
          </w:p>
        </w:tc>
      </w:tr>
      <w:tr>
        <w:trPr>
          <w:trHeight w:val="184"/>
        </w:trPr>
        <w:tc>
          <w:tcPr>
            <w:tcW w:w="32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Employee Stock Purchase Plan</w:t>
            </w:r>
          </w:p>
        </w:tc>
        <w:tc>
          <w:tcPr>
            <w:tcW w:w="1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221"/>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Vesting of restricted stock</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310,245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 exercises</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312,769</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w:t>
            </w:r>
          </w:p>
        </w:tc>
      </w:tr>
      <w:tr>
        <w:trPr>
          <w:trHeight w:val="184"/>
        </w:trPr>
        <w:tc>
          <w:tcPr>
            <w:tcW w:w="3240" w:type="dxa"/>
            <w:vAlign w:val="bottom"/>
          </w:tcPr>
          <w:p>
            <w:pPr>
              <w:ind w:left="20"/>
              <w:spacing w:after="0" w:line="183" w:lineRule="exact"/>
              <w:rPr>
                <w:sz w:val="20"/>
                <w:szCs w:val="20"/>
                <w:color w:val="auto"/>
              </w:rPr>
            </w:pPr>
            <w:r>
              <w:rPr>
                <w:rFonts w:ascii="Arial" w:cs="Arial" w:eastAsia="Arial" w:hAnsi="Arial"/>
                <w:sz w:val="18"/>
                <w:szCs w:val="18"/>
                <w:color w:val="auto"/>
              </w:rPr>
              <w:t>Unrealized loss on marketable</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(271)</w:t>
            </w:r>
          </w:p>
        </w:tc>
        <w:tc>
          <w:tcPr>
            <w:tcW w:w="15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(86,919)</w:t>
            </w:r>
          </w:p>
        </w:tc>
        <w:tc>
          <w:tcPr>
            <w:tcW w:w="20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(86,919)</w:t>
            </w:r>
          </w:p>
        </w:tc>
      </w:tr>
      <w:tr>
        <w:trPr>
          <w:trHeight w:val="236"/>
        </w:trPr>
        <w:tc>
          <w:tcPr>
            <w:tcW w:w="3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December 31, 2024</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49,998,279</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525,934</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(374,227)</w:t>
            </w:r>
          </w:p>
        </w:tc>
        <w:tc>
          <w:tcPr>
            <w:tcW w:w="2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263</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151,970</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40" w:type="dxa"/>
            <w:vAlign w:val="bottom"/>
          </w:tcPr>
          <w:p>
            <w:pPr>
              <w:spacing w:after="0"/>
              <w:rPr>
                <w:sz w:val="18"/>
                <w:szCs w:val="18"/>
                <w:color w:val="auto"/>
              </w:rPr>
            </w:pP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Other Comprehensive</w:t>
            </w: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Income (Loss) Amount</w:t>
            </w: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37,771,918</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$406,555</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$(210,900)</w:t>
            </w:r>
          </w:p>
        </w:tc>
        <w:tc>
          <w:tcPr>
            <w:tcW w:w="2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$(72)</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195,583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4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Issuance of common stock - follow-on</w:t>
            </w:r>
          </w:p>
        </w:tc>
        <w:tc>
          <w:tcPr>
            <w:tcW w:w="1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net of issuance costs of $444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11,000,000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92,616</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92,616</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line="183" w:lineRule="exact"/>
              <w:rPr>
                <w:sz w:val="20"/>
                <w:szCs w:val="20"/>
                <w:color w:val="auto"/>
              </w:rPr>
            </w:pPr>
            <w:r>
              <w:rPr>
                <w:rFonts w:ascii="Arial" w:cs="Arial" w:eastAsia="Arial" w:hAnsi="Arial"/>
                <w:sz w:val="18"/>
                <w:szCs w:val="18"/>
                <w:color w:val="auto"/>
              </w:rPr>
              <w:t>Issuance of common stock under ATM</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8"/>
                <w:szCs w:val="18"/>
                <w:color w:val="auto"/>
              </w:rPr>
              <w:t>facility, net of issuance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261,807</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8,772</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line="183" w:lineRule="exact"/>
              <w:rPr>
                <w:sz w:val="20"/>
                <w:szCs w:val="20"/>
                <w:color w:val="auto"/>
              </w:rPr>
            </w:pPr>
            <w:r>
              <w:rPr>
                <w:rFonts w:ascii="Arial" w:cs="Arial" w:eastAsia="Arial" w:hAnsi="Arial"/>
                <w:sz w:val="18"/>
                <w:szCs w:val="18"/>
                <w:color w:val="auto"/>
              </w:rPr>
              <w:t>Employee Stock Purchase Plan</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8"/>
                <w:szCs w:val="18"/>
                <w:color w:val="auto"/>
              </w:rPr>
              <w:t>Issuance</w:t>
            </w:r>
          </w:p>
        </w:tc>
        <w:tc>
          <w:tcPr>
            <w:tcW w:w="1300" w:type="dxa"/>
            <w:vAlign w:val="bottom"/>
          </w:tcPr>
          <w:p>
            <w:pPr>
              <w:jc w:val="right"/>
              <w:spacing w:after="0"/>
              <w:rPr>
                <w:sz w:val="20"/>
                <w:szCs w:val="20"/>
                <w:color w:val="auto"/>
              </w:rPr>
            </w:pPr>
            <w:r>
              <w:rPr>
                <w:rFonts w:ascii="Arial" w:cs="Arial" w:eastAsia="Arial" w:hAnsi="Arial"/>
                <w:sz w:val="18"/>
                <w:szCs w:val="18"/>
                <w:color w:val="auto"/>
              </w:rPr>
              <w:t>14,911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Vesting of restricted stock</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43,162</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Stock option exercises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258,990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1,376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184"/>
        </w:trPr>
        <w:tc>
          <w:tcPr>
            <w:tcW w:w="32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Unrealized gain on marketable</w:t>
            </w:r>
          </w:p>
        </w:tc>
        <w:tc>
          <w:tcPr>
            <w:tcW w:w="1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(76,408)</w:t>
            </w:r>
          </w:p>
        </w:tc>
        <w:tc>
          <w:tcPr>
            <w:tcW w:w="20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(76,408)</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December 31, 2023</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49,350,788</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512,617</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(287,308)</w:t>
            </w:r>
          </w:p>
        </w:tc>
        <w:tc>
          <w:tcPr>
            <w:tcW w:w="2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539</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225,848</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rPr>
              <w:t>Year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line="183"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r>
      <w:tr>
        <w:trPr>
          <w:trHeight w:val="183"/>
        </w:trPr>
        <w:tc>
          <w:tcPr>
            <w:tcW w:w="7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Net loss</w:t>
            </w:r>
          </w:p>
        </w:tc>
        <w:tc>
          <w:tcPr>
            <w:tcW w:w="340" w:type="dxa"/>
            <w:vAlign w:val="bottom"/>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(86,919 )</w:t>
            </w:r>
          </w:p>
        </w:tc>
        <w:tc>
          <w:tcPr>
            <w:tcW w:w="160" w:type="dxa"/>
            <w:vAlign w:val="bottom"/>
          </w:tcPr>
          <w:p>
            <w:pPr>
              <w:spacing w:after="0"/>
              <w:rPr>
                <w:sz w:val="16"/>
                <w:szCs w:val="16"/>
                <w:color w:val="auto"/>
              </w:rPr>
            </w:pPr>
          </w:p>
        </w:tc>
        <w:tc>
          <w:tcPr>
            <w:tcW w:w="500" w:type="dxa"/>
            <w:vAlign w:val="bottom"/>
          </w:tcPr>
          <w:p>
            <w:pPr>
              <w:jc w:val="right"/>
              <w:ind w:right="315"/>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(76,408 )</w:t>
            </w:r>
          </w:p>
        </w:tc>
      </w:tr>
      <w:tr>
        <w:trPr>
          <w:trHeight w:val="189"/>
        </w:trPr>
        <w:tc>
          <w:tcPr>
            <w:tcW w:w="776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Depreciation expense</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1,295</w:t>
            </w:r>
          </w:p>
        </w:tc>
        <w:tc>
          <w:tcPr>
            <w:tcW w:w="100" w:type="dxa"/>
            <w:vAlign w:val="bottom"/>
          </w:tcPr>
          <w:p>
            <w:pPr>
              <w:spacing w:after="0"/>
              <w:rPr>
                <w:sz w:val="16"/>
                <w:szCs w:val="16"/>
                <w:color w:val="auto"/>
              </w:rPr>
            </w:pPr>
          </w:p>
        </w:tc>
      </w:tr>
      <w:tr>
        <w:trPr>
          <w:trHeight w:val="189"/>
        </w:trPr>
        <w:tc>
          <w:tcPr>
            <w:tcW w:w="7760" w:type="dxa"/>
            <w:vAlign w:val="bottom"/>
            <w:gridSpan w:val="2"/>
            <w:shd w:val="clear" w:color="auto" w:fill="CFF0FC"/>
          </w:tcPr>
          <w:p>
            <w:pPr>
              <w:ind w:left="280"/>
              <w:spacing w:after="0" w:line="189" w:lineRule="exact"/>
              <w:rPr>
                <w:sz w:val="20"/>
                <w:szCs w:val="20"/>
                <w:color w:val="auto"/>
              </w:rPr>
            </w:pPr>
            <w:r>
              <w:rPr>
                <w:rFonts w:ascii="Arial" w:cs="Arial" w:eastAsia="Arial" w:hAnsi="Arial"/>
                <w:sz w:val="17"/>
                <w:szCs w:val="17"/>
                <w:color w:val="auto"/>
              </w:rPr>
              <w:t>Accretion on marketable securities</w:t>
            </w:r>
          </w:p>
        </w:tc>
        <w:tc>
          <w:tcPr>
            <w:tcW w:w="3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(4,659 )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(3,992 )</w:t>
            </w:r>
          </w:p>
        </w:tc>
      </w:tr>
      <w:tr>
        <w:trPr>
          <w:trHeight w:val="189"/>
        </w:trPr>
        <w:tc>
          <w:tcPr>
            <w:tcW w:w="77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Other</w:t>
            </w:r>
          </w:p>
        </w:tc>
        <w:tc>
          <w:tcPr>
            <w:tcW w:w="340" w:type="dxa"/>
            <w:vAlign w:val="bottom"/>
          </w:tcPr>
          <w:p>
            <w:pPr>
              <w:spacing w:after="0"/>
              <w:rPr>
                <w:sz w:val="16"/>
                <w:szCs w:val="16"/>
                <w:color w:val="auto"/>
              </w:rPr>
            </w:pP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60" w:type="dxa"/>
            <w:vAlign w:val="bottom"/>
            <w:gridSpan w:val="2"/>
            <w:shd w:val="clear" w:color="auto" w:fill="CFF0FC"/>
          </w:tcPr>
          <w:p>
            <w:pPr>
              <w:ind w:left="280"/>
              <w:spacing w:after="0" w:line="189" w:lineRule="exact"/>
              <w:rPr>
                <w:sz w:val="20"/>
                <w:szCs w:val="20"/>
                <w:color w:val="auto"/>
              </w:rPr>
            </w:pPr>
            <w:r>
              <w:rPr>
                <w:rFonts w:ascii="Arial" w:cs="Arial" w:eastAsia="Arial" w:hAnsi="Arial"/>
                <w:sz w:val="17"/>
                <w:szCs w:val="17"/>
                <w:color w:val="auto"/>
              </w:rPr>
              <w:t>Stock-based compensation expense</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11,722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8,772</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Gain on disposal of property and equipment</w:t>
            </w:r>
          </w:p>
        </w:tc>
        <w:tc>
          <w:tcPr>
            <w:tcW w:w="340" w:type="dxa"/>
            <w:vAlign w:val="bottom"/>
          </w:tcPr>
          <w:p>
            <w:pPr>
              <w:spacing w:after="0"/>
              <w:rPr>
                <w:sz w:val="16"/>
                <w:szCs w:val="16"/>
                <w:color w:val="auto"/>
              </w:rPr>
            </w:pPr>
          </w:p>
        </w:tc>
        <w:tc>
          <w:tcPr>
            <w:tcW w:w="148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208</w:t>
            </w:r>
          </w:p>
        </w:tc>
        <w:tc>
          <w:tcPr>
            <w:tcW w:w="100" w:type="dxa"/>
            <w:vAlign w:val="bottom"/>
          </w:tcPr>
          <w:p>
            <w:pPr>
              <w:spacing w:after="0"/>
              <w:rPr>
                <w:sz w:val="16"/>
                <w:szCs w:val="16"/>
                <w:color w:val="auto"/>
              </w:rPr>
            </w:pPr>
          </w:p>
        </w:tc>
      </w:tr>
      <w:tr>
        <w:trPr>
          <w:trHeight w:val="189"/>
        </w:trPr>
        <w:tc>
          <w:tcPr>
            <w:tcW w:w="7760" w:type="dxa"/>
            <w:vAlign w:val="bottom"/>
            <w:gridSpan w:val="2"/>
            <w:shd w:val="clear" w:color="auto" w:fill="CFF0FC"/>
          </w:tcPr>
          <w:p>
            <w:pPr>
              <w:ind w:left="280"/>
              <w:spacing w:after="0" w:line="189" w:lineRule="exact"/>
              <w:rPr>
                <w:sz w:val="20"/>
                <w:szCs w:val="20"/>
                <w:color w:val="auto"/>
              </w:rPr>
            </w:pPr>
            <w:r>
              <w:rPr>
                <w:rFonts w:ascii="Arial" w:cs="Arial" w:eastAsia="Arial" w:hAnsi="Arial"/>
                <w:sz w:val="17"/>
                <w:szCs w:val="17"/>
                <w:color w:val="auto"/>
              </w:rPr>
              <w:t>Non-cash lease expense</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1,475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1,837</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60" w:type="dxa"/>
            <w:vAlign w:val="bottom"/>
            <w:gridSpan w:val="2"/>
            <w:shd w:val="clear" w:color="auto" w:fill="CFF0FC"/>
          </w:tcPr>
          <w:p>
            <w:pPr>
              <w:ind w:left="780"/>
              <w:spacing w:after="0" w:line="189" w:lineRule="exact"/>
              <w:rPr>
                <w:sz w:val="20"/>
                <w:szCs w:val="20"/>
                <w:color w:val="auto"/>
              </w:rPr>
            </w:pPr>
            <w:r>
              <w:rPr>
                <w:rFonts w:ascii="Arial" w:cs="Arial" w:eastAsia="Arial" w:hAnsi="Arial"/>
                <w:sz w:val="17"/>
                <w:szCs w:val="17"/>
                <w:color w:val="auto"/>
              </w:rPr>
              <w:t>Prepaid expenses and other assets</w:t>
            </w:r>
          </w:p>
        </w:tc>
        <w:tc>
          <w:tcPr>
            <w:tcW w:w="3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(3,904 )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3,579</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gridSpan w:val="2"/>
          </w:tcPr>
          <w:p>
            <w:pPr>
              <w:ind w:left="780"/>
              <w:spacing w:after="0" w:line="189" w:lineRule="exact"/>
              <w:rPr>
                <w:sz w:val="20"/>
                <w:szCs w:val="20"/>
                <w:color w:val="auto"/>
              </w:rPr>
            </w:pPr>
            <w:r>
              <w:rPr>
                <w:rFonts w:ascii="Arial" w:cs="Arial" w:eastAsia="Arial" w:hAnsi="Arial"/>
                <w:sz w:val="17"/>
                <w:szCs w:val="17"/>
                <w:color w:val="auto"/>
              </w:rPr>
              <w:t>Other long-term assets</w:t>
            </w:r>
          </w:p>
        </w:tc>
        <w:tc>
          <w:tcPr>
            <w:tcW w:w="340" w:type="dxa"/>
            <w:vAlign w:val="bottom"/>
          </w:tcPr>
          <w:p>
            <w:pPr>
              <w:spacing w:after="0"/>
              <w:rPr>
                <w:sz w:val="16"/>
                <w:szCs w:val="16"/>
                <w:color w:val="auto"/>
              </w:rPr>
            </w:pP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(86 )</w:t>
            </w:r>
          </w:p>
        </w:tc>
      </w:tr>
      <w:tr>
        <w:trPr>
          <w:trHeight w:val="189"/>
        </w:trPr>
        <w:tc>
          <w:tcPr>
            <w:tcW w:w="7760" w:type="dxa"/>
            <w:vAlign w:val="bottom"/>
            <w:gridSpan w:val="2"/>
            <w:shd w:val="clear" w:color="auto" w:fill="CFF0FC"/>
          </w:tcPr>
          <w:p>
            <w:pPr>
              <w:ind w:left="780"/>
              <w:spacing w:after="0" w:line="189" w:lineRule="exact"/>
              <w:rPr>
                <w:sz w:val="20"/>
                <w:szCs w:val="20"/>
                <w:color w:val="auto"/>
              </w:rPr>
            </w:pPr>
            <w:r>
              <w:rPr>
                <w:rFonts w:ascii="Arial" w:cs="Arial" w:eastAsia="Arial" w:hAnsi="Arial"/>
                <w:sz w:val="17"/>
                <w:szCs w:val="17"/>
                <w:color w:val="auto"/>
              </w:rPr>
              <w:t>Accounts payable</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482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(1,040 )</w:t>
            </w:r>
          </w:p>
        </w:tc>
      </w:tr>
      <w:tr>
        <w:trPr>
          <w:trHeight w:val="189"/>
        </w:trPr>
        <w:tc>
          <w:tcPr>
            <w:tcW w:w="7760" w:type="dxa"/>
            <w:vAlign w:val="bottom"/>
            <w:gridSpan w:val="2"/>
          </w:tcPr>
          <w:p>
            <w:pPr>
              <w:ind w:left="780"/>
              <w:spacing w:after="0" w:line="189" w:lineRule="exact"/>
              <w:rPr>
                <w:sz w:val="20"/>
                <w:szCs w:val="20"/>
                <w:color w:val="auto"/>
              </w:rPr>
            </w:pPr>
            <w:r>
              <w:rPr>
                <w:rFonts w:ascii="Arial" w:cs="Arial" w:eastAsia="Arial" w:hAnsi="Arial"/>
                <w:sz w:val="17"/>
                <w:szCs w:val="17"/>
                <w:color w:val="auto"/>
              </w:rPr>
              <w:t>Accrued expenses and other liabilities</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1,577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3,310</w:t>
            </w:r>
          </w:p>
        </w:tc>
        <w:tc>
          <w:tcPr>
            <w:tcW w:w="100" w:type="dxa"/>
            <w:vAlign w:val="bottom"/>
          </w:tcPr>
          <w:p>
            <w:pPr>
              <w:spacing w:after="0"/>
              <w:rPr>
                <w:sz w:val="16"/>
                <w:szCs w:val="16"/>
                <w:color w:val="auto"/>
              </w:rPr>
            </w:pPr>
          </w:p>
        </w:tc>
      </w:tr>
      <w:tr>
        <w:trPr>
          <w:trHeight w:val="189"/>
        </w:trPr>
        <w:tc>
          <w:tcPr>
            <w:tcW w:w="7760" w:type="dxa"/>
            <w:vAlign w:val="bottom"/>
            <w:gridSpan w:val="2"/>
            <w:shd w:val="clear" w:color="auto" w:fill="CFF0FC"/>
          </w:tcPr>
          <w:p>
            <w:pPr>
              <w:ind w:left="780"/>
              <w:spacing w:after="0" w:line="189" w:lineRule="exact"/>
              <w:rPr>
                <w:sz w:val="20"/>
                <w:szCs w:val="20"/>
                <w:color w:val="auto"/>
              </w:rPr>
            </w:pPr>
            <w:r>
              <w:rPr>
                <w:rFonts w:ascii="Arial" w:cs="Arial" w:eastAsia="Arial" w:hAnsi="Arial"/>
                <w:sz w:val="17"/>
                <w:szCs w:val="17"/>
                <w:color w:val="auto"/>
              </w:rPr>
              <w:t>Operating lease liabilities</w:t>
            </w:r>
          </w:p>
        </w:tc>
        <w:tc>
          <w:tcPr>
            <w:tcW w:w="3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(788 )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(1,322 )</w:t>
            </w:r>
          </w:p>
        </w:tc>
      </w:tr>
      <w:tr>
        <w:trPr>
          <w:trHeight w:val="20"/>
        </w:trPr>
        <w:tc>
          <w:tcPr>
            <w:tcW w:w="76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60" w:type="dxa"/>
            <w:vAlign w:val="bottom"/>
            <w:gridSpan w:val="2"/>
          </w:tcPr>
          <w:p>
            <w:pPr>
              <w:ind w:left="520"/>
              <w:spacing w:after="0" w:line="183" w:lineRule="exact"/>
              <w:rPr>
                <w:sz w:val="20"/>
                <w:szCs w:val="20"/>
                <w:color w:val="auto"/>
              </w:rPr>
            </w:pPr>
            <w:r>
              <w:rPr>
                <w:rFonts w:ascii="Arial" w:cs="Arial" w:eastAsia="Arial" w:hAnsi="Arial"/>
                <w:sz w:val="17"/>
                <w:szCs w:val="17"/>
                <w:b w:val="1"/>
                <w:bCs w:val="1"/>
                <w:color w:val="auto"/>
              </w:rPr>
              <w:t>Net cash used in operating activities</w:t>
            </w:r>
          </w:p>
        </w:tc>
        <w:tc>
          <w:tcPr>
            <w:tcW w:w="340" w:type="dxa"/>
            <w:vAlign w:val="bottom"/>
          </w:tcPr>
          <w:p>
            <w:pPr>
              <w:spacing w:after="0"/>
              <w:rPr>
                <w:sz w:val="15"/>
                <w:szCs w:val="15"/>
                <w:color w:val="auto"/>
              </w:rPr>
            </w:pPr>
          </w:p>
        </w:tc>
        <w:tc>
          <w:tcPr>
            <w:tcW w:w="13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(79,805 )</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(63,847 )</w:t>
            </w:r>
          </w:p>
        </w:tc>
      </w:tr>
      <w:tr>
        <w:trPr>
          <w:trHeight w:val="183"/>
        </w:trPr>
        <w:tc>
          <w:tcPr>
            <w:tcW w:w="7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Purchases of property and equipment</w:t>
            </w:r>
          </w:p>
        </w:tc>
        <w:tc>
          <w:tcPr>
            <w:tcW w:w="340" w:type="dxa"/>
            <w:vAlign w:val="bottom"/>
          </w:tcPr>
          <w:p>
            <w:pPr>
              <w:spacing w:after="0"/>
              <w:rPr>
                <w:sz w:val="16"/>
                <w:szCs w:val="16"/>
                <w:color w:val="auto"/>
              </w:rPr>
            </w:pP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(1,253 )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(709 )</w:t>
            </w:r>
          </w:p>
        </w:tc>
      </w:tr>
      <w:tr>
        <w:trPr>
          <w:trHeight w:val="189"/>
        </w:trPr>
        <w:tc>
          <w:tcPr>
            <w:tcW w:w="776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7"/>
                <w:szCs w:val="17"/>
                <w:color w:val="auto"/>
              </w:rPr>
              <w:t>Purchases of marketable securities</w:t>
            </w:r>
          </w:p>
        </w:tc>
        <w:tc>
          <w:tcPr>
            <w:tcW w:w="3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(59,103 )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(233,651 )</w:t>
            </w: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Proceeds from sale of marketable securities</w:t>
            </w:r>
          </w:p>
        </w:tc>
        <w:tc>
          <w:tcPr>
            <w:tcW w:w="340" w:type="dxa"/>
            <w:vAlign w:val="bottom"/>
          </w:tcPr>
          <w:p>
            <w:pPr>
              <w:spacing w:after="0"/>
              <w:rPr>
                <w:sz w:val="16"/>
                <w:szCs w:val="16"/>
                <w:color w:val="auto"/>
              </w:rPr>
            </w:pP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60" w:type="dxa"/>
            <w:vAlign w:val="bottom"/>
            <w:tcBorders>
              <w:bottom w:val="single" w:sz="8" w:color="CFF0FC"/>
            </w:tcBorders>
            <w:gridSpan w:val="2"/>
            <w:shd w:val="clear" w:color="auto" w:fill="CFF0FC"/>
          </w:tcPr>
          <w:p>
            <w:pPr>
              <w:ind w:left="20"/>
              <w:spacing w:after="0" w:line="189" w:lineRule="exact"/>
              <w:rPr>
                <w:sz w:val="20"/>
                <w:szCs w:val="20"/>
                <w:color w:val="auto"/>
              </w:rPr>
            </w:pPr>
            <w:r>
              <w:rPr>
                <w:rFonts w:ascii="Arial" w:cs="Arial" w:eastAsia="Arial" w:hAnsi="Arial"/>
                <w:sz w:val="17"/>
                <w:szCs w:val="17"/>
                <w:color w:val="auto"/>
              </w:rPr>
              <w:t>Maturities of marketable securities</w:t>
            </w:r>
          </w:p>
        </w:tc>
        <w:tc>
          <w:tcPr>
            <w:tcW w:w="3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129,182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120,397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gridSpan w:val="2"/>
          </w:tcPr>
          <w:p>
            <w:pPr>
              <w:ind w:left="520"/>
              <w:spacing w:after="0" w:line="183" w:lineRule="exact"/>
              <w:rPr>
                <w:sz w:val="20"/>
                <w:szCs w:val="20"/>
                <w:color w:val="auto"/>
              </w:rPr>
            </w:pPr>
            <w:r>
              <w:rPr>
                <w:rFonts w:ascii="Arial" w:cs="Arial" w:eastAsia="Arial" w:hAnsi="Arial"/>
                <w:sz w:val="17"/>
                <w:szCs w:val="17"/>
                <w:b w:val="1"/>
                <w:bCs w:val="1"/>
                <w:color w:val="auto"/>
              </w:rPr>
              <w:t>Net cash provided by (used in) investing activities</w:t>
            </w:r>
          </w:p>
        </w:tc>
        <w:tc>
          <w:tcPr>
            <w:tcW w:w="34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7"/>
                <w:szCs w:val="17"/>
                <w:color w:val="auto"/>
              </w:rPr>
              <w:t>68,821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(113,963 )</w:t>
            </w:r>
          </w:p>
        </w:tc>
      </w:tr>
      <w:tr>
        <w:trPr>
          <w:trHeight w:val="183"/>
        </w:trPr>
        <w:tc>
          <w:tcPr>
            <w:tcW w:w="7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Proceeds from exercise of stock options</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1,418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1,376</w:t>
            </w:r>
          </w:p>
        </w:tc>
        <w:tc>
          <w:tcPr>
            <w:tcW w:w="100" w:type="dxa"/>
            <w:vAlign w:val="bottom"/>
          </w:tcPr>
          <w:p>
            <w:pPr>
              <w:spacing w:after="0"/>
              <w:rPr>
                <w:sz w:val="16"/>
                <w:szCs w:val="16"/>
                <w:color w:val="auto"/>
              </w:rPr>
            </w:pPr>
          </w:p>
        </w:tc>
      </w:tr>
      <w:tr>
        <w:trPr>
          <w:trHeight w:val="189"/>
        </w:trPr>
        <w:tc>
          <w:tcPr>
            <w:tcW w:w="776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7"/>
                <w:szCs w:val="17"/>
                <w:color w:val="auto"/>
              </w:rPr>
              <w:t>Proceeds from issuance of common stock under ATM facility, net of issuance costs</w:t>
            </w:r>
          </w:p>
        </w:tc>
        <w:tc>
          <w:tcPr>
            <w:tcW w:w="340" w:type="dxa"/>
            <w:vAlign w:val="bottom"/>
            <w:shd w:val="clear" w:color="auto" w:fill="CFF0FC"/>
          </w:tcPr>
          <w:p>
            <w:pPr>
              <w:spacing w:after="0"/>
              <w:rPr>
                <w:sz w:val="16"/>
                <w:szCs w:val="16"/>
                <w:color w:val="auto"/>
              </w:rPr>
            </w:pPr>
          </w:p>
        </w:tc>
        <w:tc>
          <w:tcPr>
            <w:tcW w:w="1480" w:type="dxa"/>
            <w:vAlign w:val="bottom"/>
            <w:gridSpan w:val="3"/>
            <w:shd w:val="clear" w:color="auto" w:fill="CFF0FC"/>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3,170</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Proceeds from follow-on issuance of common stock</w:t>
            </w:r>
          </w:p>
        </w:tc>
        <w:tc>
          <w:tcPr>
            <w:tcW w:w="340" w:type="dxa"/>
            <w:vAlign w:val="bottom"/>
          </w:tcPr>
          <w:p>
            <w:pPr>
              <w:spacing w:after="0"/>
              <w:rPr>
                <w:sz w:val="16"/>
                <w:szCs w:val="16"/>
                <w:color w:val="auto"/>
              </w:rPr>
            </w:pPr>
          </w:p>
        </w:tc>
        <w:tc>
          <w:tcPr>
            <w:tcW w:w="148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92,616</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gridSpan w:val="2"/>
            <w:shd w:val="clear" w:color="auto" w:fill="CFF0FC"/>
          </w:tcPr>
          <w:p>
            <w:pPr>
              <w:ind w:left="20"/>
              <w:spacing w:after="0" w:line="189" w:lineRule="exact"/>
              <w:rPr>
                <w:sz w:val="20"/>
                <w:szCs w:val="20"/>
                <w:color w:val="auto"/>
              </w:rPr>
            </w:pPr>
            <w:r>
              <w:rPr>
                <w:rFonts w:ascii="Arial" w:cs="Arial" w:eastAsia="Arial" w:hAnsi="Arial"/>
                <w:sz w:val="17"/>
                <w:szCs w:val="17"/>
                <w:color w:val="auto"/>
              </w:rPr>
              <w:t>Proceeds from ESPP purchases</w:t>
            </w:r>
          </w:p>
        </w:tc>
        <w:tc>
          <w:tcPr>
            <w:tcW w:w="3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177</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gridSpan w:val="2"/>
          </w:tcPr>
          <w:p>
            <w:pPr>
              <w:ind w:left="520"/>
              <w:spacing w:after="0" w:line="183" w:lineRule="exact"/>
              <w:rPr>
                <w:sz w:val="20"/>
                <w:szCs w:val="20"/>
                <w:color w:val="auto"/>
              </w:rPr>
            </w:pPr>
            <w:r>
              <w:rPr>
                <w:rFonts w:ascii="Arial" w:cs="Arial" w:eastAsia="Arial" w:hAnsi="Arial"/>
                <w:sz w:val="17"/>
                <w:szCs w:val="17"/>
                <w:b w:val="1"/>
                <w:bCs w:val="1"/>
                <w:color w:val="auto"/>
              </w:rPr>
              <w:t>Net cash provided by financing activities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97,290</w:t>
            </w:r>
          </w:p>
        </w:tc>
        <w:tc>
          <w:tcPr>
            <w:tcW w:w="100" w:type="dxa"/>
            <w:vAlign w:val="bottom"/>
          </w:tcPr>
          <w:p>
            <w:pPr>
              <w:spacing w:after="0"/>
              <w:rPr>
                <w:sz w:val="15"/>
                <w:szCs w:val="15"/>
                <w:color w:val="auto"/>
              </w:rPr>
            </w:pPr>
          </w:p>
        </w:tc>
      </w:tr>
      <w:tr>
        <w:trPr>
          <w:trHeight w:val="183"/>
        </w:trPr>
        <w:tc>
          <w:tcPr>
            <w:tcW w:w="7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Net decrease in cash, cash equivalents and restricted cash</w:t>
            </w:r>
          </w:p>
        </w:tc>
        <w:tc>
          <w:tcPr>
            <w:tcW w:w="3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(9,389 )</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(80,520 )</w:t>
            </w:r>
          </w:p>
        </w:tc>
      </w:tr>
      <w:tr>
        <w:trPr>
          <w:trHeight w:val="189"/>
        </w:trPr>
        <w:tc>
          <w:tcPr>
            <w:tcW w:w="776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41,850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122,370</w:t>
            </w:r>
          </w:p>
        </w:tc>
        <w:tc>
          <w:tcPr>
            <w:tcW w:w="100" w:type="dxa"/>
            <w:vAlign w:val="bottom"/>
          </w:tcPr>
          <w:p>
            <w:pPr>
              <w:spacing w:after="0"/>
              <w:rPr>
                <w:sz w:val="16"/>
                <w:szCs w:val="16"/>
                <w:color w:val="auto"/>
              </w:rPr>
            </w:pPr>
          </w:p>
        </w:tc>
      </w:tr>
      <w:tr>
        <w:trPr>
          <w:trHeight w:val="223"/>
        </w:trPr>
        <w:tc>
          <w:tcPr>
            <w:tcW w:w="776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40" w:type="dxa"/>
            <w:vAlign w:val="bottom"/>
            <w:tcBorders>
              <w:bottom w:val="single" w:sz="8" w:color="auto"/>
            </w:tcBorders>
            <w:shd w:val="clear" w:color="auto" w:fill="CFF0FC"/>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32,461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5"/>
              <w:spacing w:after="0" w:line="183"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41,850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7760" w:type="dxa"/>
            <w:vAlign w:val="bottom"/>
            <w:gridSpan w:val="2"/>
          </w:tcPr>
          <w:p>
            <w:pPr>
              <w:ind w:left="20"/>
              <w:spacing w:after="0" w:line="170"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600" w:type="dxa"/>
            <w:vAlign w:val="bottom"/>
            <w:shd w:val="clear" w:color="auto" w:fill="CFF0FC"/>
          </w:tcPr>
          <w:p>
            <w:pPr>
              <w:ind w:left="20"/>
              <w:spacing w:after="0" w:line="167" w:lineRule="exact"/>
              <w:rPr>
                <w:sz w:val="20"/>
                <w:szCs w:val="20"/>
                <w:color w:val="auto"/>
              </w:rPr>
            </w:pPr>
            <w:r>
              <w:rPr>
                <w:rFonts w:ascii="Arial" w:cs="Arial" w:eastAsia="Arial" w:hAnsi="Arial"/>
                <w:sz w:val="17"/>
                <w:szCs w:val="17"/>
                <w:color w:val="auto"/>
              </w:rPr>
              <w:t>Purchases of property and equipment in accounts payable and accrued expenses and other</w:t>
            </w:r>
          </w:p>
        </w:tc>
        <w:tc>
          <w:tcPr>
            <w:tcW w:w="160" w:type="dxa"/>
            <w:vAlign w:val="bottom"/>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1"/>
        </w:trPr>
        <w:tc>
          <w:tcPr>
            <w:tcW w:w="7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liabilities</w:t>
            </w:r>
          </w:p>
        </w:tc>
        <w:tc>
          <w:tcPr>
            <w:tcW w:w="160" w:type="dxa"/>
            <w:vAlign w:val="bottom"/>
          </w:tcPr>
          <w:p>
            <w:pPr>
              <w:spacing w:after="0"/>
              <w:rPr>
                <w:sz w:val="18"/>
                <w:szCs w:val="18"/>
                <w:color w:val="auto"/>
              </w:rPr>
            </w:pP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shd w:val="clear" w:color="auto" w:fill="CFF0FC"/>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FF0FC"/>
          </w:tcPr>
          <w:p>
            <w:pPr>
              <w:spacing w:after="0"/>
              <w:rPr>
                <w:sz w:val="18"/>
                <w:szCs w:val="18"/>
                <w:color w:val="auto"/>
              </w:rPr>
            </w:pPr>
          </w:p>
        </w:tc>
      </w:tr>
      <w:tr>
        <w:trPr>
          <w:trHeight w:val="167"/>
        </w:trPr>
        <w:tc>
          <w:tcPr>
            <w:tcW w:w="7600" w:type="dxa"/>
            <w:vAlign w:val="bottom"/>
          </w:tcPr>
          <w:p>
            <w:pPr>
              <w:ind w:left="20"/>
              <w:spacing w:after="0" w:line="167" w:lineRule="exact"/>
              <w:rPr>
                <w:sz w:val="20"/>
                <w:szCs w:val="20"/>
                <w:color w:val="auto"/>
              </w:rPr>
            </w:pPr>
            <w:r>
              <w:rPr>
                <w:rFonts w:ascii="Arial" w:cs="Arial" w:eastAsia="Arial" w:hAnsi="Arial"/>
                <w:sz w:val="17"/>
                <w:szCs w:val="17"/>
                <w:color w:val="auto"/>
              </w:rPr>
              <w:t>Initial measurement of right-of-use assets and lease liabilities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7"/>
                <w:szCs w:val="17"/>
                <w:color w:val="auto"/>
              </w:rPr>
              <w:t>20</w:t>
            </w:r>
          </w:p>
        </w:tc>
        <w:tc>
          <w:tcPr>
            <w:tcW w:w="100" w:type="dxa"/>
            <w:vAlign w:val="bottom"/>
          </w:tcPr>
          <w:p>
            <w:pPr>
              <w:spacing w:after="0"/>
              <w:rPr>
                <w:sz w:val="14"/>
                <w:szCs w:val="14"/>
                <w:color w:val="auto"/>
              </w:rPr>
            </w:pPr>
          </w:p>
        </w:tc>
      </w:tr>
      <w:tr>
        <w:trPr>
          <w:trHeight w:val="205"/>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Disposal of equipment</w:t>
            </w:r>
          </w:p>
        </w:tc>
        <w:tc>
          <w:tcPr>
            <w:tcW w:w="340" w:type="dxa"/>
            <w:vAlign w:val="bottom"/>
          </w:tcPr>
          <w:p>
            <w:pPr>
              <w:spacing w:after="0"/>
              <w:rPr>
                <w:sz w:val="17"/>
                <w:szCs w:val="17"/>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-2601595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-2601595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-1864360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-1864360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-1127125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-1127125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-621030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-603885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-621030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-603885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420"/>
        <w:spacing w:after="0" w:line="232"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2024</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line="183"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r>
      <w:tr>
        <w:trPr>
          <w:trHeight w:val="183"/>
        </w:trPr>
        <w:tc>
          <w:tcPr>
            <w:tcW w:w="77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Cash and cash equivalents, end of period</w:t>
            </w:r>
          </w:p>
        </w:tc>
        <w:tc>
          <w:tcPr>
            <w:tcW w:w="980" w:type="dxa"/>
            <w:vAlign w:val="bottom"/>
            <w:shd w:val="clear" w:color="auto" w:fill="CFF0FC"/>
          </w:tcPr>
          <w:p>
            <w:pPr>
              <w:jc w:val="right"/>
              <w:ind w:right="79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31,693</w:t>
            </w:r>
          </w:p>
        </w:tc>
        <w:tc>
          <w:tcPr>
            <w:tcW w:w="7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41,063</w:t>
            </w:r>
          </w:p>
        </w:tc>
        <w:tc>
          <w:tcPr>
            <w:tcW w:w="100" w:type="dxa"/>
            <w:vAlign w:val="bottom"/>
            <w:shd w:val="clear" w:color="auto" w:fill="CFF0FC"/>
          </w:tcPr>
          <w:p>
            <w:pPr>
              <w:spacing w:after="0"/>
              <w:rPr>
                <w:sz w:val="15"/>
                <w:szCs w:val="15"/>
                <w:color w:val="auto"/>
              </w:rPr>
            </w:pPr>
          </w:p>
        </w:tc>
      </w:tr>
      <w:tr>
        <w:trPr>
          <w:trHeight w:val="189"/>
        </w:trPr>
        <w:tc>
          <w:tcPr>
            <w:tcW w:w="7760" w:type="dxa"/>
            <w:vAlign w:val="bottom"/>
          </w:tcPr>
          <w:p>
            <w:pPr>
              <w:ind w:left="20"/>
              <w:spacing w:after="0" w:line="189" w:lineRule="exact"/>
              <w:rPr>
                <w:sz w:val="20"/>
                <w:szCs w:val="20"/>
                <w:color w:val="auto"/>
              </w:rPr>
            </w:pPr>
            <w:r>
              <w:rPr>
                <w:rFonts w:ascii="Arial" w:cs="Arial" w:eastAsia="Arial" w:hAnsi="Arial"/>
                <w:sz w:val="17"/>
                <w:szCs w:val="17"/>
                <w:color w:val="auto"/>
              </w:rPr>
              <w:t>Short-term restricted cash, end of period</w:t>
            </w:r>
          </w:p>
        </w:tc>
        <w:tc>
          <w:tcPr>
            <w:tcW w:w="9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7"/>
                <w:szCs w:val="17"/>
                <w:color w:val="auto"/>
              </w:rPr>
              <w:t>Long-term restricted cash, end of period</w:t>
            </w:r>
          </w:p>
        </w:tc>
        <w:tc>
          <w:tcPr>
            <w:tcW w:w="9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768</w:t>
            </w:r>
          </w:p>
        </w:tc>
        <w:tc>
          <w:tcPr>
            <w:tcW w:w="2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768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980" w:type="dxa"/>
            <w:vAlign w:val="bottom"/>
          </w:tcPr>
          <w:p>
            <w:pPr>
              <w:jc w:val="right"/>
              <w:ind w:right="79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32,461</w:t>
            </w:r>
          </w:p>
        </w:tc>
        <w:tc>
          <w:tcPr>
            <w:tcW w:w="78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41,850</w:t>
            </w:r>
          </w:p>
        </w:tc>
        <w:tc>
          <w:tcPr>
            <w:tcW w:w="100" w:type="dxa"/>
            <w:vAlign w:val="bottom"/>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-153670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therapies to treat solid tumors designed to preserve organ function. Within these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 indeterminate lesions, or early-stage choroidal melanoma. Bel-sar is also in Phase 2 clinical development for metastases to the choroid, is being explored for cancers of the ocular surface and is in Phase 1 clinical development in bladder cancer. The Company envisions the potential for development of bel-sar in additional therapeutic areas. Aura’s headquarters are located in Boston, Massachusetts.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December 31, 2024, the Company has funded its operations primarily with proceeds from the initial and additional closings of its convertible preferred stock financings, and through its initial public offering, or IPO, follow-on offering and at-the-market offering, or ATM. On November 1, 2022, the Company filed a shelf registration statement on Form S-3, or the 2022 Shelf, with the Securities and Exchange Commission, or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year ended December 31, 2024 under the ATM.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jc w:val="both"/>
        <w:ind w:firstLine="509"/>
        <w:spacing w:after="0" w:line="247" w:lineRule="auto"/>
        <w:rPr>
          <w:sz w:val="20"/>
          <w:szCs w:val="20"/>
          <w:color w:val="auto"/>
        </w:rPr>
      </w:pPr>
      <w:r>
        <w:rPr>
          <w:rFonts w:ascii="Arial" w:cs="Arial" w:eastAsia="Arial" w:hAnsi="Arial"/>
          <w:sz w:val="18"/>
          <w:szCs w:val="18"/>
          <w:color w:val="auto"/>
        </w:rPr>
        <w:t>As of the issuance date of these consolidated financial statements for the year ended December 31, 2024,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or U.S. GAAP. The consolidated financial statements include those accounts of the Company and its subsidiaries after elimination of all intercompany accounts and transactions.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of assets and liabilities and disclosure of contingent assets and liabilities at the date of the consolidated financial statements and the reported amounts of expenses during the reporting period. Significant items subject to such estimates and assumptions include the fair value of stock-based compensation and accrued research and development costs. Management bases its estimates on historical experience and on various other market-specific relevant assumptions that management believes to be reasonable under the circumstances. Actual results could differ from those estimates.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development of oncology targeted therapies for a range of cancer indications with high unmet need.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Cash consists of standard checking accounts. As of December 31, 2024, the restricted cash account is comprised of a $0.8 million security deposit held by the lessor for the Company’s operating lease.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Cash equivalents are highly liquid investments with an original maturity of 90 days or less at the date of purchase and consist of time deposits and investments in money market funds that invest in U.S. Treasury obligations and government funds with commercial banks and financial institutions.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When the fair value is below the amortized cost of the asset, an estimate of expected credit losses is made. The credit-related impairment amount is recognized in loss; the remaining impairment amount and unrealized gains or losses are reported as a component of accumulated other comprehensive income in stockholders’ equity. Credit losses are recognized through the use of an allowance for credit losses account and subsequent improvements in expected credit losses are recognized as a reversal of an amount in the allowance for credit losses account. If the Company has the intent to sell the security or it is more likely than not that the Company will be required to sell the security prior to recovery of its amortized cost basis, the allowance for the credit loss is written-off and the excess of the amortized cost basis of the asset over its fair value is recorded in the consolidated statements of operations and comprehensive loss. Regardless of the Company’s intent to sell a security, it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 Unrealized gains and losses are reported as a component of accumulated other comprehensive income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consolidated statement of operations and comprehensive loss.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Accounting Standards Codification 820, Fair Value Measurement, or ASC 820, establishes a fair value hierarchy for instruments measured at fair value that distinguishes between assumptions based on market data (observable inputs) and the Company’s own assumptions (unobservable inputs).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 w:lineRule="exact"/>
        <w:rPr>
          <w:sz w:val="20"/>
          <w:szCs w:val="20"/>
          <w:color w:val="auto"/>
        </w:rPr>
      </w:pPr>
    </w:p>
    <w:p>
      <w:pPr>
        <w:ind w:left="1020" w:hanging="368"/>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Level 1—Inputs are quoted prices (unadjusted) in active markets for identical assets or liabilities.</w:t>
      </w:r>
    </w:p>
    <w:p>
      <w:pPr>
        <w:spacing w:after="0" w:line="39"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Level 2—Inputs are inputs other than quoted prices included within Level 1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Level 3—Inputs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7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and cash equivalents. The Company maintains its cash in bank deposit accounts which, at times, may exceed federally insured limits. The Company has not experienced any losses in such accounts. The Company believes it is not exposed to any significant credit risk on cash.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life of the assets. Costs for property and equipment not yet placed into service are capitalized as assets under construction and depreciated in accordance with the aforementioned policy once placed into service. Upon retirement or disposal of property and equipment, the cost and related accumulated depreciation are removed from the consolidated balance sheet and any gain or loss is reflected in the consolidated statements of operations and comprehensive loss. Repair and maintenance expenditures are charged to expense as incurred.</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80" w:type="dxa"/>
            <w:vAlign w:val="bottom"/>
          </w:tcPr>
          <w:p>
            <w:pPr>
              <w:spacing w:after="0"/>
              <w:rPr>
                <w:sz w:val="19"/>
                <w:szCs w:val="19"/>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 Useful Life</w:t>
            </w:r>
          </w:p>
        </w:tc>
      </w:tr>
      <w:tr>
        <w:trPr>
          <w:trHeight w:val="177"/>
        </w:trPr>
        <w:tc>
          <w:tcPr>
            <w:tcW w:w="738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Leasehold improvements</w:t>
            </w:r>
          </w:p>
        </w:tc>
        <w:tc>
          <w:tcPr>
            <w:tcW w:w="386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The shorter of the life of the leasehold</w:t>
            </w:r>
          </w:p>
        </w:tc>
      </w:tr>
      <w:tr>
        <w:trPr>
          <w:trHeight w:val="221"/>
        </w:trPr>
        <w:tc>
          <w:tcPr>
            <w:tcW w:w="7380" w:type="dxa"/>
            <w:vAlign w:val="bottom"/>
            <w:shd w:val="clear" w:color="auto" w:fill="CFF0FC"/>
          </w:tcPr>
          <w:p>
            <w:pPr>
              <w:spacing w:after="0"/>
              <w:rPr>
                <w:sz w:val="19"/>
                <w:szCs w:val="19"/>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improvement or the remaining term of the lease</w:t>
            </w: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IT equipment</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38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5 years</w:t>
            </w:r>
          </w:p>
        </w:tc>
      </w:tr>
    </w:tbl>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reviews all long-lived assets for impairment whenever events or circumstances indicate the carrying amount of such assets may not be recoverable. Recoverability of assets to be held and used is measured by comparison of the carrying value of the assets to the future undiscounted net cash flows expected to be generated by the asset. If such asset is considered to be unrecoverable, the impairment recognized is measured by the difference between the estimated fair value of the asset and its carrying value. The Company did not recognize any impairments of long-lived assets during the years ended December 31, 2024 or 2023.</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The Company accrues costs for clinical trial activities and contract manufacturers based upon estimates of the services received and related expenses incurred that have yet to be invoiced by the contract research organizations, clinical study sites, contract manufacturers, laboratories, consultants, or other vendors that perform the activities.</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Such amounts are expensed as the goods are delivered or the related services are performed or until it is no longer expected that the goods will be delivered, or the services rendered.</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Costs incurred in obtaining technology licenses are recognized as research and development expense as incurred if the technology licensed has not reached technological feasibility and has no alternative future uses.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and Trademark Costs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All patents and trademark related costs incurred in connection with filing and prosecuting patent and trademark applications are expensed as incurred due to uncertainty about the recovery of the expenditure. Amounts incurred are classified as general and administrative expenses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2" w:name="page123"/>
    <w:bookmarkEnd w:id="122"/>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January 1, 2021, the Company accounts for leases in accordance with ASU No. 2016-02, Leases (Topic 842), or ASC 842. At contract inception, the Company determines if an arrangement is or contains a lease. A lease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 For each lease with a term greater than twelve months, the Company records a right-of-use asset and lease liability.</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The Company elected the practical expedient to not separate lease and non-lease components for all classes of underlying assets and therefore measures each lease payment as the total of the fixed lease and associated non-lease components. Lease liabilities are measured at lease commencement and calculated as the present value of the future lease payments in the contract using the rate implicit in the contract, when available. If an implicit rate is not readily determinable, the Company uses an incremental borrowing rate measured as the rate at which the Company could borrow, on a fully collateralized basis, a commensurate loan in the same currency over a period consistent with the lease term at the commencement date.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The Company elected the practical expedient to not recognize leases with a lease term of twelve months or less.</w:t>
      </w:r>
    </w:p>
    <w:p>
      <w:pPr>
        <w:spacing w:after="0" w:line="18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 -lease components together as a single lease component for all underlying assets and allocate all of the contract consideration to the lease component only.</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Company’s operating leases are presented in the consolidated balance sheets as operating lease right-of-use assets, classified as noncurrent assets, and operating lease liabilities, classified as current and noncurrent liabilities. Operating lease expense is recognized on a straight-line basis over the lease term. Variable costs associated with a lease, such as maintenance and utilities, are not included in the measurement of the lease liabilities and right-of-use assets but rather are expensed when the events determining the amount of variable consideration to be paid have occurred.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the deferred tax asset will not be realized.</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provides reserves related to uncertain tax positions when management determines the related tax benefit is not more likely than not to be realized. The determination as to whether the tax benefit will more likely than not be realized is based upon the technical merits of the tax position as well as the consideration of the available facts and circumstances. The Company has no reserves related to uncertain tax positions as of December 31, 2024 and 2023.</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Interest and penalty charges, if any, related to uncertain tax positions would be classified as income tax expense in the accompanying consolidated statements of operations and comprehensive loss. As of December 31, 2024 and 2023, the Company had no accrued interest related to uncertain tax positions.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3" w:name="page124"/>
    <w:bookmarkEnd w:id="123"/>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preferred stock or common stock financings as deferred offering costs until such financings are consummated. After the closing of the IPO, follow-on offering and the ATM draw downs, these costs were recorded in stockholders' equity as a reduction of additional paid-in capital generated as a result of the financings.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stock-based compensation expense for all stock-based awards based on their grant date fair value.</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recognizes stock-based compensation expense over the requisite service period, which is generally the vesting period of the award. For awards that include performance-based vesting conditions, expense is recognized using the accelerated attribution method when the performance condition is deemed to be probable of being satisfied. The Company accounts for forfeitures as they occur. The Company determines the fair value of restricted stock awards in reference to the fair value of its common stock less any applicable purchase price.</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Company determines the volatility for awards granted based on an analysis of reported data for a group of guideline companies that have issued options with substantially similar terms. The expected volatility has been determined using a weighted 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using the midpoint between the vesting date and the contractual term.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Net loss per share attributable to common stockholders is computed by using the two-class method, which is an earnings allocation formula that determines net loss per share for the holders of the Company’s common stock and participating securities. All series of preferred stock contain participation rights in any dividend declared or accumulated by the Company and are deemed to be participating securities. Income available to common stockholders and participating convertible preferred stock is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that have a net loss.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Diluted net loss per share is computed using the if-converted method. The Company allocates earnings first to preferred stockholders based on dividend rights and then to common and preferred stockholders based on ownership interests. The weighted-average amount of common stock included in the computation of diluted loss gives effect to all potentially dilutive common equivalent shares, including outstanding stock options, warrants, and convertible preferred stock. Common stock equivalent shares are excluded from the computation of diluted loss per share if their effect is antidilutive.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4" w:name="page125"/>
    <w:bookmarkEnd w:id="124"/>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 amendments do not change how segments are determined, aggregated, or how thresholds are applied to determine reportable segments. The Company adopted ASU No. 2023-07 during the year ended December 31, 2024 and the standard did not have a material impact on its results of operations. The Company's reporting segments disclosure is included within the consolidated financial statements at Note 15 "Segment Reporting".</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our consolidated financial statements and related disclosures.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accounting standards that have been issued or proposed by FASB or other standards-setting bodies that do not require adoption until a future date are not expected to have a material impact on the Company’s consolidated financial statements upon adoption.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2024 and 2023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Quoted prices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Significant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Significant</w:t>
            </w:r>
          </w:p>
        </w:tc>
      </w:tr>
      <w:tr>
        <w:trPr>
          <w:trHeight w:val="224"/>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other</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other</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observable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observable</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5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8"/>
        </w:trPr>
        <w:tc>
          <w:tcPr>
            <w:tcW w:w="2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3)</w:t>
            </w:r>
          </w:p>
        </w:tc>
      </w:tr>
      <w:tr>
        <w:trPr>
          <w:trHeight w:val="190"/>
        </w:trPr>
        <w:tc>
          <w:tcPr>
            <w:tcW w:w="20" w:type="dxa"/>
            <w:vAlign w:val="bottom"/>
          </w:tcPr>
          <w:p>
            <w:pPr>
              <w:spacing w:after="0"/>
              <w:rPr>
                <w:sz w:val="16"/>
                <w:szCs w:val="16"/>
                <w:color w:val="auto"/>
              </w:rPr>
            </w:pPr>
          </w:p>
        </w:tc>
        <w:tc>
          <w:tcPr>
            <w:tcW w:w="400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Financial assets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30,845</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30,845</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w:t>
            </w:r>
          </w:p>
        </w:tc>
      </w:tr>
      <w:tr>
        <w:trPr>
          <w:trHeight w:val="236"/>
        </w:trPr>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000" w:type="dxa"/>
            <w:vAlign w:val="bottom"/>
            <w:tcBorders>
              <w:top w:val="single" w:sz="8" w:color="CFF0FC"/>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150,246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30,845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119,401</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ind w:left="10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63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1240"/>
              <w:spacing w:after="0"/>
              <w:rPr>
                <w:sz w:val="20"/>
                <w:szCs w:val="20"/>
                <w:color w:val="auto"/>
              </w:rPr>
            </w:pPr>
            <w:r>
              <w:rPr>
                <w:rFonts w:ascii="Arial" w:cs="Arial" w:eastAsia="Arial" w:hAnsi="Arial"/>
                <w:sz w:val="18"/>
                <w:szCs w:val="18"/>
                <w:color w:val="auto"/>
              </w:rPr>
              <w:t>F-13</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-925195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-908050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-1062355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-925195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-908050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-1062355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-925195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-908050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Quoted prices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Significant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Significant</w:t>
            </w:r>
          </w:p>
        </w:tc>
      </w:tr>
      <w:tr>
        <w:trPr>
          <w:trHeight w:val="224"/>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other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other</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observable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observable</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15"/>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(Level 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3"/>
        </w:trPr>
        <w:tc>
          <w:tcPr>
            <w:tcW w:w="42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Financial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40,551</w:t>
            </w:r>
          </w:p>
        </w:tc>
        <w:tc>
          <w:tcPr>
            <w:tcW w:w="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40,551</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9,137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6,187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U.S. Government agencies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166,002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166,002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Yankee bonds</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2,982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9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225,638</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40,551</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185,087</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92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-162560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between levels for the years ended December 31, 2024 and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 under construction</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IT equipment</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8,007</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7,506</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Less—accumulated depreciation</w:t>
            </w:r>
          </w:p>
        </w:tc>
        <w:tc>
          <w:tcPr>
            <w:tcW w:w="160" w:type="dxa"/>
            <w:vAlign w:val="bottom"/>
          </w:tcPr>
          <w:p>
            <w:pPr>
              <w:spacing w:after="0"/>
              <w:rPr>
                <w:sz w:val="17"/>
                <w:szCs w:val="17"/>
                <w:color w:val="auto"/>
              </w:rPr>
            </w:pPr>
          </w:p>
        </w:tc>
        <w:tc>
          <w:tcPr>
            <w:tcW w:w="16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(5,986 )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(5,036 )</w:t>
            </w: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$1.2 million and $1.3 million for the years ended December 31, 2024 and 2023,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Prepaid insurance</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1,696</w:t>
            </w:r>
          </w:p>
        </w:tc>
        <w:tc>
          <w:tcPr>
            <w:tcW w:w="46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Prepaid research and development expenses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6,007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1,826</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9,529</w:t>
            </w:r>
          </w:p>
        </w:tc>
        <w:tc>
          <w:tcPr>
            <w:tcW w:w="46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45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900" w:type="dxa"/>
            <w:vAlign w:val="bottom"/>
            <w:gridSpan w:val="3"/>
          </w:tcPr>
          <w:p>
            <w:pPr>
              <w:ind w:left="520"/>
              <w:spacing w:after="0"/>
              <w:rPr>
                <w:sz w:val="20"/>
                <w:szCs w:val="20"/>
                <w:color w:val="auto"/>
              </w:rPr>
            </w:pPr>
            <w:r>
              <w:rPr>
                <w:rFonts w:ascii="Arial" w:cs="Arial" w:eastAsia="Arial" w:hAnsi="Arial"/>
                <w:sz w:val="18"/>
                <w:szCs w:val="18"/>
                <w:color w:val="auto"/>
              </w:rPr>
              <w:t>Marketable securities consisted of the following (in thousands):</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December 31, 2024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spacing w:after="0" w:line="177"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5"/>
          </w:tcPr>
          <w:p>
            <w:pPr>
              <w:jc w:val="center"/>
              <w:ind w:right="260"/>
              <w:spacing w:after="0" w:line="177"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5"/>
                <w:szCs w:val="15"/>
                <w:color w:val="auto"/>
              </w:rPr>
            </w:pPr>
          </w:p>
        </w:tc>
        <w:tc>
          <w:tcPr>
            <w:tcW w:w="10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Losses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FF0FC"/>
            </w:tcBorders>
          </w:tcPr>
          <w:p>
            <w:pPr>
              <w:ind w:left="20"/>
              <w:spacing w:after="0" w:line="196" w:lineRule="exact"/>
              <w:rPr>
                <w:sz w:val="20"/>
                <w:szCs w:val="20"/>
                <w:color w:val="auto"/>
              </w:rPr>
            </w:pPr>
            <w:r>
              <w:rPr>
                <w:rFonts w:ascii="Arial" w:cs="Arial" w:eastAsia="Arial" w:hAnsi="Arial"/>
                <w:sz w:val="18"/>
                <w:szCs w:val="18"/>
                <w:color w:val="auto"/>
              </w:rPr>
              <w:t>U.S. Government agencies</w:t>
            </w:r>
          </w:p>
        </w:tc>
        <w:tc>
          <w:tcPr>
            <w:tcW w:w="1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119,130</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gridSpan w:val="2"/>
          </w:tcPr>
          <w:p>
            <w:pPr>
              <w:jc w:val="center"/>
              <w:ind w:left="70"/>
              <w:spacing w:after="0" w:line="196" w:lineRule="exact"/>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119,130</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gridSpan w:val="2"/>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00"/>
        </w:trPr>
        <w:tc>
          <w:tcPr>
            <w:tcW w:w="4540" w:type="dxa"/>
            <w:vAlign w:val="bottom"/>
          </w:tcPr>
          <w:p>
            <w:pPr>
              <w:spacing w:after="0"/>
              <w:rPr>
                <w:sz w:val="24"/>
                <w:szCs w:val="24"/>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F-14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-967740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-951230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-1104900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-951230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-951230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-1104900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December 31, 2023</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0"/>
              <w:spacing w:after="0" w:line="177"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260"/>
              <w:spacing w:after="0" w:line="177"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5"/>
                <w:szCs w:val="15"/>
                <w:color w:val="auto"/>
              </w:rPr>
            </w:pPr>
          </w:p>
        </w:tc>
        <w:tc>
          <w:tcPr>
            <w:tcW w:w="10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5"/>
                <w:szCs w:val="15"/>
                <w:color w:val="auto"/>
              </w:rPr>
            </w:pPr>
          </w:p>
        </w:tc>
      </w:tr>
      <w:tr>
        <w:trPr>
          <w:trHeight w:val="221"/>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Losses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9,137</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6,187</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165,453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(14 )</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166,002</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Yankee bonds</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2,982</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184,548</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185,087</w:t>
            </w:r>
          </w:p>
        </w:tc>
        <w:tc>
          <w:tcPr>
            <w:tcW w:w="100" w:type="dxa"/>
            <w:vAlign w:val="bottom"/>
            <w:shd w:val="clear" w:color="auto" w:fill="CFF0FC"/>
          </w:tcPr>
          <w:p>
            <w:pPr>
              <w:spacing w:after="0"/>
              <w:rPr>
                <w:sz w:val="18"/>
                <w:szCs w:val="18"/>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December 31, 2024 and December 31, 2023, the unrealized losses on the Company’s investments in U.S. government agencies securities, Yankee bonds,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8" w:lineRule="exact"/>
        <w:rPr>
          <w:sz w:val="20"/>
          <w:szCs w:val="20"/>
          <w:color w:val="auto"/>
        </w:rPr>
      </w:pPr>
    </w:p>
    <w:p>
      <w:pPr>
        <w:ind w:right="280" w:firstLine="509"/>
        <w:spacing w:after="0" w:line="290" w:lineRule="auto"/>
        <w:rPr>
          <w:sz w:val="20"/>
          <w:szCs w:val="20"/>
          <w:color w:val="auto"/>
        </w:rPr>
      </w:pPr>
      <w:r>
        <w:rPr>
          <w:rFonts w:ascii="Arial" w:cs="Arial" w:eastAsia="Arial" w:hAnsi="Arial"/>
          <w:sz w:val="17"/>
          <w:szCs w:val="17"/>
          <w:color w:val="auto"/>
        </w:rPr>
        <w:t>As of December 31, 2024, one marketable security with a contractual maturity of one year or less was in an unrealized loss position totaling $0.03 million, and all marketable securities held by the Company had remaining contractual maturities of one year or less.</w:t>
      </w:r>
    </w:p>
    <w:p>
      <w:pPr>
        <w:ind w:right="180" w:firstLine="509"/>
        <w:spacing w:after="0" w:line="275" w:lineRule="auto"/>
        <w:rPr>
          <w:sz w:val="20"/>
          <w:szCs w:val="20"/>
          <w:color w:val="auto"/>
        </w:rPr>
      </w:pPr>
      <w:r>
        <w:rPr>
          <w:rFonts w:ascii="Arial" w:cs="Arial" w:eastAsia="Arial" w:hAnsi="Arial"/>
          <w:sz w:val="17"/>
          <w:szCs w:val="17"/>
          <w:color w:val="auto"/>
        </w:rPr>
        <w:t>As of December 31, 2023, 13 marketable securities with contractual maturities of one year or less were in an unrealized loss position totaling $0.03 million. All marketable securities held by the Company had remaining contractual maturities of one year or less, except for asset-backed securities and U.S. government agencies securities with a fair value of $58.7 million that had maturities of one to two years.</w:t>
      </w:r>
    </w:p>
    <w:p>
      <w:pPr>
        <w:spacing w:after="0" w:line="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There were no impairments of the Company’s marketable securities measured and carried at fair value during the years ended December 31, 2024 and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3,386</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3,503</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618</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9,460</w:t>
            </w:r>
          </w:p>
        </w:tc>
        <w:tc>
          <w:tcPr>
            <w:tcW w:w="4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7,883</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49,998,279 and 49,350,788 shares were issued and outstanding at December 31, 2024 and December 31, 2023, respectively.</w:t>
      </w:r>
    </w:p>
    <w:p>
      <w:pPr>
        <w:spacing w:after="0" w:line="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December 31, 2024 and December 31,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year ended December 31, 2024 under the ATM.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jc w:val="both"/>
        <w:ind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year ended December 31, 2023 under the ATM.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several award types, including restricted stock units and both options to purchase common stock intended to qualify as incentive stock options under Section 422 of the United States Internal Revenue Code, or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2024, the shares reserved for issuance was increased to 9,414,162 shares. With the transfer of shares to the 2021 Plan in connection with the termination or expiration of awards under the 2018 Plan, together with shares otherwise available under the 2021 Plan, at December 31, 2024 there were 4,164,754 shares available for grants under the 2021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7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2024, the shares reserved for issuance was increased to 1,282,856 shares. The purchase price of the shares under the ESPP are at 85% of the lower of the fair market value of the Company’s common stock on the first trading day of the offering period or on the purchase date. As of December 31, 2024, 1,258,379 shares were available to be issued under the ESPP. The Company recognized $0.1 million share-based compensation expense related to the ESPP for the years ended December 31, 2024 and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spacing w:after="0" w:line="2" w:lineRule="exact"/>
        <w:rPr>
          <w:sz w:val="20"/>
          <w:szCs w:val="20"/>
          <w:color w:val="auto"/>
        </w:rPr>
      </w:pPr>
    </w:p>
    <w:p>
      <w:pPr>
        <w:ind w:left="1020" w:hanging="368"/>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8" w:name="page129"/>
    <w:bookmarkEnd w:id="128"/>
    <w:p>
      <w:pPr>
        <w:ind w:left="1020" w:hanging="368"/>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ind w:left="1020" w:hanging="368"/>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9"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stock option activity under the 2018 Plan and 2021 Plan for the year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5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5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5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5200" w:type="dxa"/>
            <w:vAlign w:val="bottom"/>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thousands)</w:t>
            </w:r>
          </w:p>
        </w:tc>
        <w:tc>
          <w:tcPr>
            <w:tcW w:w="100" w:type="dxa"/>
            <w:vAlign w:val="bottom"/>
          </w:tcPr>
          <w:p>
            <w:pPr>
              <w:spacing w:after="0"/>
              <w:rPr>
                <w:sz w:val="19"/>
                <w:szCs w:val="19"/>
                <w:color w:val="auto"/>
              </w:rPr>
            </w:pP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5,030,351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8.46</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7.54</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10,353</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1,650,730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(312,769 )</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Cancelled/Forfeited</w:t>
            </w: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(845,959 )</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10.78</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2024</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8"/>
                <w:szCs w:val="18"/>
                <w:color w:val="auto"/>
              </w:rPr>
              <w:t>Exercisable at December 31, 2024</w:t>
            </w: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3,244,171</w:t>
            </w:r>
          </w:p>
        </w:tc>
        <w:tc>
          <w:tcPr>
            <w:tcW w:w="22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7.73</w:t>
            </w:r>
          </w:p>
        </w:tc>
        <w:tc>
          <w:tcPr>
            <w:tcW w:w="16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5.62</w:t>
            </w:r>
          </w:p>
        </w:tc>
        <w:tc>
          <w:tcPr>
            <w:tcW w:w="3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7,119</w:t>
            </w:r>
          </w:p>
        </w:tc>
        <w:tc>
          <w:tcPr>
            <w:tcW w:w="1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-179705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-162560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-179705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2024 and 2023 was $5.99 and $7.50 per share, respectively. The total intrinsic value of options exercised was $1.5 million and $1.5 million for the years ended December 31, 2024 and 2023, respectively.</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fair value of the stock options issued as of December 31, 2024 and 2023 was measured with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rPr>
              <w:t>Year Ended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9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9"/>
              </w:rPr>
              <w:t>December 31,</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79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7"/>
                <w:szCs w:val="17"/>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r>
      <w:tr>
        <w:trPr>
          <w:trHeight w:val="203"/>
        </w:trPr>
        <w:tc>
          <w:tcPr>
            <w:tcW w:w="8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 of the underlying stock</w:t>
            </w: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88.63 %</w:t>
            </w:r>
          </w:p>
        </w:tc>
        <w:tc>
          <w:tcPr>
            <w:tcW w:w="32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86.15 %</w:t>
            </w:r>
          </w:p>
        </w:tc>
      </w:tr>
      <w:tr>
        <w:trPr>
          <w:trHeight w:val="239"/>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 activity during the year ended December 31, 2024 is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7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7700" w:type="dxa"/>
            <w:vAlign w:val="bottom"/>
          </w:tcPr>
          <w:p>
            <w:pPr>
              <w:spacing w:after="0"/>
              <w:rPr>
                <w:sz w:val="17"/>
                <w:szCs w:val="17"/>
                <w:color w:val="auto"/>
              </w:rPr>
            </w:pPr>
          </w:p>
        </w:tc>
        <w:tc>
          <w:tcPr>
            <w:tcW w:w="18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Restricted Stock</w:t>
            </w:r>
          </w:p>
        </w:tc>
        <w:tc>
          <w:tcPr>
            <w:tcW w:w="168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Grant Date Fair</w:t>
            </w:r>
          </w:p>
        </w:tc>
      </w:tr>
      <w:tr>
        <w:trPr>
          <w:trHeight w:val="221"/>
        </w:trPr>
        <w:tc>
          <w:tcPr>
            <w:tcW w:w="770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Value</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2023</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1,093,402</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1,159,205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8.04</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Vested/Released</w:t>
            </w: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(310,245 )</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(353,320 )</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9.67</w:t>
            </w:r>
          </w:p>
        </w:tc>
        <w:tc>
          <w:tcPr>
            <w:tcW w:w="10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2024</w:t>
            </w:r>
          </w:p>
        </w:tc>
        <w:tc>
          <w:tcPr>
            <w:tcW w:w="1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1,589,042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result of the 2021 Plan, the Company granted restricted stock units which vest in increments of 25% annually over a period of four years. During the year ended December 31, 2024, 310,245 restricted stock units vested with a fair value of $3.2 million.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0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97"/>
        </w:trPr>
        <w:tc>
          <w:tcPr>
            <w:tcW w:w="8100" w:type="dxa"/>
            <w:vAlign w:val="bottom"/>
            <w:gridSpan w:val="2"/>
          </w:tcPr>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r>
      <w:tr>
        <w:trPr>
          <w:trHeight w:val="196"/>
        </w:trPr>
        <w:tc>
          <w:tcPr>
            <w:tcW w:w="7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CFF"/>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5,696</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7"/>
                <w:szCs w:val="17"/>
                <w:color w:val="auto"/>
              </w:rPr>
            </w:pP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6,026</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4,843</w:t>
            </w:r>
          </w:p>
        </w:tc>
        <w:tc>
          <w:tcPr>
            <w:tcW w:w="100" w:type="dxa"/>
            <w:vAlign w:val="bottom"/>
          </w:tcPr>
          <w:p>
            <w:pPr>
              <w:spacing w:after="0"/>
              <w:rPr>
                <w:sz w:val="17"/>
                <w:szCs w:val="17"/>
                <w:color w:val="auto"/>
              </w:rPr>
            </w:pPr>
          </w:p>
        </w:tc>
      </w:tr>
      <w:tr>
        <w:trPr>
          <w:trHeight w:val="236"/>
        </w:trPr>
        <w:tc>
          <w:tcPr>
            <w:tcW w:w="7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11,722</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As of December 31, 2024, there was $13.1 million of unrecognized compensation expense related to stock options, which is expected to be recognized over a weighted-average period of 2.53 years.</w:t>
      </w:r>
    </w:p>
    <w:p>
      <w:pPr>
        <w:spacing w:after="0" w:line="14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As of December 31, 2024, there was $11.3 million of unrecognized compensation expense related to restricted stock units, which is expected to be recognized over a weighted-average period of 2.83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or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January 2012, the Company adopted the Aura Biosciences 401(k) Profit Sharing Plan and Trust, or the 401(k) Plan, for its employees, which is designed to be qualified under Section 401(k) of the Code. Eligible employees are permitted to contribute to the 401(k) Plan within statutory and 401(k) Plan limits. The Company makes matching contributions of 100% of the first 6% of employee contributions. The Company made matching contributions in the amount of $0.9 million and $0.7 million for the years ended December 31, 2024 and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130" w:name="page131"/>
    <w:bookmarkEnd w:id="130"/>
    <w:p>
      <w:pPr>
        <w:jc w:val="both"/>
        <w:ind w:firstLine="509"/>
        <w:spacing w:after="0" w:line="242"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which has not been deemed probable of being exercised by the Company as of December 31, 2024. The lease commenced on August 1, 2022, and estimated payments due under the initial term totaled $35.2 million. The lease requires a letter of credit totaling $0.8 million which is classified as long-term restricted cash and deposits on the consolidated balance sheets. The landlord will reimburse the Company up to $0.5 million for certain costs related to expansion of the laboratory space. As of December 31, 2024, the Company has completed the expansion and has incurred and been fully reimbursed for $0.5 million of expenses.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years ended December 31, 2024 and 2023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rPr>
              <w:t>Year Ended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48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2024</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9"/>
              </w:rPr>
              <w:t>December 31,</w:t>
            </w:r>
          </w:p>
        </w:tc>
        <w:tc>
          <w:tcPr>
            <w:tcW w:w="118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748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Lease Costs</w:t>
            </w: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costs</w:t>
            </w:r>
          </w:p>
        </w:tc>
        <w:tc>
          <w:tcPr>
            <w:tcW w:w="10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3,509</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costs</w:t>
            </w: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1,193</w:t>
            </w: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costs</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costs</w:t>
            </w: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4,702</w:t>
            </w:r>
          </w:p>
        </w:tc>
        <w:tc>
          <w:tcPr>
            <w:tcW w:w="34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liabilities—operating</w:t>
            </w:r>
          </w:p>
        </w:tc>
        <w:tc>
          <w:tcPr>
            <w:tcW w:w="9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21"/>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9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2,822</w:t>
            </w:r>
          </w:p>
        </w:tc>
        <w:tc>
          <w:tcPr>
            <w:tcW w:w="9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3,002</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remaining lease term—operating leases (years)</w:t>
            </w:r>
          </w:p>
        </w:tc>
        <w:tc>
          <w:tcPr>
            <w:tcW w:w="900" w:type="dxa"/>
            <w:vAlign w:val="bottom"/>
          </w:tcPr>
          <w:p>
            <w:pPr>
              <w:spacing w:after="0"/>
              <w:rPr>
                <w:sz w:val="17"/>
                <w:szCs w:val="17"/>
                <w:color w:val="auto"/>
              </w:rPr>
            </w:pP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7.59</w:t>
            </w:r>
          </w:p>
        </w:tc>
        <w:tc>
          <w:tcPr>
            <w:tcW w:w="90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8.59</w:t>
            </w:r>
          </w:p>
        </w:tc>
      </w:tr>
      <w:tr>
        <w:trPr>
          <w:trHeight w:val="202"/>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9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10.71 %</w:t>
            </w:r>
          </w:p>
        </w:tc>
        <w:tc>
          <w:tcPr>
            <w:tcW w:w="9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10.71 %</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40" w:type="dxa"/>
            <w:vAlign w:val="bottom"/>
            <w:gridSpan w:val="4"/>
          </w:tcPr>
          <w:p>
            <w:pPr>
              <w:ind w:left="520"/>
              <w:spacing w:after="0"/>
              <w:rPr>
                <w:sz w:val="20"/>
                <w:szCs w:val="20"/>
                <w:color w:val="auto"/>
              </w:rPr>
            </w:pPr>
            <w:r>
              <w:rPr>
                <w:rFonts w:ascii="Arial" w:cs="Arial" w:eastAsia="Arial" w:hAnsi="Arial"/>
                <w:sz w:val="18"/>
                <w:szCs w:val="18"/>
                <w:color w:val="auto"/>
              </w:rPr>
              <w:t>The following table reconciles the future minimum commitments to the Company’s operating lease liabilities at December 31, 2024 (in</w:t>
            </w:r>
          </w:p>
        </w:tc>
      </w:tr>
      <w:tr>
        <w:trPr>
          <w:trHeight w:val="239"/>
        </w:trPr>
        <w:tc>
          <w:tcPr>
            <w:tcW w:w="920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Operating lease</w:t>
            </w:r>
          </w:p>
        </w:tc>
      </w:tr>
      <w:tr>
        <w:trPr>
          <w:trHeight w:val="203"/>
        </w:trPr>
        <w:tc>
          <w:tcPr>
            <w:tcW w:w="9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payments as of</w:t>
            </w:r>
          </w:p>
        </w:tc>
      </w:tr>
      <w:tr>
        <w:trPr>
          <w:trHeight w:val="221"/>
        </w:trPr>
        <w:tc>
          <w:tcPr>
            <w:tcW w:w="9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December 31, 2024</w:t>
            </w:r>
          </w:p>
        </w:tc>
      </w:tr>
      <w:tr>
        <w:trPr>
          <w:trHeight w:val="196"/>
        </w:trPr>
        <w:tc>
          <w:tcPr>
            <w:tcW w:w="9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140" w:type="dxa"/>
            <w:vAlign w:val="bottom"/>
            <w:tcBorders>
              <w:top w:val="single" w:sz="8" w:color="auto"/>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3,306</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3,405</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3,508</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1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3,611</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3,716</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10,107</w:t>
            </w:r>
          </w:p>
        </w:tc>
        <w:tc>
          <w:tcPr>
            <w:tcW w:w="100" w:type="dxa"/>
            <w:vAlign w:val="bottom"/>
          </w:tcPr>
          <w:p>
            <w:pPr>
              <w:spacing w:after="0"/>
              <w:rPr>
                <w:sz w:val="17"/>
                <w:szCs w:val="17"/>
                <w:color w:val="auto"/>
              </w:rPr>
            </w:pPr>
          </w:p>
        </w:tc>
      </w:tr>
      <w:tr>
        <w:trPr>
          <w:trHeight w:val="196"/>
        </w:trPr>
        <w:tc>
          <w:tcPr>
            <w:tcW w:w="9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27,653</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7"/>
                <w:szCs w:val="17"/>
                <w:color w:val="auto"/>
              </w:rPr>
            </w:pPr>
          </w:p>
        </w:tc>
        <w:tc>
          <w:tcPr>
            <w:tcW w:w="1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(8,884 )</w:t>
            </w:r>
          </w:p>
        </w:tc>
      </w:tr>
      <w:tr>
        <w:trPr>
          <w:trHeight w:val="196"/>
        </w:trPr>
        <w:tc>
          <w:tcPr>
            <w:tcW w:w="9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liabilities at December 31, 2024</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00" w:type="dxa"/>
            <w:vAlign w:val="bottom"/>
          </w:tcPr>
          <w:p>
            <w:pPr>
              <w:ind w:left="20"/>
              <w:spacing w:after="0" w:line="196" w:lineRule="exact"/>
              <w:rPr>
                <w:sz w:val="20"/>
                <w:szCs w:val="20"/>
                <w:color w:val="auto"/>
              </w:rPr>
            </w:pPr>
            <w:r>
              <w:rPr>
                <w:rFonts w:ascii="Arial" w:cs="Arial" w:eastAsia="Arial" w:hAnsi="Arial"/>
                <w:sz w:val="18"/>
                <w:szCs w:val="18"/>
                <w:color w:val="auto"/>
              </w:rPr>
              <w:t>Less: current portion of lease liabilities</w:t>
            </w: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3,149</w:t>
            </w:r>
          </w:p>
        </w:tc>
        <w:tc>
          <w:tcPr>
            <w:tcW w:w="10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Lease liabilities, net of current portion</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1" w:name="page132"/>
    <w:bookmarkEnd w:id="131"/>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700DX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3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years ended December 31, 2024 and 2023,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years ended December 31, 2024 and 2023,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3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years ended December 31, 2024 and 2023, the Company did not recognize any expenses related to this agreement.</w:t>
      </w:r>
    </w:p>
    <w:p>
      <w:pPr>
        <w:spacing w:after="0" w:line="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years ended December 31, 2024 and 2023, the Company recognized $0.5 million and $0 million of expenses related to this agreement, respectively.</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the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previously amended in 2012, 2013, 2014, 2015, 2016, 2018, and 2020. During the years ended December 31, 2024 and 2023, the Company paid no research collaboration fees related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2" w:name="page133"/>
    <w:bookmarkEnd w:id="132"/>
    <w:p>
      <w:pPr>
        <w:jc w:val="both"/>
        <w:ind w:firstLine="509"/>
        <w:spacing w:after="0" w:line="247"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was in August 2023. This eighth amendment extended the term of the CRADA to September 30, 2024. During the years ended December 31, 2024 and 2023, the Company recognized $0 million and $0.03 million of expenses related to this agreement, respectively.</w:t>
      </w:r>
    </w:p>
    <w:p>
      <w:pPr>
        <w:spacing w:after="0" w:line="3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ninth amendment was effective in September 2024, requiring payment of $0.06 million within 30 days of November 30, 2024, and payment of another $0.05 million within 30 days of September 30, 2025. This ninth amendment extended the term of the CRADA to September 30, 2026. During the year ended December 31, 2024, the Company recognized $0.1 million of expenses related to this agreement.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$0.03 million and $0.2 million for patent licensing fees for the years ended December 31, 2024 and 2023, respectively.</w:t>
      </w:r>
    </w:p>
    <w:p>
      <w:pPr>
        <w:spacing w:after="0" w:line="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country-by-country basis based on the last to expire of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the milestones for Phases I and II have been achieved as of December 31, 2024. Upon the sublicense by the Company of a product for which royalties are payable under the agreement, low- to mid-single-digit royalty payments would be due by the Company. The non-milestone payments in this agreement are subject to an anti-stacking clause. The Company recognized $0.1 million and $0 million in expenses related to this agreement for the years ended December 31, 2024 and 2023, respectively.</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3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$0 million and $1.0 million of expenses related to this agreement and related amendments for the years ended December 31, 2024 and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7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has calculated basic and diluted net loss per share for the years ended December 31, 2024 and 2023 as follows (in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(86,919 )</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(76,408 )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common stock outstanding—basic and diluted</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49,650,480</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39,620,036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8"/>
                <w:szCs w:val="18"/>
                <w:color w:val="auto"/>
              </w:rPr>
              <w:t>(1.75 )</w:t>
            </w:r>
          </w:p>
        </w:tc>
        <w:tc>
          <w:tcPr>
            <w:tcW w:w="420" w:type="dxa"/>
            <w:vAlign w:val="bottom"/>
            <w:shd w:val="clear" w:color="auto" w:fill="CFF0FC"/>
          </w:tcPr>
          <w:p>
            <w:pPr>
              <w:jc w:val="right"/>
              <w:ind w:right="210"/>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(1.93 )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7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8"/>
              </w:rPr>
              <w:t>Year Ended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140" w:type="dxa"/>
            <w:vAlign w:val="bottom"/>
          </w:tcPr>
          <w:p>
            <w:pPr>
              <w:spacing w:after="0"/>
              <w:rPr>
                <w:sz w:val="19"/>
                <w:szCs w:val="19"/>
                <w:color w:val="auto"/>
              </w:rPr>
            </w:pPr>
          </w:p>
        </w:tc>
        <w:tc>
          <w:tcPr>
            <w:tcW w:w="272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8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5,030,351</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1,589,042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1,093,402</w:t>
            </w:r>
          </w:p>
        </w:tc>
        <w:tc>
          <w:tcPr>
            <w:tcW w:w="10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2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ind w:left="20"/>
              <w:spacing w:after="0" w:line="196" w:lineRule="exact"/>
              <w:rPr>
                <w:sz w:val="20"/>
                <w:szCs w:val="20"/>
                <w:color w:val="auto"/>
              </w:rPr>
            </w:pPr>
            <w:r>
              <w:rPr>
                <w:rFonts w:ascii="Arial" w:cs="Arial" w:eastAsia="Arial" w:hAnsi="Arial"/>
                <w:sz w:val="18"/>
                <w:szCs w:val="18"/>
                <w:color w:val="auto"/>
              </w:rPr>
              <w:t>Total potential dilutive shares</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7,124,081</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6,136,439</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-161925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2024 and 2023, the loss before income taxes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(86,185 )</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(76,191 )</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(622 )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(86,807 )</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(76,271 )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recorded a $0.1 million tax provision for the periods presented due to the current state income taxes and the losses incurred and the need for a full valuation allowance on net deferred tax assets. The difference between the income tax provision at the U.S. federal statutory rate and the recorded provision is primarily due to the valuation allowance recorded on all deferred tax assets.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income tax provision, net consisted of the following: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Components of income tax provision:</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112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State</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Foreign</w:t>
            </w: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w:t>
            </w:r>
          </w:p>
        </w:tc>
        <w:tc>
          <w:tcPr>
            <w:tcW w:w="1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Income Tax Provision</w:t>
            </w:r>
          </w:p>
        </w:tc>
        <w:tc>
          <w:tcPr>
            <w:tcW w:w="1120" w:type="dxa"/>
            <w:vAlign w:val="bottom"/>
          </w:tcPr>
          <w:p>
            <w:pPr>
              <w:jc w:val="right"/>
              <w:ind w:right="91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62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reconciliation of the federal statutory income tax rate to the Company’s effective tax rate as of December 31, 2024 and 2023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r>
      <w:tr>
        <w:trPr>
          <w:trHeight w:val="196"/>
        </w:trPr>
        <w:tc>
          <w:tcPr>
            <w:tcW w:w="8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provision at statutory rate</w:t>
            </w:r>
          </w:p>
        </w:tc>
        <w:tc>
          <w:tcPr>
            <w:tcW w:w="8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21.0 %</w:t>
            </w:r>
          </w:p>
        </w:tc>
        <w:tc>
          <w:tcPr>
            <w:tcW w:w="18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taxes, net of federal benefit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4.6 %</w:t>
            </w:r>
          </w:p>
        </w:tc>
        <w:tc>
          <w:tcPr>
            <w:tcW w:w="1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6.6 %</w:t>
            </w:r>
          </w:p>
        </w:tc>
      </w:tr>
      <w:tr>
        <w:trPr>
          <w:trHeight w:val="203"/>
        </w:trPr>
        <w:tc>
          <w:tcPr>
            <w:tcW w:w="8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 tax credits</w:t>
            </w:r>
          </w:p>
        </w:tc>
        <w:tc>
          <w:tcPr>
            <w:tcW w:w="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3.6 %</w:t>
            </w:r>
          </w:p>
        </w:tc>
        <w:tc>
          <w:tcPr>
            <w:tcW w:w="1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Permanent items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(1.6 )%</w:t>
            </w:r>
          </w:p>
        </w:tc>
        <w:tc>
          <w:tcPr>
            <w:tcW w:w="1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8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(0.1 )%</w:t>
            </w:r>
          </w:p>
        </w:tc>
        <w:tc>
          <w:tcPr>
            <w:tcW w:w="1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Decrease in valuation reserve</w:t>
            </w:r>
          </w:p>
        </w:tc>
        <w:tc>
          <w:tcPr>
            <w:tcW w:w="10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(27.5 )%</w:t>
            </w:r>
          </w:p>
        </w:tc>
        <w:tc>
          <w:tcPr>
            <w:tcW w:w="1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(28.8 )%</w:t>
            </w:r>
          </w:p>
        </w:tc>
      </w:tr>
      <w:tr>
        <w:trPr>
          <w:trHeight w:val="20"/>
        </w:trPr>
        <w:tc>
          <w:tcPr>
            <w:tcW w:w="7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0.0 %</w:t>
            </w:r>
          </w:p>
        </w:tc>
        <w:tc>
          <w:tcPr>
            <w:tcW w:w="18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0.0 %</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1631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631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1631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1631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Temporary differences that give rise to significant deferred tax assets (liabilities) as of December 31, 2024 and 2023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55,826</w:t>
            </w:r>
          </w:p>
        </w:tc>
        <w:tc>
          <w:tcPr>
            <w:tcW w:w="260" w:type="dxa"/>
            <w:vAlign w:val="bottom"/>
          </w:tcPr>
          <w:p>
            <w:pPr>
              <w:spacing w:after="0"/>
              <w:rPr>
                <w:sz w:val="17"/>
                <w:szCs w:val="17"/>
                <w:color w:val="auto"/>
              </w:rPr>
            </w:pP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45,999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Capitalized research and development expenses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32,422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22,068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13,582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1,025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4,903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938</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111,146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87,250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(4,540 )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(5,092 )</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Depreciable assets</w:t>
            </w:r>
          </w:p>
        </w:tc>
        <w:tc>
          <w:tcPr>
            <w:tcW w:w="3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(312 )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(225 )</w:t>
            </w: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(443 )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(105,851 )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(81,933 )</w:t>
            </w:r>
          </w:p>
        </w:tc>
      </w:tr>
      <w:tr>
        <w:trPr>
          <w:trHeight w:val="236"/>
        </w:trPr>
        <w:tc>
          <w:tcPr>
            <w:tcW w:w="77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2024, the Company had accumulated federal net operating loss carryforwards of approximately $209.8 million which may be available to offset future taxable income, of which $44.2 million begin to expire in 2029 and go through 2037 and $165.6 million do not expire. The Company had accumulated state net operating loss carryforwards of $183.6 million, which may be available to offset future taxable income and begin to expire in 2030, except for $1.2 million of state net operating losses, or NOLs, that do not expire. The Company had accumulated foreign net operating loss carryforwards of $0.7 million, which may be available to offset future taxable income and do not expire. As of December 31, 2024, the Company had federal and state research and development credit carryforwards of $11.3 million and $2.9 million, respectively, which may be available to offset future income tax liabilities and begin to expire in 2029 and 2028,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jc w:val="both"/>
        <w:ind w:firstLine="509"/>
        <w:spacing w:after="0" w:line="239" w:lineRule="auto"/>
        <w:rPr>
          <w:sz w:val="20"/>
          <w:szCs w:val="20"/>
          <w:color w:val="auto"/>
        </w:rPr>
      </w:pPr>
      <w:r>
        <w:rPr>
          <w:rFonts w:ascii="Arial" w:cs="Arial" w:eastAsia="Arial" w:hAnsi="Arial"/>
          <w:sz w:val="18"/>
          <w:szCs w:val="18"/>
          <w:color w:val="auto"/>
        </w:rPr>
        <w:t>The Company’s ability to use its operating loss carryforwards and tax credit carryforwards to offset taxable income is subject to restrictions under Sections 382 and 383 of the Code. Under the Code provisions, 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 The Company has not yet completed an analysis of ownership changes. The Company may also experience ownership changes in the future as a result of subsequent shifts in our stock ownership, some of which may be outside the Company’s control. As a result, the Company’s ability to use our pre-change NOLs to offset U.S. federal taxable income may be subject to limitations, which could potentially result in increased future tax liability to the Company. In addition, at the state level, there may be periods during which the use of NOLs is suspended or otherwise limited, which could accelerate or permanently increase state taxes owed. All federal NOLs generated post tax reform have an indefinite life, are not subject to carryback provisions, and limited to 80% of taxable income in any year.</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has not conducted a study of its research and development credit carryforwards. A study may result in an adjustment to the Company’s research and development credit carryforwards; however, until a study is completed, and any adjustment is known, no amounts will be presented as an uncertain tax position. A full valuation allowance has been recorded against the Company’s research and development credit carryforwards and, if an adjustment is required, this adjustment would be offset by an adjustment to the valuation allowance. Thus, there would be no impact to the consolidated balance sheets or statements of operations and comprehensive loss at this time, if an adjustment were required.</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which are principally comprised of NOL carryforwards and tax credit carryforwards. Management has determined that it is more likely than not that the Company will not realize the benefits of its deferred tax assets, and as a result, a valuation allowance of $105.9 million has been recorded at December 31, 2024. The increase in the valuation allowance of $23.9 million during the year ended December 31, 2024 was primarily due to the increase in net operating losses generated by the Company and capitalized R&amp;D expenses related to the Section 174 requirements.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2024 and 2023, the Company had no unrecognized tax benefits. Interest and penalty charges, if any, related to income taxes would be classified as a component of the income tax provision in the consolidated statements of operations and comprehensive loss. The Company does not expect any significant change in its uncertain tax positions in the next twelve months.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files income tax returns in the United States federal tax jurisdiction and several state tax jurisdictions as well as in the Netherlands and Germany for its foreign subsidiaries. Since the Company is in a loss carryforward position, it is generally subject to examination by federal and state tax authorities for all tax years in which a loss carryforward is available.</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With respect to the income of its foreign subsidiaries, the Company asserts the position that the undistributed earnings of its foreign subsidiaries are permanently invested in each jurisdiction. As a result, no additional income taxes have been provided on the possible repatriation of these earnings to the parent company. The Company does not have any unremitted earnings as of December 31, 2024.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15. Segment Reporting</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 reportable segment which includes all activities related to the research and development of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consolidated balance sheets as cash and cash equivalents and marketable securities.</w:t>
      </w:r>
    </w:p>
    <w:p>
      <w:pPr>
        <w:spacing w:after="0" w:line="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single reportable segment entity, the Company’s segment performance measure is net loss. Significant segment expenses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4"/>
              </w:rPr>
              <w:t>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Clinical, Preclinical, and R&amp;D Operations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(49,550 )</w:t>
            </w: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(43,427 )</w:t>
            </w: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Chemistry, Manufacturing, and Controls</w:t>
            </w:r>
          </w:p>
        </w:tc>
        <w:tc>
          <w:tcPr>
            <w:tcW w:w="340" w:type="dxa"/>
            <w:vAlign w:val="bottom"/>
          </w:tcPr>
          <w:p>
            <w:pPr>
              <w:spacing w:after="0"/>
              <w:rPr>
                <w:sz w:val="17"/>
                <w:szCs w:val="17"/>
                <w:color w:val="auto"/>
              </w:rPr>
            </w:pP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(23,752 )</w:t>
            </w:r>
          </w:p>
        </w:tc>
        <w:tc>
          <w:tcPr>
            <w:tcW w:w="5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(21,806 )</w:t>
            </w: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(22,814 )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(19,759 )</w:t>
            </w: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9,197</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8,584</w:t>
            </w: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(86,919 )</w:t>
            </w: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(76,408 )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(1) Other segment items primarily include interest income, realized gains and losses, and income taxes.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subsequent events that require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ind w:left="20"/>
        <w:spacing w:after="0"/>
        <w:tabs>
          <w:tab w:leader="none" w:pos="5420" w:val="left"/>
          <w:tab w:leader="none" w:pos="7660" w:val="left"/>
        </w:tabs>
        <w:rPr>
          <w:sz w:val="20"/>
          <w:szCs w:val="20"/>
          <w:color w:val="auto"/>
        </w:rPr>
      </w:pPr>
      <w:r>
        <w:rPr>
          <w:rFonts w:ascii="Arial" w:cs="Arial" w:eastAsia="Arial" w:hAnsi="Arial"/>
          <w:sz w:val="18"/>
          <w:szCs w:val="18"/>
          <w:color w:val="auto"/>
        </w:rPr>
        <w:t>Date: March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8890</wp:posOffset>
            </wp:positionV>
            <wp:extent cx="33000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Elisabet de los Pinos</w:t>
      </w: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90" w:lineRule="exact"/>
        <w:rPr>
          <w:sz w:val="20"/>
          <w:szCs w:val="20"/>
          <w:color w:val="auto"/>
        </w:rPr>
      </w:pPr>
    </w:p>
    <w:p>
      <w:pPr>
        <w:ind w:left="1660"/>
        <w:spacing w:after="0"/>
        <w:tabs>
          <w:tab w:leader="none" w:pos="6100" w:val="left"/>
          <w:tab w:leader="none" w:pos="98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Elisabet de los Pinos</w:t>
            </w:r>
          </w:p>
        </w:tc>
        <w:tc>
          <w:tcPr>
            <w:tcW w:w="49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Elisabet de los Pinos</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Senior Vice President, Finance (Interim Principal Financial</w:t>
            </w:r>
          </w:p>
        </w:tc>
        <w:tc>
          <w:tcPr>
            <w:tcW w:w="2560" w:type="dxa"/>
            <w:vAlign w:val="bottom"/>
          </w:tcPr>
          <w:p>
            <w:pPr>
              <w:spacing w:after="0"/>
              <w:rPr>
                <w:sz w:val="20"/>
                <w:szCs w:val="20"/>
                <w:color w:val="auto"/>
              </w:rPr>
            </w:pPr>
          </w:p>
        </w:tc>
      </w:tr>
      <w:tr>
        <w:trPr>
          <w:trHeight w:val="22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Elazzouzi</w:t>
            </w:r>
          </w:p>
        </w:tc>
        <w:tc>
          <w:tcPr>
            <w:tcW w:w="4960" w:type="dxa"/>
            <w:vAlign w:val="bottom"/>
          </w:tcPr>
          <w:p>
            <w:pPr>
              <w:ind w:left="140"/>
              <w:spacing w:after="0"/>
              <w:rPr>
                <w:sz w:val="20"/>
                <w:szCs w:val="20"/>
                <w:color w:val="auto"/>
              </w:rPr>
            </w:pPr>
            <w:r>
              <w:rPr>
                <w:rFonts w:ascii="Arial" w:cs="Arial" w:eastAsia="Arial" w:hAnsi="Arial"/>
                <w:sz w:val="18"/>
                <w:szCs w:val="18"/>
                <w:color w:val="auto"/>
              </w:rPr>
              <w:t>Officer and Interim Principal Accounting Officer)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Amy Elazzouzi</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Johnson</w:t>
            </w:r>
          </w:p>
        </w:tc>
        <w:tc>
          <w:tcPr>
            <w:tcW w:w="496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David Johnson</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Giovanni Mariggi</w:t>
            </w:r>
          </w:p>
        </w:tc>
        <w:tc>
          <w:tcPr>
            <w:tcW w:w="4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Giovanni Mariggi</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Antony Mattessich</w:t>
            </w:r>
          </w:p>
        </w:tc>
        <w:tc>
          <w:tcPr>
            <w:tcW w:w="4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Antony Mattessich</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Sapna Srivastava</w:t>
            </w:r>
          </w:p>
        </w:tc>
        <w:tc>
          <w:tcPr>
            <w:tcW w:w="4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Sapna Srivastava</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Karan Takhar</w:t>
            </w:r>
          </w:p>
        </w:tc>
        <w:tc>
          <w:tcPr>
            <w:tcW w:w="4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200"/>
              <w:spacing w:after="0"/>
              <w:rPr>
                <w:sz w:val="20"/>
                <w:szCs w:val="20"/>
                <w:color w:val="auto"/>
              </w:rPr>
            </w:pPr>
            <w:r>
              <w:rPr>
                <w:rFonts w:ascii="Arial" w:cs="Arial" w:eastAsia="Arial" w:hAnsi="Arial"/>
                <w:sz w:val="18"/>
                <w:szCs w:val="18"/>
                <w:color w:val="auto"/>
              </w:rPr>
              <w:t>March 24, 2025</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Karan Takhar</w:t>
            </w:r>
          </w:p>
        </w:tc>
        <w:tc>
          <w:tcPr>
            <w:tcW w:w="49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1660"/>
        </w:trPr>
        <w:tc>
          <w:tcPr>
            <w:tcW w:w="37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60" w:firstLine="873"/>
        <w:spacing w:after="0" w:line="258" w:lineRule="auto"/>
        <w:rPr>
          <w:sz w:val="20"/>
          <w:szCs w:val="20"/>
          <w:color w:val="auto"/>
        </w:rPr>
      </w:pPr>
      <w:r>
        <w:rPr>
          <w:rFonts w:ascii="Times New Roman" w:cs="Times New Roman" w:eastAsia="Times New Roman" w:hAnsi="Times New Roman"/>
          <w:sz w:val="18"/>
          <w:szCs w:val="18"/>
          <w:color w:val="auto"/>
        </w:rPr>
        <w:t>The summary of the general terms and provisions of the registered securities of Aura Biosciences, Inc. (the “Company,” “we,” “us,” and “our”) set forth below does not purport to be complete. It is subject to and qualified in its entirety by reference to our Tenth Amended and Restated Certificate of Incorporation, as amended (“certificate of incorporation”), and our Amended and Restated Bylaws (“bylaws”), each of which are incorporated by reference as an exhibit to the Annual Report on Form 10-K of which this Exhibit 4.1 is a part, and by applicable law. We encourage you to read our certificate of incorporation, our bylaws and the applicable provisions of the Delaware General Corporation Law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$0.00001 per share, and 10,000,000 shares of preferred stock, par value $0.00001 per share, all of which shares of preferred stock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common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preferred stock are outstanding as of the date of our Annual Report on Form 10-K with which this Exhibit 4.1 is filed as an exhibit.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of our stockholders are entitled to rights with respect to the registration of these securities under the Securities Act. These rights are provided under the terms of our Fifth Amended and Restated Investors’ Rights Agreement, dated as of March 18, 2021 (the “Investors’ Rights Agreement”), entered into between us and the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of our stockholders are entitled to demand registration rights. Under the terms of our Investors’ Rights Agreement, we will be required, upon the written request of a majority of holders of the registrable securities then outstanding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9" w:name="page140"/>
    <w:bookmarkEnd w:id="139"/>
    <w:p>
      <w:pPr>
        <w:ind w:right="700"/>
        <w:spacing w:after="0" w:line="282" w:lineRule="auto"/>
        <w:rPr>
          <w:sz w:val="20"/>
          <w:szCs w:val="20"/>
          <w:color w:val="auto"/>
        </w:rPr>
      </w:pPr>
      <w:r>
        <w:rPr>
          <w:rFonts w:ascii="Times New Roman" w:cs="Times New Roman" w:eastAsia="Times New Roman" w:hAnsi="Times New Roman"/>
          <w:sz w:val="18"/>
          <w:szCs w:val="18"/>
          <w:color w:val="auto"/>
        </w:rPr>
        <w:t>result in an aggregate offering price of at least $5.0 million, to file a registration statement and to use commercially reasonable efforts to effect the registration of all or a portion of these shares for public resale.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Short-Form Registration Rights</w:t>
      </w:r>
    </w:p>
    <w:p>
      <w:pPr>
        <w:spacing w:after="0" w:line="22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Registration Rights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p>
      <w:pPr>
        <w:ind w:right="40"/>
        <w:spacing w:after="0" w:line="282" w:lineRule="auto"/>
        <w:rPr>
          <w:sz w:val="20"/>
          <w:szCs w:val="20"/>
          <w:color w:val="auto"/>
        </w:rPr>
      </w:pPr>
      <w:r>
        <w:rPr>
          <w:rFonts w:ascii="Times New Roman" w:cs="Times New Roman" w:eastAsia="Times New Roman" w:hAnsi="Times New Roman"/>
          <w:sz w:val="18"/>
          <w:szCs w:val="18"/>
          <w:color w:val="auto"/>
        </w:rPr>
        <w:t>considered or acted upon at a special meeting of stockholders. Our bylaws limit the business that may be conducted at an annual meeting of stockholders to those matters properly brought before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w:t>
      </w:r>
    </w:p>
    <w:p>
      <w:pPr>
        <w:spacing w:after="0" w:line="3" w:lineRule="exact"/>
        <w:rPr>
          <w:sz w:val="20"/>
          <w:szCs w:val="20"/>
          <w:color w:val="auto"/>
        </w:rPr>
      </w:pPr>
    </w:p>
    <w:p>
      <w:pPr>
        <w:ind w:right="100" w:firstLine="8"/>
        <w:spacing w:after="0" w:line="25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3" w:lineRule="exact"/>
        <w:rPr>
          <w:sz w:val="20"/>
          <w:szCs w:val="20"/>
          <w:color w:val="auto"/>
        </w:rPr>
      </w:pPr>
    </w:p>
    <w:p>
      <w:pPr>
        <w:ind w:left="760" w:hanging="378"/>
        <w:spacing w:after="0" w:line="250"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ind w:left="760" w:right="60" w:hanging="378"/>
        <w:spacing w:after="0" w:line="250"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6"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9"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ind w:left="760" w:right="140" w:hanging="378"/>
        <w:spacing w:after="0" w:line="25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through the corporation.</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“AURA.”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 and its telephone number is (800) 736-3001.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1189990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2" w:name="page143"/>
    <w:bookmarkEnd w:id="142"/>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5501640</wp:posOffset>
            </wp:positionH>
            <wp:positionV relativeFrom="paragraph">
              <wp:posOffset>290830</wp:posOffset>
            </wp:positionV>
            <wp:extent cx="1482725" cy="394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14827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August 19, 2015</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Amy Elazzouzi</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p>
    <w:p>
      <w:pPr>
        <w:ind w:left="20"/>
        <w:spacing w:after="0"/>
        <w:rPr>
          <w:sz w:val="20"/>
          <w:szCs w:val="20"/>
          <w:color w:val="auto"/>
        </w:rPr>
      </w:pPr>
      <w:r>
        <w:rPr>
          <w:rFonts w:ascii="Times New Roman" w:cs="Times New Roman" w:eastAsia="Times New Roman" w:hAnsi="Times New Roman"/>
          <w:sz w:val="20"/>
          <w:szCs w:val="20"/>
          <w:color w:val="auto"/>
        </w:rPr>
        <w: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Re: Offer of Employment Dear Ms. Elazzouzi:</w:t>
      </w:r>
    </w:p>
    <w:p>
      <w:pPr>
        <w:spacing w:after="0" w:line="28" w:lineRule="exact"/>
        <w:rPr>
          <w:sz w:val="20"/>
          <w:szCs w:val="20"/>
          <w:color w:val="auto"/>
        </w:rPr>
      </w:pPr>
    </w:p>
    <w:p>
      <w:pPr>
        <w:ind w:left="20" w:right="940" w:hanging="5"/>
        <w:spacing w:after="0" w:line="267" w:lineRule="auto"/>
        <w:rPr>
          <w:sz w:val="20"/>
          <w:szCs w:val="20"/>
          <w:color w:val="auto"/>
        </w:rPr>
      </w:pPr>
      <w:r>
        <w:rPr>
          <w:rFonts w:ascii="Times New Roman" w:cs="Times New Roman" w:eastAsia="Times New Roman" w:hAnsi="Times New Roman"/>
          <w:sz w:val="20"/>
          <w:szCs w:val="20"/>
          <w:color w:val="auto"/>
        </w:rPr>
        <w:t>Following up on our discussions, the following represents our offer regarding your employment by Aura Biosciences, Inc. (the "Company") as a full-time, “at will” employee.</w:t>
      </w:r>
    </w:p>
    <w:p>
      <w:pPr>
        <w:spacing w:after="0" w:line="161" w:lineRule="exact"/>
        <w:rPr>
          <w:sz w:val="20"/>
          <w:szCs w:val="20"/>
          <w:color w:val="auto"/>
        </w:rPr>
      </w:pPr>
    </w:p>
    <w:p>
      <w:pPr>
        <w:jc w:val="both"/>
        <w:ind w:right="620" w:firstLine="25"/>
        <w:spacing w:after="0" w:line="254" w:lineRule="auto"/>
        <w:rPr>
          <w:sz w:val="20"/>
          <w:szCs w:val="20"/>
          <w:color w:val="auto"/>
        </w:rPr>
      </w:pPr>
      <w:r>
        <w:rPr>
          <w:rFonts w:ascii="Times New Roman" w:cs="Times New Roman" w:eastAsia="Times New Roman" w:hAnsi="Times New Roman"/>
          <w:sz w:val="20"/>
          <w:szCs w:val="20"/>
          <w:color w:val="auto"/>
        </w:rPr>
        <w:t>Your title and position will be Corporate Controller and you will report to the Chief Financial Officer or his designee. The scope of your responsibilities will be those customarily associated with the position of Corporate Controller. The basic terms of your employment are as follows:</w:t>
      </w:r>
    </w:p>
    <w:p>
      <w:pPr>
        <w:spacing w:after="0" w:line="157" w:lineRule="exact"/>
        <w:rPr>
          <w:sz w:val="20"/>
          <w:szCs w:val="20"/>
          <w:color w:val="auto"/>
        </w:rPr>
      </w:pPr>
    </w:p>
    <w:p>
      <w:pPr>
        <w:ind w:left="1420" w:right="600" w:hanging="694"/>
        <w:spacing w:after="0" w:line="250" w:lineRule="auto"/>
        <w:tabs>
          <w:tab w:leader="none" w:pos="112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and Expenses: </w:t>
      </w:r>
      <w:r>
        <w:rPr>
          <w:rFonts w:ascii="Times New Roman" w:cs="Times New Roman" w:eastAsia="Times New Roman" w:hAnsi="Times New Roman"/>
          <w:sz w:val="20"/>
          <w:szCs w:val="20"/>
          <w:color w:val="auto"/>
        </w:rPr>
        <w:t>Your compensation will be a salary of One Hundred Eighty Thousand ($180,000) Dollars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annum (the “salary”), which will be paid monthly in arrears. In accordance with Company policies and procedures, you will be reimbursed for all reasonable out-of-pocket expenses incurred by you on behalf of the Company. Pre-approval of expenditures above Two Hundred Fifty ($250.00) is required.</w:t>
      </w:r>
    </w:p>
    <w:p>
      <w:pPr>
        <w:spacing w:after="0" w:line="202" w:lineRule="exact"/>
        <w:rPr>
          <w:rFonts w:ascii="Times New Roman" w:cs="Times New Roman" w:eastAsia="Times New Roman" w:hAnsi="Times New Roman"/>
          <w:sz w:val="20"/>
          <w:szCs w:val="20"/>
          <w:color w:val="auto"/>
        </w:rPr>
      </w:pPr>
    </w:p>
    <w:p>
      <w:pPr>
        <w:jc w:val="both"/>
        <w:ind w:left="1340" w:right="620" w:hanging="643"/>
        <w:spacing w:after="0" w:line="250" w:lineRule="auto"/>
        <w:tabs>
          <w:tab w:leader="none" w:pos="13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In addition to the compensation set forth above, you may be entitled to a cash bonus of up to twenty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percent (20%) of your then current salary based upon the achievement by you and the Company of certain goals and objectives agreed upon by you and the Company. The Board shall determine if the goals and objectives have been achieved and the amount of an award, if any. Any bonus awarded shall not be added to your Salary.</w:t>
      </w:r>
    </w:p>
    <w:p>
      <w:pPr>
        <w:spacing w:after="0" w:line="175" w:lineRule="exact"/>
        <w:rPr>
          <w:rFonts w:ascii="Times New Roman" w:cs="Times New Roman" w:eastAsia="Times New Roman" w:hAnsi="Times New Roman"/>
          <w:sz w:val="20"/>
          <w:szCs w:val="20"/>
          <w:color w:val="auto"/>
        </w:rPr>
      </w:pPr>
    </w:p>
    <w:p>
      <w:pPr>
        <w:ind w:left="1380" w:hanging="714"/>
        <w:spacing w:after="0"/>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Subject to approval by the Board of Directors of the Company (the</w:t>
      </w:r>
    </w:p>
    <w:p>
      <w:pPr>
        <w:spacing w:after="0" w:line="32" w:lineRule="exact"/>
        <w:rPr>
          <w:sz w:val="20"/>
          <w:szCs w:val="20"/>
          <w:color w:val="auto"/>
        </w:rPr>
      </w:pPr>
    </w:p>
    <w:p>
      <w:pPr>
        <w:jc w:val="both"/>
        <w:ind w:left="1360" w:right="640" w:hanging="9"/>
        <w:spacing w:after="0" w:line="244" w:lineRule="auto"/>
        <w:rPr>
          <w:sz w:val="20"/>
          <w:szCs w:val="20"/>
          <w:color w:val="auto"/>
        </w:rPr>
      </w:pPr>
      <w:r>
        <w:rPr>
          <w:rFonts w:ascii="Times New Roman" w:cs="Times New Roman" w:eastAsia="Times New Roman" w:hAnsi="Times New Roman"/>
          <w:sz w:val="20"/>
          <w:szCs w:val="20"/>
          <w:color w:val="auto"/>
        </w:rPr>
        <w:t>“Board”), you will be granted 35,000 options to purchase shares of the Company's common stock at the then fair market value, as determined by the Board. Any such grant will be subject to the Company's 2009 Amended and Restated Stock Option and Restricted Stock Plan and the Company's form of stock option agreement, and will be subject to 4-year vesting.</w:t>
      </w:r>
    </w:p>
    <w:p>
      <w:pPr>
        <w:spacing w:after="0" w:line="179" w:lineRule="exact"/>
        <w:rPr>
          <w:sz w:val="20"/>
          <w:szCs w:val="20"/>
          <w:color w:val="auto"/>
        </w:rPr>
      </w:pPr>
    </w:p>
    <w:p>
      <w:pPr>
        <w:ind w:left="1300" w:right="660" w:hanging="664"/>
        <w:spacing w:after="0" w:line="300" w:lineRule="auto"/>
        <w:tabs>
          <w:tab w:leader="none" w:pos="13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Benefits: </w:t>
      </w:r>
      <w:r>
        <w:rPr>
          <w:rFonts w:ascii="Times New Roman" w:cs="Times New Roman" w:eastAsia="Times New Roman" w:hAnsi="Times New Roman"/>
          <w:sz w:val="19"/>
          <w:szCs w:val="19"/>
          <w:color w:val="auto"/>
        </w:rPr>
        <w:t>As a full-time employee, you will be entitled to health and dental insurance as currently made available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employees. Further, you will be entitled to three (3) weeks of paid vacation, pro-rated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772160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40" w:right="339" w:bottom="1440" w:gutter="0" w:footer="0" w:header="0"/>
        </w:sectPr>
      </w:pPr>
    </w:p>
    <w:bookmarkStart w:id="143" w:name="page144"/>
    <w:bookmarkEnd w:id="143"/>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August 19, 2015</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80" w:lineRule="exact"/>
        <w:rPr>
          <w:sz w:val="20"/>
          <w:szCs w:val="20"/>
          <w:color w:val="auto"/>
        </w:rPr>
      </w:pPr>
    </w:p>
    <w:p>
      <w:pPr>
        <w:ind w:left="1460" w:hanging="694"/>
        <w:spacing w:after="0" w:line="243" w:lineRule="auto"/>
        <w:tabs>
          <w:tab w:leader="none" w:pos="146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Employees of the Company are employed “at will.” This means that you may terminate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 provided, however, that in the event of a termination for cause, no prior notice (written or otherwise) will be required. In the event of the termination of this Agreement by either you or the Company for any reason or no reason, your Salary under Article 1 (and the vesting of any stock options under Section 2) shall immediately cease and this Agreement and the stock option agreement shall terminate; however, the Confidential Information, Non-Solicitation and Invention Assignment Agreement shall survive and remain in full force and effect in accordance with its terms.</w:t>
      </w:r>
    </w:p>
    <w:p>
      <w:pPr>
        <w:spacing w:after="0" w:line="172" w:lineRule="exact"/>
        <w:rPr>
          <w:rFonts w:ascii="Times New Roman" w:cs="Times New Roman" w:eastAsia="Times New Roman" w:hAnsi="Times New Roman"/>
          <w:sz w:val="20"/>
          <w:szCs w:val="20"/>
          <w:color w:val="auto"/>
        </w:rPr>
      </w:pPr>
    </w:p>
    <w:p>
      <w:pPr>
        <w:jc w:val="both"/>
        <w:ind w:left="1440" w:right="120" w:hanging="689"/>
        <w:spacing w:after="0" w:line="250"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Status: </w:t>
      </w:r>
      <w:r>
        <w:rPr>
          <w:rFonts w:ascii="Times New Roman" w:cs="Times New Roman" w:eastAsia="Times New Roman" w:hAnsi="Times New Roman"/>
          <w:sz w:val="20"/>
          <w:szCs w:val="20"/>
          <w:color w:val="auto"/>
        </w:rPr>
        <w:t>The Immigration Reform and Control Act require employers to verify the employment eligibility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identity of new employees. You will need to complete the I-9 Form and bring it, together with the appropriate documents, with you when you report for work. We will not be able to employ you if you cannot comply with this requirement.</w:t>
      </w:r>
    </w:p>
    <w:p>
      <w:pPr>
        <w:spacing w:after="0" w:line="135" w:lineRule="exact"/>
        <w:rPr>
          <w:rFonts w:ascii="Times New Roman" w:cs="Times New Roman" w:eastAsia="Times New Roman" w:hAnsi="Times New Roman"/>
          <w:sz w:val="20"/>
          <w:szCs w:val="20"/>
          <w:color w:val="auto"/>
        </w:rPr>
      </w:pPr>
    </w:p>
    <w:p>
      <w:pPr>
        <w:ind w:left="1460" w:hanging="710"/>
        <w:spacing w:after="0"/>
        <w:tabs>
          <w:tab w:leader="none" w:pos="14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Job location: </w:t>
      </w:r>
      <w:r>
        <w:rPr>
          <w:rFonts w:ascii="Times New Roman" w:cs="Times New Roman" w:eastAsia="Times New Roman" w:hAnsi="Times New Roman"/>
          <w:sz w:val="20"/>
          <w:szCs w:val="20"/>
          <w:color w:val="auto"/>
        </w:rPr>
        <w:t>Cambridge, Massachusetts, with travel as required.</w:t>
      </w:r>
    </w:p>
    <w:p>
      <w:pPr>
        <w:spacing w:after="0" w:line="202" w:lineRule="exact"/>
        <w:rPr>
          <w:rFonts w:ascii="Times New Roman" w:cs="Times New Roman" w:eastAsia="Times New Roman" w:hAnsi="Times New Roman"/>
          <w:sz w:val="20"/>
          <w:szCs w:val="20"/>
          <w:color w:val="auto"/>
        </w:rPr>
      </w:pPr>
    </w:p>
    <w:p>
      <w:pPr>
        <w:ind w:left="1460" w:hanging="724"/>
        <w:spacing w:after="0"/>
        <w:tabs>
          <w:tab w:leader="none" w:pos="14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References: </w:t>
      </w:r>
      <w:r>
        <w:rPr>
          <w:rFonts w:ascii="Times New Roman" w:cs="Times New Roman" w:eastAsia="Times New Roman" w:hAnsi="Times New Roman"/>
          <w:sz w:val="20"/>
          <w:szCs w:val="20"/>
          <w:color w:val="auto"/>
        </w:rPr>
        <w:t>The Company has the right to rescind this offer pending satisfactory</w:t>
      </w:r>
    </w:p>
    <w:p>
      <w:pPr>
        <w:spacing w:after="0" w:line="2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results, in its sole discretion, of background and reference checks.</w:t>
      </w:r>
    </w:p>
    <w:p>
      <w:pPr>
        <w:spacing w:after="0" w:line="163" w:lineRule="exact"/>
        <w:rPr>
          <w:sz w:val="20"/>
          <w:szCs w:val="20"/>
          <w:color w:val="auto"/>
        </w:rPr>
      </w:pPr>
    </w:p>
    <w:p>
      <w:pPr>
        <w:ind w:left="1440" w:hanging="719"/>
        <w:spacing w:after="0"/>
        <w:tabs>
          <w:tab w:leader="none" w:pos="14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Start date: </w:t>
      </w:r>
      <w:r>
        <w:rPr>
          <w:rFonts w:ascii="Times New Roman" w:cs="Times New Roman" w:eastAsia="Times New Roman" w:hAnsi="Times New Roman"/>
          <w:sz w:val="20"/>
          <w:szCs w:val="20"/>
          <w:color w:val="auto"/>
        </w:rPr>
        <w:t>On September 28, 2015.</w:t>
      </w:r>
    </w:p>
    <w:p>
      <w:pPr>
        <w:spacing w:after="0" w:line="193" w:lineRule="exact"/>
        <w:rPr>
          <w:sz w:val="20"/>
          <w:szCs w:val="20"/>
          <w:color w:val="auto"/>
        </w:rPr>
      </w:pPr>
    </w:p>
    <w:p>
      <w:pPr>
        <w:jc w:val="both"/>
        <w:ind w:right="120" w:firstLine="4"/>
        <w:spacing w:after="0" w:line="249" w:lineRule="auto"/>
        <w:rPr>
          <w:sz w:val="20"/>
          <w:szCs w:val="20"/>
          <w:color w:val="auto"/>
        </w:rPr>
      </w:pPr>
      <w:r>
        <w:rPr>
          <w:rFonts w:ascii="Times New Roman" w:cs="Times New Roman" w:eastAsia="Times New Roman" w:hAnsi="Times New Roman"/>
          <w:sz w:val="20"/>
          <w:szCs w:val="20"/>
          <w:color w:val="auto"/>
        </w:rPr>
        <w:t>Subject to your timely acceptance of this offer and reference checks, this offer is binding. You have been provided the additional employment documents (Confidential Information, NonSolicitation­ and Invention Assignment Agreement) for your review and execution. Your employment is not effective until all of the agreements are signed and returned to the Company. We very much hope to work with you to build an exciting company together. Please feel free to call me if you have any questions.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i w:val="1"/>
          <w:iCs w:val="1"/>
          <w:color w:val="auto"/>
        </w:rPr>
        <w:t>The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2481580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760" w:top="1440" w:right="619" w:bottom="1440" w:gutter="0" w:footer="0" w:header="0"/>
        </w:sectPr>
      </w:pPr>
    </w:p>
    <w:bookmarkStart w:id="144" w:name="page145"/>
    <w:bookmarkEnd w:id="144"/>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19, 2015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Aura Biosciences,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Elizabet de los Pinos, Ph.D.</w:t>
      </w:r>
      <w:r>
        <w:rPr>
          <w:rFonts w:ascii="Times New Roman" w:cs="Times New Roman" w:eastAsia="Times New Roman" w:hAnsi="Times New Roman"/>
          <w:sz w:val="20"/>
          <w:szCs w:val="20"/>
          <w:color w:val="auto"/>
        </w:rPr>
        <w:t>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Elisabet de los Pinos, Ph.D.), President and CEO</w:t>
      </w:r>
    </w:p>
    <w:p>
      <w:pPr>
        <w:ind w:left="20"/>
        <w:spacing w:after="0"/>
        <w:rPr>
          <w:sz w:val="20"/>
          <w:szCs w:val="20"/>
          <w:color w:val="auto"/>
        </w:rPr>
      </w:pPr>
      <w:r>
        <w:rPr>
          <w:rFonts w:ascii="Times New Roman" w:cs="Times New Roman" w:eastAsia="Times New Roman" w:hAnsi="Times New Roman"/>
          <w:sz w:val="20"/>
          <w:szCs w:val="20"/>
          <w:color w:val="auto"/>
        </w:rPr>
        <w:t>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AGREED AND ACCEPTED:</w:t>
            </w:r>
          </w:p>
        </w:tc>
        <w:tc>
          <w:tcPr>
            <w:tcW w:w="4860" w:type="dxa"/>
            <w:vAlign w:val="bottom"/>
            <w:gridSpan w:val="4"/>
          </w:tcPr>
          <w:p>
            <w:pPr>
              <w:jc w:val="right"/>
              <w:ind w:right="2080"/>
              <w:spacing w:after="0"/>
              <w:rPr>
                <w:sz w:val="20"/>
                <w:szCs w:val="20"/>
                <w:color w:val="auto"/>
              </w:rPr>
            </w:pPr>
            <w:r>
              <w:rPr>
                <w:rFonts w:ascii="Times New Roman" w:cs="Times New Roman" w:eastAsia="Times New Roman" w:hAnsi="Times New Roman"/>
                <w:sz w:val="20"/>
                <w:szCs w:val="20"/>
                <w:color w:val="auto"/>
              </w:rPr>
              <w:t>Date Accepted: August 24, 2015</w:t>
            </w:r>
          </w:p>
        </w:tc>
      </w:tr>
      <w:tr>
        <w:trPr>
          <w:trHeight w:val="642"/>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Amy Elazzouzi____________________</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_[***]______________________________</w:t>
            </w:r>
          </w:p>
        </w:tc>
      </w:tr>
      <w:tr>
        <w:trPr>
          <w:trHeight w:val="20"/>
        </w:trPr>
        <w:tc>
          <w:tcPr>
            <w:tcW w:w="1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Amy Elazzouzi</w:t>
            </w:r>
          </w:p>
        </w:tc>
        <w:tc>
          <w:tcPr>
            <w:tcW w:w="1120" w:type="dxa"/>
            <w:vAlign w:val="bottom"/>
          </w:tcPr>
          <w:p>
            <w:pPr>
              <w:spacing w:after="0"/>
              <w:rPr>
                <w:sz w:val="22"/>
                <w:szCs w:val="22"/>
                <w:color w:val="auto"/>
              </w:rPr>
            </w:pPr>
          </w:p>
        </w:tc>
        <w:tc>
          <w:tcPr>
            <w:tcW w:w="4860" w:type="dxa"/>
            <w:vAlign w:val="bottom"/>
            <w:gridSpan w:val="4"/>
          </w:tcPr>
          <w:p>
            <w:pPr>
              <w:jc w:val="right"/>
              <w:ind w:right="2740"/>
              <w:spacing w:after="0"/>
              <w:rPr>
                <w:sz w:val="20"/>
                <w:szCs w:val="20"/>
                <w:color w:val="auto"/>
              </w:rPr>
            </w:pPr>
            <w:r>
              <w:rPr>
                <w:rFonts w:ascii="Times New Roman" w:cs="Times New Roman" w:eastAsia="Times New Roman" w:hAnsi="Times New Roman"/>
                <w:sz w:val="20"/>
                <w:szCs w:val="20"/>
                <w:color w:val="auto"/>
              </w:rPr>
              <w:t>Social Security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3995420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19"/>
          </w:cols>
          <w:pgMar w:left="640" w:top="1440" w:right="1440" w:bottom="1440" w:gutter="0" w:footer="0" w:header="0"/>
        </w:sectPr>
      </w:pPr>
    </w:p>
    <w:bookmarkStart w:id="145" w:name="page146"/>
    <w:bookmarkEnd w:id="145"/>
    <w:p>
      <w:pPr>
        <w:ind w:left="9920"/>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67" w:lineRule="exact"/>
        <w:rPr>
          <w:sz w:val="20"/>
          <w:szCs w:val="20"/>
          <w:color w:val="auto"/>
        </w:rPr>
      </w:pPr>
    </w:p>
    <w:p>
      <w:pPr>
        <w:jc w:val="center"/>
        <w:ind w:right="1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LICENSE AGREEMENT</w:t>
      </w:r>
    </w:p>
    <w:p>
      <w:pPr>
        <w:spacing w:after="0" w:line="2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HIS</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7"/>
          <w:szCs w:val="17"/>
          <w:b w:val="1"/>
          <w:bCs w:val="1"/>
          <w:color w:val="auto"/>
        </w:rPr>
        <w:t>IRST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MENDMENT TO THE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ICENSE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is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entered into as of February 23, 2022 (the “</w:t>
      </w:r>
      <w:r>
        <w:rPr>
          <w:rFonts w:ascii="Times New Roman" w:cs="Times New Roman" w:eastAsia="Times New Roman" w:hAnsi="Times New Roman"/>
          <w:sz w:val="22"/>
          <w:szCs w:val="22"/>
          <w:b w:val="1"/>
          <w:bCs w:val="1"/>
          <w:color w:val="auto"/>
        </w:rPr>
        <w:t>First Amendment Effective Date</w:t>
      </w:r>
      <w:r>
        <w:rPr>
          <w:rFonts w:ascii="Times New Roman" w:cs="Times New Roman" w:eastAsia="Times New Roman" w:hAnsi="Times New Roman"/>
          <w:sz w:val="22"/>
          <w:szCs w:val="22"/>
          <w:color w:val="auto"/>
        </w:rPr>
        <w:t>”) by and among</w:t>
      </w:r>
    </w:p>
    <w:p>
      <w:pPr>
        <w:ind w:left="3060"/>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ura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AURA</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each</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hereinafter referred to as a Party and both hereinafter referred to as“Parties”.</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06" w:lineRule="exact"/>
        <w:rPr>
          <w:sz w:val="20"/>
          <w:szCs w:val="20"/>
          <w:color w:val="auto"/>
        </w:rPr>
      </w:pPr>
    </w:p>
    <w:p>
      <w:pPr>
        <w:ind w:left="40" w:right="130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color w:val="auto"/>
        </w:rPr>
        <w:t>, the Parties previously entered into that certain License Agreement effective July 3, 2019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40" w:right="140" w:firstLine="747"/>
        <w:spacing w:after="0" w:line="312"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the Parties desire to enter into this First Amendment, to clarify and amend certain terms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relating to the payment of developmental milestones thereunder, and set forth their mutual understandings with respect thereto.</w:t>
      </w:r>
    </w:p>
    <w:p>
      <w:pPr>
        <w:spacing w:after="0" w:line="104" w:lineRule="exact"/>
        <w:rPr>
          <w:sz w:val="20"/>
          <w:szCs w:val="20"/>
          <w:color w:val="auto"/>
        </w:rPr>
      </w:pPr>
    </w:p>
    <w:p>
      <w:pPr>
        <w:ind w:left="40" w:right="30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foregoing and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hereby acknowledged, the Parties agree that the Agreement shall be amended, effective as of the First Amendment Effective Date, as set forth below.</w:t>
      </w:r>
    </w:p>
    <w:p>
      <w:pPr>
        <w:spacing w:after="0" w:line="59" w:lineRule="exact"/>
        <w:rPr>
          <w:sz w:val="20"/>
          <w:szCs w:val="20"/>
          <w:color w:val="auto"/>
        </w:rPr>
      </w:pPr>
    </w:p>
    <w:p>
      <w:pPr>
        <w:ind w:left="940" w:right="100" w:hanging="503"/>
        <w:spacing w:after="0" w:line="262" w:lineRule="auto"/>
        <w:tabs>
          <w:tab w:leader="none" w:pos="9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of Section 4.3. </w:t>
      </w:r>
      <w:r>
        <w:rPr>
          <w:rFonts w:ascii="Times New Roman" w:cs="Times New Roman" w:eastAsia="Times New Roman" w:hAnsi="Times New Roman"/>
          <w:sz w:val="22"/>
          <w:szCs w:val="22"/>
          <w:color w:val="auto"/>
        </w:rPr>
        <w:t>The Parties agree that Section 4.3 of the Agreement is hereby amended to give effect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terms:</w:t>
      </w:r>
    </w:p>
    <w:p>
      <w:pPr>
        <w:spacing w:after="0" w:line="45" w:lineRule="exact"/>
        <w:rPr>
          <w:rFonts w:ascii="Times New Roman" w:cs="Times New Roman" w:eastAsia="Times New Roman" w:hAnsi="Times New Roman"/>
          <w:sz w:val="22"/>
          <w:szCs w:val="22"/>
          <w:b w:val="1"/>
          <w:bCs w:val="1"/>
          <w:color w:val="auto"/>
        </w:rPr>
      </w:pPr>
    </w:p>
    <w:p>
      <w:pPr>
        <w:ind w:left="9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Milestone 2</w:t>
      </w:r>
      <w:r>
        <w:rPr>
          <w:rFonts w:ascii="Times New Roman" w:cs="Times New Roman" w:eastAsia="Times New Roman" w:hAnsi="Times New Roman"/>
          <w:sz w:val="22"/>
          <w:szCs w:val="22"/>
          <w:color w:val="auto"/>
        </w:rPr>
        <w:t>. Milestone 2 ([***]) shall become due and payable upon [***].</w:t>
      </w:r>
    </w:p>
    <w:p>
      <w:pPr>
        <w:spacing w:after="0" w:line="98" w:lineRule="exact"/>
        <w:rPr>
          <w:rFonts w:ascii="Times New Roman" w:cs="Times New Roman" w:eastAsia="Times New Roman" w:hAnsi="Times New Roman"/>
          <w:sz w:val="22"/>
          <w:szCs w:val="22"/>
          <w:b w:val="1"/>
          <w:bCs w:val="1"/>
          <w:color w:val="auto"/>
        </w:rPr>
      </w:pPr>
    </w:p>
    <w:p>
      <w:pPr>
        <w:ind w:left="9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Milestone 3</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1.2.1.In the event that [***], then Milestone 3 ([***]) shall become due and payable upon [***].</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1.2.2.In the event that [***], then Milestone 3 ([***]) shall become due and payable upon [***].</w:t>
      </w:r>
    </w:p>
    <w:p>
      <w:pPr>
        <w:spacing w:after="0" w:line="202" w:lineRule="exact"/>
        <w:rPr>
          <w:sz w:val="20"/>
          <w:szCs w:val="20"/>
          <w:color w:val="auto"/>
        </w:rPr>
      </w:pPr>
    </w:p>
    <w:p>
      <w:pPr>
        <w:ind w:left="940" w:right="80" w:hanging="503"/>
        <w:spacing w:after="0" w:line="237" w:lineRule="auto"/>
        <w:tabs>
          <w:tab w:leader="none" w:pos="9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Other Amendments</w:t>
      </w:r>
      <w:r>
        <w:rPr>
          <w:rFonts w:ascii="Times New Roman" w:cs="Times New Roman" w:eastAsia="Times New Roman" w:hAnsi="Times New Roman"/>
          <w:sz w:val="22"/>
          <w:szCs w:val="22"/>
          <w:color w:val="auto"/>
        </w:rPr>
        <w:t>. Except as amended hereby, the Agreement shall remain in full force and effect.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amendments made herein shall be effective as of the First Amendment Effective Date. This Amendment, together with the Agreement, and with all appendices and exhibits attached thereto, constitutes the final, complete and exclusive agreement of the parties with respect to the Study hereof and supersedes all prior understandings and agreements relating to its subject matter. This Amendment may not be changed, modified, amended or supplemented except by a written instrument signed by all parties.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caused this First Amendment to be executed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583565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1390" w:right="359" w:bottom="1440" w:gutter="0" w:footer="0" w:header="0"/>
        </w:sectPr>
      </w:pPr>
    </w:p>
    <w:bookmarkStart w:id="146" w:name="page147"/>
    <w:bookmarkEnd w:id="146"/>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their respective duly authorized representatives as of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4800" w:type="dxa"/>
            <w:vAlign w:val="bottom"/>
            <w:gridSpan w:val="6"/>
          </w:tcPr>
          <w:p>
            <w:pPr>
              <w:ind w:left="8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ura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iosciences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r>
      <w:tr>
        <w:trPr>
          <w:trHeight w:val="230"/>
        </w:trPr>
        <w:tc>
          <w:tcPr>
            <w:tcW w:w="5120" w:type="dxa"/>
            <w:vAlign w:val="bottom"/>
            <w:gridSpan w:val="6"/>
          </w:tcPr>
          <w:p>
            <w:pPr>
              <w:spacing w:after="0" w:line="230" w:lineRule="exact"/>
              <w:rPr>
                <w:sz w:val="20"/>
                <w:szCs w:val="20"/>
                <w:color w:val="auto"/>
              </w:rPr>
            </w:pPr>
            <w:r>
              <w:rPr>
                <w:rFonts w:ascii="Times New Roman" w:cs="Times New Roman" w:eastAsia="Times New Roman" w:hAnsi="Times New Roman"/>
                <w:sz w:val="22"/>
                <w:szCs w:val="22"/>
                <w:color w:val="auto"/>
              </w:rPr>
              <w:t>By: /s/ George Lasezkay, PharmD, JD 2/24/2022</w:t>
            </w:r>
          </w:p>
        </w:tc>
        <w:tc>
          <w:tcPr>
            <w:tcW w:w="4800" w:type="dxa"/>
            <w:vAlign w:val="bottom"/>
            <w:gridSpan w:val="6"/>
          </w:tcPr>
          <w:p>
            <w:pPr>
              <w:ind w:left="780"/>
              <w:spacing w:after="0" w:line="230" w:lineRule="exact"/>
              <w:rPr>
                <w:sz w:val="20"/>
                <w:szCs w:val="20"/>
                <w:color w:val="auto"/>
              </w:rPr>
            </w:pPr>
            <w:r>
              <w:rPr>
                <w:rFonts w:ascii="Times New Roman" w:cs="Times New Roman" w:eastAsia="Times New Roman" w:hAnsi="Times New Roman"/>
                <w:sz w:val="22"/>
                <w:szCs w:val="22"/>
                <w:color w:val="auto"/>
              </w:rPr>
              <w:t>By: /s/ Elizabet de los Pinos, PhD  2/23/2022</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3"/>
        </w:trPr>
        <w:tc>
          <w:tcPr>
            <w:tcW w:w="434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color w:val="auto"/>
              </w:rPr>
              <w:t>Name: George Lasezkay, PharmD, JD</w:t>
            </w:r>
          </w:p>
        </w:tc>
        <w:tc>
          <w:tcPr>
            <w:tcW w:w="780" w:type="dxa"/>
            <w:vAlign w:val="bottom"/>
          </w:tcPr>
          <w:p>
            <w:pPr>
              <w:spacing w:after="0"/>
              <w:rPr>
                <w:sz w:val="19"/>
                <w:szCs w:val="19"/>
                <w:color w:val="auto"/>
              </w:rPr>
            </w:pPr>
          </w:p>
        </w:tc>
        <w:tc>
          <w:tcPr>
            <w:tcW w:w="4800" w:type="dxa"/>
            <w:vAlign w:val="bottom"/>
            <w:gridSpan w:val="6"/>
          </w:tcPr>
          <w:p>
            <w:pPr>
              <w:ind w:left="840"/>
              <w:spacing w:after="0" w:line="223" w:lineRule="exact"/>
              <w:rPr>
                <w:sz w:val="20"/>
                <w:szCs w:val="20"/>
                <w:color w:val="auto"/>
              </w:rPr>
            </w:pPr>
            <w:r>
              <w:rPr>
                <w:rFonts w:ascii="Times New Roman" w:cs="Times New Roman" w:eastAsia="Times New Roman" w:hAnsi="Times New Roman"/>
                <w:sz w:val="22"/>
                <w:szCs w:val="22"/>
                <w:color w:val="auto"/>
              </w:rPr>
              <w:t>Name: Elisabet de los Pinos, PhD</w:t>
            </w:r>
          </w:p>
        </w:tc>
      </w:tr>
      <w:tr>
        <w:trPr>
          <w:trHeight w:val="223"/>
        </w:trPr>
        <w:tc>
          <w:tcPr>
            <w:tcW w:w="64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268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President and CEO</w:t>
            </w:r>
          </w:p>
        </w:tc>
        <w:tc>
          <w:tcPr>
            <w:tcW w:w="1800" w:type="dxa"/>
            <w:vAlign w:val="bottom"/>
            <w:gridSpan w:val="2"/>
          </w:tcPr>
          <w:p>
            <w:pPr>
              <w:spacing w:after="0"/>
              <w:rPr>
                <w:sz w:val="19"/>
                <w:szCs w:val="19"/>
                <w:color w:val="auto"/>
              </w:rPr>
            </w:pPr>
          </w:p>
        </w:tc>
        <w:tc>
          <w:tcPr>
            <w:tcW w:w="1460" w:type="dxa"/>
            <w:vAlign w:val="bottom"/>
            <w:gridSpan w:val="3"/>
          </w:tcPr>
          <w:p>
            <w:pPr>
              <w:ind w:left="780"/>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23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President and CEO</w:t>
            </w:r>
          </w:p>
        </w:tc>
        <w:tc>
          <w:tcPr>
            <w:tcW w:w="10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6322060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47" w:name="page148"/>
    <w:bookmarkEnd w:id="147"/>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58"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206"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37" w:lineRule="exact"/>
        <w:rPr>
          <w:sz w:val="20"/>
          <w:szCs w:val="20"/>
          <w:color w:val="auto"/>
        </w:rPr>
      </w:pPr>
    </w:p>
    <w:p>
      <w:pPr>
        <w:ind w:left="8" w:right="260" w:firstLine="749"/>
        <w:spacing w:after="0" w:line="236" w:lineRule="auto"/>
        <w:rPr>
          <w:sz w:val="20"/>
          <w:szCs w:val="20"/>
          <w:color w:val="auto"/>
        </w:rPr>
      </w:pPr>
      <w:r>
        <w:rPr>
          <w:rFonts w:ascii="Times New Roman" w:cs="Times New Roman" w:eastAsia="Times New Roman" w:hAnsi="Times New Roman"/>
          <w:sz w:val="22"/>
          <w:szCs w:val="22"/>
          <w:color w:val="auto"/>
        </w:rPr>
        <w:t>This memorandum sets forth the policy of Aura Biosciences, Inc. and its subsidiaries (collectively, the “Company”) regarding trading in the Company’s securities as described below and the disclosure of information concerning the Company. This Amended and Restated Insider Trading Policy (this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748" w:hanging="748"/>
        <w:spacing w:after="0"/>
        <w:tabs>
          <w:tab w:leader="none" w:pos="748" w:val="left"/>
        </w:tabs>
        <w:numPr>
          <w:ilvl w:val="0"/>
          <w:numId w:val="7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ind w:left="8" w:right="380" w:firstLine="749"/>
        <w:spacing w:after="0" w:line="249" w:lineRule="auto"/>
        <w:rPr>
          <w:sz w:val="20"/>
          <w:szCs w:val="20"/>
          <w:color w:val="auto"/>
        </w:rPr>
      </w:pPr>
      <w:r>
        <w:rPr>
          <w:rFonts w:ascii="Times New Roman" w:cs="Times New Roman" w:eastAsia="Times New Roman" w:hAnsi="Times New Roman"/>
          <w:sz w:val="21"/>
          <w:szCs w:val="21"/>
          <w:color w:val="auto"/>
        </w:rPr>
        <w:t>This Insider Trading Policy is applicable to the Company’s directors, officers, employees and certain designated consultants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71" w:lineRule="exact"/>
        <w:rPr>
          <w:sz w:val="20"/>
          <w:szCs w:val="20"/>
          <w:color w:val="auto"/>
        </w:rPr>
      </w:pPr>
    </w:p>
    <w:p>
      <w:pPr>
        <w:ind w:left="8" w:right="300" w:firstLine="749"/>
        <w:spacing w:after="0" w:line="236" w:lineRule="auto"/>
        <w:rPr>
          <w:sz w:val="20"/>
          <w:szCs w:val="20"/>
          <w:color w:val="auto"/>
        </w:rPr>
      </w:pPr>
      <w:r>
        <w:rPr>
          <w:rFonts w:ascii="Times New Roman" w:cs="Times New Roman" w:eastAsia="Times New Roman" w:hAnsi="Times New Roman"/>
          <w:sz w:val="22"/>
          <w:szCs w:val="22"/>
          <w:color w:val="auto"/>
        </w:rPr>
        <w:t>In addition, all directors, officers, employees and designated consultants must comply with the Trading Procedures set forth in Part II of this Insider Trading Policy (the “Trading Procedures”) (collectively,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pacing w:after="0" w:line="181" w:lineRule="exact"/>
        <w:rPr>
          <w:sz w:val="20"/>
          <w:szCs w:val="20"/>
          <w:color w:val="auto"/>
        </w:rPr>
      </w:pPr>
    </w:p>
    <w:p>
      <w:pPr>
        <w:ind w:left="8" w:right="50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including, if applicable, the Trading Procedures contained herein, also applies to the following persons (collectively, these persons and entities are referred to as “Affiliated Persons”):</w:t>
      </w:r>
    </w:p>
    <w:p>
      <w:pPr>
        <w:spacing w:after="0" w:line="158" w:lineRule="exact"/>
        <w:rPr>
          <w:sz w:val="20"/>
          <w:szCs w:val="20"/>
          <w:color w:val="auto"/>
        </w:rPr>
      </w:pPr>
    </w:p>
    <w:p>
      <w:pPr>
        <w:ind w:left="1468" w:right="880" w:hanging="719"/>
        <w:spacing w:after="0" w:line="258" w:lineRule="auto"/>
        <w:tabs>
          <w:tab w:leader="none" w:pos="14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spouse, child, parent, significant other or other family member, in each case, living in the same household;</w:t>
      </w:r>
    </w:p>
    <w:p>
      <w:pPr>
        <w:spacing w:after="0" w:line="158" w:lineRule="exact"/>
        <w:rPr>
          <w:rFonts w:ascii="Times New Roman" w:cs="Times New Roman" w:eastAsia="Times New Roman" w:hAnsi="Times New Roman"/>
          <w:sz w:val="22"/>
          <w:szCs w:val="22"/>
          <w:color w:val="auto"/>
        </w:rPr>
      </w:pPr>
    </w:p>
    <w:p>
      <w:pPr>
        <w:ind w:left="1488" w:right="740" w:hanging="739"/>
        <w:spacing w:after="0" w:line="244" w:lineRule="auto"/>
        <w:tabs>
          <w:tab w:leader="none" w:pos="14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over which you have the ability to influence or direct investment decisions concerning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791845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48" w:name="page149"/>
    <w:bookmarkEnd w:id="148"/>
    <w:p>
      <w:pPr>
        <w:spacing w:after="0" w:line="225" w:lineRule="exact"/>
        <w:rPr>
          <w:sz w:val="20"/>
          <w:szCs w:val="20"/>
          <w:color w:val="auto"/>
        </w:rPr>
      </w:pPr>
    </w:p>
    <w:p>
      <w:pPr>
        <w:ind w:left="1508" w:hanging="759"/>
        <w:spacing w:after="0"/>
        <w:tabs>
          <w:tab w:leader="none" w:pos="150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488" w:right="140" w:hanging="739"/>
        <w:spacing w:after="0" w:line="233" w:lineRule="auto"/>
        <w:tabs>
          <w:tab w:leader="none" w:pos="148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5" w:lineRule="exact"/>
        <w:rPr>
          <w:sz w:val="20"/>
          <w:szCs w:val="20"/>
          <w:color w:val="auto"/>
        </w:rPr>
      </w:pPr>
    </w:p>
    <w:p>
      <w:pPr>
        <w:ind w:left="8" w:right="32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8" w:lineRule="exact"/>
        <w:rPr>
          <w:sz w:val="20"/>
          <w:szCs w:val="20"/>
          <w:color w:val="auto"/>
        </w:rPr>
      </w:pPr>
    </w:p>
    <w:p>
      <w:pPr>
        <w:ind w:left="8" w:firstLine="749"/>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4" w:lineRule="exact"/>
        <w:rPr>
          <w:sz w:val="20"/>
          <w:szCs w:val="20"/>
          <w:color w:val="auto"/>
        </w:rPr>
      </w:pPr>
    </w:p>
    <w:p>
      <w:pPr>
        <w:ind w:left="748" w:hanging="748"/>
        <w:spacing w:after="0"/>
        <w:tabs>
          <w:tab w:leader="none" w:pos="748" w:val="left"/>
        </w:tabs>
        <w:numPr>
          <w:ilvl w:val="0"/>
          <w:numId w:val="7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left="8" w:right="100" w:firstLine="749"/>
        <w:spacing w:after="0" w:line="239" w:lineRule="auto"/>
        <w:rPr>
          <w:sz w:val="20"/>
          <w:szCs w:val="20"/>
          <w:color w:val="auto"/>
        </w:rPr>
      </w:pPr>
      <w:r>
        <w:rPr>
          <w:rFonts w:ascii="Times New Roman" w:cs="Times New Roman" w:eastAsia="Times New Roman" w:hAnsi="Times New Roman"/>
          <w:sz w:val="22"/>
          <w:szCs w:val="22"/>
          <w:color w:val="auto"/>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 w:right="260" w:firstLine="749"/>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are prohibited from the following activities:</w:t>
      </w:r>
    </w:p>
    <w:p>
      <w:pPr>
        <w:spacing w:after="0" w:line="158" w:lineRule="exact"/>
        <w:rPr>
          <w:sz w:val="20"/>
          <w:szCs w:val="20"/>
          <w:color w:val="auto"/>
        </w:rPr>
      </w:pPr>
    </w:p>
    <w:p>
      <w:pPr>
        <w:ind w:left="1108" w:right="160" w:hanging="359"/>
        <w:spacing w:after="0" w:line="235" w:lineRule="auto"/>
        <w:tabs>
          <w:tab w:leader="none" w:pos="110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Exchange Act, such as when trades are made pursuant to a written plan that was adopted, or trading instructions that were given, before you knew or had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795020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552" w:top="1440" w:right="599" w:bottom="1440" w:gutter="0" w:footer="0" w:header="0"/>
        </w:sectPr>
      </w:pPr>
    </w:p>
    <w:bookmarkStart w:id="149" w:name="page150"/>
    <w:bookmarkEnd w:id="149"/>
    <w:p>
      <w:pPr>
        <w:spacing w:after="0" w:line="360"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22"/>
          <w:szCs w:val="22"/>
          <w:color w:val="auto"/>
        </w:rPr>
        <w:t>of such material, nonpublic information and certain other conditions are satisfied;</w:t>
      </w:r>
    </w:p>
    <w:p>
      <w:pPr>
        <w:spacing w:after="0" w:line="112" w:lineRule="exact"/>
        <w:rPr>
          <w:sz w:val="20"/>
          <w:szCs w:val="20"/>
          <w:color w:val="auto"/>
        </w:rPr>
      </w:pPr>
    </w:p>
    <w:p>
      <w:pPr>
        <w:ind w:left="1128" w:hanging="379"/>
        <w:spacing w:after="0"/>
        <w:tabs>
          <w:tab w:leader="none" w:pos="11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and</w:t>
      </w:r>
    </w:p>
    <w:p>
      <w:pPr>
        <w:spacing w:after="0" w:line="84" w:lineRule="exact"/>
        <w:rPr>
          <w:rFonts w:ascii="Times New Roman" w:cs="Times New Roman" w:eastAsia="Times New Roman" w:hAnsi="Times New Roman"/>
          <w:sz w:val="22"/>
          <w:szCs w:val="22"/>
          <w:color w:val="auto"/>
        </w:rPr>
      </w:pPr>
    </w:p>
    <w:p>
      <w:pPr>
        <w:ind w:left="1108" w:right="300" w:hanging="359"/>
        <w:spacing w:after="0" w:line="261" w:lineRule="auto"/>
        <w:tabs>
          <w:tab w:leader="none" w:pos="110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disclosing the material, nonpublic information about the Company, whether positive or negative, to anyone else who might then trade, or recommending to anyone that they purchase or sell the Company’s securities when you are aware of material, nonpublic information (these practices are commonly known as “</w:t>
      </w:r>
      <w:r>
        <w:rPr>
          <w:rFonts w:ascii="Times New Roman" w:cs="Times New Roman" w:eastAsia="Times New Roman" w:hAnsi="Times New Roman"/>
          <w:sz w:val="21"/>
          <w:szCs w:val="21"/>
          <w:i w:val="1"/>
          <w:iCs w:val="1"/>
          <w:color w:val="auto"/>
        </w:rPr>
        <w:t>tipping</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8" w:right="14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does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ind w:left="8" w:right="200" w:firstLine="749"/>
        <w:spacing w:after="0" w:line="244" w:lineRule="auto"/>
        <w:rPr>
          <w:sz w:val="20"/>
          <w:szCs w:val="20"/>
          <w:color w:val="auto"/>
        </w:rPr>
      </w:pPr>
      <w:r>
        <w:rPr>
          <w:rFonts w:ascii="Times New Roman" w:cs="Times New Roman" w:eastAsia="Times New Roman" w:hAnsi="Times New Roman"/>
          <w:sz w:val="22"/>
          <w:szCs w:val="22"/>
          <w:color w:val="auto"/>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73" w:lineRule="exact"/>
        <w:rPr>
          <w:sz w:val="20"/>
          <w:szCs w:val="20"/>
          <w:color w:val="auto"/>
        </w:rPr>
      </w:pPr>
    </w:p>
    <w:p>
      <w:pPr>
        <w:ind w:left="8" w:right="12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4" w:lineRule="exact"/>
        <w:rPr>
          <w:sz w:val="20"/>
          <w:szCs w:val="20"/>
          <w:color w:val="auto"/>
        </w:rPr>
      </w:pPr>
    </w:p>
    <w:p>
      <w:pPr>
        <w:ind w:left="748" w:hanging="748"/>
        <w:spacing w:after="0"/>
        <w:tabs>
          <w:tab w:leader="none" w:pos="748" w:val="left"/>
        </w:tabs>
        <w:numPr>
          <w:ilvl w:val="0"/>
          <w:numId w:val="7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ind w:left="8" w:firstLine="749"/>
        <w:spacing w:after="0" w:line="261" w:lineRule="auto"/>
        <w:rPr>
          <w:sz w:val="20"/>
          <w:szCs w:val="20"/>
          <w:color w:val="auto"/>
        </w:rPr>
      </w:pPr>
      <w:r>
        <w:rPr>
          <w:rFonts w:ascii="Times New Roman" w:cs="Times New Roman" w:eastAsia="Times New Roman" w:hAnsi="Times New Roman"/>
          <w:sz w:val="21"/>
          <w:szCs w:val="21"/>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you have a question whether certain information you are aware of is material or has been made public, you are encouraged to consult with the Compliance Officer.</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jc w:val="both"/>
        <w:ind w:left="8" w:right="120" w:firstLine="749"/>
        <w:spacing w:after="0" w:line="249"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22" w:lineRule="exact"/>
        <w:rPr>
          <w:sz w:val="20"/>
          <w:szCs w:val="20"/>
          <w:color w:val="auto"/>
        </w:rPr>
      </w:pPr>
    </w:p>
    <w:p>
      <w:pPr>
        <w:jc w:val="both"/>
        <w:ind w:left="1448" w:right="1180" w:hanging="699"/>
        <w:spacing w:after="0" w:line="244" w:lineRule="auto"/>
        <w:tabs>
          <w:tab w:leader="none" w:pos="144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800735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0" w:name="page151"/>
    <w:bookmarkEnd w:id="150"/>
    <w:p>
      <w:pPr>
        <w:spacing w:after="0" w:line="252" w:lineRule="exact"/>
        <w:rPr>
          <w:sz w:val="20"/>
          <w:szCs w:val="20"/>
          <w:color w:val="auto"/>
        </w:rPr>
      </w:pPr>
    </w:p>
    <w:p>
      <w:pPr>
        <w:ind w:left="1440" w:right="920" w:hanging="699"/>
        <w:spacing w:after="0" w:line="258" w:lineRule="auto"/>
        <w:tabs>
          <w:tab w:leader="none" w:pos="14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50"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440" w:hanging="699"/>
        <w:spacing w:after="0"/>
        <w:tabs>
          <w:tab w:leader="none" w:pos="14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spacing w:after="0" w:line="98" w:lineRule="exact"/>
        <w:rPr>
          <w:rFonts w:ascii="Times New Roman" w:cs="Times New Roman" w:eastAsia="Times New Roman" w:hAnsi="Times New Roman"/>
          <w:sz w:val="22"/>
          <w:szCs w:val="22"/>
          <w:color w:val="auto"/>
        </w:rPr>
      </w:pPr>
    </w:p>
    <w:p>
      <w:pPr>
        <w:ind w:left="1460" w:right="80" w:hanging="719"/>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460" w:right="120" w:hanging="719"/>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98" w:lineRule="exact"/>
        <w:rPr>
          <w:rFonts w:ascii="Times New Roman" w:cs="Times New Roman" w:eastAsia="Times New Roman" w:hAnsi="Times New Roman"/>
          <w:sz w:val="22"/>
          <w:szCs w:val="22"/>
          <w:color w:val="auto"/>
        </w:rPr>
      </w:pPr>
    </w:p>
    <w:p>
      <w:pPr>
        <w:ind w:left="1460" w:right="120" w:hanging="719"/>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50"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spacing w:after="0" w:line="98" w:lineRule="exact"/>
        <w:rPr>
          <w:rFonts w:ascii="Times New Roman" w:cs="Times New Roman" w:eastAsia="Times New Roman" w:hAnsi="Times New Roman"/>
          <w:sz w:val="22"/>
          <w:szCs w:val="22"/>
          <w:color w:val="auto"/>
        </w:rPr>
      </w:pPr>
    </w:p>
    <w:p>
      <w:pPr>
        <w:ind w:left="1420" w:right="980" w:hanging="679"/>
        <w:spacing w:after="0" w:line="258" w:lineRule="auto"/>
        <w:tabs>
          <w:tab w:leader="none" w:pos="14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50" w:lineRule="exact"/>
        <w:rPr>
          <w:rFonts w:ascii="Times New Roman" w:cs="Times New Roman" w:eastAsia="Times New Roman" w:hAnsi="Times New Roman"/>
          <w:sz w:val="22"/>
          <w:szCs w:val="22"/>
          <w:color w:val="auto"/>
        </w:rPr>
      </w:pPr>
    </w:p>
    <w:p>
      <w:pPr>
        <w:ind w:left="1460" w:hanging="719"/>
        <w:spacing w:after="0"/>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spacing w:after="0" w:line="98" w:lineRule="exact"/>
        <w:rPr>
          <w:rFonts w:ascii="Times New Roman" w:cs="Times New Roman" w:eastAsia="Times New Roman" w:hAnsi="Times New Roman"/>
          <w:sz w:val="22"/>
          <w:szCs w:val="22"/>
          <w:color w:val="auto"/>
        </w:rPr>
      </w:pPr>
    </w:p>
    <w:p>
      <w:pPr>
        <w:ind w:left="1440" w:right="660" w:hanging="699"/>
        <w:spacing w:after="0" w:line="258" w:lineRule="auto"/>
        <w:tabs>
          <w:tab w:leader="none" w:pos="14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50"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By including the list above, the Company does not mean to imply that each of these items above is </w:t>
      </w:r>
      <w:r>
        <w:rPr>
          <w:rFonts w:ascii="Times New Roman" w:cs="Times New Roman" w:eastAsia="Times New Roman" w:hAnsi="Times New Roman"/>
          <w:sz w:val="22"/>
          <w:szCs w:val="22"/>
          <w:u w:val="single" w:color="auto"/>
          <w:color w:val="auto"/>
        </w:rPr>
        <w:t>per se</w:t>
      </w:r>
      <w:r>
        <w:rPr>
          <w:rFonts w:ascii="Times New Roman" w:cs="Times New Roman" w:eastAsia="Times New Roman" w:hAnsi="Times New Roman"/>
          <w:sz w:val="22"/>
          <w:szCs w:val="22"/>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83" w:lineRule="exact"/>
        <w:rPr>
          <w:sz w:val="20"/>
          <w:szCs w:val="20"/>
          <w:color w:val="auto"/>
        </w:rPr>
      </w:pPr>
    </w:p>
    <w:p>
      <w:pPr>
        <w:jc w:val="both"/>
        <w:ind w:right="540"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805180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1440" w:right="599" w:bottom="1440" w:gutter="0" w:footer="0" w:header="0"/>
        </w:sectPr>
      </w:pPr>
    </w:p>
    <w:bookmarkStart w:id="151" w:name="page152"/>
    <w:bookmarkEnd w:id="151"/>
    <w:p>
      <w:pPr>
        <w:spacing w:after="0" w:line="3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or wire service, or by other means that are reasonably designed to provide broad public access.</w:t>
      </w:r>
    </w:p>
    <w:p>
      <w:pPr>
        <w:spacing w:after="0" w:line="14" w:lineRule="exact"/>
        <w:rPr>
          <w:sz w:val="20"/>
          <w:szCs w:val="20"/>
          <w:color w:val="auto"/>
        </w:rPr>
      </w:pPr>
    </w:p>
    <w:p>
      <w:pPr>
        <w:jc w:val="both"/>
        <w:ind w:left="8" w:right="180"/>
        <w:spacing w:after="0" w:line="234" w:lineRule="auto"/>
        <w:rPr>
          <w:sz w:val="20"/>
          <w:szCs w:val="20"/>
          <w:color w:val="auto"/>
        </w:rPr>
      </w:pPr>
      <w:r>
        <w:rPr>
          <w:rFonts w:ascii="Times New Roman" w:cs="Times New Roman" w:eastAsia="Times New Roman" w:hAnsi="Times New Roman"/>
          <w:sz w:val="22"/>
          <w:szCs w:val="22"/>
          <w:color w:val="auto"/>
        </w:rPr>
        <w:t>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w:t>
      </w:r>
    </w:p>
    <w:p>
      <w:pPr>
        <w:spacing w:after="0" w:line="177" w:lineRule="exact"/>
        <w:rPr>
          <w:sz w:val="20"/>
          <w:szCs w:val="20"/>
          <w:color w:val="auto"/>
        </w:rPr>
      </w:pPr>
    </w:p>
    <w:p>
      <w:pPr>
        <w:ind w:left="8" w:right="18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390" w:lineRule="exact"/>
        <w:rPr>
          <w:sz w:val="20"/>
          <w:szCs w:val="20"/>
          <w:color w:val="auto"/>
        </w:rPr>
      </w:pPr>
    </w:p>
    <w:p>
      <w:pPr>
        <w:ind w:left="688" w:hanging="688"/>
        <w:spacing w:after="0"/>
        <w:tabs>
          <w:tab w:leader="none" w:pos="688" w:val="left"/>
        </w:tabs>
        <w:numPr>
          <w:ilvl w:val="0"/>
          <w:numId w:val="8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left="8" w:right="540" w:firstLine="749"/>
        <w:spacing w:after="0" w:line="238"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7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6" w:lineRule="exact"/>
        <w:rPr>
          <w:sz w:val="20"/>
          <w:szCs w:val="20"/>
          <w:color w:val="auto"/>
        </w:rPr>
      </w:pPr>
    </w:p>
    <w:p>
      <w:pPr>
        <w:ind w:left="1128" w:hanging="379"/>
        <w:spacing w:after="0"/>
        <w:tabs>
          <w:tab w:leader="none" w:pos="112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98" w:lineRule="exact"/>
        <w:rPr>
          <w:rFonts w:ascii="Times New Roman" w:cs="Times New Roman" w:eastAsia="Times New Roman" w:hAnsi="Times New Roman"/>
          <w:sz w:val="22"/>
          <w:szCs w:val="22"/>
          <w:color w:val="auto"/>
        </w:rPr>
      </w:pPr>
    </w:p>
    <w:p>
      <w:pPr>
        <w:ind w:left="1088" w:right="660" w:hanging="339"/>
        <w:spacing w:after="0" w:line="244" w:lineRule="auto"/>
        <w:tabs>
          <w:tab w:leader="none" w:pos="10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65" w:lineRule="exact"/>
        <w:rPr>
          <w:rFonts w:ascii="Times New Roman" w:cs="Times New Roman" w:eastAsia="Times New Roman" w:hAnsi="Times New Roman"/>
          <w:sz w:val="22"/>
          <w:szCs w:val="22"/>
          <w:color w:val="auto"/>
        </w:rPr>
      </w:pPr>
    </w:p>
    <w:p>
      <w:pPr>
        <w:ind w:left="1128" w:hanging="379"/>
        <w:spacing w:after="0"/>
        <w:tabs>
          <w:tab w:leader="none" w:pos="112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128" w:hanging="379"/>
        <w:spacing w:after="0"/>
        <w:tabs>
          <w:tab w:leader="none" w:pos="112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128" w:hanging="379"/>
        <w:spacing w:after="0"/>
        <w:tabs>
          <w:tab w:leader="none" w:pos="112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ind w:left="8" w:right="100" w:firstLine="749"/>
        <w:spacing w:after="0" w:line="238"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of up to the greater of $1,525,000 (subject to periodic inflation adjustments) or three times the profit made or loss avoided, as well as criminal penalties of up to</w:t>
      </w:r>
    </w:p>
    <w:p>
      <w:pPr>
        <w:ind w:left="8"/>
        <w:spacing w:after="0"/>
        <w:rPr>
          <w:sz w:val="20"/>
          <w:szCs w:val="20"/>
          <w:color w:val="auto"/>
        </w:rPr>
      </w:pPr>
      <w:r>
        <w:rPr>
          <w:rFonts w:ascii="Times New Roman" w:cs="Times New Roman" w:eastAsia="Times New Roman" w:hAnsi="Times New Roman"/>
          <w:sz w:val="22"/>
          <w:szCs w:val="22"/>
          <w:color w:val="auto"/>
        </w:rPr>
        <w:t>$25,000,000, and could under certain circumstances be subject to private lawsuits.</w:t>
      </w:r>
    </w:p>
    <w:p>
      <w:pPr>
        <w:spacing w:after="0" w:line="182" w:lineRule="exact"/>
        <w:rPr>
          <w:sz w:val="20"/>
          <w:szCs w:val="20"/>
          <w:color w:val="auto"/>
        </w:rPr>
      </w:pPr>
    </w:p>
    <w:p>
      <w:pPr>
        <w:ind w:left="8" w:firstLine="749"/>
        <w:spacing w:after="0" w:line="241"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the person violating such policy or laws to disciplinary action by the Company up to and</w:t>
      </w:r>
    </w:p>
    <w:p>
      <w:pPr>
        <w:spacing w:after="0" w:line="2" w:lineRule="exact"/>
        <w:rPr>
          <w:sz w:val="20"/>
          <w:szCs w:val="20"/>
          <w:color w:val="auto"/>
        </w:rPr>
      </w:pPr>
    </w:p>
    <w:p>
      <w:pPr>
        <w:ind w:left="8" w:right="20"/>
        <w:spacing w:after="0" w:line="233" w:lineRule="auto"/>
        <w:rPr>
          <w:sz w:val="20"/>
          <w:szCs w:val="20"/>
          <w:color w:val="auto"/>
        </w:rPr>
      </w:pPr>
      <w:r>
        <w:rPr>
          <w:rFonts w:ascii="Times New Roman" w:cs="Times New Roman" w:eastAsia="Times New Roman" w:hAnsi="Times New Roman"/>
          <w:sz w:val="22"/>
          <w:szCs w:val="22"/>
          <w:color w:val="auto"/>
        </w:rPr>
        <w:t>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795655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2" w:name="page153"/>
    <w:bookmarkEnd w:id="152"/>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action.</w:t>
      </w:r>
    </w:p>
    <w:p>
      <w:pPr>
        <w:spacing w:after="0" w:line="200" w:lineRule="exact"/>
        <w:rPr>
          <w:sz w:val="20"/>
          <w:szCs w:val="20"/>
          <w:color w:val="auto"/>
        </w:rPr>
      </w:pPr>
    </w:p>
    <w:p>
      <w:pPr>
        <w:spacing w:after="0" w:line="216" w:lineRule="exact"/>
        <w:rPr>
          <w:sz w:val="20"/>
          <w:szCs w:val="20"/>
          <w:color w:val="auto"/>
        </w:rPr>
      </w:pPr>
    </w:p>
    <w:p>
      <w:pPr>
        <w:ind w:left="748" w:hanging="748"/>
        <w:spacing w:after="0"/>
        <w:tabs>
          <w:tab w:leader="none" w:pos="748" w:val="left"/>
        </w:tabs>
        <w:numPr>
          <w:ilvl w:val="0"/>
          <w:numId w:val="8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left="8" w:right="60"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2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18" w:lineRule="exact"/>
        <w:rPr>
          <w:sz w:val="20"/>
          <w:szCs w:val="20"/>
          <w:color w:val="auto"/>
        </w:rPr>
      </w:pPr>
    </w:p>
    <w:p>
      <w:pPr>
        <w:ind w:left="748" w:hanging="748"/>
        <w:spacing w:after="0"/>
        <w:tabs>
          <w:tab w:leader="none" w:pos="748" w:val="left"/>
        </w:tabs>
        <w:numPr>
          <w:ilvl w:val="0"/>
          <w:numId w:val="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26"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above, Insiders and their Affiliated Persons are subject to the following special trading restrictions:</w:t>
      </w:r>
    </w:p>
    <w:p>
      <w:pPr>
        <w:spacing w:after="0" w:line="154" w:lineRule="exact"/>
        <w:rPr>
          <w:sz w:val="20"/>
          <w:szCs w:val="20"/>
          <w:color w:val="auto"/>
        </w:rPr>
      </w:pPr>
    </w:p>
    <w:p>
      <w:pPr>
        <w:ind w:left="1508" w:hanging="759"/>
        <w:spacing w:after="0"/>
        <w:tabs>
          <w:tab w:leader="none" w:pos="1508"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8" w:right="600"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w:t>
      </w:r>
    </w:p>
    <w:p>
      <w:pPr>
        <w:spacing w:after="0" w:line="1" w:lineRule="exact"/>
        <w:rPr>
          <w:sz w:val="20"/>
          <w:szCs w:val="20"/>
          <w:color w:val="auto"/>
        </w:rPr>
      </w:pPr>
    </w:p>
    <w:p>
      <w:pPr>
        <w:ind w:left="8"/>
        <w:spacing w:after="0" w:line="235" w:lineRule="auto"/>
        <w:rPr>
          <w:sz w:val="20"/>
          <w:szCs w:val="20"/>
          <w:color w:val="auto"/>
        </w:rPr>
      </w:pPr>
      <w:r>
        <w:rPr>
          <w:rFonts w:ascii="Times New Roman" w:cs="Times New Roman" w:eastAsia="Times New Roman" w:hAnsi="Times New Roman"/>
          <w:sz w:val="22"/>
          <w:szCs w:val="22"/>
          <w:color w:val="auto"/>
        </w:rPr>
        <w:t>option used by the Company) by the Company. You will be deemed to have received, be bound by and agree to revisions of this Insider Trading Policy when such revisions have been delivered to you, unless you object to any revision in a written statement received by the Compliance Officer within two (2) business days of such delivery.</w:t>
      </w:r>
    </w:p>
    <w:p>
      <w:pPr>
        <w:spacing w:after="0" w:line="201" w:lineRule="exact"/>
        <w:rPr>
          <w:sz w:val="20"/>
          <w:szCs w:val="20"/>
          <w:color w:val="auto"/>
        </w:rPr>
      </w:pPr>
    </w:p>
    <w:p>
      <w:pPr>
        <w:ind w:left="1508" w:hanging="759"/>
        <w:spacing w:after="0"/>
        <w:tabs>
          <w:tab w:leader="none" w:pos="150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04" w:lineRule="exact"/>
        <w:rPr>
          <w:rFonts w:ascii="Times New Roman" w:cs="Times New Roman" w:eastAsia="Times New Roman" w:hAnsi="Times New Roman"/>
          <w:sz w:val="22"/>
          <w:szCs w:val="22"/>
          <w:b w:val="1"/>
          <w:bCs w:val="1"/>
          <w:color w:val="auto"/>
        </w:rPr>
      </w:pPr>
    </w:p>
    <w:p>
      <w:pPr>
        <w:ind w:left="1868" w:right="60" w:hanging="370"/>
        <w:spacing w:after="0" w:line="235" w:lineRule="auto"/>
        <w:tabs>
          <w:tab w:leader="none" w:pos="186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Trading During Special Blackout Windows</w:t>
      </w:r>
      <w:r>
        <w:rPr>
          <w:rFonts w:ascii="Times New Roman" w:cs="Times New Roman" w:eastAsia="Times New Roman" w:hAnsi="Times New Roman"/>
          <w:sz w:val="22"/>
          <w:szCs w:val="22"/>
          <w:color w:val="auto"/>
        </w:rPr>
        <w:t>. There are times when the Company or certain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members of its board of directors or senior management or support staff may be aware of a material, nonpublic development. 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w:t>
      </w:r>
    </w:p>
    <w:p>
      <w:pPr>
        <w:spacing w:after="0" w:line="1" w:lineRule="exact"/>
        <w:rPr>
          <w:rFonts w:ascii="Times New Roman" w:cs="Times New Roman" w:eastAsia="Times New Roman" w:hAnsi="Times New Roman"/>
          <w:sz w:val="22"/>
          <w:szCs w:val="22"/>
          <w:color w:val="auto"/>
        </w:rPr>
      </w:pPr>
    </w:p>
    <w:p>
      <w:pPr>
        <w:ind w:left="1868" w:right="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 Insider during such a period could result in adverse publicity for the Company. Therefore, Insiders may not trade in Company securities if they are notified by the Compliance Officer that the trading window is closed because of the existence of a material, nonpublic development. The Compliance Officer will subsequently notify the Insiders once the material, nonpublic development is disclosed to the public or resolved and that, as a result,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795655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3" w:name="page154"/>
    <w:bookmarkEnd w:id="153"/>
    <w:p>
      <w:pPr>
        <w:spacing w:after="0" w:line="144" w:lineRule="exact"/>
        <w:rPr>
          <w:sz w:val="20"/>
          <w:szCs w:val="20"/>
          <w:color w:val="auto"/>
        </w:rPr>
      </w:pPr>
    </w:p>
    <w:p>
      <w:pPr>
        <w:ind w:left="1868" w:right="180"/>
        <w:spacing w:after="0" w:line="238" w:lineRule="auto"/>
        <w:rPr>
          <w:sz w:val="20"/>
          <w:szCs w:val="20"/>
          <w:color w:val="auto"/>
        </w:rPr>
      </w:pPr>
      <w:r>
        <w:rPr>
          <w:rFonts w:ascii="Times New Roman" w:cs="Times New Roman" w:eastAsia="Times New Roman" w:hAnsi="Times New Roman"/>
          <w:sz w:val="22"/>
          <w:szCs w:val="22"/>
          <w:color w:val="auto"/>
        </w:rPr>
        <w:t>trading window is again open. While the Compliance Officer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 development.</w:t>
      </w:r>
    </w:p>
    <w:p>
      <w:pPr>
        <w:spacing w:after="0" w:line="171" w:lineRule="exact"/>
        <w:rPr>
          <w:sz w:val="20"/>
          <w:szCs w:val="20"/>
          <w:color w:val="auto"/>
        </w:rPr>
      </w:pPr>
    </w:p>
    <w:p>
      <w:pPr>
        <w:ind w:left="1848" w:right="400" w:hanging="350"/>
        <w:spacing w:after="0" w:line="264" w:lineRule="auto"/>
        <w:tabs>
          <w:tab w:leader="none" w:pos="184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No Insider may at any time sell any securities of the Company that are not owned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such Insider at the time of the sale (a “short sale”).</w:t>
      </w:r>
    </w:p>
    <w:p>
      <w:pPr>
        <w:spacing w:after="0" w:line="145" w:lineRule="exact"/>
        <w:rPr>
          <w:rFonts w:ascii="Times New Roman" w:cs="Times New Roman" w:eastAsia="Times New Roman" w:hAnsi="Times New Roman"/>
          <w:sz w:val="22"/>
          <w:szCs w:val="22"/>
          <w:color w:val="auto"/>
        </w:rPr>
      </w:pPr>
    </w:p>
    <w:p>
      <w:pPr>
        <w:ind w:left="1868" w:right="40" w:hanging="370"/>
        <w:spacing w:after="0" w:line="239" w:lineRule="auto"/>
        <w:tabs>
          <w:tab w:leader="none" w:pos="186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 Insider may buy or sell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71" w:lineRule="exact"/>
        <w:rPr>
          <w:rFonts w:ascii="Times New Roman" w:cs="Times New Roman" w:eastAsia="Times New Roman" w:hAnsi="Times New Roman"/>
          <w:sz w:val="22"/>
          <w:szCs w:val="22"/>
          <w:color w:val="auto"/>
        </w:rPr>
      </w:pPr>
    </w:p>
    <w:p>
      <w:pPr>
        <w:ind w:left="1848" w:right="600" w:hanging="350"/>
        <w:spacing w:after="0" w:line="264" w:lineRule="auto"/>
        <w:tabs>
          <w:tab w:leader="none" w:pos="184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 Insider may use the Company’s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collateral in a margin account.</w:t>
      </w:r>
    </w:p>
    <w:p>
      <w:pPr>
        <w:spacing w:after="0" w:line="145" w:lineRule="exact"/>
        <w:rPr>
          <w:rFonts w:ascii="Times New Roman" w:cs="Times New Roman" w:eastAsia="Times New Roman" w:hAnsi="Times New Roman"/>
          <w:sz w:val="22"/>
          <w:szCs w:val="22"/>
          <w:color w:val="auto"/>
        </w:rPr>
      </w:pPr>
    </w:p>
    <w:p>
      <w:pPr>
        <w:ind w:left="1848" w:right="840" w:hanging="350"/>
        <w:spacing w:after="0" w:line="264" w:lineRule="auto"/>
        <w:tabs>
          <w:tab w:leader="none" w:pos="184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No Insider may pledge Company securities as collateral for a loan (or modify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existing pledge).</w:t>
      </w:r>
    </w:p>
    <w:p>
      <w:pPr>
        <w:spacing w:after="0" w:line="147" w:lineRule="exact"/>
        <w:rPr>
          <w:rFonts w:ascii="Times New Roman" w:cs="Times New Roman" w:eastAsia="Times New Roman" w:hAnsi="Times New Roman"/>
          <w:sz w:val="22"/>
          <w:szCs w:val="22"/>
          <w:color w:val="auto"/>
        </w:rPr>
      </w:pPr>
    </w:p>
    <w:p>
      <w:pPr>
        <w:ind w:left="1508" w:hanging="759"/>
        <w:spacing w:after="0"/>
        <w:tabs>
          <w:tab w:leader="none" w:pos="1508"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 w:right="120" w:firstLine="749"/>
        <w:spacing w:after="0" w:line="244" w:lineRule="auto"/>
        <w:rPr>
          <w:sz w:val="20"/>
          <w:szCs w:val="20"/>
          <w:color w:val="auto"/>
        </w:rPr>
      </w:pPr>
      <w:r>
        <w:rPr>
          <w:rFonts w:ascii="Times New Roman" w:cs="Times New Roman" w:eastAsia="Times New Roman" w:hAnsi="Times New Roman"/>
          <w:sz w:val="22"/>
          <w:szCs w:val="22"/>
          <w:color w:val="auto"/>
        </w:rPr>
        <w:t>No Insider may give or make any other transfer of Company securities without consideration (e.g., a gift) during a period when the Insider is not permitted to trade unless the donee agrees not to sell the shares until such time as the Insider can sell.</w:t>
      </w:r>
    </w:p>
    <w:p>
      <w:pPr>
        <w:spacing w:after="0" w:line="159" w:lineRule="exact"/>
        <w:rPr>
          <w:sz w:val="20"/>
          <w:szCs w:val="20"/>
          <w:color w:val="auto"/>
        </w:rPr>
      </w:pPr>
    </w:p>
    <w:p>
      <w:pPr>
        <w:ind w:left="748" w:hanging="748"/>
        <w:spacing w:after="0"/>
        <w:tabs>
          <w:tab w:leader="none" w:pos="748"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33" w:lineRule="exact"/>
        <w:rPr>
          <w:sz w:val="20"/>
          <w:szCs w:val="20"/>
          <w:color w:val="auto"/>
        </w:rPr>
      </w:pPr>
    </w:p>
    <w:p>
      <w:pPr>
        <w:ind w:left="8" w:firstLine="749"/>
        <w:spacing w:after="0" w:line="238" w:lineRule="auto"/>
        <w:rPr>
          <w:sz w:val="20"/>
          <w:szCs w:val="20"/>
          <w:color w:val="auto"/>
        </w:rPr>
      </w:pPr>
      <w:r>
        <w:rPr>
          <w:rFonts w:ascii="Times New Roman" w:cs="Times New Roman" w:eastAsia="Times New Roman" w:hAnsi="Times New Roman"/>
          <w:sz w:val="22"/>
          <w:szCs w:val="22"/>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38" w:lineRule="exact"/>
        <w:rPr>
          <w:sz w:val="20"/>
          <w:szCs w:val="20"/>
          <w:color w:val="auto"/>
        </w:rPr>
      </w:pPr>
    </w:p>
    <w:p>
      <w:pPr>
        <w:ind w:left="1508" w:hanging="759"/>
        <w:spacing w:after="0"/>
        <w:tabs>
          <w:tab w:leader="none" w:pos="1508"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Company securities until:</w:t>
      </w:r>
    </w:p>
    <w:p>
      <w:pPr>
        <w:spacing w:after="0" w:line="210" w:lineRule="exact"/>
        <w:rPr>
          <w:rFonts w:ascii="Times New Roman" w:cs="Times New Roman" w:eastAsia="Times New Roman" w:hAnsi="Times New Roman"/>
          <w:sz w:val="22"/>
          <w:szCs w:val="22"/>
          <w:b w:val="1"/>
          <w:bCs w:val="1"/>
          <w:color w:val="auto"/>
        </w:rPr>
      </w:pPr>
    </w:p>
    <w:p>
      <w:pPr>
        <w:ind w:left="1848" w:right="320" w:hanging="350"/>
        <w:spacing w:after="0" w:line="238" w:lineRule="auto"/>
        <w:tabs>
          <w:tab w:leader="none" w:pos="184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794385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552" w:top="1440" w:right="599" w:bottom="1440" w:gutter="0" w:footer="0" w:header="0"/>
        </w:sectPr>
      </w:pPr>
    </w:p>
    <w:bookmarkStart w:id="154" w:name="page155"/>
    <w:bookmarkEnd w:id="154"/>
    <w:p>
      <w:pPr>
        <w:spacing w:after="0" w:line="360" w:lineRule="exact"/>
        <w:rPr>
          <w:sz w:val="20"/>
          <w:szCs w:val="20"/>
          <w:color w:val="auto"/>
        </w:rPr>
      </w:pPr>
    </w:p>
    <w:p>
      <w:pPr>
        <w:ind w:left="1840" w:right="300" w:hanging="350"/>
        <w:spacing w:after="0" w:line="258" w:lineRule="auto"/>
        <w:tabs>
          <w:tab w:leader="none" w:pos="18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60" w:hanging="370"/>
        <w:spacing w:after="0" w:line="235" w:lineRule="auto"/>
        <w:tabs>
          <w:tab w:leader="none" w:pos="1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40" w:right="700" w:hanging="350"/>
        <w:spacing w:after="0" w:line="282" w:lineRule="auto"/>
        <w:tabs>
          <w:tab w:leader="none" w:pos="18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or his or her designee has approved the trade(s) and has certified such approval in writing. Such certification may be made via digitally-signed electronic mail.</w:t>
      </w:r>
    </w:p>
    <w:p>
      <w:pPr>
        <w:spacing w:after="0" w:line="134" w:lineRule="exact"/>
        <w:rPr>
          <w:rFonts w:ascii="Times New Roman" w:cs="Times New Roman" w:eastAsia="Times New Roman" w:hAnsi="Times New Roman"/>
          <w:sz w:val="21"/>
          <w:szCs w:val="21"/>
          <w:color w:val="auto"/>
        </w:rPr>
      </w:pPr>
    </w:p>
    <w:p>
      <w:pPr>
        <w:ind w:left="1860" w:hanging="370"/>
        <w:spacing w:after="0"/>
        <w:tabs>
          <w:tab w:leader="none" w:pos="1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approval shall last for a period of five (5) business days.</w:t>
      </w:r>
    </w:p>
    <w:p>
      <w:pPr>
        <w:spacing w:after="0" w:line="206"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4" w:lineRule="exact"/>
        <w:rPr>
          <w:sz w:val="20"/>
          <w:szCs w:val="20"/>
          <w:color w:val="auto"/>
        </w:rPr>
      </w:pPr>
    </w:p>
    <w:p>
      <w:pPr>
        <w:ind w:left="1500" w:hanging="759"/>
        <w:spacing w:after="0"/>
        <w:tabs>
          <w:tab w:leader="none" w:pos="15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169" w:lineRule="exact"/>
        <w:rPr>
          <w:sz w:val="20"/>
          <w:szCs w:val="20"/>
          <w:color w:val="auto"/>
        </w:rPr>
      </w:pPr>
    </w:p>
    <w:p>
      <w:pPr>
        <w:ind w:left="1500" w:hanging="759"/>
        <w:spacing w:after="0"/>
        <w:tabs>
          <w:tab w:leader="none" w:pos="15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right="700" w:firstLine="749"/>
        <w:spacing w:after="0" w:line="244"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173" w:lineRule="exact"/>
        <w:rPr>
          <w:sz w:val="20"/>
          <w:szCs w:val="20"/>
          <w:color w:val="auto"/>
        </w:rPr>
      </w:pPr>
    </w:p>
    <w:p>
      <w:pPr>
        <w:ind w:right="380" w:firstLine="749"/>
        <w:spacing w:after="0" w:line="241"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a few directors or executives. Insiders may not trade in Company securities if they are</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804545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1440" w:right="599" w:bottom="1440" w:gutter="0" w:footer="0" w:header="0"/>
        </w:sectPr>
      </w:pPr>
    </w:p>
    <w:bookmarkStart w:id="155" w:name="page156"/>
    <w:bookmarkEnd w:id="155"/>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Compliance Officer may reject the trading request without disclosing the reason.</w:t>
      </w:r>
    </w:p>
    <w:p>
      <w:pPr>
        <w:spacing w:after="0" w:line="202" w:lineRule="exact"/>
        <w:rPr>
          <w:sz w:val="20"/>
          <w:szCs w:val="20"/>
          <w:color w:val="auto"/>
        </w:rPr>
      </w:pPr>
    </w:p>
    <w:p>
      <w:pPr>
        <w:ind w:left="1508" w:hanging="759"/>
        <w:spacing w:after="0"/>
        <w:tabs>
          <w:tab w:leader="none" w:pos="150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left="8" w:right="80" w:firstLine="749"/>
        <w:spacing w:after="0" w:line="258"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five (5) business days or make a new trading request.</w:t>
      </w:r>
    </w:p>
    <w:p>
      <w:pPr>
        <w:spacing w:after="0" w:line="154" w:lineRule="exact"/>
        <w:rPr>
          <w:sz w:val="20"/>
          <w:szCs w:val="20"/>
          <w:color w:val="auto"/>
        </w:rPr>
      </w:pPr>
    </w:p>
    <w:p>
      <w:pPr>
        <w:ind w:left="1508" w:hanging="759"/>
        <w:spacing w:after="0"/>
        <w:tabs>
          <w:tab w:leader="none" w:pos="150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left="8" w:firstLine="749"/>
        <w:spacing w:after="0" w:line="233" w:lineRule="auto"/>
        <w:rPr>
          <w:sz w:val="20"/>
          <w:szCs w:val="20"/>
          <w:color w:val="auto"/>
        </w:rPr>
      </w:pPr>
      <w:r>
        <w:rPr>
          <w:rFonts w:ascii="Times New Roman" w:cs="Times New Roman" w:eastAsia="Times New Roman" w:hAnsi="Times New Roman"/>
          <w:sz w:val="22"/>
          <w:szCs w:val="22"/>
          <w:color w:val="auto"/>
        </w:rPr>
        <w:t>Any transactions in the Company’s securities by an Insider (including transactions effected pursuant to a Rule 10b5-1 Plan) must be reported to the Compliance Officer by completing the “Confirmation of Transaction” section of the Stock Transaction Request form attached to this Insider Trading Policy on the same day in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7" w:lineRule="exact"/>
        <w:rPr>
          <w:sz w:val="20"/>
          <w:szCs w:val="20"/>
          <w:color w:val="auto"/>
        </w:rPr>
      </w:pPr>
    </w:p>
    <w:p>
      <w:pPr>
        <w:ind w:left="748" w:hanging="748"/>
        <w:spacing w:after="0"/>
        <w:tabs>
          <w:tab w:leader="none" w:pos="748" w:val="left"/>
        </w:tabs>
        <w:numPr>
          <w:ilvl w:val="0"/>
          <w:numId w:val="9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29" w:lineRule="exact"/>
        <w:rPr>
          <w:sz w:val="20"/>
          <w:szCs w:val="20"/>
          <w:color w:val="auto"/>
        </w:rPr>
      </w:pPr>
    </w:p>
    <w:p>
      <w:pPr>
        <w:ind w:left="1508" w:hanging="759"/>
        <w:spacing w:after="0"/>
        <w:tabs>
          <w:tab w:leader="none" w:pos="150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left="8" w:right="20" w:firstLine="749"/>
        <w:spacing w:after="0" w:line="236"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trading windows, retirement plan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w:t>
      </w:r>
    </w:p>
    <w:p>
      <w:pPr>
        <w:spacing w:after="0" w:line="33" w:lineRule="exact"/>
        <w:rPr>
          <w:sz w:val="20"/>
          <w:szCs w:val="20"/>
          <w:color w:val="auto"/>
        </w:rPr>
      </w:pPr>
    </w:p>
    <w:p>
      <w:pPr>
        <w:ind w:left="8" w:right="60"/>
        <w:spacing w:after="0" w:line="258" w:lineRule="auto"/>
        <w:rPr>
          <w:sz w:val="20"/>
          <w:szCs w:val="20"/>
          <w:color w:val="auto"/>
        </w:rPr>
      </w:pPr>
      <w:r>
        <w:rPr>
          <w:rFonts w:ascii="Times New Roman" w:cs="Times New Roman" w:eastAsia="Times New Roman" w:hAnsi="Times New Roman"/>
          <w:sz w:val="22"/>
          <w:szCs w:val="22"/>
          <w:color w:val="auto"/>
        </w:rPr>
        <w:t>to trade in Company securities outside of the Company’s trading windows, even when in possession of material, nonpublic information.</w:t>
      </w:r>
    </w:p>
    <w:p>
      <w:pPr>
        <w:spacing w:after="0" w:line="158" w:lineRule="exact"/>
        <w:rPr>
          <w:sz w:val="20"/>
          <w:szCs w:val="20"/>
          <w:color w:val="auto"/>
        </w:rPr>
      </w:pPr>
    </w:p>
    <w:p>
      <w:pPr>
        <w:ind w:left="8" w:right="10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8" w:hanging="759"/>
        <w:spacing w:after="0"/>
        <w:tabs>
          <w:tab w:leader="none" w:pos="150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04" w:lineRule="exact"/>
        <w:rPr>
          <w:sz w:val="20"/>
          <w:szCs w:val="20"/>
          <w:color w:val="auto"/>
        </w:rPr>
      </w:pPr>
    </w:p>
    <w:p>
      <w:pPr>
        <w:ind w:left="8" w:right="3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the exercise of an option to purchase securities of the Company when payment of the exercise price is made in cash. However, the exercise of an option to purchase securities of the Company is subject to the current reporting requirements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803275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8"/>
          </w:cols>
          <w:pgMar w:left="552" w:top="1440" w:right="659" w:bottom="1440" w:gutter="0" w:footer="0" w:header="0"/>
        </w:sectPr>
      </w:pPr>
    </w:p>
    <w:bookmarkStart w:id="156" w:name="page157"/>
    <w:bookmarkEnd w:id="156"/>
    <w:p>
      <w:pPr>
        <w:spacing w:after="0" w:line="360" w:lineRule="exact"/>
        <w:rPr>
          <w:sz w:val="20"/>
          <w:szCs w:val="20"/>
          <w:color w:val="auto"/>
        </w:rPr>
      </w:pPr>
    </w:p>
    <w:p>
      <w:pPr>
        <w:ind w:left="8" w:right="40"/>
        <w:spacing w:after="0" w:line="235" w:lineRule="auto"/>
        <w:rPr>
          <w:sz w:val="20"/>
          <w:szCs w:val="20"/>
          <w:color w:val="auto"/>
        </w:rPr>
      </w:pPr>
      <w:r>
        <w:rPr>
          <w:rFonts w:ascii="Times New Roman" w:cs="Times New Roman" w:eastAsia="Times New Roman" w:hAnsi="Times New Roman"/>
          <w:sz w:val="22"/>
          <w:szCs w:val="22"/>
          <w:color w:val="auto"/>
        </w:rPr>
        <w:t>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 assisted cashless exercise of an option, or any other market sale for the purpose of generating the cash needed to pay the exercise price of an option.</w:t>
      </w:r>
    </w:p>
    <w:p>
      <w:pPr>
        <w:spacing w:after="0" w:line="177" w:lineRule="exact"/>
        <w:rPr>
          <w:sz w:val="20"/>
          <w:szCs w:val="20"/>
          <w:color w:val="auto"/>
        </w:rPr>
      </w:pPr>
    </w:p>
    <w:p>
      <w:pPr>
        <w:ind w:left="8" w:right="4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1" w:lineRule="exact"/>
        <w:rPr>
          <w:sz w:val="20"/>
          <w:szCs w:val="20"/>
          <w:color w:val="auto"/>
        </w:rPr>
      </w:pPr>
    </w:p>
    <w:p>
      <w:pPr>
        <w:jc w:val="both"/>
        <w:ind w:left="8"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apply to periodic wage withholding contributions by the Company or employees of the Company which are used to purchase the Company’s securities pursuant to the employees’ advance instructions under the Company’s 2021 Employee Stock Purchase Plan.</w:t>
      </w:r>
    </w:p>
    <w:p>
      <w:pPr>
        <w:spacing w:after="0" w:line="3" w:lineRule="exact"/>
        <w:rPr>
          <w:sz w:val="20"/>
          <w:szCs w:val="20"/>
          <w:color w:val="auto"/>
        </w:rPr>
      </w:pPr>
    </w:p>
    <w:p>
      <w:pPr>
        <w:ind w:left="8" w:right="120"/>
        <w:spacing w:after="0" w:line="234" w:lineRule="auto"/>
        <w:rPr>
          <w:sz w:val="20"/>
          <w:szCs w:val="20"/>
          <w:color w:val="auto"/>
        </w:rPr>
      </w:pPr>
      <w:r>
        <w:rPr>
          <w:rFonts w:ascii="Times New Roman" w:cs="Times New Roman" w:eastAsia="Times New Roman" w:hAnsi="Times New Roman"/>
          <w:sz w:val="22"/>
          <w:szCs w:val="22"/>
          <w:color w:val="auto"/>
        </w:rPr>
        <w:t>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77" w:lineRule="exact"/>
        <w:rPr>
          <w:sz w:val="20"/>
          <w:szCs w:val="20"/>
          <w:color w:val="auto"/>
        </w:rPr>
      </w:pPr>
    </w:p>
    <w:p>
      <w:pPr>
        <w:ind w:left="748" w:hanging="748"/>
        <w:spacing w:after="0"/>
        <w:tabs>
          <w:tab w:leader="none" w:pos="748" w:val="left"/>
        </w:tabs>
        <w:numPr>
          <w:ilvl w:val="0"/>
          <w:numId w:val="9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33" w:lineRule="exact"/>
        <w:rPr>
          <w:sz w:val="20"/>
          <w:szCs w:val="20"/>
          <w:color w:val="auto"/>
        </w:rPr>
      </w:pPr>
    </w:p>
    <w:p>
      <w:pPr>
        <w:ind w:left="8" w:right="12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contained herein, in a specific instance may be authorized in writing by the Compliance Officer or his or her designee, and any such waiver shall be reported to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1177925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7" w:name="page158"/>
    <w:bookmarkEnd w:id="157"/>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will be delivered to all current Insiders and to all directors, officers, employees and designated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hereto must be returned within ten (10) days of receipt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Conor Kilroy General Counsel Aura</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Biosciences, Inc.</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80 Guest Street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Boston, MA 02135</w:t>
      </w:r>
    </w:p>
    <w:p>
      <w:pPr>
        <w:spacing w:after="0" w:line="209" w:lineRule="exact"/>
        <w:rPr>
          <w:sz w:val="20"/>
          <w:szCs w:val="20"/>
          <w:color w:val="auto"/>
        </w:rPr>
      </w:pPr>
    </w:p>
    <w:p>
      <w:pPr>
        <w:ind w:right="20" w:firstLine="750"/>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200"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 or his or her designee.</w:t>
      </w:r>
    </w:p>
    <w:p>
      <w:pPr>
        <w:spacing w:after="0" w:line="177" w:lineRule="exact"/>
        <w:rPr>
          <w:sz w:val="20"/>
          <w:szCs w:val="20"/>
          <w:color w:val="auto"/>
        </w:rPr>
      </w:pPr>
    </w:p>
    <w:p>
      <w:pPr>
        <w:jc w:val="center"/>
        <w:ind w:right="-3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w:t>
      </w:r>
    </w:p>
    <w:p>
      <w:pPr>
        <w:spacing w:after="0" w:line="206" w:lineRule="exact"/>
        <w:rPr>
          <w:sz w:val="20"/>
          <w:szCs w:val="20"/>
          <w:color w:val="auto"/>
        </w:rPr>
      </w:pPr>
    </w:p>
    <w:p>
      <w:pPr>
        <w:ind w:left="740" w:right="1440"/>
        <w:spacing w:after="0" w:line="258" w:lineRule="auto"/>
        <w:rPr>
          <w:sz w:val="20"/>
          <w:szCs w:val="20"/>
          <w:color w:val="auto"/>
        </w:rPr>
      </w:pPr>
      <w:r>
        <w:rPr>
          <w:rFonts w:ascii="Times New Roman" w:cs="Times New Roman" w:eastAsia="Times New Roman" w:hAnsi="Times New Roman"/>
          <w:sz w:val="22"/>
          <w:szCs w:val="22"/>
          <w:color w:val="auto"/>
        </w:rPr>
        <w:t>Amended and Restated adopted and effective September 26, 2023. Amended and Restated adopted and effective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782320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1440" w:right="599" w:bottom="1440" w:gutter="0" w:footer="0" w:header="0"/>
        </w:sectPr>
      </w:pPr>
    </w:p>
    <w:bookmarkStart w:id="158" w:name="page159"/>
    <w:bookmarkEnd w:id="158"/>
    <w:p>
      <w:pPr>
        <w:spacing w:after="0" w:line="14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5" w:lineRule="exact"/>
        <w:rPr>
          <w:sz w:val="20"/>
          <w:szCs w:val="20"/>
          <w:color w:val="auto"/>
        </w:rPr>
      </w:pPr>
    </w:p>
    <w:p>
      <w:pPr>
        <w:ind w:left="84" w:right="320"/>
        <w:spacing w:after="0" w:line="269" w:lineRule="auto"/>
        <w:rPr>
          <w:sz w:val="20"/>
          <w:szCs w:val="20"/>
          <w:color w:val="auto"/>
        </w:rPr>
      </w:pPr>
      <w:r>
        <w:rPr>
          <w:rFonts w:ascii="Times New Roman" w:cs="Times New Roman" w:eastAsia="Times New Roman" w:hAnsi="Times New Roman"/>
          <w:sz w:val="20"/>
          <w:szCs w:val="20"/>
          <w:color w:val="auto"/>
        </w:rPr>
        <w:t>Pursuant to Aura Biosciences, Inc.’s Insider Trading Policy, I hereby notify Aura Biosciences, Inc. (the “Company”) of my intent to trade the securities of the Company as indicated below:</w:t>
      </w:r>
    </w:p>
    <w:p>
      <w:pPr>
        <w:spacing w:after="0" w:line="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-125095</wp:posOffset>
            </wp:positionV>
            <wp:extent cx="7145020" cy="54603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45020" cy="5460365"/>
                    </a:xfrm>
                    <a:prstGeom prst="rect">
                      <a:avLst/>
                    </a:prstGeom>
                    <a:noFill/>
                  </pic:spPr>
                </pic:pic>
              </a:graphicData>
            </a:graphic>
          </wp:anchor>
        </w:drawing>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Insider’s Name: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INTENT TO PURCHASE</w:t>
      </w: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Intended trade date:</w:t>
      </w:r>
    </w:p>
    <w:p>
      <w:pPr>
        <w:spacing w:after="0" w:line="27" w:lineRule="exact"/>
        <w:rPr>
          <w:sz w:val="20"/>
          <w:szCs w:val="20"/>
          <w:color w:val="auto"/>
        </w:rPr>
      </w:pPr>
    </w:p>
    <w:p>
      <w:pPr>
        <w:ind w:left="4"/>
        <w:spacing w:after="0" w:line="207" w:lineRule="exact"/>
        <w:tabs>
          <w:tab w:leader="none" w:pos="2203" w:val="left"/>
        </w:tabs>
        <w:rPr>
          <w:sz w:val="20"/>
          <w:szCs w:val="20"/>
          <w:color w:val="auto"/>
        </w:rPr>
      </w:pPr>
      <w:r>
        <w:rPr>
          <w:rFonts w:ascii="Times New Roman" w:cs="Times New Roman" w:eastAsia="Times New Roman" w:hAnsi="Times New Roman"/>
          <w:sz w:val="18"/>
          <w:szCs w:val="18"/>
          <w:color w:val="auto"/>
        </w:rPr>
        <w:t>Means of acquiring shares: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Acquisition through employee benefit plan (please specify):</w:t>
      </w:r>
    </w:p>
    <w:p>
      <w:pPr>
        <w:spacing w:after="0" w:line="200" w:lineRule="exact"/>
        <w:rPr>
          <w:sz w:val="20"/>
          <w:szCs w:val="20"/>
          <w:color w:val="auto"/>
        </w:rPr>
      </w:pPr>
    </w:p>
    <w:p>
      <w:pPr>
        <w:spacing w:after="0" w:line="263" w:lineRule="exact"/>
        <w:rPr>
          <w:sz w:val="20"/>
          <w:szCs w:val="20"/>
          <w:color w:val="auto"/>
        </w:rPr>
      </w:pPr>
    </w:p>
    <w:p>
      <w:pPr>
        <w:ind w:left="2504" w:hanging="276"/>
        <w:spacing w:after="0"/>
        <w:tabs>
          <w:tab w:leader="none" w:pos="2504"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through a broker on the open market</w:t>
      </w:r>
    </w:p>
    <w:p>
      <w:pPr>
        <w:spacing w:after="0" w:line="225" w:lineRule="exact"/>
        <w:rPr>
          <w:rFonts w:ascii="MS PGothic" w:cs="MS PGothic" w:eastAsia="MS PGothic" w:hAnsi="MS PGothic"/>
          <w:sz w:val="18"/>
          <w:szCs w:val="18"/>
          <w:color w:val="auto"/>
        </w:rPr>
      </w:pPr>
    </w:p>
    <w:p>
      <w:pPr>
        <w:ind w:left="2504" w:hanging="276"/>
        <w:spacing w:after="0"/>
        <w:tabs>
          <w:tab w:leader="none" w:pos="2504"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(please specify):</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INTENT TO SELL</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Intended trade date:</w:t>
      </w:r>
    </w:p>
    <w:p>
      <w:pPr>
        <w:spacing w:after="0" w:line="27" w:lineRule="exact"/>
        <w:rPr>
          <w:sz w:val="20"/>
          <w:szCs w:val="20"/>
          <w:color w:val="auto"/>
        </w:rPr>
      </w:pPr>
    </w:p>
    <w:p>
      <w:pPr>
        <w:ind w:left="4"/>
        <w:spacing w:after="0" w:line="207" w:lineRule="exact"/>
        <w:tabs>
          <w:tab w:leader="none" w:pos="2203" w:val="left"/>
        </w:tabs>
        <w:rPr>
          <w:sz w:val="20"/>
          <w:szCs w:val="20"/>
          <w:color w:val="auto"/>
        </w:rPr>
      </w:pPr>
      <w:r>
        <w:rPr>
          <w:rFonts w:ascii="Times New Roman" w:cs="Times New Roman" w:eastAsia="Times New Roman" w:hAnsi="Times New Roman"/>
          <w:sz w:val="18"/>
          <w:szCs w:val="18"/>
          <w:color w:val="auto"/>
        </w:rPr>
        <w:t>Means of selling shares: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Sale through employee benefit plan (please specify):</w:t>
      </w:r>
    </w:p>
    <w:p>
      <w:pPr>
        <w:spacing w:after="0" w:line="200" w:lineRule="exact"/>
        <w:rPr>
          <w:sz w:val="20"/>
          <w:szCs w:val="20"/>
          <w:color w:val="auto"/>
        </w:rPr>
      </w:pPr>
    </w:p>
    <w:p>
      <w:pPr>
        <w:spacing w:after="0" w:line="263" w:lineRule="exact"/>
        <w:rPr>
          <w:sz w:val="20"/>
          <w:szCs w:val="20"/>
          <w:color w:val="auto"/>
        </w:rPr>
      </w:pPr>
    </w:p>
    <w:p>
      <w:pPr>
        <w:ind w:left="2504" w:hanging="276"/>
        <w:spacing w:after="0"/>
        <w:tabs>
          <w:tab w:leader="none" w:pos="2504"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Sale through a broker on the open market</w:t>
      </w:r>
    </w:p>
    <w:p>
      <w:pPr>
        <w:spacing w:after="0" w:line="225" w:lineRule="exact"/>
        <w:rPr>
          <w:rFonts w:ascii="MS PGothic" w:cs="MS PGothic" w:eastAsia="MS PGothic" w:hAnsi="MS PGothic"/>
          <w:sz w:val="18"/>
          <w:szCs w:val="18"/>
          <w:color w:val="auto"/>
        </w:rPr>
      </w:pPr>
    </w:p>
    <w:p>
      <w:pPr>
        <w:ind w:left="2504" w:hanging="276"/>
        <w:spacing w:after="0"/>
        <w:tabs>
          <w:tab w:leader="none" w:pos="2504"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(please specify):</w:t>
      </w:r>
    </w:p>
    <w:p>
      <w:pPr>
        <w:spacing w:after="0" w:line="73"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7"/>
          <w:szCs w:val="17"/>
          <w:b w:val="1"/>
          <w:bCs w:val="1"/>
          <w:color w:val="auto"/>
        </w:rPr>
        <w:t>RULE 144 (Not applicable if transaction requested involves a</w:t>
      </w:r>
    </w:p>
    <w:p>
      <w:pPr>
        <w:spacing w:after="0" w:line="43" w:lineRule="exact"/>
        <w:rPr>
          <w:sz w:val="20"/>
          <w:szCs w:val="20"/>
          <w:color w:val="auto"/>
        </w:rPr>
      </w:pPr>
    </w:p>
    <w:p>
      <w:pPr>
        <w:ind w:left="2064"/>
        <w:spacing w:after="0"/>
        <w:tabs>
          <w:tab w:leader="none" w:pos="7943"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8"/>
          <w:szCs w:val="18"/>
          <w:b w:val="1"/>
          <w:bCs w:val="1"/>
          <w:color w:val="auto"/>
        </w:rPr>
        <w:t>purchase)</w:t>
      </w:r>
    </w:p>
    <w:p>
      <w:pPr>
        <w:sectPr>
          <w:pgSz w:w="11900" w:h="16838" w:orient="portrait"/>
          <w:cols w:equalWidth="0" w:num="1">
            <w:col w:w="10864"/>
          </w:cols>
          <w:pgMar w:left="476" w:top="1440" w:right="559" w:bottom="1440" w:gutter="0" w:footer="0" w:header="0"/>
        </w:sectPr>
      </w:pPr>
    </w:p>
    <w:p>
      <w:pPr>
        <w:spacing w:after="0" w:line="9" w:lineRule="exact"/>
        <w:rPr>
          <w:sz w:val="20"/>
          <w:szCs w:val="20"/>
          <w:color w:val="auto"/>
        </w:rPr>
      </w:pPr>
    </w:p>
    <w:p>
      <w:pPr>
        <w:ind w:left="504" w:hanging="504"/>
        <w:spacing w:after="0"/>
        <w:tabs>
          <w:tab w:leader="none" w:pos="504" w:val="left"/>
        </w:tabs>
        <w:numPr>
          <w:ilvl w:val="0"/>
          <w:numId w:val="10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am not subject to Section 16.</w:t>
      </w:r>
    </w:p>
    <w:p>
      <w:pPr>
        <w:spacing w:after="0" w:line="233" w:lineRule="exact"/>
        <w:rPr>
          <w:rFonts w:ascii="MS PGothic" w:cs="MS PGothic" w:eastAsia="MS PGothic" w:hAnsi="MS PGothic"/>
          <w:sz w:val="18"/>
          <w:szCs w:val="18"/>
          <w:color w:val="auto"/>
        </w:rPr>
      </w:pPr>
    </w:p>
    <w:p>
      <w:pPr>
        <w:ind w:left="464" w:hanging="464"/>
        <w:spacing w:after="0" w:line="261" w:lineRule="auto"/>
        <w:tabs>
          <w:tab w:leader="none" w:pos="464" w:val="left"/>
        </w:tabs>
        <w:numPr>
          <w:ilvl w:val="0"/>
          <w:numId w:val="10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best of my knowledge, I have not (and am not deemed to have) engaged in an opposite way transaction within the previous 6 months that was not exempt from Section 16(b) of the Exchange Act.</w:t>
      </w:r>
    </w:p>
    <w:p>
      <w:pPr>
        <w:spacing w:after="0" w:line="206" w:lineRule="exact"/>
        <w:rPr>
          <w:rFonts w:ascii="MS PGothic" w:cs="MS PGothic" w:eastAsia="MS PGothic" w:hAnsi="MS PGothic"/>
          <w:sz w:val="18"/>
          <w:szCs w:val="18"/>
          <w:color w:val="auto"/>
        </w:rPr>
      </w:pPr>
    </w:p>
    <w:p>
      <w:pPr>
        <w:ind w:left="464" w:hanging="464"/>
        <w:spacing w:after="0"/>
        <w:tabs>
          <w:tab w:leader="none" w:pos="464" w:val="left"/>
        </w:tabs>
        <w:numPr>
          <w:ilvl w:val="0"/>
          <w:numId w:val="10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None of the above.</w:t>
      </w:r>
    </w:p>
    <w:p>
      <w:pPr>
        <w:spacing w:after="0" w:line="20" w:lineRule="exact"/>
        <w:rPr>
          <w:sz w:val="20"/>
          <w:szCs w:val="20"/>
          <w:color w:val="auto"/>
        </w:rPr>
      </w:pPr>
      <w:r>
        <w:rPr>
          <w:sz w:val="20"/>
          <w:szCs w:val="20"/>
          <w:color w:val="auto"/>
        </w:rPr>
        <w:br w:type="column"/>
      </w:r>
    </w:p>
    <w:p>
      <w:pPr>
        <w:ind w:left="330" w:hanging="330"/>
        <w:spacing w:after="0" w:line="273" w:lineRule="auto"/>
        <w:tabs>
          <w:tab w:leader="none" w:pos="330" w:val="left"/>
        </w:tabs>
        <w:numPr>
          <w:ilvl w:val="0"/>
          <w:numId w:val="10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 am not an “affiliate” of the Company and the transaction requested above does not involve the sale of “restricted securities” (as such terms</w:t>
      </w:r>
    </w:p>
    <w:p>
      <w:pPr>
        <w:spacing w:after="0" w:line="1" w:lineRule="exact"/>
        <w:rPr>
          <w:sz w:val="20"/>
          <w:szCs w:val="20"/>
          <w:color w:val="auto"/>
        </w:rPr>
      </w:pPr>
    </w:p>
    <w:p>
      <w:pPr>
        <w:ind w:left="330" w:right="540"/>
        <w:spacing w:after="0" w:line="260" w:lineRule="auto"/>
        <w:rPr>
          <w:sz w:val="20"/>
          <w:szCs w:val="20"/>
          <w:color w:val="auto"/>
        </w:rPr>
      </w:pPr>
      <w:r>
        <w:rPr>
          <w:rFonts w:ascii="Times New Roman" w:cs="Times New Roman" w:eastAsia="Times New Roman" w:hAnsi="Times New Roman"/>
          <w:sz w:val="18"/>
          <w:szCs w:val="18"/>
          <w:color w:val="auto"/>
        </w:rPr>
        <w:t>are defined under Rule 144 under the Securities Act of 1933, as amended).</w:t>
      </w:r>
    </w:p>
    <w:p>
      <w:pPr>
        <w:spacing w:after="0" w:line="222" w:lineRule="exact"/>
        <w:rPr>
          <w:sz w:val="20"/>
          <w:szCs w:val="20"/>
          <w:color w:val="auto"/>
        </w:rPr>
      </w:pPr>
    </w:p>
    <w:p>
      <w:pPr>
        <w:ind w:left="330" w:right="660" w:hanging="330"/>
        <w:spacing w:after="0" w:line="282" w:lineRule="auto"/>
        <w:tabs>
          <w:tab w:leader="none" w:pos="330" w:val="left"/>
        </w:tabs>
        <w:numPr>
          <w:ilvl w:val="0"/>
          <w:numId w:val="10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best of my knowledge, the transaction requested above will meet all of the applicable conditions of Rule 144.</w:t>
      </w:r>
    </w:p>
    <w:p>
      <w:pPr>
        <w:spacing w:after="0" w:line="161" w:lineRule="exact"/>
        <w:rPr>
          <w:rFonts w:ascii="MS PGothic" w:cs="MS PGothic" w:eastAsia="MS PGothic" w:hAnsi="MS PGothic"/>
          <w:sz w:val="18"/>
          <w:szCs w:val="18"/>
          <w:color w:val="auto"/>
        </w:rPr>
      </w:pPr>
    </w:p>
    <w:p>
      <w:pPr>
        <w:ind w:left="330" w:right="500" w:hanging="330"/>
        <w:spacing w:after="0" w:line="282" w:lineRule="auto"/>
        <w:tabs>
          <w:tab w:leader="none" w:pos="330" w:val="left"/>
        </w:tabs>
        <w:numPr>
          <w:ilvl w:val="0"/>
          <w:numId w:val="10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transaction requested is being made pursuant to an effective registration statement covering such transaction.</w:t>
      </w:r>
    </w:p>
    <w:p>
      <w:pPr>
        <w:spacing w:after="0" w:line="200" w:lineRule="exact"/>
        <w:rPr>
          <w:sz w:val="20"/>
          <w:szCs w:val="20"/>
          <w:color w:val="auto"/>
        </w:rPr>
      </w:pPr>
    </w:p>
    <w:p>
      <w:pPr>
        <w:sectPr>
          <w:pgSz w:w="11900" w:h="16838" w:orient="portrait"/>
          <w:cols w:equalWidth="0" w:num="2">
            <w:col w:w="5164" w:space="250"/>
            <w:col w:w="5450"/>
          </w:cols>
          <w:pgMar w:left="476" w:top="1440" w:right="559" w:bottom="1440" w:gutter="0" w:footer="0" w:header="0"/>
          <w:type w:val="continuous"/>
        </w:sectPr>
      </w:pPr>
    </w:p>
    <w:p>
      <w:pPr>
        <w:spacing w:after="0" w:line="178" w:lineRule="exact"/>
        <w:rPr>
          <w:sz w:val="20"/>
          <w:szCs w:val="20"/>
          <w:color w:val="auto"/>
        </w:rPr>
      </w:pPr>
    </w:p>
    <w:p>
      <w:pPr>
        <w:ind w:left="5744" w:hanging="330"/>
        <w:spacing w:after="0"/>
        <w:tabs>
          <w:tab w:leader="none" w:pos="5744" w:val="left"/>
        </w:tabs>
        <w:numPr>
          <w:ilvl w:val="0"/>
          <w:numId w:val="10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None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1254760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4"/>
          </w:cols>
          <w:pgMar w:left="476" w:top="1440" w:right="559" w:bottom="1440" w:gutter="0" w:footer="0" w:header="0"/>
          <w:type w:val="continuous"/>
        </w:sectPr>
      </w:pPr>
    </w:p>
    <w:bookmarkStart w:id="159" w:name="page160"/>
    <w:bookmarkEnd w:id="159"/>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17145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45020" cy="1714500"/>
                    </a:xfrm>
                    <a:prstGeom prst="rect">
                      <a:avLst/>
                    </a:prstGeom>
                    <a:noFill/>
                  </pic:spPr>
                </pic:pic>
              </a:graphicData>
            </a:graphic>
          </wp:anchor>
        </w:drawing>
      </w:r>
    </w:p>
    <w:p>
      <w:pPr>
        <w:spacing w:after="0" w:line="74" w:lineRule="exact"/>
        <w:rPr>
          <w:sz w:val="20"/>
          <w:szCs w:val="20"/>
          <w:color w:val="auto"/>
        </w:rPr>
      </w:pPr>
    </w:p>
    <w:p>
      <w:pPr>
        <w:ind w:left="260" w:right="24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Statement of Company Policy on Insider Trading and Disclosure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Insider’s Signature</w:t>
            </w:r>
          </w:p>
        </w:tc>
        <w:tc>
          <w:tcPr>
            <w:tcW w:w="440" w:type="dxa"/>
            <w:vAlign w:val="bottom"/>
          </w:tcPr>
          <w:p>
            <w:pPr>
              <w:spacing w:after="0"/>
              <w:rPr>
                <w:sz w:val="21"/>
                <w:szCs w:val="21"/>
                <w:color w:val="auto"/>
              </w:rPr>
            </w:pPr>
          </w:p>
        </w:tc>
        <w:tc>
          <w:tcPr>
            <w:tcW w:w="5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Borders>
              <w:right w:val="single" w:sz="8" w:color="auto"/>
            </w:tcBorders>
          </w:tcPr>
          <w:p>
            <w:pPr>
              <w:spacing w:after="0"/>
              <w:rPr>
                <w:sz w:val="21"/>
                <w:szCs w:val="21"/>
                <w:color w:val="auto"/>
              </w:rPr>
            </w:pPr>
          </w:p>
        </w:tc>
      </w:tr>
      <w:tr>
        <w:trPr>
          <w:trHeight w:val="49"/>
        </w:trPr>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169"/>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AUTHORIZED APPROVAL</w:t>
            </w:r>
          </w:p>
        </w:tc>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r>
      <w:tr>
        <w:trPr>
          <w:trHeight w:val="122"/>
        </w:trPr>
        <w:tc>
          <w:tcPr>
            <w:tcW w:w="2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228"/>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 of Compliance Officer (or designee)</w:t>
            </w:r>
          </w:p>
        </w:tc>
        <w:tc>
          <w:tcPr>
            <w:tcW w:w="440" w:type="dxa"/>
            <w:vAlign w:val="bottom"/>
          </w:tcPr>
          <w:p>
            <w:pPr>
              <w:spacing w:after="0"/>
              <w:rPr>
                <w:sz w:val="19"/>
                <w:szCs w:val="19"/>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Pr>
          <w:p>
            <w:pPr>
              <w:spacing w:after="0"/>
              <w:rPr>
                <w:sz w:val="19"/>
                <w:szCs w:val="19"/>
                <w:color w:val="auto"/>
              </w:rPr>
            </w:pPr>
          </w:p>
        </w:tc>
      </w:tr>
    </w:tbl>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ind w:left="240" w:right="260" w:firstLine="749"/>
        <w:spacing w:after="0" w:line="235" w:lineRule="auto"/>
        <w:rPr>
          <w:sz w:val="20"/>
          <w:szCs w:val="20"/>
          <w:color w:val="auto"/>
        </w:rPr>
      </w:pPr>
      <w:r>
        <w:rPr>
          <w:rFonts w:ascii="Times New Roman" w:cs="Times New Roman" w:eastAsia="Times New Roman" w:hAnsi="Times New Roman"/>
          <w:sz w:val="22"/>
          <w:szCs w:val="22"/>
          <w:color w:val="auto"/>
        </w:rPr>
        <w:t xml:space="preserve">I hereby acknowledge that I have read, that I understand, and that I agree to comply with, the Insider Trading Policy of </w:t>
      </w:r>
      <w:r>
        <w:rPr>
          <w:rFonts w:ascii="Times New Roman" w:cs="Times New Roman" w:eastAsia="Times New Roman" w:hAnsi="Times New Roman"/>
          <w:sz w:val="19"/>
          <w:szCs w:val="19"/>
          <w:color w:val="auto"/>
        </w:rPr>
        <w:t>Aura Biosciences, Inc.</w:t>
      </w:r>
      <w:r>
        <w:rPr>
          <w:rFonts w:ascii="Times New Roman" w:cs="Times New Roman" w:eastAsia="Times New Roman" w:hAnsi="Times New Roman"/>
          <w:sz w:val="22"/>
          <w:szCs w:val="22"/>
          <w:color w:val="auto"/>
        </w:rPr>
        <w:t xml:space="preserve"> (the “Company”). I further acknowledge and agree that I am responsible for ensuring compliance with the Insider Trading Policy and the Trading Procedures included therein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___________________________________</w:t>
            </w:r>
          </w:p>
        </w:tc>
        <w:tc>
          <w:tcPr>
            <w:tcW w:w="66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Signature: _____________________________________</w:t>
            </w:r>
          </w:p>
        </w:tc>
      </w:tr>
      <w:tr>
        <w:trPr>
          <w:trHeight w:val="216"/>
        </w:trPr>
        <w:tc>
          <w:tcPr>
            <w:tcW w:w="4620" w:type="dxa"/>
            <w:vAlign w:val="bottom"/>
          </w:tcPr>
          <w:p>
            <w:pPr>
              <w:spacing w:after="0"/>
              <w:rPr>
                <w:sz w:val="18"/>
                <w:szCs w:val="18"/>
                <w:color w:val="auto"/>
              </w:rPr>
            </w:pPr>
          </w:p>
        </w:tc>
        <w:tc>
          <w:tcPr>
            <w:tcW w:w="16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_____________________________________</w:t>
            </w:r>
          </w:p>
        </w:tc>
      </w:tr>
      <w:tr>
        <w:trPr>
          <w:trHeight w:val="234"/>
        </w:trPr>
        <w:tc>
          <w:tcPr>
            <w:tcW w:w="4620" w:type="dxa"/>
            <w:vAlign w:val="bottom"/>
          </w:tcPr>
          <w:p>
            <w:pPr>
              <w:spacing w:after="0"/>
              <w:rPr>
                <w:sz w:val="20"/>
                <w:szCs w:val="20"/>
                <w:color w:val="auto"/>
              </w:rPr>
            </w:pPr>
          </w:p>
        </w:tc>
        <w:tc>
          <w:tcPr>
            <w:tcW w:w="16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_____________________________________</w:t>
            </w:r>
          </w:p>
        </w:tc>
      </w:tr>
      <w:tr>
        <w:trPr>
          <w:trHeight w:val="2005"/>
        </w:trPr>
        <w:tc>
          <w:tcPr>
            <w:tcW w:w="46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Subsidiaries of Registrant</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5300" w:type="dxa"/>
            <w:vAlign w:val="bottom"/>
          </w:tcPr>
          <w:p>
            <w:pPr>
              <w:jc w:val="center"/>
              <w:ind w:right="216"/>
              <w:spacing w:after="0"/>
              <w:rPr>
                <w:sz w:val="20"/>
                <w:szCs w:val="20"/>
                <w:color w:val="auto"/>
              </w:rPr>
            </w:pPr>
            <w:r>
              <w:rPr>
                <w:rFonts w:ascii="Times New Roman" w:cs="Times New Roman" w:eastAsia="Times New Roman" w:hAnsi="Times New Roman"/>
                <w:sz w:val="20"/>
                <w:szCs w:val="20"/>
                <w:color w:val="auto"/>
                <w:w w:val="98"/>
              </w:rPr>
              <w:t>Jurisdiction of Incorporation</w:t>
            </w:r>
          </w:p>
        </w:tc>
      </w:tr>
      <w:tr>
        <w:trPr>
          <w:trHeight w:val="252"/>
        </w:trPr>
        <w:tc>
          <w:tcPr>
            <w:tcW w:w="59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20"/>
                <w:szCs w:val="20"/>
                <w:color w:val="auto"/>
                <w:w w:val="98"/>
              </w:rPr>
              <w:t>Subsidiary</w:t>
            </w:r>
          </w:p>
        </w:tc>
        <w:tc>
          <w:tcPr>
            <w:tcW w:w="53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20"/>
                <w:szCs w:val="20"/>
                <w:color w:val="auto"/>
                <w:w w:val="99"/>
              </w:rPr>
              <w:t>or Organization</w:t>
            </w:r>
          </w:p>
        </w:tc>
      </w:tr>
      <w:tr>
        <w:trPr>
          <w:trHeight w:val="209"/>
        </w:trPr>
        <w:tc>
          <w:tcPr>
            <w:tcW w:w="5940" w:type="dxa"/>
            <w:vAlign w:val="bottom"/>
          </w:tcPr>
          <w:p>
            <w:pPr>
              <w:jc w:val="center"/>
              <w:ind w:right="194"/>
              <w:spacing w:after="0" w:line="209" w:lineRule="exact"/>
              <w:rPr>
                <w:sz w:val="20"/>
                <w:szCs w:val="20"/>
                <w:color w:val="auto"/>
              </w:rPr>
            </w:pPr>
            <w:r>
              <w:rPr>
                <w:rFonts w:ascii="Times New Roman" w:cs="Times New Roman" w:eastAsia="Times New Roman" w:hAnsi="Times New Roman"/>
                <w:sz w:val="22"/>
                <w:szCs w:val="22"/>
                <w:color w:val="auto"/>
                <w:w w:val="98"/>
              </w:rPr>
              <w:t>Aura Biosciences Securities Corporation</w:t>
            </w:r>
          </w:p>
        </w:tc>
        <w:tc>
          <w:tcPr>
            <w:tcW w:w="5300" w:type="dxa"/>
            <w:vAlign w:val="bottom"/>
          </w:tcPr>
          <w:p>
            <w:pPr>
              <w:jc w:val="center"/>
              <w:ind w:right="216"/>
              <w:spacing w:after="0" w:line="209" w:lineRule="exact"/>
              <w:rPr>
                <w:sz w:val="20"/>
                <w:szCs w:val="20"/>
                <w:color w:val="auto"/>
              </w:rPr>
            </w:pPr>
            <w:r>
              <w:rPr>
                <w:rFonts w:ascii="Times New Roman" w:cs="Times New Roman" w:eastAsia="Times New Roman" w:hAnsi="Times New Roman"/>
                <w:sz w:val="22"/>
                <w:szCs w:val="22"/>
                <w:color w:val="auto"/>
                <w:w w:val="99"/>
              </w:rPr>
              <w:t>Massachusetts</w:t>
            </w:r>
          </w:p>
        </w:tc>
      </w:tr>
      <w:tr>
        <w:trPr>
          <w:trHeight w:val="243"/>
        </w:trPr>
        <w:tc>
          <w:tcPr>
            <w:tcW w:w="5940" w:type="dxa"/>
            <w:vAlign w:val="bottom"/>
          </w:tcPr>
          <w:p>
            <w:pPr>
              <w:jc w:val="center"/>
              <w:ind w:right="214"/>
              <w:spacing w:after="0" w:line="243" w:lineRule="exact"/>
              <w:rPr>
                <w:sz w:val="20"/>
                <w:szCs w:val="20"/>
                <w:color w:val="auto"/>
              </w:rPr>
            </w:pPr>
            <w:r>
              <w:rPr>
                <w:rFonts w:ascii="Times New Roman" w:cs="Times New Roman" w:eastAsia="Times New Roman" w:hAnsi="Times New Roman"/>
                <w:sz w:val="22"/>
                <w:szCs w:val="22"/>
                <w:color w:val="auto"/>
                <w:w w:val="98"/>
              </w:rPr>
              <w:t>Aura Biosciences B.V.</w:t>
            </w:r>
          </w:p>
        </w:tc>
        <w:tc>
          <w:tcPr>
            <w:tcW w:w="5300" w:type="dxa"/>
            <w:vAlign w:val="bottom"/>
          </w:tcPr>
          <w:p>
            <w:pPr>
              <w:jc w:val="center"/>
              <w:ind w:right="196"/>
              <w:spacing w:after="0" w:line="243" w:lineRule="exact"/>
              <w:rPr>
                <w:sz w:val="20"/>
                <w:szCs w:val="20"/>
                <w:color w:val="auto"/>
              </w:rPr>
            </w:pPr>
            <w:r>
              <w:rPr>
                <w:rFonts w:ascii="Times New Roman" w:cs="Times New Roman" w:eastAsia="Times New Roman" w:hAnsi="Times New Roman"/>
                <w:sz w:val="22"/>
                <w:szCs w:val="22"/>
                <w:color w:val="auto"/>
                <w:w w:val="97"/>
              </w:rPr>
              <w:t>Netherlands</w:t>
            </w:r>
          </w:p>
        </w:tc>
      </w:tr>
      <w:tr>
        <w:trPr>
          <w:trHeight w:val="282"/>
        </w:trPr>
        <w:tc>
          <w:tcPr>
            <w:tcW w:w="5940" w:type="dxa"/>
            <w:vAlign w:val="bottom"/>
          </w:tcPr>
          <w:p>
            <w:pPr>
              <w:jc w:val="center"/>
              <w:ind w:right="194"/>
              <w:spacing w:after="0"/>
              <w:rPr>
                <w:sz w:val="20"/>
                <w:szCs w:val="20"/>
                <w:color w:val="auto"/>
              </w:rPr>
            </w:pPr>
            <w:r>
              <w:rPr>
                <w:rFonts w:ascii="Times New Roman" w:cs="Times New Roman" w:eastAsia="Times New Roman" w:hAnsi="Times New Roman"/>
                <w:sz w:val="22"/>
                <w:szCs w:val="22"/>
                <w:color w:val="auto"/>
                <w:w w:val="98"/>
              </w:rPr>
              <w:t>Aura Biosciences GmbH</w:t>
            </w:r>
          </w:p>
        </w:tc>
        <w:tc>
          <w:tcPr>
            <w:tcW w:w="5300" w:type="dxa"/>
            <w:vAlign w:val="bottom"/>
          </w:tcPr>
          <w:p>
            <w:pPr>
              <w:jc w:val="center"/>
              <w:ind w:right="196"/>
              <w:spacing w:after="0"/>
              <w:rPr>
                <w:sz w:val="20"/>
                <w:szCs w:val="20"/>
                <w:color w:val="auto"/>
              </w:rPr>
            </w:pPr>
            <w:r>
              <w:rPr>
                <w:rFonts w:ascii="Times New Roman" w:cs="Times New Roman" w:eastAsia="Times New Roman" w:hAnsi="Times New Roman"/>
                <w:sz w:val="22"/>
                <w:szCs w:val="22"/>
                <w:color w:val="auto"/>
                <w:w w:val="97"/>
              </w:rPr>
              <w:t>Germany</w:t>
            </w:r>
          </w:p>
        </w:tc>
      </w:tr>
      <w:tr>
        <w:trPr>
          <w:trHeight w:val="1615"/>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jc w:val="both"/>
        <w:ind w:left="760" w:hanging="378"/>
        <w:spacing w:after="0" w:line="238"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333-260589) pertaining to the 2009 Amended and Restated Stock Option and Restricted Stock Plan, 2018 Equity Incentive Plan, Aura Biosciences, Inc. 2021 Stock Option and Incentive Plan, and Aura Biosciences, Inc. 2021 Employee Stock Purchase Plan,</w:t>
      </w:r>
    </w:p>
    <w:p>
      <w:pPr>
        <w:ind w:left="760" w:hanging="378"/>
        <w:spacing w:after="0" w:line="230"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333-263801) pertaining to the Aura Biosciences, Inc. 2021 Stock Option and Incentive Plan and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333-270571) pertaining to the Aura Biosciences, Inc. 2021 Stock Option and Incentive Plan and the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333-278252) pertaining to the Aura Biosciences, Inc. 2021 Stock Option and Incentive Plan and the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333-268105) of Aura Biosciences, Inc., and</w:t>
      </w:r>
    </w:p>
    <w:p>
      <w:pPr>
        <w:ind w:left="760" w:hanging="378"/>
        <w:spacing w:after="0"/>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333-278253) of Aura Biosciences, Inc.</w:t>
      </w:r>
    </w:p>
    <w:p>
      <w:pPr>
        <w:spacing w:after="0" w:line="2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of our report dated March 24, 2025, with respect to the consolidated financial statements of Aura Biosciences, Inc. included in this Annual Report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1"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520" w:firstLine="8"/>
        <w:spacing w:after="0" w:line="286"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firstLine="8"/>
        <w:spacing w:after="0" w:line="266"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right="200" w:firstLine="368"/>
        <w:spacing w:after="0" w:line="266"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720" w:hanging="352"/>
        <w:spacing w:after="0"/>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1" w:lineRule="exact"/>
        <w:rPr>
          <w:rFonts w:ascii="Arial" w:cs="Arial" w:eastAsia="Arial" w:hAnsi="Arial"/>
          <w:sz w:val="16"/>
          <w:szCs w:val="16"/>
          <w:color w:val="auto"/>
        </w:rPr>
      </w:pPr>
    </w:p>
    <w:p>
      <w:pPr>
        <w:ind w:right="12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right="780" w:firstLine="368"/>
        <w:spacing w:after="0" w:line="286"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right="20" w:firstLine="368"/>
        <w:spacing w:after="0" w:line="266"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right="380" w:firstLine="368"/>
        <w:spacing w:after="0" w:line="286"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right="320" w:firstLine="368"/>
        <w:spacing w:after="0" w:line="286" w:lineRule="auto"/>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80"/>
        <w:spacing w:after="0"/>
        <w:tabs>
          <w:tab w:leader="none" w:pos="620" w:val="left"/>
          <w:tab w:leader="none" w:pos="5900" w:val="left"/>
          <w:tab w:leader="none" w:pos="7900" w:val="left"/>
        </w:tabs>
        <w:rPr>
          <w:sz w:val="20"/>
          <w:szCs w:val="20"/>
          <w:color w:val="auto"/>
        </w:rPr>
      </w:pPr>
      <w:r>
        <w:rPr>
          <w:rFonts w:ascii="Arial" w:cs="Arial" w:eastAsia="Arial" w:hAnsi="Arial"/>
          <w:sz w:val="16"/>
          <w:szCs w:val="16"/>
          <w:color w:val="auto"/>
        </w:rPr>
        <w:t>Date:</w:t>
        <w:tab/>
        <w:t>March 24,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Amy Elazzouzi, certify that:</w:t>
      </w:r>
    </w:p>
    <w:p>
      <w:pPr>
        <w:spacing w:after="0" w:line="221"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520" w:firstLine="8"/>
        <w:spacing w:after="0" w:line="286"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firstLine="8"/>
        <w:spacing w:after="0" w:line="266"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right="200" w:firstLine="368"/>
        <w:spacing w:after="0" w:line="266" w:lineRule="auto"/>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720" w:hanging="352"/>
        <w:spacing w:after="0"/>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1" w:lineRule="exact"/>
        <w:rPr>
          <w:rFonts w:ascii="Arial" w:cs="Arial" w:eastAsia="Arial" w:hAnsi="Arial"/>
          <w:sz w:val="16"/>
          <w:szCs w:val="16"/>
          <w:color w:val="auto"/>
        </w:rPr>
      </w:pPr>
    </w:p>
    <w:p>
      <w:pPr>
        <w:ind w:right="12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right="780" w:firstLine="368"/>
        <w:spacing w:after="0" w:line="286" w:lineRule="auto"/>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right="20" w:firstLine="368"/>
        <w:spacing w:after="0" w:line="266" w:lineRule="auto"/>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right="380" w:firstLine="368"/>
        <w:spacing w:after="0" w:line="286" w:lineRule="auto"/>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right="320" w:firstLine="368"/>
        <w:spacing w:after="0" w:line="286" w:lineRule="auto"/>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80"/>
        <w:spacing w:after="0"/>
        <w:tabs>
          <w:tab w:leader="none" w:pos="620" w:val="left"/>
          <w:tab w:leader="none" w:pos="5900" w:val="left"/>
          <w:tab w:leader="none" w:pos="8120" w:val="left"/>
        </w:tabs>
        <w:rPr>
          <w:sz w:val="20"/>
          <w:szCs w:val="20"/>
          <w:color w:val="auto"/>
        </w:rPr>
      </w:pPr>
      <w:r>
        <w:rPr>
          <w:rFonts w:ascii="Arial" w:cs="Arial" w:eastAsia="Arial" w:hAnsi="Arial"/>
          <w:sz w:val="16"/>
          <w:szCs w:val="16"/>
          <w:color w:val="auto"/>
        </w:rPr>
        <w:t>Date:</w:t>
        <w:tab/>
        <w:t>March 24,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Amy Elazzouzi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Amy Elazzouzi</w:t>
      </w:r>
    </w:p>
    <w:p>
      <w:pPr>
        <w:spacing w:after="0" w:line="5"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Senior Vice President, Finance (Interim Principal Financial</w:t>
      </w:r>
    </w:p>
    <w:p>
      <w:pPr>
        <w:spacing w:after="0" w:line="5"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Officer and Interim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connection with the Annual Report on Form 10-K of Aura Biosciences, Inc. (the “Company”) for the year ended December 31, 2024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2"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ind w:left="80"/>
        <w:spacing w:after="0"/>
        <w:tabs>
          <w:tab w:leader="none" w:pos="760" w:val="left"/>
          <w:tab w:leader="none" w:pos="5860" w:val="left"/>
          <w:tab w:leader="none" w:pos="7760" w:val="left"/>
        </w:tabs>
        <w:rPr>
          <w:sz w:val="20"/>
          <w:szCs w:val="20"/>
          <w:color w:val="auto"/>
        </w:rPr>
      </w:pPr>
      <w:r>
        <w:rPr>
          <w:rFonts w:ascii="Arial" w:cs="Arial" w:eastAsia="Arial" w:hAnsi="Arial"/>
          <w:sz w:val="18"/>
          <w:szCs w:val="18"/>
          <w:color w:val="auto"/>
        </w:rPr>
        <w:t>Date:</w:t>
        <w:tab/>
        <w:t>March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8890</wp:posOffset>
            </wp:positionV>
            <wp:extent cx="30943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Elisabet de los Pinos</w:t>
      </w:r>
    </w:p>
    <w:p>
      <w:pPr>
        <w:jc w:val="center"/>
        <w:ind w:left="62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83" w:lineRule="exact"/>
        <w:rPr>
          <w:sz w:val="20"/>
          <w:szCs w:val="20"/>
          <w:color w:val="auto"/>
        </w:rPr>
      </w:pPr>
    </w:p>
    <w:p>
      <w:pPr>
        <w:ind w:left="80"/>
        <w:spacing w:after="0"/>
        <w:tabs>
          <w:tab w:leader="none" w:pos="760" w:val="left"/>
          <w:tab w:leader="none" w:pos="5860" w:val="left"/>
          <w:tab w:leader="none" w:pos="8020" w:val="left"/>
        </w:tabs>
        <w:rPr>
          <w:sz w:val="20"/>
          <w:szCs w:val="20"/>
          <w:color w:val="auto"/>
        </w:rPr>
      </w:pPr>
      <w:r>
        <w:rPr>
          <w:rFonts w:ascii="Arial" w:cs="Arial" w:eastAsia="Arial" w:hAnsi="Arial"/>
          <w:sz w:val="18"/>
          <w:szCs w:val="18"/>
          <w:color w:val="auto"/>
        </w:rPr>
        <w:t>Date:</w:t>
        <w:tab/>
        <w:t>March 24,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Amy Elazzouzi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8890</wp:posOffset>
            </wp:positionV>
            <wp:extent cx="30943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Amy Elazzouzi</w:t>
      </w:r>
    </w:p>
    <w:p>
      <w:pPr>
        <w:jc w:val="center"/>
        <w:ind w:left="6180"/>
        <w:spacing w:after="0" w:line="234" w:lineRule="auto"/>
        <w:rPr>
          <w:sz w:val="20"/>
          <w:szCs w:val="20"/>
          <w:color w:val="auto"/>
        </w:rPr>
      </w:pPr>
      <w:r>
        <w:rPr>
          <w:rFonts w:ascii="Arial" w:cs="Arial" w:eastAsia="Arial" w:hAnsi="Arial"/>
          <w:sz w:val="18"/>
          <w:szCs w:val="18"/>
          <w:b w:val="1"/>
          <w:bCs w:val="1"/>
          <w:color w:val="auto"/>
        </w:rPr>
        <w:t>Senior Vice President, Finance (Interim Principal</w:t>
      </w:r>
    </w:p>
    <w:p>
      <w:pPr>
        <w:jc w:val="center"/>
        <w:ind w:left="6180"/>
        <w:spacing w:after="0" w:line="235" w:lineRule="auto"/>
        <w:rPr>
          <w:sz w:val="20"/>
          <w:szCs w:val="20"/>
          <w:color w:val="auto"/>
        </w:rPr>
      </w:pPr>
      <w:r>
        <w:rPr>
          <w:rFonts w:ascii="Arial" w:cs="Arial" w:eastAsia="Arial" w:hAnsi="Arial"/>
          <w:sz w:val="18"/>
          <w:szCs w:val="18"/>
          <w:b w:val="1"/>
          <w:bCs w:val="1"/>
          <w:color w:val="auto"/>
        </w:rPr>
        <w:t>Financial Officer and Interim Principal Accounting</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6" w:name="page167"/>
    <w:bookmarkEnd w:id="1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amp;"/>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
      <w:numFmt w:val="bullet"/>
      <w:start w:val="1"/>
    </w:lvl>
    <w:lvl w:ilvl="1">
      <w:lvlJc w:val="left"/>
      <w:lvlText w:val="%2"/>
      <w:numFmt w:val="decimal"/>
      <w:start w:val="104"/>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1)"/>
      <w:numFmt w:val="decimal"/>
      <w:start w:val="4"/>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1">
    <w:nsid w:val="7FB7E0AA"/>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62">
    <w:nsid w:val="6EB5BD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63">
    <w:nsid w:val="6F6DD9AC"/>
    <w:multiLevelType w:val="hybridMultilevel"/>
    <w:lvl w:ilvl="0">
      <w:lvlJc w:val="left"/>
      <w:lvlText w:val="%1."/>
      <w:numFmt w:val="decimal"/>
      <w:start w:val="4"/>
    </w:lvl>
  </w:abstractNum>
  <w:abstractNum w:abstractNumId="64">
    <w:nsid w:val="94211F2"/>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65">
    <w:nsid w:val="885E1B"/>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66">
    <w:nsid w:val="76272110"/>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abstractNum>
  <w:abstractNum w:abstractNumId="67">
    <w:nsid w:val="4C04A8AF"/>
    <w:multiLevelType w:val="hybridMultilevel"/>
    <w:lvl w:ilvl="0">
      <w:lvlJc w:val="left"/>
      <w:lvlText w:val="%1."/>
      <w:numFmt w:val="decimal"/>
      <w:start w:val="9"/>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2"/>
    </w:lvl>
  </w:abstractNum>
  <w:abstractNum w:abstractNumId="70">
    <w:nsid w:val="3222E7CD"/>
    <w:multiLevelType w:val="hybridMultilevel"/>
    <w:lvl w:ilvl="0">
      <w:lvlJc w:val="left"/>
      <w:lvlText w:val="%1."/>
      <w:numFmt w:val="upperLetter"/>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upperLetter"/>
      <w:start w:val="2"/>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1."/>
      <w:numFmt w:val="upperLetter"/>
      <w:start w:val="3"/>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upperLetter"/>
      <w:start w:val="4"/>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upperLetter"/>
      <w:start w:val="5"/>
    </w:lvl>
  </w:abstractNum>
  <w:abstractNum w:abstractNumId="82">
    <w:nsid w:val="7F01579B"/>
    <w:multiLevelType w:val="hybridMultilevel"/>
    <w:lvl w:ilvl="0">
      <w:lvlJc w:val="left"/>
      <w:lvlText w:val="%1."/>
      <w:numFmt w:val="upperLetter"/>
      <w:start w:val="1"/>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1."/>
      <w:numFmt w:val="decimal"/>
      <w:start w:val="2"/>
    </w:lvl>
    <w:lvl w:ilvl="1">
      <w:lvlJc w:val="left"/>
      <w:lvlText w:val="•"/>
      <w:numFmt w:val="bullet"/>
      <w:start w:val="1"/>
    </w:lvl>
  </w:abstractNum>
  <w:abstractNum w:abstractNumId="85">
    <w:nsid w:val="5FB8370B"/>
    <w:multiLevelType w:val="hybridMultilevel"/>
    <w:lvl w:ilvl="0">
      <w:lvlJc w:val="left"/>
      <w:lvlText w:val="%1."/>
      <w:numFmt w:val="decimal"/>
      <w:start w:val="2"/>
    </w:lvl>
    <w:lvl w:ilvl="1">
      <w:lvlJc w:val="left"/>
      <w:lvlText w:val="•"/>
      <w:numFmt w:val="bullet"/>
      <w:start w:val="1"/>
    </w:lvl>
  </w:abstractNum>
  <w:abstractNum w:abstractNumId="86">
    <w:nsid w:val="50801EE1"/>
    <w:multiLevelType w:val="hybridMultilevel"/>
    <w:lvl w:ilvl="0">
      <w:lvlJc w:val="left"/>
      <w:lvlText w:val="%1."/>
      <w:numFmt w:val="upperLetter"/>
      <w:start w:val="2"/>
    </w:lvl>
  </w:abstractNum>
  <w:abstractNum w:abstractNumId="87">
    <w:nsid w:val="488AC1A"/>
    <w:multiLevelType w:val="hybridMultilevel"/>
    <w:lvl w:ilvl="0">
      <w:lvlJc w:val="left"/>
      <w:lvlText w:val="%1."/>
      <w:numFmt w:val="decimal"/>
      <w:start w:val="1"/>
    </w:lvl>
    <w:lvl w:ilvl="1">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1."/>
      <w:numFmt w:val="decimal"/>
      <w:start w:val="2"/>
    </w:lvl>
  </w:abstractNum>
  <w:abstractNum w:abstractNumId="90">
    <w:nsid w:val="7672BD23"/>
    <w:multiLevelType w:val="hybridMultilevel"/>
    <w:lvl w:ilvl="0">
      <w:lvlJc w:val="left"/>
      <w:lvlText w:val="%1."/>
      <w:numFmt w:val="decimal"/>
      <w:start w:val="3"/>
    </w:lvl>
  </w:abstractNum>
  <w:abstractNum w:abstractNumId="91">
    <w:nsid w:val="6FC75AF8"/>
    <w:multiLevelType w:val="hybridMultilevel"/>
    <w:lvl w:ilvl="0">
      <w:lvlJc w:val="left"/>
      <w:lvlText w:val="%1."/>
      <w:numFmt w:val="decimal"/>
      <w:start w:val="4"/>
    </w:lvl>
  </w:abstractNum>
  <w:abstractNum w:abstractNumId="92">
    <w:nsid w:val="6A5F7029"/>
    <w:multiLevelType w:val="hybridMultilevel"/>
    <w:lvl w:ilvl="0">
      <w:lvlJc w:val="left"/>
      <w:lvlText w:val="%1."/>
      <w:numFmt w:val="decimal"/>
      <w:start w:val="5"/>
    </w:lvl>
  </w:abstractNum>
  <w:abstractNum w:abstractNumId="93">
    <w:nsid w:val="7D5E18F8"/>
    <w:multiLevelType w:val="hybridMultilevel"/>
    <w:lvl w:ilvl="0">
      <w:lvlJc w:val="left"/>
      <w:lvlText w:val="%1."/>
      <w:numFmt w:val="upperLetter"/>
      <w:start w:val="3"/>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decimal"/>
      <w:start w:val="2"/>
    </w:lvl>
  </w:abstractNum>
  <w:abstractNum w:abstractNumId="96">
    <w:nsid w:val="7DE67713"/>
    <w:multiLevelType w:val="hybridMultilevel"/>
    <w:lvl w:ilvl="0">
      <w:lvlJc w:val="left"/>
      <w:lvlText w:val="%1."/>
      <w:numFmt w:val="upperLetter"/>
      <w:start w:val="4"/>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jpe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172" Type="http://schemas.openxmlformats.org/officeDocument/2006/relationships/hyperlink" Target="https://www.sec.gov/Archives/edgar/data/0001501796/000095017024093308/aura-ex3_1.htm" TargetMode="External"/><Relationship Id="rId173" Type="http://schemas.openxmlformats.org/officeDocument/2006/relationships/hyperlink" Target="https://www.sec.gov/Archives/edgar/data/1501796/000095017022004425/aura-ex3_2.htm" TargetMode="External"/><Relationship Id="rId174" Type="http://schemas.openxmlformats.org/officeDocument/2006/relationships/hyperlink" Target="https://www.sec.gov/Archives/edgar/data/1501796/000119312521295543/d209588dex42.htm" TargetMode="External"/><Relationship Id="rId175" Type="http://schemas.openxmlformats.org/officeDocument/2006/relationships/hyperlink" Target="https://www.sec.gov/Archives/edgar/data/0001501796/000119312521295543/d209588dex101.htm" TargetMode="External"/><Relationship Id="rId176" Type="http://schemas.openxmlformats.org/officeDocument/2006/relationships/hyperlink" Target="https://www.sec.gov/Archives/edgar/data/0001501796/000119312521295543/d209588dex102.htm" TargetMode="External"/><Relationship Id="rId177" Type="http://schemas.openxmlformats.org/officeDocument/2006/relationships/hyperlink" Target="https://www.sec.gov/Archives/edgar/data/1501796/000119312521313316/d249509dex101.htm" TargetMode="External"/><Relationship Id="rId178" Type="http://schemas.openxmlformats.org/officeDocument/2006/relationships/hyperlink" Target="https://www.sec.gov/Archives/edgar/data/1501796/000119312521305934/d209588dex104.htm" TargetMode="External"/><Relationship Id="rId179" Type="http://schemas.openxmlformats.org/officeDocument/2006/relationships/hyperlink" Target="https://www.sec.gov/Archives/edgar/data/0001501796/000095017024093308/aura-ex10_1.htm" TargetMode="External"/><Relationship Id="rId180" Type="http://schemas.openxmlformats.org/officeDocument/2006/relationships/hyperlink" Target="https://www.sec.gov/Archives/edgar/data/1501796/000119312521305934/d209588dex106.htm" TargetMode="External"/><Relationship Id="rId181" Type="http://schemas.openxmlformats.org/officeDocument/2006/relationships/hyperlink" Target="https://www.sec.gov/Archives/edgar/data/1501796/000119312521305934/d209588dex107.htm" TargetMode="External"/><Relationship Id="rId182" Type="http://schemas.openxmlformats.org/officeDocument/2006/relationships/hyperlink" Target="https://www.sec.gov/Archives/edgar/data/1501796/000119312521305934/d209588dex108.htm" TargetMode="External"/><Relationship Id="rId183" Type="http://schemas.openxmlformats.org/officeDocument/2006/relationships/hyperlink" Target="https://www.sec.gov/Archives/edgar/data/0001501796/000095017024056265/aura-ex10_1.htm" TargetMode="External"/><Relationship Id="rId184" Type="http://schemas.openxmlformats.org/officeDocument/2006/relationships/hyperlink" Target="https://www.sec.gov/Archives/edgar/data/0001501796/000119312521295543/d209588dex1011.htm" TargetMode="External"/><Relationship Id="rId187" Type="http://schemas.openxmlformats.org/officeDocument/2006/relationships/hyperlink" Target="https://www.sec.gov/Archives/edgar/data/0001501796/000119312521295543/d209588dex1012.htm" TargetMode="External"/><Relationship Id="rId188" Type="http://schemas.openxmlformats.org/officeDocument/2006/relationships/hyperlink" Target="https://www.sec.gov/Archives/edgar/data/0001501796/000119312521295543/d209588dex1013.htm" TargetMode="External"/><Relationship Id="rId189" Type="http://schemas.openxmlformats.org/officeDocument/2006/relationships/hyperlink" Target="https://www.sec.gov/Archives/edgar/data/1501796/000095017022016911/aura-ex10_1.htm" TargetMode="External"/><Relationship Id="rId190" Type="http://schemas.openxmlformats.org/officeDocument/2006/relationships/hyperlink" Target="https://www.sec.gov/Archives/edgar/data/1501796/000095017023062097/aura-ex10_1.htm" TargetMode="External"/><Relationship Id="rId191" Type="http://schemas.openxmlformats.org/officeDocument/2006/relationships/hyperlink" Target="https://www.sec.gov/Archives/edgar/data/0001501796/000095017024036814/aura-ex10_17.htm" TargetMode="External"/><Relationship Id="rId192" Type="http://schemas.openxmlformats.org/officeDocument/2006/relationships/hyperlink" Target="https://www.sec.gov/Archives/edgar/data/0001501796/000095017024125428/aura-ex10_2.htm" TargetMode="External"/><Relationship Id="rId193" Type="http://schemas.openxmlformats.org/officeDocument/2006/relationships/hyperlink" Target="https://www.sec.gov/Archives/edgar/data/0001501796/000095017024125428/aura-ex10_1.htm" TargetMode="External"/><Relationship Id="rId194" Type="http://schemas.openxmlformats.org/officeDocument/2006/relationships/hyperlink" Target="https://www.sec.gov/Archives/edgar/data/0001501796/000095017024125428/aura-ex10_3.htm" TargetMode="External"/><Relationship Id="rId195" Type="http://schemas.openxmlformats.org/officeDocument/2006/relationships/hyperlink" Target="https://www.sec.gov/Archives/edgar/data/0001501796/000095017024036814/aur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2025-03-24T16:30:35Z</dcterms:created>
  <dcterms:modified xsi:type="dcterms:W3CDTF">2025-03-24T16:30:35Z</dcterms:modified>
</cp:coreProperties>
</file>