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1099820</wp:posOffset>
            </wp:positionH>
            <wp:positionV relativeFrom="page">
              <wp:posOffset>980440</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997585</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Exchange Act of 1934</w:t>
      </w:r>
    </w:p>
    <w:p>
      <w:pPr>
        <w:spacing w:after="0" w:line="150"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1000" w:hanging="708"/>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7" w:lineRule="exact"/>
        <w:rPr>
          <w:sz w:val="24"/>
          <w:szCs w:val="24"/>
          <w:color w:val="auto"/>
        </w:rPr>
      </w:pPr>
    </w:p>
    <w:p>
      <w:pPr>
        <w:ind w:left="1000" w:hanging="708"/>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1000" w:hanging="708"/>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1000" w:hanging="708"/>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1000" w:hanging="708"/>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AURA BIOSCIENCES,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000" w:hanging="708"/>
        <w:spacing w:after="0"/>
        <w:tabs>
          <w:tab w:leader="none" w:pos="10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1000" w:hanging="708"/>
        <w:spacing w:after="0"/>
        <w:tabs>
          <w:tab w:leader="none" w:pos="10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1000" w:hanging="708"/>
        <w:spacing w:after="0"/>
        <w:tabs>
          <w:tab w:leader="none" w:pos="10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1040765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PRELIMINARY PROXY STATEMENT — SUBJECT TO COMPLETION, DATED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156845</wp:posOffset>
            </wp:positionV>
            <wp:extent cx="175704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 Guest Street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02135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August 5, 2026</w:t>
      </w:r>
    </w:p>
    <w:p>
      <w:pPr>
        <w:spacing w:after="0" w:line="207" w:lineRule="exact"/>
        <w:rPr>
          <w:sz w:val="20"/>
          <w:szCs w:val="20"/>
          <w:color w:val="auto"/>
        </w:rPr>
      </w:pPr>
    </w:p>
    <w:p>
      <w:pPr>
        <w:ind w:left="300" w:right="359" w:firstLine="441"/>
        <w:spacing w:after="0" w:line="261"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or the Special Meeting, of Aura Biosciences, Inc., or the Company, will be held online on August 5, 2026 at 9:30 a.m. Eastern Time. You may attend the meeting virtually via the Internet at www.virtualshareholdermeeting.com/AURA2026SM for the purpose of considering and voting upon the following:</w:t>
      </w:r>
    </w:p>
    <w:p>
      <w:pPr>
        <w:spacing w:after="0" w:line="72" w:lineRule="exact"/>
        <w:rPr>
          <w:sz w:val="20"/>
          <w:szCs w:val="20"/>
          <w:color w:val="auto"/>
        </w:rPr>
      </w:pPr>
    </w:p>
    <w:p>
      <w:pPr>
        <w:ind w:left="1180" w:right="399" w:hanging="448"/>
        <w:spacing w:after="0" w:line="312"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Tenth Amended and Restated Certificate of Incorporation to increase the number of authorized shares of common stock from 150,000,000 to 500,000,000;</w:t>
      </w:r>
    </w:p>
    <w:p>
      <w:pPr>
        <w:spacing w:after="0" w:line="31" w:lineRule="exact"/>
        <w:rPr>
          <w:rFonts w:ascii="Times New Roman" w:cs="Times New Roman" w:eastAsia="Times New Roman" w:hAnsi="Times New Roman"/>
          <w:sz w:val="17"/>
          <w:szCs w:val="17"/>
          <w:color w:val="auto"/>
        </w:rPr>
      </w:pPr>
    </w:p>
    <w:p>
      <w:pPr>
        <w:ind w:left="1180" w:hanging="448"/>
        <w:spacing w:after="0"/>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No. 1 to the Company’s 2021 Stock Option and Incentive Plan; and</w:t>
      </w:r>
    </w:p>
    <w:p>
      <w:pPr>
        <w:spacing w:after="0" w:line="117" w:lineRule="exact"/>
        <w:rPr>
          <w:rFonts w:ascii="Times New Roman" w:cs="Times New Roman" w:eastAsia="Times New Roman" w:hAnsi="Times New Roman"/>
          <w:sz w:val="18"/>
          <w:szCs w:val="18"/>
          <w:color w:val="auto"/>
        </w:rPr>
      </w:pPr>
    </w:p>
    <w:p>
      <w:pPr>
        <w:ind w:left="1180" w:right="779" w:hanging="448"/>
        <w:spacing w:after="0" w:line="282"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Special Meeting or any adjournment or postponement of the Special Meeting.</w:t>
      </w:r>
    </w:p>
    <w:p>
      <w:pPr>
        <w:spacing w:after="0" w:line="162" w:lineRule="exact"/>
        <w:rPr>
          <w:sz w:val="20"/>
          <w:szCs w:val="20"/>
          <w:color w:val="auto"/>
        </w:rPr>
      </w:pPr>
    </w:p>
    <w:p>
      <w:pPr>
        <w:ind w:left="300" w:right="319" w:firstLine="441"/>
        <w:spacing w:after="0" w:line="282" w:lineRule="auto"/>
        <w:rPr>
          <w:sz w:val="20"/>
          <w:szCs w:val="20"/>
          <w:color w:val="auto"/>
        </w:rPr>
      </w:pPr>
      <w:r>
        <w:rPr>
          <w:rFonts w:ascii="Times New Roman" w:cs="Times New Roman" w:eastAsia="Times New Roman" w:hAnsi="Times New Roman"/>
          <w:sz w:val="18"/>
          <w:szCs w:val="18"/>
          <w:color w:val="auto"/>
        </w:rPr>
        <w:t>Only Aura Biosciences, Inc. stockholders of record at the close of business on June 12, 2026 will be entitled to vote at the Special Meeting and any adjournment or postponement thereof.</w:t>
      </w:r>
    </w:p>
    <w:p>
      <w:pPr>
        <w:spacing w:after="0" w:line="162"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Our proxy materials are first being mailed to our stockholders on or about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2026.</w:t>
            </w:r>
          </w:p>
        </w:tc>
      </w:tr>
    </w:tbl>
    <w:p>
      <w:pPr>
        <w:spacing w:after="0" w:line="198" w:lineRule="exact"/>
        <w:rPr>
          <w:sz w:val="20"/>
          <w:szCs w:val="20"/>
          <w:color w:val="auto"/>
        </w:rPr>
      </w:pPr>
    </w:p>
    <w:p>
      <w:pPr>
        <w:ind w:left="300" w:right="639" w:firstLine="441"/>
        <w:spacing w:after="0" w:line="289" w:lineRule="auto"/>
        <w:rPr>
          <w:sz w:val="20"/>
          <w:szCs w:val="20"/>
          <w:color w:val="auto"/>
        </w:rPr>
      </w:pPr>
      <w:r>
        <w:rPr>
          <w:rFonts w:ascii="Times New Roman" w:cs="Times New Roman" w:eastAsia="Times New Roman" w:hAnsi="Times New Roman"/>
          <w:sz w:val="17"/>
          <w:szCs w:val="17"/>
          <w:color w:val="auto"/>
        </w:rPr>
        <w:t>Please see the “General Information” section of the proxy statement that accompanies this notice for more details regarding the logistics of the virtual Special Meeting, including the ability of stockholders to submit questions during the Special Meeting, and technical details and support related to accessing the virtual platform.</w:t>
      </w:r>
    </w:p>
    <w:p>
      <w:pPr>
        <w:spacing w:after="0" w:line="158" w:lineRule="exact"/>
        <w:rPr>
          <w:sz w:val="20"/>
          <w:szCs w:val="20"/>
          <w:color w:val="auto"/>
        </w:rPr>
      </w:pPr>
    </w:p>
    <w:p>
      <w:pPr>
        <w:ind w:left="300" w:right="379" w:firstLine="441"/>
        <w:spacing w:after="0" w:line="256"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 meeting,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 Even if you have voted by proxy, you may still vote at the virtual meeting. Please note, however, that if your shares are held through a broker, bank or other nominee and you wish to vote at the meeting, you must obtain a proxy issued in your name from that record holder.</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Natalie Holles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Boston, MA</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884555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4"/>
        </w:trPr>
        <w:tc>
          <w:tcPr>
            <w:tcW w:w="5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PROXY STATEMENT FOR THE SPECIAL MEETING OF STOCKHOLDERS</w:t>
            </w:r>
          </w:p>
        </w:tc>
        <w:tc>
          <w:tcPr>
            <w:tcW w:w="19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GENERAL INFORMATION</w:t>
            </w:r>
          </w:p>
        </w:tc>
        <w:tc>
          <w:tcPr>
            <w:tcW w:w="20" w:type="dxa"/>
            <w:vAlign w:val="bottom"/>
            <w:tcBorders>
              <w:bottom w:val="single" w:sz="8" w:color="0000EE"/>
            </w:tcBorders>
          </w:tcPr>
          <w:p>
            <w:pPr>
              <w:spacing w:after="0"/>
              <w:rPr>
                <w:sz w:val="24"/>
                <w:szCs w:val="24"/>
                <w:color w:val="auto"/>
              </w:rPr>
            </w:pPr>
          </w:p>
        </w:tc>
        <w:tc>
          <w:tcPr>
            <w:tcW w:w="568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NO. 1 – APPROVAL OF AN AMENDMENT TO OUR TENTH AMENDED AND</w:t>
            </w:r>
          </w:p>
        </w:tc>
        <w:tc>
          <w:tcPr>
            <w:tcW w:w="580" w:type="dxa"/>
            <w:vAlign w:val="bottom"/>
          </w:tcPr>
          <w:p>
            <w:pPr>
              <w:spacing w:after="0"/>
              <w:rPr>
                <w:sz w:val="24"/>
                <w:szCs w:val="24"/>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7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RESTATED CERTIFICATE OF INCORPORATION TO INCREASE AUTHORIZED SHARES OF</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78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COMMON STOCK FROM 150,000,000 TO 500,000,000</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7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PROPOSAL NO. 2 – APPROVAL OF AMENDMENT NO. 1 TO THE AURA BIOSCIENCES, INC. 2021</w:t>
            </w:r>
          </w:p>
        </w:tc>
        <w:tc>
          <w:tcPr>
            <w:tcW w:w="580" w:type="dxa"/>
            <w:vAlign w:val="bottom"/>
          </w:tcPr>
          <w:p>
            <w:pPr>
              <w:spacing w:after="0"/>
              <w:rPr>
                <w:sz w:val="24"/>
                <w:szCs w:val="24"/>
                <w:color w:val="auto"/>
              </w:rPr>
            </w:pPr>
          </w:p>
        </w:tc>
      </w:tr>
      <w:tr>
        <w:trPr>
          <w:trHeight w:val="196"/>
        </w:trPr>
        <w:tc>
          <w:tcPr>
            <w:tcW w:w="78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STOCK OPTION AND INCENTIVE PLAN</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NON-EMPLOYEE DIRECTOR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2"/>
        </w:trPr>
        <w:tc>
          <w:tcPr>
            <w:tcW w:w="24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1340" w:type="dxa"/>
            <w:vAlign w:val="bottom"/>
            <w:tcBorders>
              <w:top w:val="single" w:sz="8" w:color="0000FF"/>
            </w:tcBorders>
            <w:gridSpan w:val="2"/>
          </w:tcPr>
          <w:p>
            <w:pPr>
              <w:spacing w:after="0"/>
              <w:rPr>
                <w:sz w:val="24"/>
                <w:szCs w:val="24"/>
                <w:color w:val="auto"/>
              </w:rPr>
            </w:pPr>
          </w:p>
        </w:tc>
        <w:tc>
          <w:tcPr>
            <w:tcW w:w="404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2"/>
        </w:trPr>
        <w:tc>
          <w:tcPr>
            <w:tcW w:w="2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PRINCIPAL STOCKHOLDERS</w:t>
            </w:r>
          </w:p>
        </w:tc>
        <w:tc>
          <w:tcPr>
            <w:tcW w:w="544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HOUSEHOLDING</w:t>
            </w:r>
          </w:p>
        </w:tc>
        <w:tc>
          <w:tcPr>
            <w:tcW w:w="20" w:type="dxa"/>
            <w:vAlign w:val="bottom"/>
            <w:tcBorders>
              <w:bottom w:val="single" w:sz="8" w:color="0000EE"/>
            </w:tcBorders>
          </w:tcPr>
          <w:p>
            <w:pPr>
              <w:spacing w:after="0"/>
              <w:rPr>
                <w:sz w:val="24"/>
                <w:szCs w:val="24"/>
                <w:color w:val="auto"/>
              </w:rPr>
            </w:pPr>
          </w:p>
        </w:tc>
        <w:tc>
          <w:tcPr>
            <w:tcW w:w="640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2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STOCKHOLDER PROPOSALS</w:t>
            </w:r>
          </w:p>
        </w:tc>
        <w:tc>
          <w:tcPr>
            <w:tcW w:w="546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1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20" w:type="dxa"/>
            <w:vAlign w:val="bottom"/>
            <w:tcBorders>
              <w:bottom w:val="single" w:sz="8" w:color="0000EE"/>
            </w:tcBorders>
          </w:tcPr>
          <w:p>
            <w:pPr>
              <w:spacing w:after="0"/>
              <w:rPr>
                <w:sz w:val="24"/>
                <w:szCs w:val="24"/>
                <w:color w:val="auto"/>
              </w:rPr>
            </w:pPr>
          </w:p>
        </w:tc>
        <w:tc>
          <w:tcPr>
            <w:tcW w:w="634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3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APPENDIX A – CHARTER AMENDMENT</w:t>
            </w:r>
          </w:p>
        </w:tc>
        <w:tc>
          <w:tcPr>
            <w:tcW w:w="450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412"/>
        </w:trPr>
        <w:tc>
          <w:tcPr>
            <w:tcW w:w="48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APPENDIX B – 2021 STOCK OPTION AND INCENTIVE PLAN</w:t>
            </w:r>
          </w:p>
        </w:tc>
        <w:tc>
          <w:tcPr>
            <w:tcW w:w="296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412"/>
        </w:trPr>
        <w:tc>
          <w:tcPr>
            <w:tcW w:w="72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APPENDIX C – AMENDMENT NO. 1 TO THE 2021 STOCK OPTION AND INCENTIVE PLAN</w:t>
            </w:r>
          </w:p>
        </w:tc>
        <w:tc>
          <w:tcPr>
            <w:tcW w:w="58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bl>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581025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PROXY STATEMENT — SUBJECT TO COMPLETION, DATED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156845</wp:posOffset>
            </wp:positionV>
            <wp:extent cx="175704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70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 Guest Street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02135</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AUGUST 5, 2026</w:t>
      </w:r>
    </w:p>
    <w:p>
      <w:pPr>
        <w:spacing w:after="0" w:line="229"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color w:val="auto"/>
        </w:rPr>
        <w:t>This proxy statement contains information about the Special Meeting of Stockholders, or the Special Meeting, of Aura Biosciences, Inc., which will be held online on August 5, 2026 at 9:30 a.m. Eastern Time. The Special Meeting will be held virtually. You may attend the Special Meeting virtually via the Internet at www.virtualshareholdermeeting.com/AURA2026SM, where you will be able to vote electronically and submit questions. You will need the 16-digit control number included with the proxy card in order to attend the Special Meeting. The board of directors of Aura Biosciences, Inc., or the Board of Directors, is using this proxy statement to solicit proxies for use at the Special Meeting. In this proxy statement, the terms “Aura,” “Aura Biosciences,” the “Company,” “we,” “us,” and “our” refer to Aura Biosciences, Inc. The mailing address of our principal executive offices is Aura Biosciences, Inc., 80 Guest Street, Boston, MA 02135.</w:t>
      </w:r>
    </w:p>
    <w:p>
      <w:pPr>
        <w:spacing w:after="0" w:line="188" w:lineRule="exact"/>
        <w:rPr>
          <w:sz w:val="20"/>
          <w:szCs w:val="20"/>
          <w:color w:val="auto"/>
        </w:rPr>
      </w:pPr>
    </w:p>
    <w:p>
      <w:pPr>
        <w:ind w:left="300" w:right="339" w:firstLine="441"/>
        <w:spacing w:after="0" w:line="258"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179" w:lineRule="exact"/>
        <w:rPr>
          <w:sz w:val="20"/>
          <w:szCs w:val="20"/>
          <w:color w:val="auto"/>
        </w:rPr>
      </w:pPr>
    </w:p>
    <w:p>
      <w:pPr>
        <w:jc w:val="both"/>
        <w:ind w:left="1960" w:right="1939" w:hanging="58"/>
        <w:spacing w:after="0" w:line="317"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Special Meeting of Stockholders to be Held on August 5, 2026:</w:t>
      </w:r>
    </w:p>
    <w:p>
      <w:pPr>
        <w:spacing w:after="0" w:line="132" w:lineRule="exact"/>
        <w:rPr>
          <w:sz w:val="20"/>
          <w:szCs w:val="20"/>
          <w:color w:val="auto"/>
        </w:rPr>
      </w:pPr>
    </w:p>
    <w:p>
      <w:pPr>
        <w:ind w:left="300" w:right="579" w:firstLine="44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This proxy statement and accompanying materials are first being mailed to stockholders on or about , 2026. This proxy statement is available for viewing, printing and downloading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159" w:lineRule="exact"/>
        <w:rPr>
          <w:sz w:val="20"/>
          <w:szCs w:val="20"/>
          <w:color w:val="auto"/>
        </w:rPr>
      </w:pPr>
    </w:p>
    <w:p>
      <w:pPr>
        <w:ind w:left="300" w:right="299"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this proxy statement, as filed with the Securities and Exchange Commission, or the SEC, except for exhibits, will be furnished without charge to any stockholder upon written request to Aura Biosciences, Inc., 80 Guest Street, Boston, MA 02135, Attention: Corporate Secretary. This proxy statement is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00" w:right="319" w:firstLine="441"/>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initial public offering in November 2021;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are you holding a virtual Special Meeting?</w:t>
      </w:r>
    </w:p>
    <w:p>
      <w:pPr>
        <w:spacing w:after="0" w:line="121" w:lineRule="exact"/>
        <w:rPr>
          <w:sz w:val="20"/>
          <w:szCs w:val="20"/>
          <w:color w:val="auto"/>
        </w:rPr>
      </w:pPr>
    </w:p>
    <w:p>
      <w:pPr>
        <w:ind w:left="300" w:right="479" w:firstLine="441"/>
        <w:spacing w:after="0" w:line="261" w:lineRule="auto"/>
        <w:rPr>
          <w:sz w:val="20"/>
          <w:szCs w:val="20"/>
          <w:color w:val="auto"/>
        </w:rPr>
      </w:pPr>
      <w:r>
        <w:rPr>
          <w:rFonts w:ascii="Times New Roman" w:cs="Times New Roman" w:eastAsia="Times New Roman" w:hAnsi="Times New Roman"/>
          <w:sz w:val="18"/>
          <w:szCs w:val="18"/>
          <w:color w:val="auto"/>
        </w:rPr>
        <w:t>We have implemented the virtual format in order to facilitate stockholder attendance at our Special Meeting. We have designed our virtual format to enhance, rather than constrain, stockholder access, participation and communication. For example, the virtual format allows stockholders to communicate with us in advance of, and during, the Special Meeting so they can ask questions of our Board of Directors or management.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and participate in the Special Meeting online?</w:t>
      </w:r>
    </w:p>
    <w:p>
      <w:pPr>
        <w:spacing w:after="0" w:line="121" w:lineRule="exact"/>
        <w:rPr>
          <w:sz w:val="20"/>
          <w:szCs w:val="20"/>
          <w:color w:val="auto"/>
        </w:rPr>
      </w:pPr>
    </w:p>
    <w:p>
      <w:pPr>
        <w:ind w:left="300" w:right="319" w:firstLine="441"/>
        <w:spacing w:after="0" w:line="258" w:lineRule="auto"/>
        <w:rPr>
          <w:sz w:val="20"/>
          <w:szCs w:val="20"/>
          <w:color w:val="auto"/>
        </w:rPr>
      </w:pPr>
      <w:r>
        <w:rPr>
          <w:rFonts w:ascii="Times New Roman" w:cs="Times New Roman" w:eastAsia="Times New Roman" w:hAnsi="Times New Roman"/>
          <w:sz w:val="18"/>
          <w:szCs w:val="18"/>
          <w:color w:val="auto"/>
        </w:rPr>
        <w:t>To attend and participate in the Special Meeting, stockholders will need to access the live audio webcast of the meeting. To do so, stockholders of record will need to visit www.virtualshareholdermeeting.com/AURA2026SM and use their control number provided in the proxy card being mailed to you to preregister to this website, and beneficial owners of shares held in street name will need to follow the same instructions. Registration will open 15 minutes prior to the meeting.</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live audio webcast of the Special Meeting will begin promptly at 9:30 a.m. Eastern Time.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121" w:lineRule="exact"/>
        <w:rPr>
          <w:sz w:val="20"/>
          <w:szCs w:val="20"/>
          <w:color w:val="auto"/>
        </w:rPr>
      </w:pPr>
    </w:p>
    <w:p>
      <w:pPr>
        <w:jc w:val="both"/>
        <w:ind w:left="300" w:right="759" w:firstLine="441"/>
        <w:spacing w:after="0" w:line="266" w:lineRule="auto"/>
        <w:rPr>
          <w:sz w:val="20"/>
          <w:szCs w:val="20"/>
          <w:color w:val="auto"/>
        </w:rPr>
      </w:pPr>
      <w:r>
        <w:rPr>
          <w:rFonts w:ascii="Times New Roman" w:cs="Times New Roman" w:eastAsia="Times New Roman" w:hAnsi="Times New Roman"/>
          <w:sz w:val="18"/>
          <w:szCs w:val="18"/>
          <w:color w:val="auto"/>
        </w:rPr>
        <w:t>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300" w:right="539" w:firstLine="441"/>
        <w:spacing w:after="0" w:line="276" w:lineRule="auto"/>
        <w:rPr>
          <w:sz w:val="20"/>
          <w:szCs w:val="20"/>
          <w:color w:val="auto"/>
        </w:rPr>
      </w:pPr>
      <w:r>
        <w:rPr>
          <w:rFonts w:ascii="Times New Roman" w:cs="Times New Roman" w:eastAsia="Times New Roman" w:hAnsi="Times New Roman"/>
          <w:sz w:val="17"/>
          <w:szCs w:val="17"/>
          <w:color w:val="auto"/>
        </w:rPr>
        <w:t>Our proxy materials, including this proxy statement and the accompanying proxy card or, for shares held in street name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held for your account by a broker, bank or other nominee), and a voting instruction form, will be</w:t>
      </w:r>
    </w:p>
    <w:p>
      <w:pPr>
        <w:spacing w:after="0" w:line="1" w:lineRule="exact"/>
        <w:rPr>
          <w:sz w:val="20"/>
          <w:szCs w:val="20"/>
          <w:color w:val="auto"/>
        </w:rPr>
      </w:pPr>
    </w:p>
    <w:p>
      <w:pPr>
        <w:ind w:left="300" w:right="339"/>
        <w:spacing w:after="0" w:line="260" w:lineRule="auto"/>
        <w:rPr>
          <w:sz w:val="20"/>
          <w:szCs w:val="20"/>
          <w:color w:val="auto"/>
        </w:rPr>
      </w:pPr>
      <w:r>
        <w:rPr>
          <w:rFonts w:ascii="Times New Roman" w:cs="Times New Roman" w:eastAsia="Times New Roman" w:hAnsi="Times New Roman"/>
          <w:sz w:val="18"/>
          <w:szCs w:val="18"/>
          <w:color w:val="auto"/>
        </w:rPr>
        <w:t>mailed to stockholders on or about , 2026. This proxy statement is available for viewing, printing and downloading at www.ProxyVote.com.</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Board of Directors is soliciting your vote for the Special Meeting.</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is the record date for the Special Meeting?</w:t>
      </w:r>
    </w:p>
    <w:p>
      <w:pPr>
        <w:spacing w:after="0" w:line="121" w:lineRule="exact"/>
        <w:rPr>
          <w:sz w:val="20"/>
          <w:szCs w:val="20"/>
          <w:color w:val="auto"/>
        </w:rPr>
      </w:pPr>
    </w:p>
    <w:p>
      <w:pPr>
        <w:ind w:left="300" w:right="879" w:firstLine="441"/>
        <w:spacing w:after="0" w:line="282"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Special Meeting is the close of business on June 12, 2026.</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ind w:left="300" w:right="419" w:firstLine="441"/>
        <w:spacing w:after="0" w:line="256" w:lineRule="auto"/>
        <w:rPr>
          <w:sz w:val="20"/>
          <w:szCs w:val="20"/>
          <w:color w:val="auto"/>
        </w:rPr>
      </w:pPr>
      <w:r>
        <w:rPr>
          <w:rFonts w:ascii="Times New Roman" w:cs="Times New Roman" w:eastAsia="Times New Roman" w:hAnsi="Times New Roman"/>
          <w:sz w:val="18"/>
          <w:szCs w:val="18"/>
          <w:color w:val="auto"/>
        </w:rPr>
        <w:t>There were 103,436,416 shares of our common stock, par value $0.00001 per share, outstanding on June 12, 2026, all of which are entitled to vote with respect to all matters to be acted upon at the Special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Special Meeting. No shares of preferred stock were outstanding as of June 12, 2026.</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7" w:right="1440" w:bottom="1440" w:gutter="0" w:footer="0" w:header="0"/>
        </w:sectPr>
      </w:pPr>
    </w:p>
    <w:bookmarkStart w:id="5" w:name="page6"/>
    <w:bookmarkEnd w:id="5"/>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19" w:lineRule="exact"/>
        <w:rPr>
          <w:sz w:val="20"/>
          <w:szCs w:val="20"/>
          <w:color w:val="auto"/>
        </w:rPr>
      </w:pPr>
    </w:p>
    <w:p>
      <w:pPr>
        <w:ind w:left="300" w:right="39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you are considered the stockholder of record with respect to those shares. As the stockholder of record, you have the right to grant your voting proxy directly to the individuals listed on the proxy card or vote on your own behalf at our virtual Special Meeting. Throughout this proxy statement, we refer to these registered stockholders as “stockholders of record.”</w:t>
      </w:r>
    </w:p>
    <w:p>
      <w:pPr>
        <w:spacing w:after="0" w:line="197" w:lineRule="exact"/>
        <w:rPr>
          <w:sz w:val="20"/>
          <w:szCs w:val="20"/>
          <w:color w:val="auto"/>
        </w:rPr>
      </w:pPr>
    </w:p>
    <w:p>
      <w:pPr>
        <w:ind w:left="300" w:right="29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Special Meeting. However, since a beneficial owner is not the stockholder of record, you may not vote your shares of our common stock on your own behalf at the Special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13" w:lineRule="exact"/>
        <w:rPr>
          <w:sz w:val="20"/>
          <w:szCs w:val="20"/>
          <w:color w:val="auto"/>
        </w:rPr>
      </w:pPr>
    </w:p>
    <w:p>
      <w:pPr>
        <w:ind w:left="1180" w:right="419" w:hanging="448"/>
        <w:spacing w:after="0" w:line="26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You may vote at www.ProxyVote.com, 24 hours a day, seven days a week. Use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Internet to transmit your voting instructions and for electronic delivery of information up until 11:59 p.m. Eastern Time the day before the meeting date. You will need the control number included on your proxy card.</w:t>
      </w:r>
    </w:p>
    <w:p>
      <w:pPr>
        <w:spacing w:after="0" w:line="68" w:lineRule="exact"/>
        <w:rPr>
          <w:rFonts w:ascii="Times New Roman" w:cs="Times New Roman" w:eastAsia="Times New Roman" w:hAnsi="Times New Roman"/>
          <w:sz w:val="18"/>
          <w:szCs w:val="18"/>
          <w:color w:val="auto"/>
        </w:rPr>
      </w:pPr>
    </w:p>
    <w:p>
      <w:pPr>
        <w:ind w:left="1180" w:right="579" w:hanging="448"/>
        <w:spacing w:after="0" w:line="268"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During the Special Meeting</w:t>
      </w:r>
      <w:r>
        <w:rPr>
          <w:rFonts w:ascii="Times New Roman" w:cs="Times New Roman" w:eastAsia="Times New Roman" w:hAnsi="Times New Roman"/>
          <w:sz w:val="18"/>
          <w:szCs w:val="18"/>
          <w:color w:val="auto"/>
        </w:rPr>
        <w:t>. You may vote during the Special Meeting by going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www.virtualshareholdermeeting.com/AURA2026SM. You will need the control number included on your proxy card.</w:t>
      </w:r>
    </w:p>
    <w:p>
      <w:pPr>
        <w:spacing w:after="0" w:line="62" w:lineRule="exact"/>
        <w:rPr>
          <w:rFonts w:ascii="Times New Roman" w:cs="Times New Roman" w:eastAsia="Times New Roman" w:hAnsi="Times New Roman"/>
          <w:sz w:val="18"/>
          <w:szCs w:val="18"/>
          <w:color w:val="auto"/>
        </w:rPr>
      </w:pPr>
    </w:p>
    <w:p>
      <w:pPr>
        <w:ind w:left="1180" w:right="419" w:hanging="448"/>
        <w:spacing w:after="0" w:line="26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You may vote using a touch-tone telephone by calling 1-800-690-6903, 24 hours a day,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seven days a week. Use any touch-tone telephone to transmit your voting instructions up until 11:59 p.m. Eastern Time the day before the meeting date. You will need the control number included on your proxy card.</w:t>
      </w:r>
    </w:p>
    <w:p>
      <w:pPr>
        <w:spacing w:after="0" w:line="68" w:lineRule="exact"/>
        <w:rPr>
          <w:rFonts w:ascii="Times New Roman" w:cs="Times New Roman" w:eastAsia="Times New Roman" w:hAnsi="Times New Roman"/>
          <w:sz w:val="18"/>
          <w:szCs w:val="18"/>
          <w:color w:val="auto"/>
        </w:rPr>
      </w:pPr>
    </w:p>
    <w:p>
      <w:pPr>
        <w:jc w:val="both"/>
        <w:ind w:left="1180" w:right="619" w:hanging="448"/>
        <w:spacing w:after="0" w:line="268"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You may vote by completing and mailing your proxy card. Mark, sign and date your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 and return it in the postage-paid envelope we have provided or return it to Vote Processing, c/o Broadridge, 51 Mercedes Way, Edgewood, NY 11717.</w:t>
      </w:r>
    </w:p>
    <w:p>
      <w:pPr>
        <w:spacing w:after="0" w:line="175" w:lineRule="exact"/>
        <w:rPr>
          <w:sz w:val="20"/>
          <w:szCs w:val="20"/>
          <w:color w:val="auto"/>
        </w:rPr>
      </w:pPr>
    </w:p>
    <w:p>
      <w:pPr>
        <w:ind w:left="300" w:right="499" w:firstLine="441"/>
        <w:spacing w:after="0" w:line="282" w:lineRule="auto"/>
        <w:rPr>
          <w:sz w:val="20"/>
          <w:szCs w:val="20"/>
          <w:color w:val="auto"/>
        </w:rPr>
      </w:pPr>
      <w:r>
        <w:rPr>
          <w:rFonts w:ascii="Times New Roman" w:cs="Times New Roman" w:eastAsia="Times New Roman" w:hAnsi="Times New Roman"/>
          <w:sz w:val="18"/>
          <w:szCs w:val="18"/>
          <w:color w:val="auto"/>
        </w:rPr>
        <w:t>Even if you plan to participate in our virtual Special Meeting, we recommend that you also vote by proxy so that your vote will be counted if you later decide not to participate in the Special Meeting.</w:t>
      </w:r>
    </w:p>
    <w:p>
      <w:pPr>
        <w:spacing w:after="0" w:line="162" w:lineRule="exact"/>
        <w:rPr>
          <w:sz w:val="20"/>
          <w:szCs w:val="20"/>
          <w:color w:val="auto"/>
        </w:rPr>
      </w:pPr>
    </w:p>
    <w:p>
      <w:pPr>
        <w:ind w:left="300" w:right="319" w:firstLine="441"/>
        <w:spacing w:after="0" w:line="255"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Special Meeting unless you obtain a legal proxy from your broker, bank or other nominee.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21" w:lineRule="exact"/>
        <w:rPr>
          <w:sz w:val="20"/>
          <w:szCs w:val="20"/>
          <w:color w:val="auto"/>
        </w:rPr>
      </w:pPr>
    </w:p>
    <w:p>
      <w:pPr>
        <w:ind w:left="300" w:right="719" w:firstLine="441"/>
        <w:spacing w:after="0" w:line="266" w:lineRule="auto"/>
        <w:rPr>
          <w:sz w:val="20"/>
          <w:szCs w:val="20"/>
          <w:color w:val="auto"/>
        </w:rPr>
      </w:pPr>
      <w:r>
        <w:rPr>
          <w:rFonts w:ascii="Times New Roman" w:cs="Times New Roman" w:eastAsia="Times New Roman" w:hAnsi="Times New Roman"/>
          <w:sz w:val="18"/>
          <w:szCs w:val="18"/>
          <w:color w:val="auto"/>
        </w:rPr>
        <w:t>If you will not be attending the Special Meeting, you may vote by proxy. You can vote by proxy over the Internet by following the instructions provided in the enclosed proxy card. Proxies submitted by mail must be received before the start of the Special Meeting.</w:t>
      </w:r>
    </w:p>
    <w:p>
      <w:pPr>
        <w:spacing w:after="0" w:line="176" w:lineRule="exact"/>
        <w:rPr>
          <w:sz w:val="20"/>
          <w:szCs w:val="20"/>
          <w:color w:val="auto"/>
        </w:rPr>
      </w:pPr>
    </w:p>
    <w:p>
      <w:pPr>
        <w:ind w:left="300" w:right="299" w:firstLine="441"/>
        <w:spacing w:after="0" w:line="254" w:lineRule="auto"/>
        <w:rPr>
          <w:sz w:val="20"/>
          <w:szCs w:val="20"/>
          <w:color w:val="auto"/>
        </w:rPr>
      </w:pPr>
      <w:r>
        <w:rPr>
          <w:rFonts w:ascii="Times New Roman" w:cs="Times New Roman" w:eastAsia="Times New Roman" w:hAnsi="Times New Roman"/>
          <w:sz w:val="18"/>
          <w:szCs w:val="18"/>
          <w:color w:val="auto"/>
        </w:rPr>
        <w:t>If you complete and timely submit your proxy before the Special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Special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8" w:lineRule="exact"/>
        <w:rPr>
          <w:sz w:val="20"/>
          <w:szCs w:val="20"/>
          <w:color w:val="auto"/>
        </w:rPr>
      </w:pPr>
    </w:p>
    <w:p>
      <w:pPr>
        <w:ind w:left="300" w:right="419" w:firstLine="441"/>
        <w:spacing w:after="0" w:line="258"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Special Meeting, including, among other things, consideration of a motion to adjourn the Special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Special Meeting.</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ind w:left="300" w:right="359" w:firstLine="441"/>
        <w:spacing w:after="0" w:line="254" w:lineRule="auto"/>
        <w:rPr>
          <w:sz w:val="20"/>
          <w:szCs w:val="20"/>
          <w:color w:val="auto"/>
        </w:rPr>
      </w:pPr>
      <w:r>
        <w:rPr>
          <w:rFonts w:ascii="Times New Roman" w:cs="Times New Roman" w:eastAsia="Times New Roman" w:hAnsi="Times New Roman"/>
          <w:sz w:val="18"/>
          <w:szCs w:val="18"/>
          <w:color w:val="auto"/>
        </w:rPr>
        <w:t>You may revoke your proxy by (1) entering a new vote by mail that we receive before the start of the Special Meeting or over the Internet or via telephone, (2) attending and voting at the Special Meeting online (although attendance at the Special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Special Meeting. Such written notice of revocation or subsequent proxy card should be sent to our principal executive offices at Aura Biosciences, Inc., 80 Guest Street, Boston, MA 02135, Attention: Corporate Secretary.</w:t>
      </w:r>
    </w:p>
    <w:p>
      <w:pPr>
        <w:spacing w:after="0" w:line="192" w:lineRule="exact"/>
        <w:rPr>
          <w:sz w:val="20"/>
          <w:szCs w:val="20"/>
          <w:color w:val="auto"/>
        </w:rPr>
      </w:pPr>
    </w:p>
    <w:p>
      <w:pPr>
        <w:ind w:left="300" w:right="719" w:firstLine="441"/>
        <w:spacing w:after="0" w:line="282" w:lineRule="auto"/>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left="300" w:right="579" w:firstLine="441"/>
        <w:spacing w:after="0" w:line="266"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outstanding shares entitled to vote, present in person or represented by proxy, will constitute a quorum for the transaction of business at the Special Meeting.</w:t>
      </w:r>
    </w:p>
    <w:p>
      <w:pPr>
        <w:spacing w:after="0" w:line="176" w:lineRule="exact"/>
        <w:rPr>
          <w:sz w:val="20"/>
          <w:szCs w:val="20"/>
          <w:color w:val="auto"/>
        </w:rPr>
      </w:pPr>
    </w:p>
    <w:p>
      <w:pPr>
        <w:ind w:left="300" w:right="359" w:firstLine="441"/>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or the DGCL, shares that are voted “abstain” and broker “non-votes” (as discussed below) are counted as present for purposes of determining whether a quorum is present at the Special Meeting. If a quorum is not present, the meeting may be adjourned until a quorum is obtained.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left="300" w:right="399" w:firstLine="441"/>
        <w:spacing w:after="0" w:line="266"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Tenth Amended and Restated Certificate of Incorporation, as amended, or certificate of incorporation, or bylaws.</w:t>
      </w:r>
    </w:p>
    <w:p>
      <w:pPr>
        <w:spacing w:after="0" w:line="176" w:lineRule="exact"/>
        <w:rPr>
          <w:sz w:val="20"/>
          <w:szCs w:val="20"/>
          <w:color w:val="auto"/>
        </w:rPr>
      </w:pPr>
    </w:p>
    <w:p>
      <w:pPr>
        <w:ind w:left="300" w:right="299" w:firstLine="441"/>
        <w:spacing w:after="0" w:line="255"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“routine” items, but will not be allowed to vote your shares with respect to “non-routine” items. A broker “non-vote” typically occurs when non-routine proposals are presented and a nominee holding shares for a beneficial owner does not vote on a particular proposal because the nominee does not have discretionary voting power with respect to that item and has not received instructions from the beneficial owner.</w:t>
      </w:r>
    </w:p>
    <w:p>
      <w:pPr>
        <w:spacing w:after="0" w:line="189" w:lineRule="exact"/>
        <w:rPr>
          <w:sz w:val="20"/>
          <w:szCs w:val="20"/>
          <w:color w:val="auto"/>
        </w:rPr>
      </w:pPr>
    </w:p>
    <w:p>
      <w:pPr>
        <w:jc w:val="both"/>
        <w:ind w:left="300" w:right="679" w:firstLine="441"/>
        <w:spacing w:after="0" w:line="266" w:lineRule="auto"/>
        <w:rPr>
          <w:sz w:val="20"/>
          <w:szCs w:val="20"/>
          <w:color w:val="auto"/>
        </w:rPr>
      </w:pPr>
      <w:r>
        <w:rPr>
          <w:rFonts w:ascii="Times New Roman" w:cs="Times New Roman" w:eastAsia="Times New Roman" w:hAnsi="Times New Roman"/>
          <w:sz w:val="18"/>
          <w:szCs w:val="18"/>
          <w:color w:val="auto"/>
        </w:rPr>
        <w:t>Proposal No. 1 is a “routine” item. Therefore, if you do not return voting instructions to your broker, your shares may be voted by your broker in its discretion on Proposal No. 1. If all brokers exercise this discretionary authority, then no broker non-votes are expected to exist in connection with Proposal No. 1.</w:t>
      </w:r>
    </w:p>
    <w:p>
      <w:pPr>
        <w:spacing w:after="0" w:line="176" w:lineRule="exact"/>
        <w:rPr>
          <w:sz w:val="20"/>
          <w:szCs w:val="20"/>
          <w:color w:val="auto"/>
        </w:rPr>
      </w:pPr>
    </w:p>
    <w:p>
      <w:pPr>
        <w:ind w:left="300" w:right="419" w:firstLine="441"/>
        <w:spacing w:after="0" w:line="266" w:lineRule="auto"/>
        <w:rPr>
          <w:sz w:val="20"/>
          <w:szCs w:val="20"/>
          <w:color w:val="auto"/>
        </w:rPr>
      </w:pPr>
      <w:r>
        <w:rPr>
          <w:rFonts w:ascii="Times New Roman" w:cs="Times New Roman" w:eastAsia="Times New Roman" w:hAnsi="Times New Roman"/>
          <w:sz w:val="18"/>
          <w:szCs w:val="18"/>
          <w:color w:val="auto"/>
        </w:rPr>
        <w:t>Proposal No. 2 is a “non-routine” item. Therefore, if you do not instruct your broker how to vote with respect to Proposal No. 2, your broker may not vote on that proposal, and those shares will be counted as broker “non-votes.”</w:t>
      </w:r>
    </w:p>
    <w:p>
      <w:pPr>
        <w:spacing w:after="0" w:line="176" w:lineRule="exact"/>
        <w:rPr>
          <w:sz w:val="20"/>
          <w:szCs w:val="20"/>
          <w:color w:val="auto"/>
        </w:rPr>
      </w:pPr>
    </w:p>
    <w:p>
      <w:pPr>
        <w:jc w:val="both"/>
        <w:ind w:left="300" w:right="559" w:firstLine="441"/>
        <w:spacing w:after="0" w:line="261" w:lineRule="auto"/>
        <w:rPr>
          <w:sz w:val="20"/>
          <w:szCs w:val="20"/>
          <w:color w:val="auto"/>
        </w:rPr>
      </w:pPr>
      <w:r>
        <w:rPr>
          <w:rFonts w:ascii="Times New Roman" w:cs="Times New Roman" w:eastAsia="Times New Roman" w:hAnsi="Times New Roman"/>
          <w:sz w:val="18"/>
          <w:szCs w:val="18"/>
          <w:color w:val="auto"/>
        </w:rPr>
        <w:t>To approve an amendment to our certificate of incorporation to increase the number of authorized shares of common stock from 150,000,000 to 500,000,000, the votes cast “For” Proposal No. 1 must exceed the votes cast “Against” Proposal No. 1. Abstentions and broker non-votes, if any, are not considered votes cast and, therefore, will have no effect on the vote on Proposal No. 1.</w:t>
      </w:r>
    </w:p>
    <w:p>
      <w:pPr>
        <w:spacing w:after="0" w:line="180" w:lineRule="exact"/>
        <w:rPr>
          <w:sz w:val="20"/>
          <w:szCs w:val="20"/>
          <w:color w:val="auto"/>
        </w:rPr>
      </w:pPr>
    </w:p>
    <w:p>
      <w:pPr>
        <w:ind w:left="300" w:right="299" w:firstLine="441"/>
        <w:spacing w:after="0" w:line="266" w:lineRule="auto"/>
        <w:rPr>
          <w:sz w:val="20"/>
          <w:szCs w:val="20"/>
          <w:color w:val="auto"/>
        </w:rPr>
      </w:pPr>
      <w:r>
        <w:rPr>
          <w:rFonts w:ascii="Times New Roman" w:cs="Times New Roman" w:eastAsia="Times New Roman" w:hAnsi="Times New Roman"/>
          <w:sz w:val="18"/>
          <w:szCs w:val="18"/>
          <w:color w:val="auto"/>
        </w:rPr>
        <w:t>To approve Amendment No. 1 to the 2021 Stock Option and Incentive Plan, Proposal No. 2 must receive “For” votes from a majority of the votes properly cast “For” and “Against” such matter. Abstentions and broker non-votes, if any, are not considered votes cast and, therefore, will have no effect on the vote on Proposal No. 2.</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left="300" w:right="299" w:firstLine="441"/>
        <w:spacing w:after="0" w:line="256"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21" w:lineRule="exact"/>
        <w:rPr>
          <w:sz w:val="20"/>
          <w:szCs w:val="20"/>
          <w:color w:val="auto"/>
        </w:rPr>
      </w:pPr>
    </w:p>
    <w:p>
      <w:pPr>
        <w:ind w:left="300" w:right="379" w:firstLine="441"/>
        <w:spacing w:after="0" w:line="258" w:lineRule="auto"/>
        <w:rPr>
          <w:sz w:val="20"/>
          <w:szCs w:val="20"/>
          <w:color w:val="auto"/>
        </w:rPr>
      </w:pPr>
      <w:r>
        <w:rPr>
          <w:rFonts w:ascii="Times New Roman" w:cs="Times New Roman" w:eastAsia="Times New Roman" w:hAnsi="Times New Roman"/>
          <w:sz w:val="18"/>
          <w:szCs w:val="18"/>
          <w:color w:val="auto"/>
        </w:rPr>
        <w:t>We plan to announce preliminary voting results at the Special Meeting. Final voting results will be published in a Current Report on Form 8-K, or Form 8-K, that we expect to file with the SEC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PROPOSAL NO. 1 - APPROVAL OF AN AMENDMENT TO OUR TENTH AMENDED AND RESTATED CERTIFICATE OF INCORPORATION TO INCREASE AUTHORIZED SHARES OF COMMON STOCK FROM 150,000,000 TO 500,000,000</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and Reasons for the Proposed Charter Amendment</w:t>
      </w:r>
    </w:p>
    <w:p>
      <w:pPr>
        <w:spacing w:after="0" w:line="121" w:lineRule="exact"/>
        <w:rPr>
          <w:sz w:val="20"/>
          <w:szCs w:val="20"/>
          <w:color w:val="auto"/>
        </w:rPr>
      </w:pPr>
    </w:p>
    <w:p>
      <w:pPr>
        <w:ind w:left="300" w:right="439" w:firstLine="441"/>
        <w:spacing w:after="0" w:line="261" w:lineRule="auto"/>
        <w:rPr>
          <w:sz w:val="20"/>
          <w:szCs w:val="20"/>
          <w:color w:val="auto"/>
        </w:rPr>
      </w:pPr>
      <w:r>
        <w:rPr>
          <w:rFonts w:ascii="Times New Roman" w:cs="Times New Roman" w:eastAsia="Times New Roman" w:hAnsi="Times New Roman"/>
          <w:sz w:val="18"/>
          <w:szCs w:val="18"/>
          <w:color w:val="auto"/>
        </w:rPr>
        <w:t>Aura’s stockholders are being asked to approve an amendment to the Company’s Tenth Amended and Restated Certificate of Incorporation to increase the authorized number of shares of common stock from 150,000,000 to 500,000,000. We refer to this proposed amendment to our Tenth Amended and Restated Certificate of Incorporation as the “Charter Amendment” in this proxy statement.</w:t>
      </w:r>
    </w:p>
    <w:p>
      <w:pPr>
        <w:spacing w:after="0" w:line="180" w:lineRule="exact"/>
        <w:rPr>
          <w:sz w:val="20"/>
          <w:szCs w:val="20"/>
          <w:color w:val="auto"/>
        </w:rPr>
      </w:pPr>
    </w:p>
    <w:p>
      <w:pPr>
        <w:ind w:left="300" w:right="359" w:firstLine="441"/>
        <w:spacing w:after="0" w:line="269" w:lineRule="auto"/>
        <w:rPr>
          <w:sz w:val="20"/>
          <w:szCs w:val="20"/>
          <w:color w:val="auto"/>
        </w:rPr>
      </w:pPr>
      <w:r>
        <w:rPr>
          <w:rFonts w:ascii="Times New Roman" w:cs="Times New Roman" w:eastAsia="Times New Roman" w:hAnsi="Times New Roman"/>
          <w:sz w:val="17"/>
          <w:szCs w:val="17"/>
          <w:color w:val="auto"/>
        </w:rPr>
        <w:t>Our Board of Directors believes that additional authorized shares of common stock would give us the necessary flexibility to issue shares for various corporate purposes, including, in particular, raising capital, and enable us to take timely advantage of market conditions and opportunities. Other corporate purposes for which the additional authorized shares could be used include, but are not limited to, potential strategic transactions, including mergers, acquisitions, and other business combinations; future grants and awards under equity compensation plans; stock splits and dividends; and other general corporate working capital needs. We currently do not have any specific plans, arrangements or understandings to issue additional shares of our common stock, except for (i) the issuance of shares of common stock pursuant to our equity incentive plans and (ii) potential issuances pursuant to our sales agreement with Jefferies LLC, through which we may offer and sell shares of our common stock from time to time in “at-the-market” offerings. Having additional authorized shares available will provide additional flexibility to use our common stock for business and financial purposes in the future as well as to have sufficient shares available to provide appropriate equity incentives for our employees. The additional shares may be used for various purposes without further stockholder approval, except as may be required in certain cases by law or the Nasdaq rules.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June 1, 2026, our common stock share utilization was approximately as follows:</w:t>
      </w:r>
    </w:p>
    <w:p>
      <w:pPr>
        <w:spacing w:after="0" w:line="90"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52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of Common Stock</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Authorized for issuance</w:t>
            </w:r>
          </w:p>
        </w:tc>
        <w:tc>
          <w:tcPr>
            <w:tcW w:w="15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103,397,416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Reserved for issuance</w:t>
            </w: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Available for future grant under employee equity incentive plans</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6,528,472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Outstanding awards under our employee equity incentive plans</w:t>
            </w:r>
          </w:p>
        </w:tc>
        <w:tc>
          <w:tcPr>
            <w:tcW w:w="15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10,949,361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Pre-funded warrants (unexercised)</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7,371,435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Common stock warrants (unexercised)</w:t>
            </w:r>
          </w:p>
        </w:tc>
        <w:tc>
          <w:tcPr>
            <w:tcW w:w="15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3,801,750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Inducement awards</w:t>
            </w: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3,323,065</w:t>
            </w:r>
          </w:p>
        </w:tc>
        <w:tc>
          <w:tcPr>
            <w:tcW w:w="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 usage (issued and outstanding + reserved for issuance)</w:t>
            </w:r>
          </w:p>
        </w:tc>
        <w:tc>
          <w:tcPr>
            <w:tcW w:w="15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135,371,499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issuance</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31,974,083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 usage as a percent of authorized</w:t>
            </w:r>
          </w:p>
        </w:tc>
        <w:tc>
          <w:tcPr>
            <w:tcW w:w="15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Given the number of shares available for issuance as of the record date, our Board of Directors does not believe the currently available number of unissued shares of common stock is an adequate number of shares to assure that there will be sufficient shares available for issuance in connection with any possible future equity and equity-based financings, possible future awards under equity compensation plans, and other corporate purposes. Therefore, our Board of Directors has approved the above-described increase in our authorized shares of common stock as a means of providing us with the flexibility to act with respect to the issuance of common stock or securities exercisable for, or convertible into, common stock in circumstances which they believe will advance our interests and the interests of our stockholders. The failure to approve this proposal may prevent us from continuing to pursue effective strategies to access capital in the public and private markets.</w:t>
      </w:r>
    </w:p>
    <w:p>
      <w:pPr>
        <w:spacing w:after="0" w:line="188" w:lineRule="exact"/>
        <w:rPr>
          <w:sz w:val="20"/>
          <w:szCs w:val="20"/>
          <w:color w:val="auto"/>
        </w:rPr>
      </w:pPr>
    </w:p>
    <w:p>
      <w:pPr>
        <w:ind w:left="300" w:right="539" w:firstLine="441"/>
        <w:spacing w:after="0" w:line="266" w:lineRule="auto"/>
        <w:rPr>
          <w:sz w:val="20"/>
          <w:szCs w:val="20"/>
          <w:color w:val="auto"/>
        </w:rPr>
      </w:pPr>
      <w:r>
        <w:rPr>
          <w:rFonts w:ascii="Times New Roman" w:cs="Times New Roman" w:eastAsia="Times New Roman" w:hAnsi="Times New Roman"/>
          <w:sz w:val="18"/>
          <w:szCs w:val="18"/>
          <w:color w:val="auto"/>
        </w:rPr>
        <w:t>For the reasons stated above, our Board of Directors has unanimously determined that the proposed Charter Amendment is advisable and in the best interest of Aura and our stockholders, and authorized and approved the proposed Charter Amendment and directed that it be considered at the Special Meeting.</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7" w:right="1440" w:bottom="1440" w:gutter="0" w:footer="0" w:header="0"/>
        </w:sectPr>
      </w:pPr>
    </w:p>
    <w:bookmarkStart w:id="9" w:name="page10"/>
    <w:bookmarkEnd w:id="9"/>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of the Amendment</w:t>
      </w:r>
    </w:p>
    <w:p>
      <w:pPr>
        <w:spacing w:after="0" w:line="229" w:lineRule="exact"/>
        <w:rPr>
          <w:sz w:val="20"/>
          <w:szCs w:val="20"/>
          <w:color w:val="auto"/>
        </w:rPr>
      </w:pPr>
    </w:p>
    <w:p>
      <w:pPr>
        <w:ind w:left="300" w:right="499" w:firstLine="441"/>
        <w:spacing w:after="0" w:line="256" w:lineRule="auto"/>
        <w:rPr>
          <w:sz w:val="20"/>
          <w:szCs w:val="20"/>
          <w:color w:val="auto"/>
        </w:rPr>
      </w:pPr>
      <w:r>
        <w:rPr>
          <w:rFonts w:ascii="Times New Roman" w:cs="Times New Roman" w:eastAsia="Times New Roman" w:hAnsi="Times New Roman"/>
          <w:sz w:val="18"/>
          <w:szCs w:val="18"/>
          <w:color w:val="auto"/>
        </w:rPr>
        <w:t>If the stockholders approve this proposal, our Tenth Amended and Restated Certificate of Incorporation will be amended to increase the number of shares of common stock the Company is authorized to issue from 150,000,000 shares to 500,000,000 shares. The par value of the common stock will remain at $0.00001 per share. There will be no change to the number of authorized shares of undesignated preferred stock. The Certificate of Amendment would amend the first paragraph of ARTICLE IV of the Tenth Amended and Restated Certificate of Incorporation in its entirety to read as follows:</w:t>
      </w:r>
    </w:p>
    <w:p>
      <w:pPr>
        <w:spacing w:after="0" w:line="187" w:lineRule="exact"/>
        <w:rPr>
          <w:sz w:val="20"/>
          <w:szCs w:val="20"/>
          <w:color w:val="auto"/>
        </w:rPr>
      </w:pPr>
    </w:p>
    <w:p>
      <w:pPr>
        <w:ind w:left="300" w:right="359" w:firstLine="441"/>
        <w:spacing w:after="0" w:line="258"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five hundred ten million (510,000,000), of which (i) five hundred million (500,000,000) shares shall be a class designated as common stock, par value $0.00001 per share (the “Common Stock”), and (ii) ten million (10,000,000) shares shall be a class designated as undesignated preferred stock, par value $0.00001 per share (the “Undesignated Preferred Stock”).”</w:t>
      </w:r>
    </w:p>
    <w:p>
      <w:pPr>
        <w:spacing w:after="0" w:line="183" w:lineRule="exact"/>
        <w:rPr>
          <w:sz w:val="20"/>
          <w:szCs w:val="20"/>
          <w:color w:val="auto"/>
        </w:rPr>
      </w:pPr>
    </w:p>
    <w:p>
      <w:pPr>
        <w:ind w:left="300" w:right="679" w:firstLine="441"/>
        <w:spacing w:after="0" w:line="282" w:lineRule="auto"/>
        <w:rPr>
          <w:sz w:val="20"/>
          <w:szCs w:val="20"/>
          <w:color w:val="auto"/>
        </w:rPr>
      </w:pPr>
      <w:r>
        <w:rPr>
          <w:rFonts w:ascii="Times New Roman" w:cs="Times New Roman" w:eastAsia="Times New Roman" w:hAnsi="Times New Roman"/>
          <w:sz w:val="18"/>
          <w:szCs w:val="18"/>
          <w:color w:val="auto"/>
        </w:rPr>
        <w:t>The remaining text of ARTICLE IV of our Tenth Amended and Restated Certificate of Incorporation will remain unchanged.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Additional Authorized Shares</w:t>
      </w:r>
    </w:p>
    <w:p>
      <w:pPr>
        <w:spacing w:after="0" w:line="121" w:lineRule="exact"/>
        <w:rPr>
          <w:sz w:val="20"/>
          <w:szCs w:val="20"/>
          <w:color w:val="auto"/>
        </w:rPr>
      </w:pPr>
    </w:p>
    <w:p>
      <w:pPr>
        <w:ind w:left="300" w:right="399" w:firstLine="441"/>
        <w:spacing w:after="0" w:line="258" w:lineRule="auto"/>
        <w:rPr>
          <w:sz w:val="20"/>
          <w:szCs w:val="20"/>
          <w:color w:val="auto"/>
        </w:rPr>
      </w:pPr>
      <w:r>
        <w:rPr>
          <w:rFonts w:ascii="Times New Roman" w:cs="Times New Roman" w:eastAsia="Times New Roman" w:hAnsi="Times New Roman"/>
          <w:sz w:val="18"/>
          <w:szCs w:val="18"/>
          <w:color w:val="auto"/>
        </w:rPr>
        <w:t>The additional authorized shares of common stock, if and when issued, would be part of our existing class of common stock and would have the same rights and privileges as the shares of common stock currently outstanding. The Company’s stockholders do not have preemptive rights with respect to the common stock. Accordingly, should our Board of Directors elect to issue additional shares of common stock, existing stockholders would not have any preferential rights to purchase the shares.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Adverse Effects of the Amendment</w:t>
      </w:r>
    </w:p>
    <w:p>
      <w:pPr>
        <w:spacing w:after="0" w:line="121" w:lineRule="exact"/>
        <w:rPr>
          <w:sz w:val="20"/>
          <w:szCs w:val="20"/>
          <w:color w:val="auto"/>
        </w:rPr>
      </w:pPr>
    </w:p>
    <w:p>
      <w:pPr>
        <w:ind w:left="300" w:right="379" w:firstLine="441"/>
        <w:spacing w:after="0" w:line="255" w:lineRule="auto"/>
        <w:rPr>
          <w:sz w:val="20"/>
          <w:szCs w:val="20"/>
          <w:color w:val="auto"/>
        </w:rPr>
      </w:pPr>
      <w:r>
        <w:rPr>
          <w:rFonts w:ascii="Times New Roman" w:cs="Times New Roman" w:eastAsia="Times New Roman" w:hAnsi="Times New Roman"/>
          <w:sz w:val="18"/>
          <w:szCs w:val="18"/>
          <w:color w:val="auto"/>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the Company. The Board of Directors is not aware of any attempt, or contemplated attempt, to acquire control of the Company. This proposal is not being presented with the intent that it be used to prevent or discourage any acquisition attempt, but nothing would prevent our Board of Directors from taking any appropriate actions not inconsistent with its fiduciary duties.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Timing and Effect of the Charter Amendment</w:t>
      </w:r>
    </w:p>
    <w:p>
      <w:pPr>
        <w:spacing w:after="0" w:line="121" w:lineRule="exact"/>
        <w:rPr>
          <w:sz w:val="20"/>
          <w:szCs w:val="20"/>
          <w:color w:val="auto"/>
        </w:rPr>
      </w:pPr>
    </w:p>
    <w:p>
      <w:pPr>
        <w:ind w:left="300" w:right="299" w:firstLine="441"/>
        <w:spacing w:after="0" w:line="254" w:lineRule="auto"/>
        <w:rPr>
          <w:sz w:val="20"/>
          <w:szCs w:val="20"/>
          <w:color w:val="auto"/>
        </w:rPr>
      </w:pPr>
      <w:r>
        <w:rPr>
          <w:rFonts w:ascii="Times New Roman" w:cs="Times New Roman" w:eastAsia="Times New Roman" w:hAnsi="Times New Roman"/>
          <w:sz w:val="18"/>
          <w:szCs w:val="18"/>
          <w:color w:val="auto"/>
        </w:rPr>
        <w:t>If the proposed Charter Amendment is approved by our stockholders, it will become effective immediately upon the filing of the Certificate of Amendment with the Secretary of State of the State of Delaware, which we expect to file promptly after the Special Meeting. Other than the amendment to ARTICLE IV, the remainder of our Tenth Amended and Restated Certificate of Incorporation, as amended, will remain unchanged after effectiveness of the Charter Amendment. If the proposed Charter Amendment is not approved by our stockholders, our Tenth Amended and Restated Certificate of Incorporation will remain unchanged. In accordance with the DGCL, the Board of Directors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ind w:left="300" w:right="419" w:firstLine="441"/>
        <w:spacing w:after="0" w:line="261" w:lineRule="auto"/>
        <w:rPr>
          <w:sz w:val="20"/>
          <w:szCs w:val="20"/>
          <w:color w:val="auto"/>
        </w:rPr>
      </w:pPr>
      <w:r>
        <w:rPr>
          <w:rFonts w:ascii="Times New Roman" w:cs="Times New Roman" w:eastAsia="Times New Roman" w:hAnsi="Times New Roman"/>
          <w:sz w:val="18"/>
          <w:szCs w:val="18"/>
          <w:color w:val="auto"/>
        </w:rPr>
        <w:t>To approve an amendment to our Tenth Amended and Restated Certificate of Incorporation to increase the number of authorized shares of common stock from 150,000,000 to 500,000,000, the votes cast “For” this Proposal No. 1 must exceed the votes cast “Against” this Proposal No. 1. Abstentions and broker non-votes, if any, are not considered votes cast and, therefore, will have no effect on the vote on Proposal No. 1.</w:t>
      </w:r>
    </w:p>
    <w:p>
      <w:pPr>
        <w:spacing w:after="0" w:line="284" w:lineRule="exact"/>
        <w:rPr>
          <w:sz w:val="20"/>
          <w:szCs w:val="20"/>
          <w:color w:val="auto"/>
        </w:rPr>
      </w:pPr>
    </w:p>
    <w:p>
      <w:pPr>
        <w:ind w:left="300" w:right="6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1 to amend Aura’s Tenth Amended and Restated Certificate of Incorporation.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2 - APPROVAL OF AMENDMENT NO. 1 TO THE AURA BIOSCIENCES, INC. 2021 STOCK OPTION AND INCENTIVE PLAN</w:t>
      </w:r>
    </w:p>
    <w:p>
      <w:pPr>
        <w:spacing w:after="0" w:line="159" w:lineRule="exact"/>
        <w:rPr>
          <w:sz w:val="20"/>
          <w:szCs w:val="20"/>
          <w:color w:val="auto"/>
        </w:rPr>
      </w:pPr>
    </w:p>
    <w:p>
      <w:pPr>
        <w:ind w:left="300" w:right="319" w:firstLine="441"/>
        <w:spacing w:after="0" w:line="266" w:lineRule="auto"/>
        <w:rPr>
          <w:sz w:val="20"/>
          <w:szCs w:val="20"/>
          <w:color w:val="auto"/>
        </w:rPr>
      </w:pPr>
      <w:r>
        <w:rPr>
          <w:rFonts w:ascii="Times New Roman" w:cs="Times New Roman" w:eastAsia="Times New Roman" w:hAnsi="Times New Roman"/>
          <w:sz w:val="18"/>
          <w:szCs w:val="18"/>
          <w:color w:val="auto"/>
        </w:rPr>
        <w:t>On June 11, 2026, our Board of Directors approved Amendment No. 1, or the First Amendment, to the Aura Biosciences, Inc. 2021 Stock Option and Incentive Plan, or the 2021 Plan, and, as amended by the First Amendment, the Amended Plan, subject to approval from our stockholders at the Special Meeting.</w:t>
      </w:r>
    </w:p>
    <w:p>
      <w:pPr>
        <w:spacing w:after="0" w:line="176" w:lineRule="exact"/>
        <w:rPr>
          <w:sz w:val="20"/>
          <w:szCs w:val="20"/>
          <w:color w:val="auto"/>
        </w:rPr>
      </w:pPr>
    </w:p>
    <w:p>
      <w:pPr>
        <w:ind w:left="300" w:right="359"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First Amendment will amend the evergreen provision in the 2021 Plan to provide that any of the Company’s outstanding pre-funded warrants shall be added to the total number of shares of common stock that are issued and outstanding as of each December 31 for purposes of the evergreen formula used in calculating the annual increase in the shares available to grant under the 2021 Plan. The proposed amendment to the formula to calculate the annual increase pursuant to the evergreen provision is the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change to the 2021 Plan proposed by the First Amendment.</w:t>
      </w:r>
    </w:p>
    <w:p>
      <w:pPr>
        <w:spacing w:after="0" w:line="187" w:lineRule="exact"/>
        <w:rPr>
          <w:sz w:val="20"/>
          <w:szCs w:val="20"/>
          <w:color w:val="auto"/>
        </w:rPr>
      </w:pPr>
    </w:p>
    <w:p>
      <w:pPr>
        <w:jc w:val="both"/>
        <w:ind w:left="300" w:right="499" w:firstLine="441"/>
        <w:spacing w:after="0" w:line="266" w:lineRule="auto"/>
        <w:rPr>
          <w:sz w:val="20"/>
          <w:szCs w:val="20"/>
          <w:color w:val="auto"/>
        </w:rPr>
      </w:pPr>
      <w:r>
        <w:rPr>
          <w:rFonts w:ascii="Times New Roman" w:cs="Times New Roman" w:eastAsia="Times New Roman" w:hAnsi="Times New Roman"/>
          <w:sz w:val="18"/>
          <w:szCs w:val="18"/>
          <w:color w:val="auto"/>
        </w:rPr>
        <w:t>To be approved, this proposal must receive “For” votes from a majority of the votes properly cast “For” and “Against” such matter. Abstentions and broker non-votes, if any, are not considered votes cast and, therefore, will have no effect on this proposal.</w:t>
      </w:r>
    </w:p>
    <w:p>
      <w:pPr>
        <w:spacing w:after="0" w:line="176" w:lineRule="exact"/>
        <w:rPr>
          <w:sz w:val="20"/>
          <w:szCs w:val="20"/>
          <w:color w:val="auto"/>
        </w:rPr>
      </w:pPr>
    </w:p>
    <w:p>
      <w:pPr>
        <w:jc w:val="both"/>
        <w:ind w:left="300" w:right="499" w:firstLine="441"/>
        <w:spacing w:after="0" w:line="282" w:lineRule="auto"/>
        <w:rPr>
          <w:sz w:val="20"/>
          <w:szCs w:val="20"/>
          <w:color w:val="auto"/>
        </w:rPr>
      </w:pPr>
      <w:r>
        <w:rPr>
          <w:rFonts w:ascii="Times New Roman" w:cs="Times New Roman" w:eastAsia="Times New Roman" w:hAnsi="Times New Roman"/>
          <w:sz w:val="18"/>
          <w:szCs w:val="18"/>
          <w:color w:val="auto"/>
        </w:rPr>
        <w:t>If the Amendment is not approved by stockholders at the Special Meeting, the 2021 Plan will continue in its current form without change.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Rationale for First Amendment</w:t>
      </w:r>
    </w:p>
    <w:p>
      <w:pPr>
        <w:spacing w:after="0" w:line="229" w:lineRule="exact"/>
        <w:rPr>
          <w:sz w:val="20"/>
          <w:szCs w:val="20"/>
          <w:color w:val="auto"/>
        </w:rPr>
      </w:pPr>
    </w:p>
    <w:p>
      <w:pPr>
        <w:ind w:left="300" w:right="299" w:firstLine="441"/>
        <w:spacing w:after="0" w:line="258" w:lineRule="auto"/>
        <w:rPr>
          <w:sz w:val="20"/>
          <w:szCs w:val="20"/>
          <w:color w:val="auto"/>
        </w:rPr>
      </w:pPr>
      <w:r>
        <w:rPr>
          <w:rFonts w:ascii="Times New Roman" w:cs="Times New Roman" w:eastAsia="Times New Roman" w:hAnsi="Times New Roman"/>
          <w:sz w:val="18"/>
          <w:szCs w:val="18"/>
          <w:color w:val="auto"/>
        </w:rPr>
        <w:t>We operate in a competitive market and new hire, annual and other equity grants are essential in helping us attract and retain talented individuals. Our compensation committee, or the Compensation Committee, and the Board of Directors believe our stock-based compensation programs enable us to maintain our competitive position in recruiting and retaining highly skilled and engaged personnel. We also believe that stock options, restricted stock units and other equity-based awards are a key element of our stock-based compensation program.</w:t>
      </w:r>
    </w:p>
    <w:p>
      <w:pPr>
        <w:spacing w:after="0" w:line="183" w:lineRule="exact"/>
        <w:rPr>
          <w:sz w:val="20"/>
          <w:szCs w:val="20"/>
          <w:color w:val="auto"/>
        </w:rPr>
      </w:pPr>
    </w:p>
    <w:p>
      <w:pPr>
        <w:ind w:left="300" w:right="319" w:firstLine="441"/>
        <w:spacing w:after="0" w:line="255" w:lineRule="auto"/>
        <w:rPr>
          <w:sz w:val="20"/>
          <w:szCs w:val="20"/>
          <w:color w:val="auto"/>
        </w:rPr>
      </w:pPr>
      <w:r>
        <w:rPr>
          <w:rFonts w:ascii="Times New Roman" w:cs="Times New Roman" w:eastAsia="Times New Roman" w:hAnsi="Times New Roman"/>
          <w:sz w:val="18"/>
          <w:szCs w:val="18"/>
          <w:color w:val="auto"/>
        </w:rPr>
        <w:t>In order for us to continue to leverage stock options, restricted stock units and other equity-based awards as part of our recruiting and retention strategy, we would like to include pre-funded warrants in calculating the total number of shares of common stock that are issued and outstanding for purposes of the evergreen calculation under the 2021 Plan. The current evergreen provision calculation is based solely on shares of common stock that are issued and outstanding. The First Amendment would only be effective for annual evergreen increases to our share reserve under the 2021 Plan beginning with the increase on January 1, 2027 until the Amended Plan’s expiration in October 2031.</w:t>
      </w:r>
    </w:p>
    <w:p>
      <w:pPr>
        <w:spacing w:after="0" w:line="189" w:lineRule="exact"/>
        <w:rPr>
          <w:sz w:val="20"/>
          <w:szCs w:val="20"/>
          <w:color w:val="auto"/>
        </w:rPr>
      </w:pPr>
    </w:p>
    <w:p>
      <w:pPr>
        <w:ind w:left="300" w:right="439" w:firstLine="441"/>
        <w:spacing w:after="0" w:line="255" w:lineRule="auto"/>
        <w:rPr>
          <w:sz w:val="20"/>
          <w:szCs w:val="20"/>
          <w:color w:val="auto"/>
        </w:rPr>
      </w:pPr>
      <w:r>
        <w:rPr>
          <w:rFonts w:ascii="Times New Roman" w:cs="Times New Roman" w:eastAsia="Times New Roman" w:hAnsi="Times New Roman"/>
          <w:sz w:val="18"/>
          <w:szCs w:val="18"/>
          <w:color w:val="auto"/>
        </w:rPr>
        <w:t>In May 2025 and May 2026, we completed underwritten public offerings of our common stock and in lieu of common stock, certain investors purchased pre-funded warrants to purchase shares of our common stock. By issuing pre-funded warrants, we increased the funds available to progress our business without increasing the outstanding shares. As a result of issuing pre-funded warrants, which do not increase the outstanding shares, the shares available annually under the evergreen provision of our 2021 Plan did not increase proportionally. We are seeking to remedy this so we have a proportional amount of available shares in our equity-based compensation program to attract and retain talented individuals.</w:t>
      </w:r>
    </w:p>
    <w:p>
      <w:pPr>
        <w:spacing w:after="0" w:line="189" w:lineRule="exact"/>
        <w:rPr>
          <w:sz w:val="20"/>
          <w:szCs w:val="20"/>
          <w:color w:val="auto"/>
        </w:rPr>
      </w:pPr>
    </w:p>
    <w:p>
      <w:pPr>
        <w:ind w:left="300" w:right="399" w:firstLine="441"/>
        <w:spacing w:after="0" w:line="272" w:lineRule="auto"/>
        <w:rPr>
          <w:sz w:val="20"/>
          <w:szCs w:val="20"/>
          <w:color w:val="auto"/>
        </w:rPr>
      </w:pPr>
      <w:r>
        <w:rPr>
          <w:rFonts w:ascii="Times New Roman" w:cs="Times New Roman" w:eastAsia="Times New Roman" w:hAnsi="Times New Roman"/>
          <w:sz w:val="17"/>
          <w:szCs w:val="17"/>
          <w:color w:val="auto"/>
        </w:rPr>
        <w:t>For illustrative purposes, as of June 1, 2026, we had 103,397,416 shares of common stock that were issued and outstanding and 7,371,435 pre-funded warrants outstanding. Assuming these are the shares of common stock and pre-funded warrants outstanding on January 1, 2027, under the 2021 Plan’s current evergreen provision, our Board would be able to authorize up to an additional 5,169,870 shares for issuance. Under the same scenario, but with the First Amendment’s evergreen provision, our Board would be able to authorize up to an additional 5,538,442 shares for issuance, resulting in an increase of 368,572 shares, or approximately 0.3% of our total capitalization. If stockholders approve the First Amendment, the share reserve will increase with any future shares added pursuant to the Amended Plan’s “evergreen” provision until the Amended Plan’s expiration in October 2031.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7" w:right="1440" w:bottom="1440" w:gutter="0" w:footer="0" w:header="0"/>
        </w:sectPr>
      </w:pPr>
    </w:p>
    <w:bookmarkStart w:id="12" w:name="page13"/>
    <w:bookmarkEnd w:id="12"/>
    <w:p>
      <w:pPr>
        <w:spacing w:after="0" w:line="194"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We believe that this proposal to amend the evergreen provision is within the spirit of the 2021 Plan. Our Board of Directors has determined that the inclusion of pre-funded warrants in calculating the total number of shares of common stock that are issued and outstanding on each December 31 for purposes of calculating the annual increase under the 2021 Plan is reasonable based on our analysis and does not represent an excess number of shares. The pre-funded warrants, if included, would allow us to have a number of shares in our 2021 Plan reserve that are comparable in size to similarly-situated companies that do not have pre-funded warrants outstanding. Moreover, we anticipate that if our request to amend the evergreen provision is approved by our stockholders, it will facilitate our ability to provide equity incentives to attract, retain, and motivate employees, as well as continue a culture of ownership that aligns with our mission and values.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Current Plan and the Amended Plan</w:t>
      </w:r>
    </w:p>
    <w:p>
      <w:pPr>
        <w:spacing w:after="0" w:line="229" w:lineRule="exact"/>
        <w:rPr>
          <w:sz w:val="20"/>
          <w:szCs w:val="20"/>
          <w:color w:val="auto"/>
        </w:rPr>
      </w:pPr>
    </w:p>
    <w:p>
      <w:pPr>
        <w:jc w:val="both"/>
        <w:ind w:left="300" w:right="659" w:firstLine="441"/>
        <w:spacing w:after="0" w:line="266" w:lineRule="auto"/>
        <w:rPr>
          <w:sz w:val="20"/>
          <w:szCs w:val="20"/>
          <w:color w:val="auto"/>
        </w:rPr>
      </w:pPr>
      <w:r>
        <w:rPr>
          <w:rFonts w:ascii="Times New Roman" w:cs="Times New Roman" w:eastAsia="Times New Roman" w:hAnsi="Times New Roman"/>
          <w:sz w:val="18"/>
          <w:szCs w:val="18"/>
          <w:color w:val="auto"/>
        </w:rPr>
        <w:t>The following description of certain features of the Plan as it currently exists and whether it is amended is intended to be a summary only. The summary is qualified in its entirety by the full text of the 2021 Plan and the First Amendment, each of which is attached hereto as Appendix B and Appendix C, respectively.</w:t>
      </w:r>
    </w:p>
    <w:p>
      <w:pPr>
        <w:spacing w:after="0" w:line="1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 xml:space="preserve">Plan Limits. </w:t>
      </w:r>
      <w:r>
        <w:rPr>
          <w:rFonts w:ascii="Times New Roman" w:cs="Times New Roman" w:eastAsia="Times New Roman" w:hAnsi="Times New Roman"/>
          <w:sz w:val="18"/>
          <w:szCs w:val="18"/>
          <w:color w:val="auto"/>
        </w:rPr>
        <w:t>The Amended Plan provides a limit as to the maximum number of shares that may be issued.</w:t>
      </w:r>
    </w:p>
    <w:p>
      <w:pPr>
        <w:spacing w:after="0" w:line="29" w:lineRule="exact"/>
        <w:rPr>
          <w:sz w:val="20"/>
          <w:szCs w:val="20"/>
          <w:color w:val="auto"/>
        </w:rPr>
      </w:pPr>
    </w:p>
    <w:p>
      <w:pPr>
        <w:ind w:left="940" w:right="419" w:hanging="324"/>
        <w:spacing w:after="0" w:line="25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3,352,166 shares of common stock were previously authorized for issuance pursuant to awards under the 2021 Plan, plus the number of shares available for issuance under the 2021 Plan were subject to an annual increase on each January 1, beginning on January 1, 2022, by a number of shares equal to (A) 5% of the shares of common stock outstanding as of the last day of the immediately preceding fiscal year and (B) such lesser number of shares of common stock as determined by the Administrator (as defined below) (the “Evergreen Increase”).</w:t>
      </w:r>
    </w:p>
    <w:p>
      <w:pPr>
        <w:spacing w:after="0" w:line="189" w:lineRule="exact"/>
        <w:rPr>
          <w:rFonts w:ascii="Times New Roman" w:cs="Times New Roman" w:eastAsia="Times New Roman" w:hAnsi="Times New Roman"/>
          <w:sz w:val="18"/>
          <w:szCs w:val="18"/>
          <w:color w:val="auto"/>
        </w:rPr>
      </w:pPr>
    </w:p>
    <w:p>
      <w:pPr>
        <w:ind w:left="940" w:right="379" w:hanging="324"/>
        <w:spacing w:after="0" w:line="274" w:lineRule="auto"/>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Amendment treats, for the purposes of the Evergreen Increase, outstanding pre-funded warrants as outstanding common stock such that on the first day of each calendar year beginning on January 1, 2027 and ending on and including January 1, 2031, the number of shares of common stock reserved for issuance under the 2021 Plan will increase by (A) 5% of the shares of common stock outstanding or issuable upon exercise of outstanding pre-funded warrants, in each case, as of the last day of the immediately preceding fiscal year and (B) such lesser number of shares of common stock as determined by the Administrator.</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 June 12, 2026, the closing price of our common stock on the Nasdaq Global Select Market was $6.41 per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w:t>
      </w:r>
    </w:p>
    <w:p>
      <w:pPr>
        <w:spacing w:after="0" w:line="205" w:lineRule="exact"/>
        <w:rPr>
          <w:sz w:val="20"/>
          <w:szCs w:val="20"/>
          <w:color w:val="auto"/>
        </w:rPr>
      </w:pPr>
    </w:p>
    <w:p>
      <w:pPr>
        <w:ind w:left="300" w:right="33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Amended Plan will be administered by either our Board of Directors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or a similar committee (the “Administrator”). The Administrator has full power to select, from among the individuals eligible for awards, the individuals to whom awards will be granted, to make any combination of awards to participants, and to determine the specific terms and conditions of each award, subject to the provisions of the Amended Plan. The Administrator may delegate to a committee consisting of one or more officers of the Company the authority to grant awards to employees who are not subject to the reporting and other provisions of Section 16 of the Exchange Act, subject to certain limitations and guidelines.</w:t>
      </w:r>
    </w:p>
    <w:p>
      <w:pPr>
        <w:spacing w:after="0" w:line="183" w:lineRule="exact"/>
        <w:rPr>
          <w:sz w:val="20"/>
          <w:szCs w:val="20"/>
          <w:color w:val="auto"/>
        </w:rPr>
      </w:pPr>
    </w:p>
    <w:p>
      <w:pPr>
        <w:ind w:left="300" w:right="339" w:firstLine="441"/>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Eligibility; Plan Limits. </w:t>
      </w:r>
      <w:r>
        <w:rPr>
          <w:rFonts w:ascii="Times New Roman" w:cs="Times New Roman" w:eastAsia="Times New Roman" w:hAnsi="Times New Roman"/>
          <w:sz w:val="17"/>
          <w:szCs w:val="17"/>
          <w:color w:val="auto"/>
        </w:rPr>
        <w:t>All employees, non-employee directors and consultants are eligible to participate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Amended Plan, subject to the discretion of the Administrator. As of June 1, 2026, approximately 161 individuals would have been eligible to participate in the Amended Plan had it been effective on such date, which includes 5 executive officers, 109 employees who are not executive officers, 6 non-employee directors and approximately 41 consultants. There are certain limits on the number of awards that may be granted under the Amended Plan.</w:t>
      </w:r>
    </w:p>
    <w:p>
      <w:pPr>
        <w:spacing w:after="0" w:line="168" w:lineRule="exact"/>
        <w:rPr>
          <w:sz w:val="20"/>
          <w:szCs w:val="20"/>
          <w:color w:val="auto"/>
        </w:rPr>
      </w:pPr>
    </w:p>
    <w:p>
      <w:pPr>
        <w:ind w:left="300" w:right="39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Director Compensation Limit. </w:t>
      </w:r>
      <w:r>
        <w:rPr>
          <w:rFonts w:ascii="Times New Roman" w:cs="Times New Roman" w:eastAsia="Times New Roman" w:hAnsi="Times New Roman"/>
          <w:sz w:val="18"/>
          <w:szCs w:val="18"/>
          <w:color w:val="auto"/>
        </w:rPr>
        <w:t>The Amended Plan provides that the value of all awards awarded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Plan and all other cash compensation paid by the Company to any non-employee director in any calendar year shall not exceed $750,000, provided, however, that such amount shall be $1,000,000 for the calendar year in which the applicable non-employee director is initially elected or appointed to our Board of Directors.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192" w:lineRule="exact"/>
        <w:rPr>
          <w:sz w:val="20"/>
          <w:szCs w:val="20"/>
          <w:color w:val="auto"/>
        </w:rPr>
      </w:pPr>
    </w:p>
    <w:p>
      <w:pPr>
        <w:ind w:left="300" w:right="29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Amended Plan permits the granting of (1) options to purchase common stock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incentive stock options under Section 422 of the Code and (2) options that do not so qualify. Options granted under the Amended Plan will be non-qualified options if they fail to qualify as incentive options or exceed the annual limit on incentive stock options. Incentive stock options may only be granted to employees of the Company and its subsidiaries. Non-qualified options may be granted to any persons eligible to receive incentive options and to non-employee directors and consultants. The option exercise price of each option will be determined by the Administrator.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 not be less than 100% of the fair market value of the common stock on the date of grant. Fair market value for this purpose will be determined by reference to the price of the shares of common stock on Nasdaq. The exercise price of an option may not be reduced after the date of the option grant without stockholder approval, other than to appropriately reflect changes in our capital structure.</w:t>
      </w:r>
    </w:p>
    <w:p>
      <w:pPr>
        <w:spacing w:after="0" w:line="189" w:lineRule="exact"/>
        <w:rPr>
          <w:sz w:val="20"/>
          <w:szCs w:val="20"/>
          <w:color w:val="auto"/>
        </w:rPr>
      </w:pPr>
    </w:p>
    <w:p>
      <w:pPr>
        <w:ind w:left="300" w:right="439" w:firstLine="441"/>
        <w:spacing w:after="0" w:line="277" w:lineRule="auto"/>
        <w:rPr>
          <w:sz w:val="20"/>
          <w:szCs w:val="20"/>
          <w:color w:val="auto"/>
        </w:rPr>
      </w:pPr>
      <w:r>
        <w:rPr>
          <w:rFonts w:ascii="Times New Roman" w:cs="Times New Roman" w:eastAsia="Times New Roman" w:hAnsi="Times New Roman"/>
          <w:sz w:val="17"/>
          <w:szCs w:val="17"/>
          <w:color w:val="auto"/>
        </w:rPr>
        <w:t>The term of each option will be fixed by the Administrator and may not exceed ten years from the date of grant. The Administrator will determine at what time or times each option may be exercised. Options may be made exercisable in installments and the exercisability of options may be accelerated by the Administrator. In general, unless otherwise permitted by the Administrator, no option granted under the Amended Plan is transferable by the optionee other than by will or by the laws of descent and distribution or pursuant to a domestic relations order.</w:t>
      </w:r>
    </w:p>
    <w:p>
      <w:pPr>
        <w:spacing w:after="0" w:line="168" w:lineRule="exact"/>
        <w:rPr>
          <w:sz w:val="20"/>
          <w:szCs w:val="20"/>
          <w:color w:val="auto"/>
        </w:rPr>
      </w:pPr>
    </w:p>
    <w:p>
      <w:pPr>
        <w:ind w:left="300" w:right="479" w:firstLine="441"/>
        <w:spacing w:after="0" w:line="258" w:lineRule="auto"/>
        <w:rPr>
          <w:sz w:val="20"/>
          <w:szCs w:val="20"/>
          <w:color w:val="auto"/>
        </w:rPr>
      </w:pPr>
      <w:r>
        <w:rPr>
          <w:rFonts w:ascii="Times New Roman" w:cs="Times New Roman" w:eastAsia="Times New Roman" w:hAnsi="Times New Roman"/>
          <w:sz w:val="18"/>
          <w:szCs w:val="18"/>
          <w:color w:val="auto"/>
        </w:rPr>
        <w:t>Upon exercise of options, the option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In addition, non-qualified options may be exercised using a net exercise feature which reduces the number of shares issued to the optionee by the number of shares with a fair market value equal to the exercise price.</w:t>
      </w:r>
    </w:p>
    <w:p>
      <w:pPr>
        <w:spacing w:after="0" w:line="183" w:lineRule="exact"/>
        <w:rPr>
          <w:sz w:val="20"/>
          <w:szCs w:val="20"/>
          <w:color w:val="auto"/>
        </w:rPr>
      </w:pPr>
    </w:p>
    <w:p>
      <w:pPr>
        <w:ind w:left="300" w:right="479" w:firstLine="441"/>
        <w:spacing w:after="0" w:line="266" w:lineRule="auto"/>
        <w:rPr>
          <w:sz w:val="20"/>
          <w:szCs w:val="20"/>
          <w:color w:val="auto"/>
        </w:rPr>
      </w:pPr>
      <w:r>
        <w:rPr>
          <w:rFonts w:ascii="Times New Roman" w:cs="Times New Roman" w:eastAsia="Times New Roman" w:hAnsi="Times New Roman"/>
          <w:sz w:val="18"/>
          <w:szCs w:val="18"/>
          <w:color w:val="auto"/>
        </w:rPr>
        <w:t>To qualify as incentive options, options must meet additional federal tax requirements, including a $100,000 limit on the value of shares subject to incentive options that first become exercisable by a participant in any one calendar year.</w:t>
      </w:r>
    </w:p>
    <w:p>
      <w:pPr>
        <w:spacing w:after="0" w:line="174" w:lineRule="exact"/>
        <w:rPr>
          <w:sz w:val="20"/>
          <w:szCs w:val="20"/>
          <w:color w:val="auto"/>
        </w:rPr>
      </w:pPr>
    </w:p>
    <w:p>
      <w:pPr>
        <w:ind w:left="300" w:right="41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Administrator may award stock appreciation rights subject to such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restrictions as the Administrator may determine. Stock appreciation rights entitle the recipient to shares of common stock or cash equal to the value of the appreciation in the stock price over the exercise price. The exercise price may not be less than the fair market value of the common stock on the date of grant. The term of a stock appreciation right may not exceed ten years.</w:t>
      </w:r>
    </w:p>
    <w:p>
      <w:pPr>
        <w:spacing w:after="0" w:line="183" w:lineRule="exact"/>
        <w:rPr>
          <w:sz w:val="20"/>
          <w:szCs w:val="20"/>
          <w:color w:val="auto"/>
        </w:rPr>
      </w:pPr>
    </w:p>
    <w:p>
      <w:pPr>
        <w:ind w:left="300" w:right="39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Administrator may award shares of common stock to participants subject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as the Administrator may determine. These conditions and restrictions may include the achievement of certain performance goals and/or continued employment with the Company through a specified restricted period. During the vesting period, restricted stock awards may be credited with dividend equivalent rights (but dividend equivalents payable with respect to restricted stock awards with vesting tied to the attainment of performance criteria shall not be paid unless and until such performance conditions are attained).</w:t>
      </w:r>
    </w:p>
    <w:p>
      <w:pPr>
        <w:spacing w:after="0" w:line="182" w:lineRule="exact"/>
        <w:rPr>
          <w:sz w:val="20"/>
          <w:szCs w:val="20"/>
          <w:color w:val="auto"/>
        </w:rPr>
      </w:pPr>
    </w:p>
    <w:p>
      <w:pPr>
        <w:ind w:left="300" w:right="39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Administrator may award restricted stock units to participants.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are ultimately payable in the form of shares of common stock or cash subject to such conditions and restrictions as the Administrator may determine. These conditions and restrictions may include the achievement of certain performance goals and/or continued employment with the Company through a specified vesting period. In the Administrator’s sole discretion, it may permit a participant to make an advance election to receive a portion of his or her future cash compensation otherwise due in the form of a restricted stock unit award, subject to the participant’s compliance with the procedures established by the Administrator and requirements of Section 409A of the Code. During the deferral period, the deferred stock awards may be credited with dividend equivalent rights.</w:t>
      </w:r>
    </w:p>
    <w:p>
      <w:pPr>
        <w:spacing w:after="0" w:line="185" w:lineRule="exact"/>
        <w:rPr>
          <w:sz w:val="20"/>
          <w:szCs w:val="20"/>
          <w:color w:val="auto"/>
        </w:rPr>
      </w:pPr>
    </w:p>
    <w:p>
      <w:pPr>
        <w:ind w:left="300" w:right="579"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Unrestricted Stock Awards. </w:t>
      </w:r>
      <w:r>
        <w:rPr>
          <w:rFonts w:ascii="Times New Roman" w:cs="Times New Roman" w:eastAsia="Times New Roman" w:hAnsi="Times New Roman"/>
          <w:sz w:val="18"/>
          <w:szCs w:val="18"/>
          <w:color w:val="auto"/>
        </w:rPr>
        <w:t>The Administrator may also grant (or sell at par value or such higher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determined by the Administrator) shares of common stock that are free from any restrictions under the Amended Plan. Unrestricted stock may be granted to any participant in recognition of past services or other valid consideration and may be issued in lieu of cash compensation due to such participant.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192" w:lineRule="exact"/>
        <w:rPr>
          <w:sz w:val="20"/>
          <w:szCs w:val="20"/>
          <w:color w:val="auto"/>
        </w:rPr>
      </w:pPr>
    </w:p>
    <w:p>
      <w:pPr>
        <w:ind w:left="300" w:right="339"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Rights. </w:t>
      </w:r>
      <w:r>
        <w:rPr>
          <w:rFonts w:ascii="Times New Roman" w:cs="Times New Roman" w:eastAsia="Times New Roman" w:hAnsi="Times New Roman"/>
          <w:sz w:val="18"/>
          <w:szCs w:val="18"/>
          <w:color w:val="auto"/>
        </w:rPr>
        <w:t>The Administrator may grant dividend equivalent rights to participants,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 the recipient to receive credits for dividends that would be paid if the recipient had held specified shares of common stock. Dividend equivalent rights are granted as a component of another award of Restricted Stock Units or as a freestanding award, and may be paid only if the related award becomes vested. Dividend equivalent rights may be settled in cash, shares of common stock or a combination thereof, in a single installment or installments, as specified in the award.</w:t>
      </w:r>
    </w:p>
    <w:p>
      <w:pPr>
        <w:spacing w:after="0" w:line="182" w:lineRule="exact"/>
        <w:rPr>
          <w:sz w:val="20"/>
          <w:szCs w:val="20"/>
          <w:color w:val="auto"/>
        </w:rPr>
      </w:pPr>
    </w:p>
    <w:p>
      <w:pPr>
        <w:ind w:left="300" w:right="399"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Cash-Based Awards. </w:t>
      </w:r>
      <w:r>
        <w:rPr>
          <w:rFonts w:ascii="Times New Roman" w:cs="Times New Roman" w:eastAsia="Times New Roman" w:hAnsi="Times New Roman"/>
          <w:sz w:val="18"/>
          <w:szCs w:val="18"/>
          <w:color w:val="auto"/>
        </w:rPr>
        <w:t>The Administrator may grant cash bonuses under the Amended Plan to participants.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bonuses may be subject to the achievement of certain performance goals.</w:t>
      </w:r>
    </w:p>
    <w:p>
      <w:pPr>
        <w:spacing w:after="0" w:line="158" w:lineRule="exact"/>
        <w:rPr>
          <w:sz w:val="20"/>
          <w:szCs w:val="20"/>
          <w:color w:val="auto"/>
        </w:rPr>
      </w:pPr>
    </w:p>
    <w:p>
      <w:pPr>
        <w:ind w:left="300" w:right="319"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Change of Control Provisions. </w:t>
      </w:r>
      <w:r>
        <w:rPr>
          <w:rFonts w:ascii="Times New Roman" w:cs="Times New Roman" w:eastAsia="Times New Roman" w:hAnsi="Times New Roman"/>
          <w:sz w:val="18"/>
          <w:szCs w:val="18"/>
          <w:color w:val="auto"/>
        </w:rPr>
        <w:t>In the event of a “sale event,” as defined in the Amended Plan, awards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Plan may be assumed, continued or substituted. In the event that awards are not assumed, continued or substituted, except as otherwise provided in the relevant award certificate, upon the effective time of the sale event, all awards with time-based conditions will become vested and exercisable upon the sale event, and awards with conditions and restrictions relating to the attainment of performance goals may become vested and non-forfeitable in connection with a sale event in the Administrator’s discretion or to the extent specified in the relevant award certificate. 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cash consideration, such option or stock appreciation right shall be cancelled for no consideration). The Company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w:t>
      </w:r>
    </w:p>
    <w:p>
      <w:pPr>
        <w:spacing w:after="0" w:line="185" w:lineRule="exact"/>
        <w:rPr>
          <w:sz w:val="20"/>
          <w:szCs w:val="20"/>
          <w:color w:val="auto"/>
        </w:rPr>
      </w:pPr>
    </w:p>
    <w:p>
      <w:pPr>
        <w:ind w:left="300" w:right="519"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Adjustments for Stock Dividends, Stock Splits, Etc. </w:t>
      </w:r>
      <w:r>
        <w:rPr>
          <w:rFonts w:ascii="Times New Roman" w:cs="Times New Roman" w:eastAsia="Times New Roman" w:hAnsi="Times New Roman"/>
          <w:sz w:val="18"/>
          <w:szCs w:val="18"/>
          <w:color w:val="auto"/>
        </w:rPr>
        <w:t>The Amended Plan requires the Administrator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adjustments to the number of shares of common stock that are subject to the Amended Plan, to certain limits in the Amended Plan, and to any outstanding awards to reflect stock dividends, stock splits, extraordinary cash dividends and similar events.</w:t>
      </w:r>
    </w:p>
    <w:p>
      <w:pPr>
        <w:spacing w:after="0" w:line="180" w:lineRule="exact"/>
        <w:rPr>
          <w:sz w:val="20"/>
          <w:szCs w:val="20"/>
          <w:color w:val="auto"/>
        </w:rPr>
      </w:pPr>
    </w:p>
    <w:p>
      <w:pPr>
        <w:ind w:left="300" w:right="339"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Withholding. </w:t>
      </w:r>
      <w:r>
        <w:rPr>
          <w:rFonts w:ascii="Times New Roman" w:cs="Times New Roman" w:eastAsia="Times New Roman" w:hAnsi="Times New Roman"/>
          <w:sz w:val="18"/>
          <w:szCs w:val="18"/>
          <w:color w:val="auto"/>
        </w:rPr>
        <w:t>Participants in the Amended Plan are responsible for the payment of any federal, state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taxes that the Company is required by law to withhold upon the exercise of options or stock appreciation rights or vesting of other awards. The Administrator may require that tax withholding obligations satisfied by withholding shares of common stock to be issued pursuant to exercise or vesting.</w:t>
      </w:r>
    </w:p>
    <w:p>
      <w:pPr>
        <w:spacing w:after="0" w:line="180" w:lineRule="exact"/>
        <w:rPr>
          <w:sz w:val="20"/>
          <w:szCs w:val="20"/>
          <w:color w:val="auto"/>
        </w:rPr>
      </w:pPr>
    </w:p>
    <w:p>
      <w:pPr>
        <w:ind w:left="300" w:right="439"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Amendments and Termination. </w:t>
      </w:r>
      <w:r>
        <w:rPr>
          <w:rFonts w:ascii="Times New Roman" w:cs="Times New Roman" w:eastAsia="Times New Roman" w:hAnsi="Times New Roman"/>
          <w:sz w:val="18"/>
          <w:szCs w:val="18"/>
          <w:color w:val="auto"/>
        </w:rPr>
        <w:t>The Board of Directors may at any time amend or discontinue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and the Administrator may at any time amend or cancel any outstanding award for the purpose of satisfying changes in the law or for any other lawful purpose. However, no such action may adversely affect any rights under any outstanding award without the holder’s consent. To the extent required under the rules of Nasdaq, any amendments that materially change the terms of the Amended Plan will be subject to approval by our stockholders. Amendments shall also be subject to approval by our stockholders if and to the extent determined by the Administrator to be required by the Code to preserve the qualified status of incentive options.</w:t>
      </w:r>
    </w:p>
    <w:p>
      <w:pPr>
        <w:spacing w:after="0" w:line="183" w:lineRule="exact"/>
        <w:rPr>
          <w:sz w:val="20"/>
          <w:szCs w:val="20"/>
          <w:color w:val="auto"/>
        </w:rPr>
      </w:pPr>
    </w:p>
    <w:p>
      <w:pPr>
        <w:ind w:left="300" w:right="499"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Effective Date of Plan. </w:t>
      </w:r>
      <w:r>
        <w:rPr>
          <w:rFonts w:ascii="Times New Roman" w:cs="Times New Roman" w:eastAsia="Times New Roman" w:hAnsi="Times New Roman"/>
          <w:sz w:val="18"/>
          <w:szCs w:val="18"/>
          <w:color w:val="auto"/>
        </w:rPr>
        <w:t>The First Amendment was approved by our Board of Directors on June 11,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of incentive options may be granted under the Amended Plan until October 7, 2031. No other awards may be granted under the Amended Plan after October 27, 2031.</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300" w:right="399" w:firstLine="405"/>
        <w:spacing w:after="0" w:line="266" w:lineRule="auto"/>
        <w:rPr>
          <w:sz w:val="20"/>
          <w:szCs w:val="20"/>
          <w:color w:val="auto"/>
        </w:rPr>
      </w:pPr>
      <w:r>
        <w:rPr>
          <w:rFonts w:ascii="Times New Roman" w:cs="Times New Roman" w:eastAsia="Times New Roman" w:hAnsi="Times New Roman"/>
          <w:sz w:val="18"/>
          <w:szCs w:val="18"/>
          <w:color w:val="auto"/>
        </w:rPr>
        <w:t>Because the grant of awards under the Amended Plan is within the discretion of the Administrator, the company cannot determine the dollar value or number of shares of common stock that will in the future be received by or allocated to any participant in the Amended Plan.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121" w:lineRule="exact"/>
        <w:rPr>
          <w:sz w:val="20"/>
          <w:szCs w:val="20"/>
          <w:color w:val="auto"/>
        </w:rPr>
      </w:pPr>
    </w:p>
    <w:p>
      <w:pPr>
        <w:jc w:val="both"/>
        <w:ind w:left="300" w:right="439"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underlying options and restricted stock units granted under the 2021 Plan from its inception through June 1, 2026 to certain individuals and certain groups of individuals.</w:t>
      </w:r>
    </w:p>
    <w:p>
      <w:pPr>
        <w:spacing w:after="0" w:line="26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0" w:type="dxa"/>
            <w:vAlign w:val="bottom"/>
          </w:tcPr>
          <w:p>
            <w:pPr>
              <w:spacing w:after="0"/>
              <w:rPr>
                <w:sz w:val="1"/>
                <w:szCs w:val="1"/>
                <w:color w:val="auto"/>
              </w:rPr>
            </w:pPr>
          </w:p>
        </w:tc>
      </w:tr>
      <w:tr>
        <w:trPr>
          <w:trHeight w:val="173"/>
        </w:trPr>
        <w:tc>
          <w:tcPr>
            <w:tcW w:w="5760" w:type="dxa"/>
            <w:vAlign w:val="bottom"/>
            <w:vMerge w:val="continue"/>
          </w:tcPr>
          <w:p>
            <w:pPr>
              <w:spacing w:after="0"/>
              <w:rPr>
                <w:sz w:val="15"/>
                <w:szCs w:val="15"/>
                <w:color w:val="auto"/>
              </w:rPr>
            </w:pPr>
          </w:p>
        </w:tc>
        <w:tc>
          <w:tcPr>
            <w:tcW w:w="13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80" w:type="dxa"/>
            <w:vAlign w:val="bottom"/>
            <w:gridSpan w:val="2"/>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Elisabet de los Pinos, Ph.D., </w:t>
            </w:r>
            <w:r>
              <w:rPr>
                <w:rFonts w:ascii="Times New Roman" w:cs="Times New Roman" w:eastAsia="Times New Roman" w:hAnsi="Times New Roman"/>
                <w:sz w:val="18"/>
                <w:szCs w:val="18"/>
                <w:i w:val="1"/>
                <w:iCs w:val="1"/>
                <w:color w:val="auto"/>
              </w:rPr>
              <w:t>Former President and Chief Executive Officer</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1,247,995</w:t>
            </w:r>
          </w:p>
        </w:tc>
        <w:tc>
          <w:tcPr>
            <w:tcW w:w="8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Anthony Gibney, </w:t>
            </w:r>
            <w:r>
              <w:rPr>
                <w:rFonts w:ascii="Times New Roman" w:cs="Times New Roman" w:eastAsia="Times New Roman" w:hAnsi="Times New Roman"/>
                <w:sz w:val="18"/>
                <w:szCs w:val="18"/>
                <w:i w:val="1"/>
                <w:iCs w:val="1"/>
                <w:color w:val="auto"/>
              </w:rPr>
              <w:t>Chief Financial and Business Officer</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383,755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J. Jill Hopkins, M.D., </w:t>
            </w:r>
            <w:r>
              <w:rPr>
                <w:rFonts w:ascii="Times New Roman" w:cs="Times New Roman" w:eastAsia="Times New Roman" w:hAnsi="Times New Roman"/>
                <w:sz w:val="18"/>
                <w:szCs w:val="18"/>
                <w:i w:val="1"/>
                <w:iCs w:val="1"/>
                <w:color w:val="auto"/>
              </w:rPr>
              <w:t>Chief Medical Officer and President of Research and</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Development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373,206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executive officers as a group</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1,533,406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1,136,094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Each associate of any executive officers and current directors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Each other person who received or is to receive 5% of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employees, excluding executive officers, as a group</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4,878,942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3,467,423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Aspects Under the Code</w:t>
      </w:r>
    </w:p>
    <w:p>
      <w:pPr>
        <w:spacing w:after="0" w:line="337" w:lineRule="exact"/>
        <w:rPr>
          <w:sz w:val="20"/>
          <w:szCs w:val="20"/>
          <w:color w:val="auto"/>
        </w:rPr>
      </w:pPr>
    </w:p>
    <w:p>
      <w:pPr>
        <w:ind w:left="300" w:right="399"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federal income tax consequences of certain transactions under the Amended Plan. It does not describe all federal tax consequences under the Amended Plan, nor does it describe state or local tax consequences.</w:t>
      </w:r>
    </w:p>
    <w:p>
      <w:pPr>
        <w:spacing w:after="0" w:line="282" w:lineRule="exact"/>
        <w:rPr>
          <w:sz w:val="20"/>
          <w:szCs w:val="20"/>
          <w:color w:val="auto"/>
        </w:rPr>
      </w:pPr>
    </w:p>
    <w:p>
      <w:pPr>
        <w:ind w:left="300" w:right="299"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Incentive Options. </w:t>
      </w:r>
      <w:r>
        <w:rPr>
          <w:rFonts w:ascii="Times New Roman" w:cs="Times New Roman" w:eastAsia="Times New Roman" w:hAnsi="Times New Roman"/>
          <w:sz w:val="17"/>
          <w:szCs w:val="17"/>
          <w:color w:val="auto"/>
        </w:rPr>
        <w:t>No taxable income is generally realized by the optionee upon the grant or exercise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 option. If shares of common stock issued to an optionee pursuant to the exercise of an incentive option are sold or transferred after two years from the date of grant and after one year from the date of exercise, then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The exercise of an incentive option will give rise to an item of tax preference that may result in alternative minimum tax liability for the optionee.</w:t>
      </w:r>
    </w:p>
    <w:p>
      <w:pPr>
        <w:spacing w:after="0" w:line="281" w:lineRule="exact"/>
        <w:rPr>
          <w:sz w:val="20"/>
          <w:szCs w:val="20"/>
          <w:color w:val="auto"/>
        </w:rPr>
      </w:pPr>
    </w:p>
    <w:p>
      <w:pPr>
        <w:ind w:left="300" w:right="499" w:firstLine="648"/>
        <w:spacing w:after="0" w:line="276" w:lineRule="auto"/>
        <w:rPr>
          <w:sz w:val="20"/>
          <w:szCs w:val="20"/>
          <w:color w:val="auto"/>
        </w:rPr>
      </w:pPr>
      <w:r>
        <w:rPr>
          <w:rFonts w:ascii="Times New Roman" w:cs="Times New Roman" w:eastAsia="Times New Roman" w:hAnsi="Times New Roman"/>
          <w:sz w:val="17"/>
          <w:szCs w:val="17"/>
          <w:color w:val="auto"/>
        </w:rPr>
        <w:t>If shares of common stock acquired upon the exercise of an incentive option are disposed of prior to the expiration of the two-year and one-year holding periods described above (a “disqualifying disposition”), generally</w:t>
      </w:r>
    </w:p>
    <w:p>
      <w:pPr>
        <w:spacing w:after="0" w:line="1" w:lineRule="exact"/>
        <w:rPr>
          <w:sz w:val="20"/>
          <w:szCs w:val="20"/>
          <w:color w:val="auto"/>
        </w:rPr>
      </w:pPr>
    </w:p>
    <w:p>
      <w:pPr>
        <w:ind w:left="300" w:right="539" w:hanging="8"/>
        <w:spacing w:after="0" w:line="253" w:lineRule="auto"/>
        <w:tabs>
          <w:tab w:leader="none" w:pos="5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will realize ordinary income in the year of disposition in an amount equal to the excess (if any) of the fair market value of the shares of common stock at exercise (or, if less, the amount realized on a sale of such shares of common stock) over the option price thereof, and (ii) we will be entitled to deduct such amount. Special rules will apply where all or a portion of the exercise price of the incentive option is paid by tendering shares of common stock.</w:t>
      </w:r>
    </w:p>
    <w:p>
      <w:pPr>
        <w:spacing w:after="0" w:line="295" w:lineRule="exact"/>
        <w:rPr>
          <w:sz w:val="20"/>
          <w:szCs w:val="20"/>
          <w:color w:val="auto"/>
        </w:rPr>
      </w:pPr>
    </w:p>
    <w:p>
      <w:pPr>
        <w:ind w:left="300" w:right="399" w:firstLine="648"/>
        <w:spacing w:after="0" w:line="258" w:lineRule="auto"/>
        <w:rPr>
          <w:sz w:val="20"/>
          <w:szCs w:val="20"/>
          <w:color w:val="auto"/>
        </w:rPr>
      </w:pPr>
      <w:r>
        <w:rPr>
          <w:rFonts w:ascii="Times New Roman" w:cs="Times New Roman" w:eastAsia="Times New Roman" w:hAnsi="Times New Roman"/>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300" w:lineRule="exact"/>
        <w:rPr>
          <w:sz w:val="20"/>
          <w:szCs w:val="20"/>
          <w:color w:val="auto"/>
        </w:rPr>
      </w:pPr>
    </w:p>
    <w:p>
      <w:pPr>
        <w:ind w:left="300" w:right="3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Non-Qualified Options. </w:t>
      </w:r>
      <w:r>
        <w:rPr>
          <w:rFonts w:ascii="Times New Roman" w:cs="Times New Roman" w:eastAsia="Times New Roman" w:hAnsi="Times New Roman"/>
          <w:sz w:val="18"/>
          <w:szCs w:val="18"/>
          <w:color w:val="auto"/>
        </w:rPr>
        <w:t>No income is realized by the optionee at the time a non-qualified option is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293" w:lineRule="exact"/>
        <w:rPr>
          <w:sz w:val="20"/>
          <w:szCs w:val="20"/>
          <w:color w:val="auto"/>
        </w:rPr>
      </w:pPr>
    </w:p>
    <w:p>
      <w:pPr>
        <w:ind w:left="300" w:right="419"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Other Awards. </w:t>
      </w:r>
      <w:r>
        <w:rPr>
          <w:rFonts w:ascii="Times New Roman" w:cs="Times New Roman" w:eastAsia="Times New Roman" w:hAnsi="Times New Roman"/>
          <w:sz w:val="17"/>
          <w:szCs w:val="17"/>
          <w:color w:val="auto"/>
        </w:rPr>
        <w:t>The Company generally will be entitled to a tax deduction in connection with other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Amended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spacing w:after="0" w:line="272" w:lineRule="exact"/>
        <w:rPr>
          <w:sz w:val="20"/>
          <w:szCs w:val="20"/>
          <w:color w:val="auto"/>
        </w:rPr>
      </w:pPr>
    </w:p>
    <w:p>
      <w:pPr>
        <w:ind w:left="300" w:right="3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Parachute Payments. </w:t>
      </w:r>
      <w:r>
        <w:rPr>
          <w:rFonts w:ascii="Times New Roman" w:cs="Times New Roman" w:eastAsia="Times New Roman" w:hAnsi="Times New Roman"/>
          <w:sz w:val="18"/>
          <w:szCs w:val="18"/>
          <w:color w:val="auto"/>
        </w:rPr>
        <w:t>The vesting of any portion of an award that is accelerated due to the occurrence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(such as a sale event) 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291" w:lineRule="exact"/>
        <w:rPr>
          <w:sz w:val="20"/>
          <w:szCs w:val="20"/>
          <w:color w:val="auto"/>
        </w:rPr>
      </w:pPr>
    </w:p>
    <w:p>
      <w:pPr>
        <w:ind w:left="300" w:right="4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Limitation on Deductions. </w:t>
      </w:r>
      <w:r>
        <w:rPr>
          <w:rFonts w:ascii="Times New Roman" w:cs="Times New Roman" w:eastAsia="Times New Roman" w:hAnsi="Times New Roman"/>
          <w:sz w:val="18"/>
          <w:szCs w:val="18"/>
          <w:color w:val="auto"/>
        </w:rPr>
        <w:t>Under Section 162(m) of the Code, the Company’s deduction for awards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Plan may be limited to the extent that any “covered employee” (as defined in Section 162(m) of the Code) receives compensation in excess of $1 million a year.</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Persons in this Proposal</w:t>
      </w:r>
    </w:p>
    <w:p>
      <w:pPr>
        <w:spacing w:after="0" w:line="121" w:lineRule="exact"/>
        <w:rPr>
          <w:sz w:val="20"/>
          <w:szCs w:val="20"/>
          <w:color w:val="auto"/>
        </w:rPr>
      </w:pPr>
    </w:p>
    <w:p>
      <w:pPr>
        <w:ind w:left="300" w:right="379" w:firstLine="648"/>
        <w:spacing w:after="0" w:line="282" w:lineRule="auto"/>
        <w:rPr>
          <w:sz w:val="20"/>
          <w:szCs w:val="20"/>
          <w:color w:val="auto"/>
        </w:rPr>
      </w:pPr>
      <w:r>
        <w:rPr>
          <w:rFonts w:ascii="Times New Roman" w:cs="Times New Roman" w:eastAsia="Times New Roman" w:hAnsi="Times New Roman"/>
          <w:sz w:val="18"/>
          <w:szCs w:val="18"/>
          <w:color w:val="auto"/>
        </w:rPr>
        <w:t>Our executive officers and members of our Board of Directors have an interest in this proposal by virtue of their being eligible to receive equity awards under the Amended Plan.</w:t>
      </w:r>
    </w:p>
    <w:p>
      <w:pPr>
        <w:spacing w:after="0" w:line="162" w:lineRule="exact"/>
        <w:rPr>
          <w:sz w:val="20"/>
          <w:szCs w:val="20"/>
          <w:color w:val="auto"/>
        </w:rPr>
      </w:pPr>
    </w:p>
    <w:p>
      <w:pPr>
        <w:ind w:left="300" w:right="339" w:firstLine="648"/>
        <w:spacing w:after="0" w:line="258" w:lineRule="auto"/>
        <w:rPr>
          <w:sz w:val="20"/>
          <w:szCs w:val="20"/>
          <w:color w:val="auto"/>
        </w:rPr>
      </w:pPr>
      <w:r>
        <w:rPr>
          <w:rFonts w:ascii="Times New Roman" w:cs="Times New Roman" w:eastAsia="Times New Roman" w:hAnsi="Times New Roman"/>
          <w:sz w:val="18"/>
          <w:szCs w:val="18"/>
          <w:color w:val="auto"/>
        </w:rPr>
        <w:t>It is not possible to determine the benefits that will be received by participants in the Amended Plan, including our named executive officers and our non-employee directors, in the future because all grants are made in the discretion of our Board of Directors or our Compensation Committee. Neither our Board of Directors nor our Compensation Committee has approved any awards that are conditioned upon stockholder approval of the Amended Plan.</w:t>
      </w:r>
    </w:p>
    <w:p>
      <w:pPr>
        <w:spacing w:after="0" w:line="183" w:lineRule="exact"/>
        <w:rPr>
          <w:sz w:val="20"/>
          <w:szCs w:val="20"/>
          <w:color w:val="auto"/>
        </w:rPr>
      </w:pPr>
    </w:p>
    <w:p>
      <w:pPr>
        <w:ind w:left="300" w:right="539" w:firstLine="648"/>
        <w:spacing w:after="0" w:line="282" w:lineRule="auto"/>
        <w:rPr>
          <w:sz w:val="20"/>
          <w:szCs w:val="20"/>
          <w:color w:val="auto"/>
        </w:rPr>
      </w:pPr>
      <w:r>
        <w:rPr>
          <w:rFonts w:ascii="Times New Roman" w:cs="Times New Roman" w:eastAsia="Times New Roman" w:hAnsi="Times New Roman"/>
          <w:sz w:val="18"/>
          <w:szCs w:val="18"/>
          <w:color w:val="auto"/>
        </w:rPr>
        <w:t>Other than as described herein, we do not believe that our executive officers or directors have substantial interests in this proposal that are different from or greater than those of any other of our stockholders.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899" w:firstLine="648"/>
        <w:spacing w:after="0" w:line="257"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tbl>
      <w:tblPr>
        <w:tblLayout w:type="fixed"/>
        <w:tblInd w:w="300" w:type="dxa"/>
        <w:tblCellMar>
          <w:top w:w="0" w:type="dxa"/>
          <w:left w:w="0" w:type="dxa"/>
          <w:bottom w:w="0" w:type="dxa"/>
          <w:right w:w="0" w:type="dxa"/>
        </w:tblCellMar>
      </w:tblPr>
      <w:tr>
        <w:trPr>
          <w:trHeight w:val="131"/>
        </w:trPr>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0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0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2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(a)</w:t>
            </w:r>
          </w:p>
        </w:tc>
        <w:tc>
          <w:tcPr>
            <w:tcW w:w="2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 (b)</w:t>
            </w:r>
          </w:p>
        </w:tc>
        <w:tc>
          <w:tcPr>
            <w:tcW w:w="2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4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Equity compensation plans</w:t>
            </w:r>
          </w:p>
        </w:tc>
        <w:tc>
          <w:tcPr>
            <w:tcW w:w="1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9,158,359</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(2</w:t>
            </w: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7.93 </w:t>
            </w:r>
            <w:r>
              <w:rPr>
                <w:rFonts w:ascii="Times New Roman" w:cs="Times New Roman" w:eastAsia="Times New Roman" w:hAnsi="Times New Roman"/>
                <w:sz w:val="19"/>
                <w:szCs w:val="19"/>
                <w:color w:val="auto"/>
                <w:vertAlign w:val="superscript"/>
              </w:rPr>
              <w:t>(2)</w:t>
            </w:r>
          </w:p>
        </w:tc>
        <w:tc>
          <w:tcPr>
            <w:tcW w:w="2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11,149,306 </w:t>
            </w:r>
            <w:r>
              <w:rPr>
                <w:rFonts w:ascii="Times New Roman" w:cs="Times New Roman" w:eastAsia="Times New Roman" w:hAnsi="Times New Roman"/>
                <w:sz w:val="19"/>
                <w:szCs w:val="19"/>
                <w:color w:val="auto"/>
                <w:vertAlign w:val="superscript"/>
              </w:rPr>
              <w:t>(3)</w:t>
            </w:r>
          </w:p>
        </w:tc>
        <w:tc>
          <w:tcPr>
            <w:tcW w:w="0" w:type="dxa"/>
            <w:vAlign w:val="bottom"/>
          </w:tcPr>
          <w:p>
            <w:pPr>
              <w:spacing w:after="0"/>
              <w:rPr>
                <w:sz w:val="1"/>
                <w:szCs w:val="1"/>
                <w:color w:val="auto"/>
              </w:rPr>
            </w:pPr>
          </w:p>
        </w:tc>
      </w:tr>
      <w:tr>
        <w:trPr>
          <w:trHeight w:val="175"/>
        </w:trPr>
        <w:tc>
          <w:tcPr>
            <w:tcW w:w="2400" w:type="dxa"/>
            <w:vAlign w:val="bottom"/>
            <w:shd w:val="clear" w:color="auto" w:fill="CFF0FC"/>
          </w:tcPr>
          <w:p>
            <w:pPr>
              <w:ind w:left="100"/>
              <w:spacing w:after="0" w:line="175" w:lineRule="exact"/>
              <w:rPr>
                <w:sz w:val="20"/>
                <w:szCs w:val="20"/>
                <w:color w:val="auto"/>
              </w:rPr>
            </w:pPr>
            <w:r>
              <w:rPr>
                <w:rFonts w:ascii="Times New Roman" w:cs="Times New Roman" w:eastAsia="Times New Roman" w:hAnsi="Times New Roman"/>
                <w:sz w:val="14"/>
                <w:szCs w:val="14"/>
                <w:color w:val="auto"/>
              </w:rPr>
              <w:t>approved by security holders</w:t>
            </w:r>
            <w:r>
              <w:rPr>
                <w:rFonts w:ascii="Times New Roman" w:cs="Times New Roman" w:eastAsia="Times New Roman" w:hAnsi="Times New Roman"/>
                <w:sz w:val="19"/>
                <w:szCs w:val="19"/>
                <w:color w:val="auto"/>
                <w:vertAlign w:val="superscript"/>
              </w:rPr>
              <w:t>(1)</w:t>
            </w:r>
          </w:p>
        </w:tc>
        <w:tc>
          <w:tcPr>
            <w:tcW w:w="1840" w:type="dxa"/>
            <w:vAlign w:val="bottom"/>
            <w:gridSpan w:val="2"/>
            <w:vMerge w:val="continue"/>
            <w:shd w:val="clear" w:color="auto" w:fill="CFF0FC"/>
          </w:tcPr>
          <w:p>
            <w:pPr>
              <w:spacing w:after="0"/>
              <w:rPr>
                <w:sz w:val="15"/>
                <w:szCs w:val="15"/>
                <w:color w:val="auto"/>
              </w:rPr>
            </w:pP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1960" w:type="dxa"/>
            <w:vAlign w:val="bottom"/>
            <w:gridSpan w:val="2"/>
            <w:vMerge w:val="continue"/>
            <w:shd w:val="clear" w:color="auto" w:fill="CFF0FC"/>
          </w:tcPr>
          <w:p>
            <w:pPr>
              <w:spacing w:after="0"/>
              <w:rPr>
                <w:sz w:val="15"/>
                <w:szCs w:val="15"/>
                <w:color w:val="auto"/>
              </w:rPr>
            </w:pPr>
          </w:p>
        </w:tc>
        <w:tc>
          <w:tcPr>
            <w:tcW w:w="20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 compensation plans not</w:t>
            </w:r>
          </w:p>
        </w:tc>
        <w:tc>
          <w:tcPr>
            <w:tcW w:w="80" w:type="dxa"/>
            <w:vAlign w:val="bottom"/>
          </w:tcPr>
          <w:p>
            <w:pPr>
              <w:spacing w:after="0"/>
              <w:rPr>
                <w:sz w:val="10"/>
                <w:szCs w:val="10"/>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0"/>
                <w:szCs w:val="10"/>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0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approved by security holders</w:t>
            </w:r>
          </w:p>
        </w:tc>
        <w:tc>
          <w:tcPr>
            <w:tcW w:w="80" w:type="dxa"/>
            <w:vAlign w:val="bottom"/>
          </w:tcPr>
          <w:p>
            <w:pPr>
              <w:spacing w:after="0"/>
              <w:rPr>
                <w:sz w:val="13"/>
                <w:szCs w:val="13"/>
                <w:color w:val="auto"/>
              </w:rPr>
            </w:pPr>
          </w:p>
        </w:tc>
        <w:tc>
          <w:tcPr>
            <w:tcW w:w="17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7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FF0FC"/>
            </w:tcBorders>
            <w:shd w:val="clear" w:color="auto" w:fill="CFF0FC"/>
          </w:tcPr>
          <w:p>
            <w:pPr>
              <w:spacing w:after="0"/>
              <w:rPr>
                <w:sz w:val="15"/>
                <w:szCs w:val="15"/>
                <w:color w:val="auto"/>
              </w:rPr>
            </w:pPr>
          </w:p>
        </w:tc>
        <w:tc>
          <w:tcPr>
            <w:tcW w:w="1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9,158,359</w:t>
            </w:r>
          </w:p>
        </w:tc>
        <w:tc>
          <w:tcPr>
            <w:tcW w:w="20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7.93</w:t>
            </w:r>
          </w:p>
        </w:tc>
        <w:tc>
          <w:tcPr>
            <w:tcW w:w="220" w:type="dxa"/>
            <w:vAlign w:val="bottom"/>
            <w:tcBorders>
              <w:bottom w:val="single" w:sz="8" w:color="CFF0FC"/>
            </w:tcBorders>
            <w:shd w:val="clear" w:color="auto" w:fill="CFF0FC"/>
          </w:tcPr>
          <w:p>
            <w:pPr>
              <w:spacing w:after="0"/>
              <w:rPr>
                <w:sz w:val="15"/>
                <w:szCs w:val="15"/>
                <w:color w:val="auto"/>
              </w:rPr>
            </w:pPr>
          </w:p>
        </w:tc>
        <w:tc>
          <w:tcPr>
            <w:tcW w:w="1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11,149,306</w:t>
            </w:r>
          </w:p>
        </w:tc>
        <w:tc>
          <w:tcPr>
            <w:tcW w:w="2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-25400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-8255</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51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-25400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-8255</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ind w:left="1060" w:right="319" w:hanging="444"/>
        <w:spacing w:after="0" w:line="266"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our Amended and Restated 2009 Stock Option and Restricted Stock Plan, or the 2009 Plan, our 2018 Equity Incentive Plan, or the 2018 Plan, the 2021 Plan, and our 2021 Employee Stock Purchase Plan, or the 2021 ESPP.</w:t>
      </w:r>
    </w:p>
    <w:p>
      <w:pPr>
        <w:spacing w:after="0" w:line="67" w:lineRule="exact"/>
        <w:rPr>
          <w:rFonts w:ascii="Times New Roman" w:cs="Times New Roman" w:eastAsia="Times New Roman" w:hAnsi="Times New Roman"/>
          <w:sz w:val="18"/>
          <w:szCs w:val="18"/>
          <w:color w:val="auto"/>
        </w:rPr>
      </w:pPr>
    </w:p>
    <w:p>
      <w:pPr>
        <w:ind w:left="1060" w:right="359" w:hanging="444"/>
        <w:spacing w:after="0" w:line="256"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6,467,582 shares issuable upon the exercise of outstanding options under the 2009 Plan, the 2018 Plan, and the 2021 Plan and 2,690,777 shares issuable upon the vesting of outstanding restricted stock units. This does not include purchase rights under the 2021 ESPP because the purchase right (and therefore the number of shares to be purchased) will not be determined until the end of the current purchase period. Since restricted stock units do not have any exercise price, such units are not included in the weighted average exercise price calculation.</w:t>
      </w:r>
    </w:p>
    <w:p>
      <w:pPr>
        <w:spacing w:after="0" w:line="79" w:lineRule="exact"/>
        <w:rPr>
          <w:rFonts w:ascii="Times New Roman" w:cs="Times New Roman" w:eastAsia="Times New Roman" w:hAnsi="Times New Roman"/>
          <w:sz w:val="18"/>
          <w:szCs w:val="18"/>
          <w:color w:val="auto"/>
        </w:rPr>
      </w:pPr>
    </w:p>
    <w:p>
      <w:pPr>
        <w:ind w:left="1060" w:right="339" w:hanging="444"/>
        <w:spacing w:after="0" w:line="25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 total of 3,847,257 shares of our common stock have been reserved for issuance pursuant to the 2021 Plan, which number excludes the 3,179,388 shares that were added to the 2021 Plan as a result of the automatic annual increase on January 1, 2026. The 2021 Plan provides that the number of shares reserved and available for issuance under the plan will automatically increase each January 1, beginning on January 1, 2022, by 5%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the 2018 Plan and the 2009 Plan will be added back to the shares of common stock available for issuance under the 2021 Plan. Our Company no longer makes grants under the 2009 Plan and 2018 Plan. As of December 31, 2025, a total of 1,565,471 shares of our common stock have been reserved for issuance pursuant to the 2021 ESPP, which number excludes the 335,217 shares that were added to the plan as a result of the automatic annual increase on January 1, 2026. The 2021 ESPP provides that the number of shares reserved and available for issuance under the plan will automatically increase each January 1, beginning on January 1, 2022, by the lesser of (i) 335,217 shares of our common stock, (ii) 1% of the outstanding number of shares of our common stock on the immediately preceding December 31 or (iii) such lesser number of shares as determined by the Compensation Committee. This number will be subject to adjustment in the event of a stock split, stock dividend or other change in our capitalization.</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ind w:left="300" w:right="319" w:firstLine="648"/>
        <w:spacing w:after="0" w:line="261" w:lineRule="auto"/>
        <w:rPr>
          <w:sz w:val="20"/>
          <w:szCs w:val="20"/>
          <w:color w:val="auto"/>
        </w:rPr>
      </w:pPr>
      <w:r>
        <w:rPr>
          <w:rFonts w:ascii="Times New Roman" w:cs="Times New Roman" w:eastAsia="Times New Roman" w:hAnsi="Times New Roman"/>
          <w:sz w:val="18"/>
          <w:szCs w:val="18"/>
          <w:color w:val="auto"/>
        </w:rPr>
        <w:t>To approve Amendment No. 1 to the 2021 Stock Option and Incentive Plan, this Proposal No. 2 must receive “For” votes from a majority of the votes properly cast “For” and “Against” such matter. Abstentions and broker non-votes, if any, are not considered votes cast and, therefore, will have no effect on the vote on this Proposal No. 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98"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approve Amendment No. 1 to the Aura Biosciences, Inc. 2021 Stock Option and Incentive Plan.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left="300" w:right="319" w:firstLine="441"/>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and received compensation for such service during fiscal year 2025. Directors who also serve as employees received no additional compensation for their service as directors. During fiscal year 2025, Elisabet de los Pinos, Ph.D., our former Chief Executive Officer, was a member of our Board of Directors, as well as an employee, and received no additional compensation for her services as a director. See the section titled “2025 Summary Compensation Table” for more information about her compensation in fiscal year 2025.</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FEES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4"/>
                <w:szCs w:val="14"/>
                <w:b w:val="1"/>
                <w:bCs w:val="1"/>
                <w:color w:val="auto"/>
              </w:rPr>
              <w:t>IN CASH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 xml:space="preserve"> (1)(2)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 xml:space="preserve"> (1)(2)</w:t>
            </w:r>
          </w:p>
        </w:tc>
        <w:tc>
          <w:tcPr>
            <w:tcW w:w="18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Teresa Marie Bitetti</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123,060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126,066</w:t>
            </w:r>
          </w:p>
        </w:tc>
        <w:tc>
          <w:tcPr>
            <w:tcW w:w="3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David Johnson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77,931</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Giovanni Mariggi, Ph.D. </w:t>
            </w:r>
            <w:r>
              <w:rPr>
                <w:rFonts w:ascii="Times New Roman" w:cs="Times New Roman" w:eastAsia="Times New Roman" w:hAnsi="Times New Roman"/>
                <w:sz w:val="24"/>
                <w:szCs w:val="24"/>
                <w:color w:val="auto"/>
                <w:vertAlign w:val="superscript"/>
              </w:rPr>
              <w:t>(3)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Antony Mattessich</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77,931</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Sapna Srivastava, Ph.D.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77,931</w:t>
            </w:r>
          </w:p>
        </w:tc>
        <w:tc>
          <w:tcPr>
            <w:tcW w:w="3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Karan Takhar </w:t>
            </w:r>
            <w:r>
              <w:rPr>
                <w:rFonts w:ascii="Times New Roman" w:cs="Times New Roman" w:eastAsia="Times New Roman" w:hAnsi="Times New Roman"/>
                <w:sz w:val="24"/>
                <w:szCs w:val="24"/>
                <w:color w:val="auto"/>
                <w:vertAlign w:val="superscript"/>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060" w:right="299" w:hanging="444"/>
        <w:spacing w:after="0" w:line="254"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restricted stock unit and option awards granted to our directors during our fiscal year ended December 31, 2025, computed in accordance with Financial Accounting Standards Board Accounting Standards Codification Topic 718, or FASB ASC Topic 718. A discussion of the assumptions used in determining grant date fair value may be found in Note 9 to our consolidated financial statements included in our Annual Report on Form 10-K for the fiscal year ended December 31, 2025, filed with the SEC on March 30, 2026. This amount does not correspond to the actual value that may be recognized by the director upon settlement or exercise of the applicable award or sale of the underlying shares of stock. Except as noted below, none of our directors held options to purchase our common stock or any other stock awards as of December 31, 2025.</w:t>
      </w:r>
    </w:p>
    <w:p>
      <w:pPr>
        <w:spacing w:after="0" w:line="80" w:lineRule="exact"/>
        <w:rPr>
          <w:rFonts w:ascii="Times New Roman" w:cs="Times New Roman" w:eastAsia="Times New Roman" w:hAnsi="Times New Roman"/>
          <w:sz w:val="18"/>
          <w:szCs w:val="18"/>
          <w:color w:val="auto"/>
        </w:rPr>
      </w:pPr>
    </w:p>
    <w:p>
      <w:pPr>
        <w:ind w:left="1060" w:right="419" w:hanging="444"/>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reflects the aggregate number of outstanding stock options and unvested restricted stock units held by our non-employee directors as of December 31, 2025:</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13"/>
                <w:szCs w:val="13"/>
                <w:color w:val="auto"/>
              </w:rPr>
            </w:pPr>
          </w:p>
        </w:tc>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UNVESTED</w:t>
            </w:r>
          </w:p>
        </w:tc>
        <w:tc>
          <w:tcPr>
            <w:tcW w:w="16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6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STOCK</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AS OF</w:t>
            </w:r>
          </w:p>
        </w:tc>
        <w:tc>
          <w:tcPr>
            <w:tcW w:w="16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HELD AS OF</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w:t>
            </w:r>
          </w:p>
        </w:tc>
        <w:tc>
          <w:tcPr>
            <w:tcW w:w="16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Teresa Marie Bitetti</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David Johnson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408,667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Giovanni Mariggi, Ph.D.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Antony Mattessich</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Sapna Srivastava, Ph.D.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Karan Takhar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1060" w:right="499" w:hanging="444"/>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Mariggi has waived all cash and equity compensation for which he would otherwise be eligible as a non-employee director.</w:t>
      </w:r>
    </w:p>
    <w:p>
      <w:pPr>
        <w:spacing w:after="0" w:line="53" w:lineRule="exact"/>
        <w:rPr>
          <w:rFonts w:ascii="Times New Roman" w:cs="Times New Roman" w:eastAsia="Times New Roman" w:hAnsi="Times New Roman"/>
          <w:sz w:val="18"/>
          <w:szCs w:val="18"/>
          <w:color w:val="auto"/>
        </w:rPr>
      </w:pPr>
    </w:p>
    <w:p>
      <w:pPr>
        <w:ind w:left="1060" w:right="339" w:hanging="444"/>
        <w:spacing w:after="0" w:line="266"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Takhar has waived all cash and equity compensation that he would otherwise be eligible to receive for his service as a non-employee director. Mr. Takhar ceased to serve as a director upon the expiration of his term on June 11, 2026, the date of the Company’s 2026 Annual Meeting of Stockholders.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 w:name="page21"/>
    <w:bookmarkEnd w:id="20"/>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Non-Employee Director Compensation Policy</w:t>
      </w:r>
    </w:p>
    <w:p>
      <w:pPr>
        <w:spacing w:after="0" w:line="121" w:lineRule="exact"/>
        <w:rPr>
          <w:sz w:val="20"/>
          <w:szCs w:val="20"/>
          <w:color w:val="auto"/>
        </w:rPr>
      </w:pPr>
    </w:p>
    <w:p>
      <w:pPr>
        <w:ind w:left="300" w:right="319" w:firstLine="441"/>
        <w:spacing w:after="0" w:line="256" w:lineRule="auto"/>
        <w:rPr>
          <w:sz w:val="20"/>
          <w:szCs w:val="20"/>
          <w:color w:val="auto"/>
        </w:rPr>
      </w:pPr>
      <w:r>
        <w:rPr>
          <w:rFonts w:ascii="Times New Roman" w:cs="Times New Roman" w:eastAsia="Times New Roman" w:hAnsi="Times New Roman"/>
          <w:sz w:val="18"/>
          <w:szCs w:val="18"/>
          <w:color w:val="auto"/>
        </w:rPr>
        <w:t>Our non-employee directors are compensated pursuant to a formal policy pursuant to which we pay our non-employee directors a cash retainer for service on our Board of Directors and for service on each committee on which the director is a member. The Chair of each committee receives a higher retainer for such service. In June 2025, the Board of Directors, based in part on the recommendation of the Compensation Committee, approved an amendment and restatement of the non-employee director compensation policy to make certain adjustments to committee chair and member fees and the initial and annual equity awards granted to non-employee directors.</w:t>
      </w:r>
    </w:p>
    <w:p>
      <w:pPr>
        <w:spacing w:after="0" w:line="79" w:lineRule="exact"/>
        <w:rPr>
          <w:sz w:val="20"/>
          <w:szCs w:val="20"/>
          <w:color w:val="auto"/>
        </w:rPr>
      </w:pPr>
    </w:p>
    <w:p>
      <w:pPr>
        <w:ind w:left="300" w:right="419" w:firstLine="441"/>
        <w:spacing w:after="0" w:line="282" w:lineRule="auto"/>
        <w:rPr>
          <w:sz w:val="20"/>
          <w:szCs w:val="20"/>
          <w:color w:val="auto"/>
        </w:rPr>
      </w:pPr>
      <w:r>
        <w:rPr>
          <w:rFonts w:ascii="Times New Roman" w:cs="Times New Roman" w:eastAsia="Times New Roman" w:hAnsi="Times New Roman"/>
          <w:sz w:val="18"/>
          <w:szCs w:val="18"/>
          <w:color w:val="auto"/>
        </w:rPr>
        <w:t>The fees paid to non-employee directors for service on our Board of Directors during 2025 and for service on each committee of our Board of Directors of which the director was a member were as follows:</w:t>
      </w: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tc>
        <w:tc>
          <w:tcPr>
            <w:tcW w:w="20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w:t>
            </w:r>
          </w:p>
        </w:tc>
        <w:tc>
          <w:tcPr>
            <w:tcW w:w="20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Annual retainer for non-executive chair</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0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20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20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0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20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306" w:lineRule="exact"/>
        <w:rPr>
          <w:sz w:val="20"/>
          <w:szCs w:val="20"/>
          <w:color w:val="auto"/>
        </w:rPr>
      </w:pPr>
    </w:p>
    <w:p>
      <w:pPr>
        <w:ind w:left="300" w:right="659" w:hanging="8"/>
        <w:spacing w:after="0" w:line="266" w:lineRule="auto"/>
        <w:tabs>
          <w:tab w:leader="none" w:pos="4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June 17, 2025, the annual retainers for members of the Compensation Committee was $5,000 per year ($10,000 for the chair), and the annual retainers for members of the Nominating and Corporate Governance Committee was $4,000 per year ($8,000 for the chair).</w:t>
      </w:r>
    </w:p>
    <w:p>
      <w:pPr>
        <w:spacing w:after="0" w:line="68" w:lineRule="exact"/>
        <w:rPr>
          <w:sz w:val="20"/>
          <w:szCs w:val="20"/>
          <w:color w:val="auto"/>
        </w:rPr>
      </w:pPr>
    </w:p>
    <w:p>
      <w:pPr>
        <w:ind w:left="300" w:right="359" w:firstLine="441"/>
        <w:spacing w:after="0" w:line="252" w:lineRule="auto"/>
        <w:rPr>
          <w:sz w:val="20"/>
          <w:szCs w:val="20"/>
          <w:color w:val="auto"/>
        </w:rPr>
      </w:pPr>
      <w:r>
        <w:rPr>
          <w:rFonts w:ascii="Times New Roman" w:cs="Times New Roman" w:eastAsia="Times New Roman" w:hAnsi="Times New Roman"/>
          <w:sz w:val="18"/>
          <w:szCs w:val="18"/>
          <w:color w:val="auto"/>
        </w:rPr>
        <w:t>In addition, for 2025, the amended and restated non-employee director compensation policy provided that, upon initial election to our Board of Directors, each non-employee director will receive an initial, one-time stock option award to purchase 34,000 shares (increased from 29,000 shares on June 17, 2025) of our common stock, or the Initial Option Award, and an initial, one-time restricted stock unit award covering 26,000 shares (increased from 21,000 shares on June 17, 2025) of our common stock, or the Initial RSU Award, and together with the Initial Option Award, the Initial Award. The Initial Award will vest in three equal annual installments, and is generally subject to the non-employee director’s continued service through the applicable vesting date. Furthermore, on the date of each annual meeting of stockholders, each non-employee director who continues as a non-employee director following such meeting (other than a non-employee director who received the Initial Award) will be granted an annual stock option award to purchase 17,000 shares (increased from 14,500 shares on June 17, 2025) of our common stock, or the Annual Option Award, and an annual restricted stock unit award covering 13,000 shares (increased from 10,500 shares on June 17, 2025) of our common stock, or the Annual RSU Award, and together with the Annual Option Award, the Annual Award. The Annual Award will vest in full on the earlier of (i) the first anniversary of the grant date or (ii) our next annual meeting of stockholders, and is generally subject to the non-employee director’s continued service through the applicable vesting date. Such awards are subject to full accelerated vesting upon the sale of our Company.</w:t>
      </w:r>
    </w:p>
    <w:p>
      <w:pPr>
        <w:spacing w:after="0" w:line="87" w:lineRule="exact"/>
        <w:rPr>
          <w:sz w:val="20"/>
          <w:szCs w:val="20"/>
          <w:color w:val="auto"/>
        </w:rPr>
      </w:pPr>
    </w:p>
    <w:p>
      <w:pPr>
        <w:ind w:left="300" w:right="339" w:firstLine="441"/>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directors for their attendance at meetings of our Board of Directors or any committee thereof.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2025 are:</w:t>
      </w:r>
    </w:p>
    <w:p>
      <w:pPr>
        <w:spacing w:after="0" w:line="117" w:lineRule="exact"/>
        <w:rPr>
          <w:sz w:val="20"/>
          <w:szCs w:val="20"/>
          <w:color w:val="auto"/>
        </w:rPr>
      </w:pPr>
    </w:p>
    <w:p>
      <w:pPr>
        <w:ind w:left="1180" w:hanging="44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Elisabet de los Pinos, Ph.D., our former Chief Executive Officer and President;</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Gibney, our Chief Financial and Business Officer; and</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Jill Hopkins, M.D., our Chief Medical Officer and President of Research and Development.</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300" w:right="43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of our named executive officers for the years indicated.</w:t>
      </w:r>
    </w:p>
    <w:p>
      <w:pPr>
        <w:spacing w:after="0" w:line="25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8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w:t>
            </w:r>
          </w:p>
        </w:tc>
        <w:tc>
          <w:tcPr>
            <w:tcW w:w="16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Elisabet de los Pinos, Ph.D. </w:t>
            </w:r>
            <w:r>
              <w:rPr>
                <w:rFonts w:ascii="Times New Roman" w:cs="Times New Roman" w:eastAsia="Times New Roman" w:hAnsi="Times New Roman"/>
                <w:sz w:val="19"/>
                <w:szCs w:val="19"/>
                <w:color w:val="auto"/>
                <w:vertAlign w:val="superscript"/>
              </w:rPr>
              <w:t>(4)</w:t>
            </w: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7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left="12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920" w:type="dxa"/>
            <w:vAlign w:val="bottom"/>
            <w:gridSpan w:val="2"/>
          </w:tcPr>
          <w:p>
            <w:pPr>
              <w:jc w:val="center"/>
              <w:ind w:left="8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1080" w:type="dxa"/>
            <w:vAlign w:val="bottom"/>
            <w:gridSpan w:val="2"/>
          </w:tcPr>
          <w:p>
            <w:pPr>
              <w:jc w:val="center"/>
              <w:ind w:left="4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000" w:type="dxa"/>
            <w:vAlign w:val="bottom"/>
            <w:gridSpan w:val="2"/>
          </w:tcPr>
          <w:p>
            <w:pPr>
              <w:jc w:val="center"/>
              <w:ind w:left="4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(3)</w:t>
            </w: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Former President, Chief</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3,956,16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Executive Officer and</w:t>
            </w:r>
          </w:p>
        </w:tc>
        <w:tc>
          <w:tcPr>
            <w:tcW w:w="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645,483</w:t>
            </w:r>
          </w:p>
        </w:tc>
        <w:tc>
          <w:tcPr>
            <w:tcW w:w="280" w:type="dxa"/>
            <w:vAlign w:val="bottom"/>
          </w:tcPr>
          <w:p>
            <w:pPr>
              <w:spacing w:after="0"/>
              <w:rPr>
                <w:sz w:val="12"/>
                <w:szCs w:val="12"/>
                <w:color w:val="auto"/>
              </w:rPr>
            </w:pP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1,492,378</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1,513,293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284,013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4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42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620,657</w:t>
            </w:r>
          </w:p>
        </w:tc>
        <w:tc>
          <w:tcPr>
            <w:tcW w:w="28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1,266,005</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1,390,125</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307,225</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20,327</w:t>
            </w:r>
          </w:p>
        </w:tc>
        <w:tc>
          <w:tcPr>
            <w:tcW w:w="8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3,604,33</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Anthony Gibney</w:t>
            </w:r>
          </w:p>
        </w:tc>
        <w:tc>
          <w:tcPr>
            <w:tcW w:w="420" w:type="dxa"/>
            <w:vAlign w:val="bottom"/>
            <w:gridSpan w:val="2"/>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2,751,22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Chief Financial and Business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345,909</w:t>
            </w:r>
          </w:p>
        </w:tc>
        <w:tc>
          <w:tcPr>
            <w:tcW w:w="280" w:type="dxa"/>
            <w:vAlign w:val="bottom"/>
            <w:vMerge w:val="continue"/>
          </w:tcPr>
          <w:p>
            <w:pPr>
              <w:spacing w:after="0"/>
              <w:rPr>
                <w:sz w:val="9"/>
                <w:szCs w:val="9"/>
                <w:color w:val="auto"/>
              </w:rPr>
            </w:pP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1,006,915</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1,209,402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189,000</w:t>
            </w: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78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7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J. Jill Hopkins, M.D.</w:t>
            </w: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Chief Medical Officer and</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2,188,96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President of Research and</w:t>
            </w:r>
          </w:p>
        </w:tc>
        <w:tc>
          <w:tcPr>
            <w:tcW w:w="42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551,250</w:t>
            </w:r>
          </w:p>
        </w:tc>
        <w:tc>
          <w:tcPr>
            <w:tcW w:w="28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926,477</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469,738</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220,500</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82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78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Development</w:t>
            </w:r>
          </w:p>
        </w:tc>
        <w:tc>
          <w:tcPr>
            <w:tcW w:w="420" w:type="dxa"/>
            <w:vAlign w:val="bottom"/>
            <w:gridSpan w:val="2"/>
            <w:vMerge w:val="continue"/>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108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28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221,562</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243,264</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236,250</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1,226,07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80" w:type="dxa"/>
            <w:vAlign w:val="bottom"/>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-1414145</wp:posOffset>
            </wp:positionV>
            <wp:extent cx="5349240" cy="565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565785"/>
                    </a:xfrm>
                    <a:prstGeom prst="rect">
                      <a:avLst/>
                    </a:prstGeom>
                    <a:noFill/>
                  </pic:spPr>
                </pic:pic>
              </a:graphicData>
            </a:graphic>
          </wp:anchor>
        </w:drawing>
      </w:r>
    </w:p>
    <w:p>
      <w:pPr>
        <w:spacing w:after="0" w:line="205" w:lineRule="exact"/>
        <w:rPr>
          <w:sz w:val="20"/>
          <w:szCs w:val="20"/>
          <w:color w:val="auto"/>
        </w:rPr>
      </w:pPr>
    </w:p>
    <w:p>
      <w:pPr>
        <w:ind w:left="1180" w:right="359" w:hanging="448"/>
        <w:spacing w:after="0" w:line="255"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the restricted stock unit and option awards granted to our named executive officers during the fiscal year ended December 31, 2025, computed in accordance with FASB ASC Topic 718. A discussion of the assumptions used in determining grant date fair value may be found in Note 9 to our consolidated financial statements included in our Annual Report for the fiscal year ended December 31, 2025, filed with the SEC on March 30, 2026. This amount does not correspond to the actual value that may be recognized by the named executive officer upon settlement or exercise of the applicable award or sale of the underlying shares of stock.</w:t>
      </w:r>
    </w:p>
    <w:p>
      <w:pPr>
        <w:spacing w:after="0" w:line="94" w:lineRule="exact"/>
        <w:rPr>
          <w:rFonts w:ascii="Times New Roman" w:cs="Times New Roman" w:eastAsia="Times New Roman" w:hAnsi="Times New Roman"/>
          <w:sz w:val="18"/>
          <w:szCs w:val="18"/>
          <w:color w:val="auto"/>
        </w:rPr>
      </w:pPr>
    </w:p>
    <w:p>
      <w:pPr>
        <w:ind w:left="1180" w:right="3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Mr. Gibney represent initial equity grants he received in connection with his joining the Company as Chief Financial and Business Officer on May 13, 2025, as well as equity grants he received in connection with advising the Company as a senior finance and strategy advisor from March 2025 to May 2025.</w:t>
      </w:r>
    </w:p>
    <w:p>
      <w:pPr>
        <w:spacing w:after="0" w:line="71" w:lineRule="exact"/>
        <w:rPr>
          <w:rFonts w:ascii="Times New Roman" w:cs="Times New Roman" w:eastAsia="Times New Roman" w:hAnsi="Times New Roman"/>
          <w:sz w:val="18"/>
          <w:szCs w:val="18"/>
          <w:color w:val="auto"/>
        </w:rPr>
      </w:pPr>
    </w:p>
    <w:p>
      <w:pPr>
        <w:ind w:left="1180" w:right="479" w:hanging="448"/>
        <w:spacing w:after="0" w:line="282"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annual bonuses paid with respect to achievement of our Company performance objectives for 2025 and 2024.</w:t>
      </w:r>
    </w:p>
    <w:p>
      <w:pPr>
        <w:spacing w:after="0" w:line="53"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matching contributions made by us under our 401(k) plan.</w:t>
      </w:r>
    </w:p>
    <w:p>
      <w:pPr>
        <w:spacing w:after="0" w:line="117" w:lineRule="exact"/>
        <w:rPr>
          <w:rFonts w:ascii="Times New Roman" w:cs="Times New Roman" w:eastAsia="Times New Roman" w:hAnsi="Times New Roman"/>
          <w:sz w:val="18"/>
          <w:szCs w:val="18"/>
          <w:color w:val="auto"/>
        </w:rPr>
      </w:pPr>
    </w:p>
    <w:p>
      <w:pPr>
        <w:ind w:left="1180" w:right="379" w:hanging="448"/>
        <w:spacing w:after="0" w:line="282"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Elisabet de los Pinos resigned as our Chief Executive Officer and President effective as of April 30, 2026.</w:t>
      </w:r>
    </w:p>
    <w:p>
      <w:pPr>
        <w:spacing w:after="0" w:line="53" w:lineRule="exact"/>
        <w:rPr>
          <w:rFonts w:ascii="Times New Roman" w:cs="Times New Roman" w:eastAsia="Times New Roman" w:hAnsi="Times New Roman"/>
          <w:sz w:val="18"/>
          <w:szCs w:val="18"/>
          <w:color w:val="auto"/>
        </w:rPr>
      </w:pPr>
    </w:p>
    <w:p>
      <w:pPr>
        <w:jc w:val="both"/>
        <w:ind w:left="1180" w:right="419" w:hanging="448"/>
        <w:spacing w:after="0" w:line="312"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salary includes amounts Mr. Gibney received as our Chief Financial and Business Officer as well as amounts received in connection with advising the Company as a senior finance and strategy advisor.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2" w:name="page23"/>
    <w:bookmarkEnd w:id="22"/>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2025 Summary Compensation Table</w:t>
      </w:r>
    </w:p>
    <w:p>
      <w:pPr>
        <w:spacing w:after="0" w:line="121" w:lineRule="exact"/>
        <w:rPr>
          <w:sz w:val="20"/>
          <w:szCs w:val="20"/>
          <w:color w:val="auto"/>
        </w:rPr>
      </w:pPr>
    </w:p>
    <w:p>
      <w:pPr>
        <w:ind w:left="300" w:right="379" w:firstLine="441"/>
        <w:spacing w:after="0" w:line="255" w:lineRule="auto"/>
        <w:rPr>
          <w:sz w:val="20"/>
          <w:szCs w:val="20"/>
          <w:color w:val="auto"/>
        </w:rPr>
      </w:pPr>
      <w:r>
        <w:rPr>
          <w:rFonts w:ascii="Times New Roman" w:cs="Times New Roman" w:eastAsia="Times New Roman" w:hAnsi="Times New Roman"/>
          <w:sz w:val="18"/>
          <w:szCs w:val="18"/>
          <w:color w:val="auto"/>
        </w:rPr>
        <w:t>Our Board of Directors and Compensation Committee review compensation annually for our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w:t>
      </w:r>
    </w:p>
    <w:p>
      <w:pPr>
        <w:spacing w:after="0" w:line="189" w:lineRule="exact"/>
        <w:rPr>
          <w:sz w:val="20"/>
          <w:szCs w:val="20"/>
          <w:color w:val="auto"/>
        </w:rPr>
      </w:pPr>
    </w:p>
    <w:p>
      <w:pPr>
        <w:ind w:left="300" w:right="439" w:firstLine="441"/>
        <w:spacing w:after="0" w:line="253" w:lineRule="auto"/>
        <w:rPr>
          <w:sz w:val="20"/>
          <w:szCs w:val="20"/>
          <w:color w:val="auto"/>
        </w:rPr>
      </w:pPr>
      <w:r>
        <w:rPr>
          <w:rFonts w:ascii="Times New Roman" w:cs="Times New Roman" w:eastAsia="Times New Roman" w:hAnsi="Times New Roman"/>
          <w:sz w:val="18"/>
          <w:szCs w:val="18"/>
          <w:color w:val="auto"/>
        </w:rPr>
        <w:t>Our Compensation Committee is authorized to retain the services of one or more executive compensation advisors, as it sees fit, in connection with the establishment of our executive compensation programs and related policies. In fiscal year 2025, the Compensation Committee continued to retain Pay Governance to provide it with market information, analysis and other advice relating to executive compensation on an ongoing basis. The Compensation Committee engaged Pay Governance to, among other things, assist in developing a group of peer companies to help us benchmark overall compensation for our executive officers, as well as to assess each separate element of compensation. The goal was to ensure that the compensation we offer to our executive officers, individually as well as in the aggregate, is competitive and aligned with our business and executive talent requirements. We do not believe the retention of, and the work performed by, Pay Governance creates any conflict of interest because Pay Governance performs no other work for our Company besides advising the Compensation Committee.</w:t>
      </w:r>
    </w:p>
    <w:p>
      <w:pPr>
        <w:spacing w:after="0" w:line="192" w:lineRule="exact"/>
        <w:rPr>
          <w:sz w:val="20"/>
          <w:szCs w:val="20"/>
          <w:color w:val="auto"/>
        </w:rPr>
      </w:pPr>
    </w:p>
    <w:p>
      <w:pPr>
        <w:ind w:left="300" w:right="659" w:firstLine="441"/>
        <w:spacing w:after="0" w:line="261" w:lineRule="auto"/>
        <w:rPr>
          <w:sz w:val="20"/>
          <w:szCs w:val="20"/>
          <w:color w:val="auto"/>
        </w:rPr>
      </w:pPr>
      <w:r>
        <w:rPr>
          <w:rFonts w:ascii="Times New Roman" w:cs="Times New Roman" w:eastAsia="Times New Roman" w:hAnsi="Times New Roman"/>
          <w:sz w:val="18"/>
          <w:szCs w:val="18"/>
          <w:color w:val="auto"/>
        </w:rPr>
        <w:t>Our Compensation Committee is responsible for determining the compensation for all executive officers. Based on its discretion, taking into account the factors noted above, the Compensation Committee sets the compensation for each executive officer, including for the Chief Executive Officer, without the Chief Executive Officer present.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left="300" w:right="459" w:firstLine="441"/>
        <w:spacing w:after="0" w:line="256" w:lineRule="auto"/>
        <w:rPr>
          <w:sz w:val="20"/>
          <w:szCs w:val="20"/>
          <w:color w:val="auto"/>
        </w:rPr>
      </w:pPr>
      <w:r>
        <w:rPr>
          <w:rFonts w:ascii="Times New Roman" w:cs="Times New Roman" w:eastAsia="Times New Roman" w:hAnsi="Times New Roman"/>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are reviewed annually, typically in connection with our annual performance review process, approved by our Board of Directors or Compensation Committee, and may be adjusted from time to time to realign salaries with market levels after taking into account individual responsibilities, performance and experience.</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fiscal year 2025, the annual base salary for each of Dr. de los Pinos, Dr. Hopkins, and Mr. Gibney were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$645,483, $551,250, and $525,000, respectively. For the portion of 2025 that Mr. Gibney served as a senior finance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strategy advisor prior to becoming our Chief Financial and Business Officer, Mr. Gibney received cash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compensation of $5,000 per month.</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121" w:lineRule="exact"/>
        <w:rPr>
          <w:sz w:val="20"/>
          <w:szCs w:val="20"/>
          <w:color w:val="auto"/>
        </w:rPr>
      </w:pPr>
    </w:p>
    <w:p>
      <w:pPr>
        <w:ind w:left="300" w:right="419" w:firstLine="441"/>
        <w:spacing w:after="0" w:line="254" w:lineRule="auto"/>
        <w:rPr>
          <w:sz w:val="20"/>
          <w:szCs w:val="20"/>
          <w:color w:val="auto"/>
        </w:rPr>
      </w:pPr>
      <w:r>
        <w:rPr>
          <w:rFonts w:ascii="Times New Roman" w:cs="Times New Roman" w:eastAsia="Times New Roman" w:hAnsi="Times New Roman"/>
          <w:sz w:val="18"/>
          <w:szCs w:val="18"/>
          <w:color w:val="auto"/>
        </w:rPr>
        <w:t>We pay cash bonuses to reward our executives for their performance over the fiscal year, based on the achievement of certain corporate performance goals and, if applicable, individual performance goals. We believe such bonuses properly incentivize our named executive officers and allow us to remain competitive within the marketplace. The target annual bonuses for Dr. de los Pinos, Dr. Hopkins, and Mr. Gibney for the fiscal year ended December 31, 2025 were 55%, 50%, and 45% of annual base salary, respectively. Based on our achievement of the applicable performance goals for 2025, the Compensation Committee determined that we had achieved 80% of our corporate goals. The annual bonus for each of our named executive officers was determined based solely on the achievement of our corporate goals. Each named executive earned the annual bonus amount set forth in the 2025 Summary Compensation Table above.</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300" w:right="479" w:firstLine="441"/>
        <w:spacing w:after="0" w:line="254" w:lineRule="auto"/>
        <w:rPr>
          <w:sz w:val="20"/>
          <w:szCs w:val="20"/>
          <w:color w:val="auto"/>
        </w:rPr>
      </w:pPr>
      <w:r>
        <w:rPr>
          <w:rFonts w:ascii="Times New Roman" w:cs="Times New Roman" w:eastAsia="Times New Roman" w:hAnsi="Times New Roman"/>
          <w:sz w:val="18"/>
          <w:szCs w:val="18"/>
          <w:color w:val="auto"/>
        </w:rPr>
        <w:t>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 Accordingly, our Board of Directors or our Compensation Committee periodically reviews the equity incentive compensation of our named executive officers and may grant equity incentive awards to them from time to time. During fiscal year 2025, we granted both options and restricted stock units to our named executive officers. For the portion of 2025 that Mr. Gibney served as a senior finance and strategy advisor prior to becoming our Chief Financial and Business Officer, Mr. Gibney received a grant of 5,000 stock options and 11,500 restricted stock units.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121" w:lineRule="exact"/>
        <w:rPr>
          <w:sz w:val="20"/>
          <w:szCs w:val="20"/>
          <w:color w:val="auto"/>
        </w:rPr>
      </w:pPr>
    </w:p>
    <w:p>
      <w:pPr>
        <w:ind w:left="300" w:right="619" w:firstLine="441"/>
        <w:spacing w:after="0" w:line="312" w:lineRule="auto"/>
        <w:rPr>
          <w:sz w:val="20"/>
          <w:szCs w:val="20"/>
          <w:color w:val="auto"/>
        </w:rPr>
      </w:pPr>
      <w:r>
        <w:rPr>
          <w:rFonts w:ascii="Times New Roman" w:cs="Times New Roman" w:eastAsia="Times New Roman" w:hAnsi="Times New Roman"/>
          <w:sz w:val="17"/>
          <w:szCs w:val="17"/>
          <w:color w:val="auto"/>
        </w:rPr>
        <w:t>We generally do not provide perquisites to our executives, other than matching contributions to our 401(k) plan and certain other de minimis perquisites to our executive officers, including our named executive officers.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Aura Biosciences, Inc. 401(k) Plan</w:t>
      </w:r>
    </w:p>
    <w:p>
      <w:pPr>
        <w:spacing w:after="0" w:line="121" w:lineRule="exact"/>
        <w:rPr>
          <w:sz w:val="20"/>
          <w:szCs w:val="20"/>
          <w:color w:val="auto"/>
        </w:rPr>
      </w:pPr>
    </w:p>
    <w:p>
      <w:pPr>
        <w:ind w:left="300" w:right="379" w:firstLine="441"/>
        <w:spacing w:after="0" w:line="254" w:lineRule="auto"/>
        <w:rPr>
          <w:sz w:val="20"/>
          <w:szCs w:val="20"/>
          <w:color w:val="auto"/>
        </w:rPr>
      </w:pPr>
      <w:r>
        <w:rPr>
          <w:rFonts w:ascii="Times New Roman" w:cs="Times New Roman" w:eastAsia="Times New Roman" w:hAnsi="Times New Roman"/>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Our 401(k) plan is intended to qualify for favorable tax treatment under Section 401(a) of the Internal Revenue Code of 1986, as amended, or the Code, and contains a cash or deferred feature that is intended to meet the requirements of Section 401(k) of the Code.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Elisabet de los Pinos, Ph.D.</w:t>
      </w:r>
    </w:p>
    <w:p>
      <w:pPr>
        <w:spacing w:after="0" w:line="121"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Dr. de los Pinos, who served as our Chief Executive Officer until April 30, 2026, in January 2015, which we amended in October 2017, or as amended, the de los Pinos Employment Agreement. The de los Pinos Employment Agreement provided for Dr. de los Pinos’s at-will employment, base salary and annual target bonus. Dr. de los Pinos was also eligible to participate in the employee benefit plans available to our employees, subject to the terms of those plans. The de los Pinos Employment Agreement contains non-competition and non-solicitation provisions that apply for one year following the end of her employment with us. The severance benefits under the de los Pinos Employment Agreement were superseded and replaced by the severance payments and benefits under the Company’s Executive Severance Plan, which is described below under the section “— Executive Severance Plan”.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 Jill Hopkins, M.D.</w:t>
      </w:r>
    </w:p>
    <w:p>
      <w:pPr>
        <w:spacing w:after="0" w:line="229" w:lineRule="exact"/>
        <w:rPr>
          <w:sz w:val="20"/>
          <w:szCs w:val="20"/>
          <w:color w:val="auto"/>
        </w:rPr>
      </w:pPr>
    </w:p>
    <w:p>
      <w:pPr>
        <w:ind w:left="300" w:right="319" w:firstLine="441"/>
        <w:spacing w:after="0" w:line="258" w:lineRule="auto"/>
        <w:rPr>
          <w:sz w:val="20"/>
          <w:szCs w:val="20"/>
          <w:color w:val="auto"/>
        </w:rPr>
      </w:pPr>
      <w:r>
        <w:rPr>
          <w:rFonts w:ascii="Times New Roman" w:cs="Times New Roman" w:eastAsia="Times New Roman" w:hAnsi="Times New Roman"/>
          <w:sz w:val="18"/>
          <w:szCs w:val="18"/>
          <w:color w:val="auto"/>
        </w:rPr>
        <w:t>We entered into an employment offer letter with Dr. Hopkins, who serves as our Chief Medical Officer and President of Research &amp; Development, effective as of October 16, 2023, or the Hopkins Offer Letter. Pursuant to the Hopkins Offer Letter, Dr. Hopkins is paid an annual base salary and following the end of each calendar year, Dr. Hopkins is eligible to receive a discretionary annual performance bonus based upon our Board’s assessment of our achievement of company performance goals and Dr. Hopkins’ continued employment with the Company.</w:t>
      </w:r>
    </w:p>
    <w:p>
      <w:pPr>
        <w:spacing w:after="0" w:line="75" w:lineRule="exact"/>
        <w:rPr>
          <w:sz w:val="20"/>
          <w:szCs w:val="20"/>
          <w:color w:val="auto"/>
        </w:rPr>
      </w:pPr>
    </w:p>
    <w:p>
      <w:pPr>
        <w:ind w:left="300" w:right="299" w:firstLine="441"/>
        <w:spacing w:after="0" w:line="266" w:lineRule="auto"/>
        <w:rPr>
          <w:sz w:val="20"/>
          <w:szCs w:val="20"/>
          <w:color w:val="auto"/>
        </w:rPr>
      </w:pPr>
      <w:r>
        <w:rPr>
          <w:rFonts w:ascii="Times New Roman" w:cs="Times New Roman" w:eastAsia="Times New Roman" w:hAnsi="Times New Roman"/>
          <w:sz w:val="18"/>
          <w:szCs w:val="18"/>
          <w:color w:val="auto"/>
        </w:rPr>
        <w:t>The severance benefits under the Hopkins Offer Letter are superseded and replaced by the severance payments and benefits under the Company’s Executive Severance Plan, which is described below under the section “— Executive Severance Plan”.</w:t>
      </w:r>
    </w:p>
    <w:p>
      <w:pPr>
        <w:spacing w:after="0" w:line="68" w:lineRule="exact"/>
        <w:rPr>
          <w:sz w:val="20"/>
          <w:szCs w:val="20"/>
          <w:color w:val="auto"/>
        </w:rPr>
      </w:pPr>
    </w:p>
    <w:p>
      <w:pPr>
        <w:ind w:left="300" w:right="619" w:firstLine="441"/>
        <w:spacing w:after="0" w:line="289" w:lineRule="auto"/>
        <w:rPr>
          <w:sz w:val="20"/>
          <w:szCs w:val="20"/>
          <w:color w:val="auto"/>
        </w:rPr>
      </w:pPr>
      <w:r>
        <w:rPr>
          <w:rFonts w:ascii="Times New Roman" w:cs="Times New Roman" w:eastAsia="Times New Roman" w:hAnsi="Times New Roman"/>
          <w:sz w:val="17"/>
          <w:szCs w:val="17"/>
          <w:color w:val="auto"/>
        </w:rPr>
        <w:t>Dr. Hopkins has also entered into a Confidential Information, Non-Solicitation, and Invention Assignment Agreement with us that contains a non-solicitation provision that applies during and for one year following her employment with us and a non-disclosure provision that applies during and following her employment with us.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Anthony Gibney</w:t>
      </w:r>
    </w:p>
    <w:p>
      <w:pPr>
        <w:spacing w:after="0" w:line="121" w:lineRule="exact"/>
        <w:rPr>
          <w:sz w:val="20"/>
          <w:szCs w:val="20"/>
          <w:color w:val="auto"/>
        </w:rPr>
      </w:pPr>
    </w:p>
    <w:p>
      <w:pPr>
        <w:ind w:left="300" w:right="339" w:firstLine="441"/>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employment offer letter with Mr. Gibney, who serves as our Chief Financial and Business Officer, effective as of May 13, 2025, or the Gibney Offer Letter. Pursuant to the Gibney Offer Letter, Mr. Gibney is paid an annual base salary and following the end of each calendar year, Mr. Gibney is eligible to receive a discretionary annual performance bonus based upon our Board’s assessment of our achievement of company performance goals and Mr. Gibney’s continued employment with the Company.</w:t>
      </w:r>
    </w:p>
    <w:p>
      <w:pPr>
        <w:spacing w:after="0" w:line="75" w:lineRule="exact"/>
        <w:rPr>
          <w:sz w:val="20"/>
          <w:szCs w:val="20"/>
          <w:color w:val="auto"/>
        </w:rPr>
      </w:pPr>
    </w:p>
    <w:p>
      <w:pPr>
        <w:ind w:left="300" w:right="399" w:firstLine="441"/>
        <w:spacing w:after="0" w:line="282" w:lineRule="auto"/>
        <w:rPr>
          <w:sz w:val="20"/>
          <w:szCs w:val="20"/>
          <w:color w:val="auto"/>
        </w:rPr>
      </w:pPr>
      <w:r>
        <w:rPr>
          <w:rFonts w:ascii="Times New Roman" w:cs="Times New Roman" w:eastAsia="Times New Roman" w:hAnsi="Times New Roman"/>
          <w:sz w:val="18"/>
          <w:szCs w:val="18"/>
          <w:color w:val="auto"/>
        </w:rPr>
        <w:t>Mr. Gibney is also a participant in the Company’s Executive Severance Plan, which is described below under the section “— Executive Severance Plan”.</w:t>
      </w:r>
    </w:p>
    <w:p>
      <w:pPr>
        <w:spacing w:after="0" w:line="54" w:lineRule="exact"/>
        <w:rPr>
          <w:sz w:val="20"/>
          <w:szCs w:val="20"/>
          <w:color w:val="auto"/>
        </w:rPr>
      </w:pPr>
    </w:p>
    <w:p>
      <w:pPr>
        <w:ind w:left="300" w:right="679" w:firstLine="441"/>
        <w:spacing w:after="0" w:line="289" w:lineRule="auto"/>
        <w:rPr>
          <w:sz w:val="20"/>
          <w:szCs w:val="20"/>
          <w:color w:val="auto"/>
        </w:rPr>
      </w:pPr>
      <w:r>
        <w:rPr>
          <w:rFonts w:ascii="Times New Roman" w:cs="Times New Roman" w:eastAsia="Times New Roman" w:hAnsi="Times New Roman"/>
          <w:sz w:val="17"/>
          <w:szCs w:val="17"/>
          <w:color w:val="auto"/>
        </w:rPr>
        <w:t>Mr. Gibney has also entered into a Confidential Information, Non-Solicitation, and Invention Assignment Agreement with us that contains a non-solicitation provision that applies during and for one year following his employment with us and a non-disclosure provision that applies during and following his employment with us.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121" w:lineRule="exact"/>
        <w:rPr>
          <w:sz w:val="20"/>
          <w:szCs w:val="20"/>
          <w:color w:val="auto"/>
        </w:rPr>
      </w:pPr>
    </w:p>
    <w:p>
      <w:pPr>
        <w:ind w:left="300" w:right="399" w:firstLine="441"/>
        <w:spacing w:after="0" w:line="254" w:lineRule="auto"/>
        <w:rPr>
          <w:sz w:val="20"/>
          <w:szCs w:val="20"/>
          <w:color w:val="auto"/>
        </w:rPr>
      </w:pPr>
      <w:r>
        <w:rPr>
          <w:rFonts w:ascii="Times New Roman" w:cs="Times New Roman" w:eastAsia="Times New Roman" w:hAnsi="Times New Roman"/>
          <w:sz w:val="18"/>
          <w:szCs w:val="18"/>
          <w:color w:val="auto"/>
        </w:rPr>
        <w:t>The Compensation Committee has adopted an Executive Severance Plan, or the Severance Plan, for participating executives, including our named executive officers. The Severance Plan provides for severance payments and benefits to covered executives in the event that we terminate the employment of a covered executive without Cause (as defined in the Severance Plan) or if a covered executive resigns with Good Reason (as defined in the Severance Plan). Each such termination or resignation is a “Qualifying Termination”. Upon acceptance of participation in the Severance Plan, the severance payments and benefits under the Severance Plan supersede and replace any severance benefits under any individual employment agreement or offer letter previously entered into between us and a covered executive, including each of our named executive officers.</w:t>
      </w:r>
    </w:p>
    <w:p>
      <w:pPr>
        <w:spacing w:after="0" w:line="84" w:lineRule="exact"/>
        <w:rPr>
          <w:sz w:val="20"/>
          <w:szCs w:val="20"/>
          <w:color w:val="auto"/>
        </w:rPr>
      </w:pPr>
    </w:p>
    <w:p>
      <w:pPr>
        <w:ind w:left="300" w:right="359" w:firstLine="441"/>
        <w:spacing w:after="0" w:line="254" w:lineRule="auto"/>
        <w:rPr>
          <w:sz w:val="20"/>
          <w:szCs w:val="20"/>
          <w:color w:val="auto"/>
        </w:rPr>
      </w:pPr>
      <w:r>
        <w:rPr>
          <w:rFonts w:ascii="Times New Roman" w:cs="Times New Roman" w:eastAsia="Times New Roman" w:hAnsi="Times New Roman"/>
          <w:sz w:val="18"/>
          <w:szCs w:val="18"/>
          <w:color w:val="auto"/>
        </w:rPr>
        <w:t>Under the terms of the Severance Plan, upon a Qualifying Termination outside of the Change of Control Period (defined as the period beginning three months prior and ending 12 months following a Change of Control (as defined in the Severance Plan)), a covered executive will be entitled to receive severance pay in the form of: (i) continuation of the covered executive’s Base Salary (as defined in the Severance Plan) for nine months (12 months in the case of Dr. de los Pinos), and (ii) payment to the group health plan provider or the Consolidated Omnibus Budget Reconciliation Act, or COBRA, provider of the employer cost of the COBRA premiums at the time of the Qualifying Termination applicable to the covered executive and his or her eligible dependents for a period of up to nine months (up to 12 months in the case of Dr. de los Pinos).</w:t>
      </w:r>
    </w:p>
    <w:p>
      <w:pPr>
        <w:spacing w:after="0" w:line="84" w:lineRule="exact"/>
        <w:rPr>
          <w:sz w:val="20"/>
          <w:szCs w:val="20"/>
          <w:color w:val="auto"/>
        </w:rPr>
      </w:pPr>
    </w:p>
    <w:p>
      <w:pPr>
        <w:ind w:left="300" w:right="319" w:firstLine="441"/>
        <w:spacing w:after="0" w:line="253" w:lineRule="auto"/>
        <w:rPr>
          <w:sz w:val="20"/>
          <w:szCs w:val="20"/>
          <w:color w:val="auto"/>
        </w:rPr>
      </w:pPr>
      <w:r>
        <w:rPr>
          <w:rFonts w:ascii="Times New Roman" w:cs="Times New Roman" w:eastAsia="Times New Roman" w:hAnsi="Times New Roman"/>
          <w:sz w:val="18"/>
          <w:szCs w:val="18"/>
          <w:color w:val="auto"/>
        </w:rPr>
        <w:t>Upon a Qualifying Termination within the Change in Control Period, a covered executive will be entitled to receive severance pay in the form of: (i) a lump sum cash payment equivalent to 12 months (18 months in the case of Dr. de los Pinos) of the covered executive’s Base Salary, (ii) a lump sum cash payment equivalent to one times (one and one-half times in the case of Dr. de los Pinos) the covered executive’s Target Bonus (as defined in the Severance Plan) plus the covered executive’s Target Bonus pro-rated for the number of days of service during the year in which the Qualifying Termination occurs, (iii) payment to the group health plan provider or the COBRA provider of the employer cost of the COBRA premiums at the time of the Qualifying Termination applicable to the covered executive and his or her eligible dependents for a period of up to 12 months (18 months in the case of Dr. de los Pinos), and (iv) to cause equity awards with time-based vesting held by the covered executive to immediately become fully vested, exercisable or nonforfeitable. For equity awards held by a covered executive as of November 10, 2024, the effective date of the Severance Plan, such awards shall immediately become fully vested, exercisable or nonforfeitable upon a Change of Control.</w:t>
      </w:r>
    </w:p>
    <w:p>
      <w:pPr>
        <w:spacing w:after="0" w:line="82" w:lineRule="exact"/>
        <w:rPr>
          <w:sz w:val="20"/>
          <w:szCs w:val="20"/>
          <w:color w:val="auto"/>
        </w:rPr>
      </w:pPr>
    </w:p>
    <w:p>
      <w:pPr>
        <w:ind w:left="300" w:right="399" w:firstLine="441"/>
        <w:spacing w:after="0" w:line="266" w:lineRule="auto"/>
        <w:rPr>
          <w:sz w:val="20"/>
          <w:szCs w:val="20"/>
          <w:color w:val="auto"/>
        </w:rPr>
      </w:pPr>
      <w:r>
        <w:rPr>
          <w:rFonts w:ascii="Times New Roman" w:cs="Times New Roman" w:eastAsia="Times New Roman" w:hAnsi="Times New Roman"/>
          <w:sz w:val="18"/>
          <w:szCs w:val="18"/>
          <w:color w:val="auto"/>
        </w:rPr>
        <w:t>As described more fully in the Severance Plan, in order to receive the foregoing benefits, a covered executive must execute a separation agreement and general release of claims in our favor and affirm his or her continuing obligations towards the Company, including his or her ongoing restrictive covenants.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left="300" w:right="319" w:firstLine="441"/>
        <w:spacing w:after="0" w:line="256"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ind w:left="300" w:right="499" w:firstLine="441"/>
        <w:spacing w:after="0" w:line="272" w:lineRule="auto"/>
        <w:rPr>
          <w:sz w:val="20"/>
          <w:szCs w:val="20"/>
          <w:color w:val="auto"/>
        </w:rPr>
      </w:pPr>
      <w:r>
        <w:rPr>
          <w:rFonts w:ascii="Times New Roman" w:cs="Times New Roman" w:eastAsia="Times New Roman" w:hAnsi="Times New Roman"/>
          <w:sz w:val="17"/>
          <w:szCs w:val="17"/>
          <w:color w:val="auto"/>
        </w:rPr>
        <w:t>In accordance with the requirements of the SEC and Nasdaq listing rules, the Compensation Committee has adopted a compensation recovery policy, or clawback policy, that provides that in the event we are required to prepare a restatement of financial statements due to material noncompliance with any financial reporting requirement under securities laws, we must (subject to certain limited exceptions described in the clawback policy and permitted under the SEC and Nasdaq listing rules)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based on the restated financial statements.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99" w:firstLine="441"/>
        <w:spacing w:after="0" w:line="256" w:lineRule="auto"/>
        <w:rPr>
          <w:sz w:val="20"/>
          <w:szCs w:val="20"/>
          <w:color w:val="auto"/>
        </w:rPr>
      </w:pPr>
      <w:r>
        <w:rPr>
          <w:rFonts w:ascii="Times New Roman" w:cs="Times New Roman" w:eastAsia="Times New Roman" w:hAnsi="Times New Roman"/>
          <w:sz w:val="18"/>
          <w:szCs w:val="18"/>
          <w:color w:val="auto"/>
        </w:rPr>
        <w:t>During fiscal year 2025, Teresa Marie Bitetti, David Johnson, Giovanni Mariggi, and Karan Takhar served as members of our Compensation Committee for some or all of such period. None of the members of our Compensation Committee is, or has at any time during the prior three years been, one of our officers or employees. None of our executive officers currently serve, or have in the past fiscal year served, as a member of the Board of Directors or Compensation Committee of any entity that has one or more of its executive officers serving as a member of our Board of Directors or our Compensation Committee.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w:t>
      </w:r>
    </w:p>
    <w:p>
      <w:pPr>
        <w:spacing w:after="0" w:line="121" w:lineRule="exact"/>
        <w:rPr>
          <w:sz w:val="20"/>
          <w:szCs w:val="20"/>
          <w:color w:val="auto"/>
        </w:rPr>
      </w:pPr>
    </w:p>
    <w:p>
      <w:pPr>
        <w:ind w:left="300" w:right="4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2025:</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4"/>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w w:val="99"/>
              </w:rPr>
              <w:t xml:space="preserve">OPTION AWARDS </w:t>
            </w:r>
            <w:r>
              <w:rPr>
                <w:rFonts w:ascii="Times New Roman" w:cs="Times New Roman" w:eastAsia="Times New Roman" w:hAnsi="Times New Roman"/>
                <w:sz w:val="19"/>
                <w:szCs w:val="19"/>
                <w:b w:val="1"/>
                <w:bCs w:val="1"/>
                <w:color w:val="auto"/>
                <w:w w:val="99"/>
                <w:vertAlign w:val="superscript"/>
              </w:rPr>
              <w:t>(1)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2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260" w:type="dxa"/>
            <w:vAlign w:val="bottom"/>
          </w:tcPr>
          <w:p>
            <w:pPr>
              <w:spacing w:after="0"/>
              <w:rPr>
                <w:sz w:val="11"/>
                <w:szCs w:val="11"/>
                <w:color w:val="auto"/>
              </w:rPr>
            </w:pPr>
          </w:p>
        </w:tc>
        <w:tc>
          <w:tcPr>
            <w:tcW w:w="8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8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320" w:type="dxa"/>
            <w:vAlign w:val="bottom"/>
          </w:tcPr>
          <w:p>
            <w:pPr>
              <w:spacing w:after="0"/>
              <w:rPr>
                <w:sz w:val="11"/>
                <w:szCs w:val="11"/>
                <w:color w:val="auto"/>
              </w:rPr>
            </w:pPr>
          </w:p>
        </w:tc>
        <w:tc>
          <w:tcPr>
            <w:tcW w:w="660" w:type="dxa"/>
            <w:vAlign w:val="bottom"/>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260" w:type="dxa"/>
            <w:vAlign w:val="bottom"/>
          </w:tcPr>
          <w:p>
            <w:pPr>
              <w:spacing w:after="0"/>
              <w:rPr>
                <w:sz w:val="11"/>
                <w:szCs w:val="11"/>
                <w:color w:val="auto"/>
              </w:rPr>
            </w:pPr>
          </w:p>
        </w:tc>
        <w:tc>
          <w:tcPr>
            <w:tcW w:w="8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Vested ($)</w:t>
            </w:r>
          </w:p>
        </w:tc>
        <w:tc>
          <w:tcPr>
            <w:tcW w:w="0" w:type="dxa"/>
            <w:vAlign w:val="bottom"/>
          </w:tcPr>
          <w:p>
            <w:pPr>
              <w:spacing w:after="0"/>
              <w:rPr>
                <w:sz w:val="1"/>
                <w:szCs w:val="1"/>
                <w:color w:val="auto"/>
              </w:rPr>
            </w:pPr>
          </w:p>
        </w:tc>
      </w:tr>
      <w:tr>
        <w:trPr>
          <w:trHeight w:val="126"/>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0"/>
                <w:szCs w:val="10"/>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vMerge w:val="restart"/>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vMerge w:val="restart"/>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6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vMerge w:val="restart"/>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5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Elisabet de los Pinos,</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2/3/2025</w:t>
            </w: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194,320</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1,059,044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Ph.D.</w:t>
            </w: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(4)</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2/3/2025</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255,680</w:t>
            </w:r>
          </w:p>
        </w:tc>
        <w:tc>
          <w:tcPr>
            <w:tcW w:w="320" w:type="dxa"/>
            <w:vAlign w:val="bottom"/>
            <w:vMerge w:val="continue"/>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2/3/2035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(5)</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2/1/2024</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(6)</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122,201</w:t>
            </w:r>
          </w:p>
        </w:tc>
        <w:tc>
          <w:tcPr>
            <w:tcW w:w="2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665,995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2/1/2024</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108,655</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128,410</w:t>
            </w:r>
          </w:p>
        </w:tc>
        <w:tc>
          <w:tcPr>
            <w:tcW w:w="320" w:type="dxa"/>
            <w:vAlign w:val="bottom"/>
            <w:vMerge w:val="continue"/>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2/1/2034</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(7)</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1/19/2023</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(8)</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60,937</w:t>
            </w:r>
          </w:p>
        </w:tc>
        <w:tc>
          <w:tcPr>
            <w:tcW w:w="2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332,107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136,718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50,782</w:t>
            </w:r>
          </w:p>
        </w:tc>
        <w:tc>
          <w:tcPr>
            <w:tcW w:w="320" w:type="dxa"/>
            <w:vAlign w:val="bottom"/>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1/19/2033</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10/28/2021</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318,750</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10/28/2031</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6/28/2021</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620,437</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6/28/2031</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3/16/2020</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194,889</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3/16/2030</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2/6/2019</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63,548</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2/6/2029</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2/21/2018</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336,171</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2/21/2028</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7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7/7/2017</w:t>
            </w:r>
          </w:p>
        </w:tc>
        <w:tc>
          <w:tcPr>
            <w:tcW w:w="9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14,598</w:t>
            </w:r>
          </w:p>
        </w:tc>
        <w:tc>
          <w:tcPr>
            <w:tcW w:w="180" w:type="dxa"/>
            <w:vAlign w:val="bottom"/>
          </w:tcPr>
          <w:p>
            <w:pPr>
              <w:spacing w:after="0"/>
              <w:rPr>
                <w:sz w:val="10"/>
                <w:szCs w:val="10"/>
                <w:color w:val="auto"/>
              </w:rPr>
            </w:pPr>
          </w:p>
        </w:tc>
        <w:tc>
          <w:tcPr>
            <w:tcW w:w="9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5.21</w:t>
            </w:r>
          </w:p>
        </w:tc>
        <w:tc>
          <w:tcPr>
            <w:tcW w:w="9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7/7/2027</w:t>
            </w:r>
          </w:p>
        </w:tc>
        <w:tc>
          <w:tcPr>
            <w:tcW w:w="16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4/11/2016</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14,598</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4/11/2026</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(9)</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Anthony Gibney</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6/2/2025</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(10)</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817,500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6/2/2025</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320" w:type="dxa"/>
            <w:vAlign w:val="bottom"/>
            <w:vMerge w:val="continue"/>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6/2/2035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3/3/2025</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3/3/2035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(3)</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 Jill Hopkins, M.D.</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2/3/2025</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(4)</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120,635</w:t>
            </w:r>
          </w:p>
        </w:tc>
        <w:tc>
          <w:tcPr>
            <w:tcW w:w="2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657,461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2/3/2025</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79,365</w:t>
            </w:r>
          </w:p>
        </w:tc>
        <w:tc>
          <w:tcPr>
            <w:tcW w:w="320" w:type="dxa"/>
            <w:vAlign w:val="bottom"/>
            <w:vMerge w:val="continue"/>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2/3/2035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(5)</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2/1/2024</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(6)</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21,386</w:t>
            </w:r>
          </w:p>
        </w:tc>
        <w:tc>
          <w:tcPr>
            <w:tcW w:w="2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2/1/2024</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19,014</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22,471</w:t>
            </w:r>
          </w:p>
        </w:tc>
        <w:tc>
          <w:tcPr>
            <w:tcW w:w="320" w:type="dxa"/>
            <w:vAlign w:val="bottom"/>
            <w:vMerge w:val="continue"/>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2/1/2034</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w w:val="83"/>
              </w:rPr>
              <w:t>(11)</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11/1/2023</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(12)</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2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108,333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91,667</w:t>
            </w:r>
          </w:p>
        </w:tc>
        <w:tc>
          <w:tcPr>
            <w:tcW w:w="320" w:type="dxa"/>
            <w:vAlign w:val="bottom"/>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11/1/2033</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-2178685</wp:posOffset>
            </wp:positionV>
            <wp:extent cx="534924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18859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-1896110</wp:posOffset>
            </wp:positionV>
            <wp:extent cx="534924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9398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-1707515</wp:posOffset>
            </wp:positionV>
            <wp:extent cx="534924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9461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-953135</wp:posOffset>
            </wp:positionV>
            <wp:extent cx="534924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9461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-764540</wp:posOffset>
            </wp:positionV>
            <wp:extent cx="5349240"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9398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-575945</wp:posOffset>
            </wp:positionV>
            <wp:extent cx="534924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9398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-387350</wp:posOffset>
            </wp:positionV>
            <wp:extent cx="534924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9461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-198755</wp:posOffset>
            </wp:positionV>
            <wp:extent cx="534924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946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spacing w:after="0" w:line="329" w:lineRule="exact"/>
        <w:rPr>
          <w:sz w:val="20"/>
          <w:szCs w:val="20"/>
          <w:color w:val="auto"/>
        </w:rPr>
      </w:pPr>
    </w:p>
    <w:p>
      <w:pPr>
        <w:ind w:left="1060" w:right="319" w:hanging="444"/>
        <w:spacing w:after="0" w:line="261"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outstanding equity awards in the table above granted prior to our initial public offering, or IPO, was granted pursuant to our Amended and Restated 2009 Stock Option and Restricted Stock Plan, or the 2009 Plan, or the 2018 Plan. Each of the outstanding equity awards in the table above granted following our IPO was granted pursuant to the 2021 Plan.</w:t>
      </w:r>
    </w:p>
    <w:p>
      <w:pPr>
        <w:spacing w:after="0" w:line="71" w:lineRule="exact"/>
        <w:rPr>
          <w:rFonts w:ascii="Times New Roman" w:cs="Times New Roman" w:eastAsia="Times New Roman" w:hAnsi="Times New Roman"/>
          <w:sz w:val="18"/>
          <w:szCs w:val="18"/>
          <w:color w:val="auto"/>
        </w:rPr>
      </w:pPr>
    </w:p>
    <w:p>
      <w:pPr>
        <w:ind w:left="1060" w:right="819" w:hanging="444"/>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equal to $5.45, the closing price of our common stock on December 31, 2025, the last trading day of 2025, times the number of unvested restricted stock units.</w:t>
      </w:r>
    </w:p>
    <w:p>
      <w:pPr>
        <w:spacing w:after="0" w:line="53" w:lineRule="exact"/>
        <w:rPr>
          <w:rFonts w:ascii="Times New Roman" w:cs="Times New Roman" w:eastAsia="Times New Roman" w:hAnsi="Times New Roman"/>
          <w:sz w:val="18"/>
          <w:szCs w:val="18"/>
          <w:color w:val="auto"/>
        </w:rPr>
      </w:pPr>
    </w:p>
    <w:p>
      <w:pPr>
        <w:ind w:left="1060" w:hanging="444"/>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February 15, 2025.</w:t>
      </w:r>
    </w:p>
    <w:p>
      <w:pPr>
        <w:spacing w:after="0" w:line="117" w:lineRule="exact"/>
        <w:rPr>
          <w:rFonts w:ascii="Times New Roman" w:cs="Times New Roman" w:eastAsia="Times New Roman" w:hAnsi="Times New Roman"/>
          <w:sz w:val="18"/>
          <w:szCs w:val="18"/>
          <w:color w:val="auto"/>
        </w:rPr>
      </w:pPr>
    </w:p>
    <w:p>
      <w:pPr>
        <w:ind w:left="1060" w:right="519" w:hanging="444"/>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this stock option vest on the first anniversary of February 3, 2025, with the remainder vesting thereafter in 36 equal monthly installments.</w:t>
      </w:r>
    </w:p>
    <w:p>
      <w:pPr>
        <w:spacing w:after="0" w:line="53" w:lineRule="exact"/>
        <w:rPr>
          <w:rFonts w:ascii="Times New Roman" w:cs="Times New Roman" w:eastAsia="Times New Roman" w:hAnsi="Times New Roman"/>
          <w:sz w:val="18"/>
          <w:szCs w:val="18"/>
          <w:color w:val="auto"/>
        </w:rPr>
      </w:pPr>
    </w:p>
    <w:p>
      <w:pPr>
        <w:ind w:left="1060" w:hanging="444"/>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February 15, 2024.</w:t>
      </w:r>
    </w:p>
    <w:p>
      <w:pPr>
        <w:spacing w:after="0" w:line="117" w:lineRule="exact"/>
        <w:rPr>
          <w:rFonts w:ascii="Times New Roman" w:cs="Times New Roman" w:eastAsia="Times New Roman" w:hAnsi="Times New Roman"/>
          <w:sz w:val="18"/>
          <w:szCs w:val="18"/>
          <w:color w:val="auto"/>
        </w:rPr>
      </w:pPr>
    </w:p>
    <w:p>
      <w:pPr>
        <w:ind w:left="1060" w:right="519" w:hanging="444"/>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this stock option vest on the first anniversary of February 1, 2024, with the remainder vesting thereafter in 36 equal monthly installments.</w:t>
      </w:r>
    </w:p>
    <w:p>
      <w:pPr>
        <w:spacing w:after="0" w:line="53" w:lineRule="exact"/>
        <w:rPr>
          <w:rFonts w:ascii="Times New Roman" w:cs="Times New Roman" w:eastAsia="Times New Roman" w:hAnsi="Times New Roman"/>
          <w:sz w:val="18"/>
          <w:szCs w:val="18"/>
          <w:color w:val="auto"/>
        </w:rPr>
      </w:pPr>
    </w:p>
    <w:p>
      <w:pPr>
        <w:ind w:left="1060" w:hanging="444"/>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January 19, 2023.</w:t>
      </w:r>
    </w:p>
    <w:p>
      <w:pPr>
        <w:spacing w:after="0" w:line="117" w:lineRule="exact"/>
        <w:rPr>
          <w:rFonts w:ascii="Times New Roman" w:cs="Times New Roman" w:eastAsia="Times New Roman" w:hAnsi="Times New Roman"/>
          <w:sz w:val="18"/>
          <w:szCs w:val="18"/>
          <w:color w:val="auto"/>
        </w:rPr>
      </w:pPr>
    </w:p>
    <w:p>
      <w:pPr>
        <w:ind w:left="1060" w:right="519" w:hanging="444"/>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this stock option vest on the first anniversary of January 19, 2023, with the remainder vesting thereafter in 36 equal monthly installments.</w:t>
      </w:r>
    </w:p>
    <w:p>
      <w:pPr>
        <w:spacing w:after="0" w:line="53" w:lineRule="exact"/>
        <w:rPr>
          <w:rFonts w:ascii="Times New Roman" w:cs="Times New Roman" w:eastAsia="Times New Roman" w:hAnsi="Times New Roman"/>
          <w:sz w:val="18"/>
          <w:szCs w:val="18"/>
          <w:color w:val="auto"/>
        </w:rPr>
      </w:pPr>
    </w:p>
    <w:p>
      <w:pPr>
        <w:ind w:left="1060" w:hanging="444"/>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June 15, 2025.</w:t>
      </w:r>
    </w:p>
    <w:p>
      <w:pPr>
        <w:spacing w:after="0" w:line="117" w:lineRule="exact"/>
        <w:rPr>
          <w:rFonts w:ascii="Times New Roman" w:cs="Times New Roman" w:eastAsia="Times New Roman" w:hAnsi="Times New Roman"/>
          <w:sz w:val="18"/>
          <w:szCs w:val="18"/>
          <w:color w:val="auto"/>
        </w:rPr>
      </w:pPr>
    </w:p>
    <w:p>
      <w:pPr>
        <w:ind w:left="1060" w:right="739" w:hanging="444"/>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this stock option vest on the first anniversary of May 13, 2025, with the remainder vesting thereafter in 36 equal monthly installments.</w:t>
      </w:r>
    </w:p>
    <w:p>
      <w:pPr>
        <w:spacing w:after="0" w:line="53" w:lineRule="exact"/>
        <w:rPr>
          <w:rFonts w:ascii="Times New Roman" w:cs="Times New Roman" w:eastAsia="Times New Roman" w:hAnsi="Times New Roman"/>
          <w:sz w:val="18"/>
          <w:szCs w:val="18"/>
          <w:color w:val="auto"/>
        </w:rPr>
      </w:pPr>
    </w:p>
    <w:p>
      <w:pPr>
        <w:ind w:left="1060" w:hanging="444"/>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November 15, 2023.</w:t>
      </w:r>
    </w:p>
    <w:p>
      <w:pPr>
        <w:spacing w:after="0" w:line="117" w:lineRule="exact"/>
        <w:rPr>
          <w:rFonts w:ascii="Times New Roman" w:cs="Times New Roman" w:eastAsia="Times New Roman" w:hAnsi="Times New Roman"/>
          <w:sz w:val="18"/>
          <w:szCs w:val="18"/>
          <w:color w:val="auto"/>
        </w:rPr>
      </w:pPr>
    </w:p>
    <w:p>
      <w:pPr>
        <w:ind w:left="1060" w:right="499" w:hanging="444"/>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this stock option vest on the first anniversary of October 16, 2023, with the remainder vesting thereafter in 36 equal monthly installments.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Timing of Equity Awards</w:t>
      </w:r>
    </w:p>
    <w:p>
      <w:pPr>
        <w:spacing w:after="0" w:line="121" w:lineRule="exact"/>
        <w:rPr>
          <w:sz w:val="20"/>
          <w:szCs w:val="20"/>
          <w:color w:val="auto"/>
        </w:rPr>
      </w:pPr>
    </w:p>
    <w:p>
      <w:pPr>
        <w:ind w:left="300" w:right="459" w:firstLine="441"/>
        <w:spacing w:after="0" w:line="261" w:lineRule="auto"/>
        <w:rPr>
          <w:sz w:val="20"/>
          <w:szCs w:val="20"/>
          <w:color w:val="auto"/>
        </w:rPr>
      </w:pPr>
      <w:r>
        <w:rPr>
          <w:rFonts w:ascii="Times New Roman" w:cs="Times New Roman" w:eastAsia="Times New Roman" w:hAnsi="Times New Roman"/>
          <w:sz w:val="18"/>
          <w:szCs w:val="18"/>
          <w:color w:val="auto"/>
        </w:rPr>
        <w:t>We have adopted an Equity Award Grant Policy that sets forth the process for us to follow when we grant equity awards to our executive officers and other employees. Our general practice is to not take material nonpublic information into account when determining the timing and terms of an award and to not time the disclosure of material nonpublic information for the purpose of affecting the value of executive compensation.</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Generally, equity awards are granted on the following regularly scheduled basis as set forth in the policy:</w:t>
      </w:r>
    </w:p>
    <w:p>
      <w:pPr>
        <w:spacing w:after="0" w:line="27" w:lineRule="exact"/>
        <w:rPr>
          <w:sz w:val="20"/>
          <w:szCs w:val="20"/>
          <w:color w:val="auto"/>
        </w:rPr>
      </w:pPr>
    </w:p>
    <w:p>
      <w:pPr>
        <w:jc w:val="both"/>
        <w:ind w:left="1260" w:right="419" w:hanging="320"/>
        <w:spacing w:after="0" w:line="250"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to newly hired or promoted employees are granted on the first trading day of the month following the later of the date employment begins or promotion occurs or the date on which the grant is approved; and</w:t>
      </w:r>
    </w:p>
    <w:p>
      <w:pPr>
        <w:spacing w:after="0" w:line="1" w:lineRule="exact"/>
        <w:rPr>
          <w:rFonts w:ascii="Times New Roman" w:cs="Times New Roman" w:eastAsia="Times New Roman" w:hAnsi="Times New Roman"/>
          <w:sz w:val="18"/>
          <w:szCs w:val="18"/>
          <w:color w:val="auto"/>
        </w:rPr>
      </w:pPr>
    </w:p>
    <w:p>
      <w:pPr>
        <w:ind w:left="1260" w:right="319" w:hanging="320"/>
        <w:spacing w:after="0" w:line="255"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awards to our employees, including our executive officers, are granted in the first quarter each year and effective on the first trading day of the month following the date on which the grant is approved.</w:t>
      </w:r>
    </w:p>
    <w:p>
      <w:pPr>
        <w:spacing w:after="0" w:line="78" w:lineRule="exact"/>
        <w:rPr>
          <w:sz w:val="20"/>
          <w:szCs w:val="20"/>
          <w:color w:val="auto"/>
        </w:rPr>
      </w:pPr>
    </w:p>
    <w:p>
      <w:pPr>
        <w:ind w:left="300" w:right="459" w:firstLine="441"/>
        <w:spacing w:after="0" w:line="266" w:lineRule="auto"/>
        <w:rPr>
          <w:sz w:val="20"/>
          <w:szCs w:val="20"/>
          <w:color w:val="auto"/>
        </w:rPr>
      </w:pPr>
      <w:r>
        <w:rPr>
          <w:rFonts w:ascii="Times New Roman" w:cs="Times New Roman" w:eastAsia="Times New Roman" w:hAnsi="Times New Roman"/>
          <w:sz w:val="18"/>
          <w:szCs w:val="18"/>
          <w:color w:val="auto"/>
        </w:rPr>
        <w:t>During fiscal year 2025, we did not grant shares or options to our named executive officers during the four business days prior to or the one business day following the filing of our periodic reports or the filing or furnishing of a Form 8-K that discloses material nonpublic information.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300" w:right="33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June 1, 2026 by:</w:t>
      </w:r>
    </w:p>
    <w:p>
      <w:pPr>
        <w:spacing w:after="0" w:line="54" w:lineRule="exact"/>
        <w:rPr>
          <w:sz w:val="20"/>
          <w:szCs w:val="20"/>
          <w:color w:val="auto"/>
        </w:rPr>
      </w:pPr>
    </w:p>
    <w:p>
      <w:pPr>
        <w:ind w:left="1180" w:hanging="448"/>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1180" w:right="319" w:hanging="448"/>
        <w:spacing w:after="0" w:line="282" w:lineRule="auto"/>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greater than 5.0% of our common stock.</w:t>
      </w:r>
    </w:p>
    <w:p>
      <w:pPr>
        <w:spacing w:after="0" w:line="162" w:lineRule="exact"/>
        <w:rPr>
          <w:sz w:val="20"/>
          <w:szCs w:val="20"/>
          <w:color w:val="auto"/>
        </w:rPr>
      </w:pPr>
    </w:p>
    <w:p>
      <w:pPr>
        <w:ind w:left="300" w:right="539" w:firstLine="441"/>
        <w:spacing w:after="0" w:line="282" w:lineRule="auto"/>
        <w:rPr>
          <w:sz w:val="20"/>
          <w:szCs w:val="20"/>
          <w:color w:val="auto"/>
        </w:rPr>
      </w:pPr>
      <w:r>
        <w:rPr>
          <w:rFonts w:ascii="Times New Roman" w:cs="Times New Roman" w:eastAsia="Times New Roman" w:hAnsi="Times New Roman"/>
          <w:sz w:val="18"/>
          <w:szCs w:val="18"/>
          <w:color w:val="auto"/>
        </w:rPr>
        <w:t>The column entitled “Shares Beneficially Owned” is based on a total of 103,397,416 shares of our common stock outstanding as of June 1, 2026.</w:t>
      </w:r>
    </w:p>
    <w:p>
      <w:pPr>
        <w:spacing w:after="0" w:line="162" w:lineRule="exact"/>
        <w:rPr>
          <w:sz w:val="20"/>
          <w:szCs w:val="20"/>
          <w:color w:val="auto"/>
        </w:rPr>
      </w:pPr>
    </w:p>
    <w:p>
      <w:pPr>
        <w:ind w:left="300" w:right="399" w:firstLine="441"/>
        <w:spacing w:after="0" w:line="270"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June 1, 2026, as well as restricted stock units vesting within 60 days after June 1,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The information provided in the table below may not reflect any changes to ownership interests resulting from our May 2026 underwritten public offering, or the 2026 Follow-On Offering, to the extent such beneficial ownership changes are not included in public filings.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(1)</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&gt; 5% Stockholders:</w:t>
            </w:r>
          </w:p>
        </w:tc>
        <w:tc>
          <w:tcPr>
            <w:tcW w:w="1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TCG Crossover </w:t>
            </w:r>
            <w:r>
              <w:rPr>
                <w:rFonts w:ascii="Times New Roman" w:cs="Times New Roman" w:eastAsia="Times New Roman" w:hAnsi="Times New Roman"/>
                <w:sz w:val="24"/>
                <w:szCs w:val="24"/>
                <w:color w:val="auto"/>
                <w:vertAlign w:val="superscript"/>
              </w:rPr>
              <w:t>(2)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10,423,133</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Adage Capital Partners, L.P. </w:t>
            </w:r>
            <w:r>
              <w:rPr>
                <w:rFonts w:ascii="Times New Roman" w:cs="Times New Roman" w:eastAsia="Times New Roman" w:hAnsi="Times New Roman"/>
                <w:sz w:val="24"/>
                <w:szCs w:val="24"/>
                <w:color w:val="auto"/>
                <w:vertAlign w:val="superscript"/>
              </w:rPr>
              <w:t>(3)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9,345,419</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Frazier </w:t>
            </w:r>
            <w:r>
              <w:rPr>
                <w:rFonts w:ascii="Times New Roman" w:cs="Times New Roman" w:eastAsia="Times New Roman" w:hAnsi="Times New Roman"/>
                <w:sz w:val="24"/>
                <w:szCs w:val="24"/>
                <w:color w:val="auto"/>
                <w:vertAlign w:val="superscript"/>
              </w:rPr>
              <w:t>(4)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6,375,000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David Johnson </w:t>
            </w:r>
            <w:r>
              <w:rPr>
                <w:rFonts w:ascii="Times New Roman" w:cs="Times New Roman" w:eastAsia="Times New Roman" w:hAnsi="Times New Roman"/>
                <w:sz w:val="24"/>
                <w:szCs w:val="24"/>
                <w:color w:val="auto"/>
                <w:vertAlign w:val="superscript"/>
              </w:rPr>
              <w:t>(5)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882,506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 Jill Hopkins, M.D. </w:t>
            </w:r>
            <w:r>
              <w:rPr>
                <w:rFonts w:ascii="Times New Roman" w:cs="Times New Roman" w:eastAsia="Times New Roman" w:hAnsi="Times New Roman"/>
                <w:sz w:val="24"/>
                <w:szCs w:val="24"/>
                <w:color w:val="auto"/>
                <w:vertAlign w:val="superscript"/>
              </w:rPr>
              <w:t>(6)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250,724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Anthony Gibney </w:t>
            </w:r>
            <w:r>
              <w:rPr>
                <w:rFonts w:ascii="Times New Roman" w:cs="Times New Roman" w:eastAsia="Times New Roman" w:hAnsi="Times New Roman"/>
                <w:sz w:val="24"/>
                <w:szCs w:val="24"/>
                <w:color w:val="auto"/>
                <w:vertAlign w:val="superscript"/>
              </w:rPr>
              <w:t>(7)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Sapna Srivastava, Ph.D. </w:t>
            </w:r>
            <w:r>
              <w:rPr>
                <w:rFonts w:ascii="Times New Roman" w:cs="Times New Roman" w:eastAsia="Times New Roman" w:hAnsi="Times New Roman"/>
                <w:sz w:val="24"/>
                <w:szCs w:val="24"/>
                <w:color w:val="auto"/>
                <w:vertAlign w:val="superscript"/>
              </w:rPr>
              <w:t>(8)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156,649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Antony Mattessich </w:t>
            </w:r>
            <w:r>
              <w:rPr>
                <w:rFonts w:ascii="Times New Roman" w:cs="Times New Roman" w:eastAsia="Times New Roman" w:hAnsi="Times New Roman"/>
                <w:sz w:val="24"/>
                <w:szCs w:val="24"/>
                <w:color w:val="auto"/>
                <w:vertAlign w:val="superscript"/>
              </w:rPr>
              <w:t>(9)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Teresa Bitetti </w:t>
            </w:r>
            <w:r>
              <w:rPr>
                <w:rFonts w:ascii="Times New Roman" w:cs="Times New Roman" w:eastAsia="Times New Roman" w:hAnsi="Times New Roman"/>
                <w:sz w:val="24"/>
                <w:szCs w:val="24"/>
                <w:color w:val="auto"/>
                <w:vertAlign w:val="superscript"/>
              </w:rPr>
              <w:t>(10)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Natalie Holles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Giovanni Mariggi, Ph.D.</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Karan Takhar</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5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All current executive officers and directors as a group</w:t>
            </w: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560" w:type="dxa"/>
            <w:vAlign w:val="bottom"/>
            <w:shd w:val="clear" w:color="auto" w:fill="CFF0FC"/>
          </w:tcPr>
          <w:p>
            <w:pPr>
              <w:ind w:left="120"/>
              <w:spacing w:after="0" w:line="255" w:lineRule="exact"/>
              <w:rPr>
                <w:sz w:val="20"/>
                <w:szCs w:val="20"/>
                <w:color w:val="auto"/>
              </w:rPr>
            </w:pPr>
            <w:r>
              <w:rPr>
                <w:rFonts w:ascii="Times New Roman" w:cs="Times New Roman" w:eastAsia="Times New Roman" w:hAnsi="Times New Roman"/>
                <w:sz w:val="18"/>
                <w:szCs w:val="18"/>
                <w:color w:val="auto"/>
              </w:rPr>
              <w:t>(11 persons)</w:t>
            </w:r>
            <w:r>
              <w:rPr>
                <w:rFonts w:ascii="Times New Roman" w:cs="Times New Roman" w:eastAsia="Times New Roman" w:hAnsi="Times New Roman"/>
                <w:sz w:val="24"/>
                <w:szCs w:val="24"/>
                <w:color w:val="auto"/>
                <w:vertAlign w:val="superscript"/>
              </w:rPr>
              <w:t>(11)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1,982,945</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*Represents beneficial ownership of less than one percent.</w:t>
      </w:r>
    </w:p>
    <w:p>
      <w:pPr>
        <w:spacing w:after="0" w:line="117" w:lineRule="exact"/>
        <w:rPr>
          <w:sz w:val="20"/>
          <w:szCs w:val="20"/>
          <w:color w:val="auto"/>
        </w:rPr>
      </w:pPr>
    </w:p>
    <w:p>
      <w:pPr>
        <w:ind w:left="1180" w:right="759" w:hanging="448"/>
        <w:spacing w:after="0" w:line="282"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for each beneficial owner is c/o Aura Biosciences, Inc., 80 Guest Street, Boston, MA 02135.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8" w:name="page29"/>
    <w:bookmarkEnd w:id="28"/>
    <w:p>
      <w:pPr>
        <w:spacing w:after="0" w:line="86" w:lineRule="exact"/>
        <w:rPr>
          <w:sz w:val="20"/>
          <w:szCs w:val="20"/>
          <w:color w:val="auto"/>
        </w:rPr>
      </w:pPr>
    </w:p>
    <w:p>
      <w:pPr>
        <w:ind w:left="1180" w:right="319" w:hanging="448"/>
        <w:spacing w:after="0" w:line="253"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our warrant records and the Schedule 13G filed with the SEC on May 12, 2026, jointly, by TCG Crossover Fund II, L.P., or TCG Crossover II, TCG Crossover GP II, LLC, or TCG Crossover GP II, TCG Crossover Fund III, L.P., or TCG Crossover III, and TCG Crossover GP III, LLC, or TCG Crossover GP III, and Chen Yu. Consists of (i) 4,766,667 shares of common stock held of record by TCG Crossover II and (ii) 4,766,666 shares of common stock held of record by TCG Crossover III. In addition, an aggregate of 3,800,000 shares of common stock subject to pre-funded warrants are held of record by TCG Crossover II and held of record by TCG Crossover III. The pre-funded warrants are subject to a beneficial ownership limitation, such that the pre-funded warrants may not be exercised if immediately prior to or as a result of such exercise would result in beneficial ownership by a holder, together with that of its affiliates and any member of a Section 13(d) group, of more than 9.99% of our common stock. Accordingly, the beneficial ownership reflected in the table above includes an aggregate of 889,800 shares underlying pre-funded warrants that are deemed exercisable for shares of common stock within the beneficial ownership limitation, and it excludes an aggregate of 2,910,200 shares underlying such pre-funded warrants. TCG Crossover GP II is the general partner of TCG Crossover II and may be deemed to have voting, investment, and dispositive power with respect to the securities held of record by TCG Crossover II. TCG Crossover GP III is the general partner of TCG Crossover III and may be deemed to have voting, investment, and dispositive power with respect to the securities held of record by TCG Crossover III. Chen Yu is the sole managing member of each of TCG Crossover GP II and TCG Crossover GP III and may be deemed to share voting, investment and dispositive power with respect to the securities held of record by TCG Crossover II and TCG Crossover III. The address of the entities referenced in this footnote is 245 Lytton Ave., Suite 350, Palo Alto, CA 94301.</w:t>
      </w:r>
    </w:p>
    <w:p>
      <w:pPr>
        <w:spacing w:after="0" w:line="86" w:lineRule="exact"/>
        <w:rPr>
          <w:rFonts w:ascii="Times New Roman" w:cs="Times New Roman" w:eastAsia="Times New Roman" w:hAnsi="Times New Roman"/>
          <w:sz w:val="18"/>
          <w:szCs w:val="18"/>
          <w:color w:val="auto"/>
        </w:rPr>
      </w:pPr>
    </w:p>
    <w:p>
      <w:pPr>
        <w:ind w:left="1180" w:right="299" w:hanging="448"/>
        <w:spacing w:after="0" w:line="25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does not account for the purchase of shares of common stock issued in connection with the 2026 Follow-On Offering and is based on the Schedule 13G/A filed with the SEC on November 12, 2024, jointly, by Adage Capital Partners, L.P., or ACP, Adage Capital Partners GP, L.L.C., or ACPGP, Adage Capital Management, L.P., or ACM, Robert Atchinson and Phillip Gross, and our warrant records. ACP is the record owner of 4,881,125 shares of common stock and 892,859 warrants to purchase shares of common stock that are exercisable within 60 days of June 1, 2026. In addition, an aggregate of 3,571,435 shares of common stock subject to pre-funded warrants are held of record by ACP, which pre-funded warrants may not be exercised if immediately prior to or as a result of such exercise would result in beneficial ownership by a holder, together with that of its affiliates and any member of a Section 13(d) group, of more than 9.99% of our common stock. Accordingly, the beneficial ownership reflected in the table above includes an aggregate of 3,571,435 shares underlying pre-funded warrants that are deemed exercisable for shares of common stock within the beneficial ownership limitation. ACPGP is the general partner of ACP. ACM is the investment manager of ACP. Mr. Atchinson is (a) a managing member of Adage Capital Advisors, L.L.C., or ACA, managing member of ACPGP, and (b) a managing member of Adage Capital Partners LLC, or ACPLLC, general partner of ACM. Mr. Gross is (a) a managing member of ACA, managing member of ACPGP, and (b) a managing member of ACPLLC, general partner of ACM. Mr. Atchinson and Mr. Gross have shared power to vote the shares beneficially owned by ACP. The address for ACP, Mr. Atchinson and Mr. Gross is 200 Clarendon Street, 52nd floor, Boston, Massachusetts 02116.</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86" w:lineRule="exact"/>
        <w:rPr>
          <w:sz w:val="20"/>
          <w:szCs w:val="20"/>
          <w:color w:val="auto"/>
        </w:rPr>
      </w:pPr>
    </w:p>
    <w:p>
      <w:pPr>
        <w:ind w:left="1180" w:right="299" w:hanging="448"/>
        <w:spacing w:after="0" w:line="251"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does not account for the purchase of shares of common stock issued in connection with the 2026 Follow-On Offering and is based on the Schedule 13G/A filed with the SEC on February 13, 2026, jointly, by Frazier Life Sciences Public Fund, L.P., FHMLSP, L.P., FHMLSP, L.L.C., Frazier Life Sciences X, L.P., or FLS X, FHMLS X, L.P., FHMLS X, L.L.C., Frazier Life Sciences XI, L.P., or FLS XI, FHMLS XI, L.P., FHMLS XI, L.L.C., Frazier Life Sciences XII, L.P., or FLS XII, FHMLS XII, L.P., FHMLS XII, L.L.C., James N. Topper and Patrick J. Heron. Frazier Life Sciences Public Fund, L.P. is the record owner of 4,032,060 shares of common stock and 1,008,016 warrants to purchase shares of common stock that are exercisable within 60 days of June 1, 2026. FHMLSP, L.P. is the general partner of Frazier Life Sciences Public Fund, L.P. and the general partner of FHMLSP, L.P. is FHMLSP, L.L.C., which is managed by an investment committee of four that acts by majority vote. Accordingly, no members of such committee are attributed beneficial ownership of the securities directly held by Frazier Life Sciences Public Fund, L.P. FLS X is the record owner of 128,520 shares of common stock and 32,130 warrants to purchase shares of common stock that are exercisable within 60 days of June 1, 2026. FHMLS X, L.P. is the general partner of FLS X and FHMLS X, L.L.C. is the general partner of FHMLS X, L.P. Heron and Topper are the members of FHMLS X, L.L.C. and therefore share voting and investment power over the shares of common stock held by FLS X. FLS XI is the record owner of 342,210 shares of common stock and 85,552 warrants to purchase shares of common stock that are exercisable within 60 days of June 1, 2026.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is the record owner of 597,210 shares of common stock and 149,302 warrants to purchase shares of common stock that are exercisable within 60 days of June 1, 2026.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The address for each of the entities and individuals identified in this footnote is 1001 Page Mill Rd, Building 4, Suite B, Palo Alto, CA 94304.</w:t>
      </w:r>
    </w:p>
    <w:p>
      <w:pPr>
        <w:spacing w:after="0" w:line="94" w:lineRule="exact"/>
        <w:rPr>
          <w:rFonts w:ascii="Times New Roman" w:cs="Times New Roman" w:eastAsia="Times New Roman" w:hAnsi="Times New Roman"/>
          <w:sz w:val="18"/>
          <w:szCs w:val="18"/>
          <w:color w:val="auto"/>
        </w:rPr>
      </w:pPr>
    </w:p>
    <w:p>
      <w:pPr>
        <w:ind w:left="1180" w:right="319" w:hanging="448"/>
        <w:spacing w:after="0" w:line="255"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139,672 shares of common stock held by Velocity Capital Management LLC, an entity that Mr. Johnson is the sole member of, (ii) 166,167 shares of common stock held individually, (iii) 150,000 shares of common stock held in irrevocable trusts, (iv) options to purchase 408,667 shares of our common stock that are exercisable within 60 days of June 1, 2026, which are individually held by Mr. Johnson, (v) 13,000 shares of common stock issuable upon the vesting of restricted stock units within 60 days of June 1, 2026, held by Mr. Johnson and (vi) warrants to purchase 5,000 shares of our common stock that are exercisable within 60 days of June 1, 2026.</w:t>
      </w:r>
    </w:p>
    <w:p>
      <w:pPr>
        <w:spacing w:after="0" w:line="80" w:lineRule="exact"/>
        <w:rPr>
          <w:rFonts w:ascii="Times New Roman" w:cs="Times New Roman" w:eastAsia="Times New Roman" w:hAnsi="Times New Roman"/>
          <w:sz w:val="18"/>
          <w:szCs w:val="18"/>
          <w:color w:val="auto"/>
        </w:rPr>
      </w:pPr>
    </w:p>
    <w:p>
      <w:pPr>
        <w:ind w:left="1180" w:right="539" w:hanging="448"/>
        <w:spacing w:after="0" w:line="282"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60,051 shares of common stock held individually, and (ii) options to purchase 190,673 shares of our common stock that are exercisable within 60 days of June 1, 2026.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86" w:lineRule="exact"/>
        <w:rPr>
          <w:sz w:val="20"/>
          <w:szCs w:val="20"/>
          <w:color w:val="auto"/>
        </w:rPr>
      </w:pPr>
    </w:p>
    <w:p>
      <w:pPr>
        <w:ind w:left="1180" w:right="339" w:hanging="448"/>
        <w:spacing w:after="0" w:line="281" w:lineRule="auto"/>
        <w:tabs>
          <w:tab w:leader="none" w:pos="1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56,933 shares of common stock held individually, (ii) options to purchase 77,916 shares of our common stock that are exercisable within 60 days of June 1, 2026, (iii) 37,500 shares of common stock issuable upon the vesting of restricted stock units within 60 days of June 1, 2026 and (iv) warrants to purchase 12,500 shares of our common stock that are exercisable within 60 days of June 1, 2026.</w:t>
      </w:r>
    </w:p>
    <w:p>
      <w:pPr>
        <w:spacing w:after="0" w:line="56" w:lineRule="exact"/>
        <w:rPr>
          <w:rFonts w:ascii="Times New Roman" w:cs="Times New Roman" w:eastAsia="Times New Roman" w:hAnsi="Times New Roman"/>
          <w:sz w:val="17"/>
          <w:szCs w:val="17"/>
          <w:color w:val="auto"/>
        </w:rPr>
      </w:pPr>
    </w:p>
    <w:p>
      <w:pPr>
        <w:ind w:left="1180" w:right="359" w:hanging="448"/>
        <w:spacing w:after="0" w:line="266"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10,500 shares of common stock held individually, (ii) options to purchase 133,149 shares of our common stock that are exercisable within 60 days of June 1, 2026 and (iii) 13,000 shares of common stock issuable upon the vesting of restricted stock units within 60 days of June 1, 2026.</w:t>
      </w:r>
    </w:p>
    <w:p>
      <w:pPr>
        <w:spacing w:after="0" w:line="67" w:lineRule="exact"/>
        <w:rPr>
          <w:rFonts w:ascii="Times New Roman" w:cs="Times New Roman" w:eastAsia="Times New Roman" w:hAnsi="Times New Roman"/>
          <w:sz w:val="18"/>
          <w:szCs w:val="18"/>
          <w:color w:val="auto"/>
        </w:rPr>
      </w:pPr>
    </w:p>
    <w:p>
      <w:pPr>
        <w:ind w:left="1180" w:right="359" w:hanging="448"/>
        <w:spacing w:after="0" w:line="266"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10,500 shares of common stock held individually, (ii) options to purchase 133,149 shares of our common stock that are exercisable within 60 days of June 1, 2026 and (iii) 13,000 shares of common stock issuable upon the vesting of restricted stock units within 60 days of June 1, 2026.</w:t>
      </w:r>
    </w:p>
    <w:p>
      <w:pPr>
        <w:spacing w:after="0" w:line="67" w:lineRule="exact"/>
        <w:rPr>
          <w:rFonts w:ascii="Times New Roman" w:cs="Times New Roman" w:eastAsia="Times New Roman" w:hAnsi="Times New Roman"/>
          <w:sz w:val="18"/>
          <w:szCs w:val="18"/>
          <w:color w:val="auto"/>
        </w:rPr>
      </w:pPr>
    </w:p>
    <w:p>
      <w:pPr>
        <w:ind w:left="1180" w:right="319" w:hanging="448"/>
        <w:spacing w:after="0" w:line="282"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held individually, and (ii) options to purchase 9,666 shares of our common stock that are exercisable within 60 days of June 1, 2026.</w:t>
      </w:r>
    </w:p>
    <w:p>
      <w:pPr>
        <w:spacing w:after="0" w:line="53" w:lineRule="exact"/>
        <w:rPr>
          <w:rFonts w:ascii="Times New Roman" w:cs="Times New Roman" w:eastAsia="Times New Roman" w:hAnsi="Times New Roman"/>
          <w:sz w:val="18"/>
          <w:szCs w:val="18"/>
          <w:color w:val="auto"/>
        </w:rPr>
      </w:pPr>
    </w:p>
    <w:p>
      <w:pPr>
        <w:ind w:left="1180" w:right="479" w:hanging="448"/>
        <w:spacing w:after="0" w:line="261"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689,747 shares of common stock, (ii) 76,500 shares of common stock issuable upon the vesting of restricted stock units within 60 days of June 1, 2026, (iii) options to purchase 1,199,198 shares of our common stock that are exercisable within 60 days of June 1, 2026, and (iv) warrants to purchase 17,500 shares of our common stock that are exercisable within 60 days of June 1, 2026.</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left="300" w:right="359" w:firstLine="441"/>
        <w:spacing w:after="0" w:line="270"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materials. This means that only one set of proxy materials may have been sent to multiple stockholders in your household. We will promptly deliver a separate copy of the proxy materials to you upon written or oral request to Aura Biosciences, Inc., 80 Guest Street, Boston, MA 02135, Attention: Corporate Secretary, telephone: (617)</w:t>
      </w:r>
    </w:p>
    <w:p>
      <w:pPr>
        <w:spacing w:after="0" w:line="3"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500-8864. If you want to receive separate copies of the proxy materials in the future, or if you are receiving multiple copies and would like to receive only one copy per household, you should contact your bank, broker or other nominee record holder, or you may contact us at the above address and phone number.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21,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The SEC rules set standards for eligibility and specify the types of stockholder proposals that may be excluded from a proxy statement. Stockholder proposals must be delivered by mail to Aura Biosciences, Inc., 80 Guest Street, Boston, MA 02135, Attention: Corporate Secretary. We also encourage you to submit any such proposals via email to proxy@aurabiosciences.com.</w:t>
      </w:r>
    </w:p>
    <w:p>
      <w:pPr>
        <w:spacing w:after="0" w:line="188" w:lineRule="exact"/>
        <w:rPr>
          <w:sz w:val="20"/>
          <w:szCs w:val="20"/>
          <w:color w:val="auto"/>
        </w:rPr>
      </w:pPr>
    </w:p>
    <w:p>
      <w:pPr>
        <w:ind w:left="300" w:right="479" w:firstLine="441"/>
        <w:spacing w:after="0" w:line="266" w:lineRule="auto"/>
        <w:rPr>
          <w:sz w:val="20"/>
          <w:szCs w:val="20"/>
          <w:color w:val="auto"/>
        </w:rPr>
      </w:pPr>
      <w:r>
        <w:rPr>
          <w:rFonts w:ascii="Times New Roman" w:cs="Times New Roman" w:eastAsia="Times New Roman" w:hAnsi="Times New Roman"/>
          <w:sz w:val="18"/>
          <w:szCs w:val="18"/>
          <w:color w:val="auto"/>
        </w:rPr>
        <w:t>To comply with the universal proxy rules, stockholders who intend to solicit proxies in support of director nominees other than the Company’s nominees must provide notice that sets forth the information required by Rule 14a-19 under the Exchange Act no later than April 12, 2027.</w:t>
      </w:r>
    </w:p>
    <w:p>
      <w:pPr>
        <w:spacing w:after="0" w:line="176" w:lineRule="exact"/>
        <w:rPr>
          <w:sz w:val="20"/>
          <w:szCs w:val="20"/>
          <w:color w:val="auto"/>
        </w:rPr>
      </w:pPr>
    </w:p>
    <w:p>
      <w:pPr>
        <w:ind w:left="300" w:right="299" w:firstLine="441"/>
        <w:spacing w:after="0" w:line="255"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9" w:lineRule="exact"/>
        <w:rPr>
          <w:sz w:val="20"/>
          <w:szCs w:val="20"/>
          <w:color w:val="auto"/>
        </w:rPr>
      </w:pPr>
    </w:p>
    <w:p>
      <w:pPr>
        <w:ind w:left="300" w:right="339" w:firstLine="441"/>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17, 2027 and no later than March 19, 2027. Stockholder proposals and the required notice should be addressed to Aura Biosciences, Inc., 80 Guest Street, Boston, MA 02135, Attention: Corporate Secretary.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300" w:right="419" w:firstLine="441"/>
        <w:spacing w:after="0" w:line="261"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Special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2" w:name="page33"/>
    <w:bookmarkEnd w:id="32"/>
    <w:p>
      <w:pPr>
        <w:spacing w:after="0" w:line="19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80" w:lineRule="exact"/>
        <w:rPr>
          <w:sz w:val="20"/>
          <w:szCs w:val="20"/>
          <w:color w:val="auto"/>
        </w:rPr>
      </w:pPr>
    </w:p>
    <w:p>
      <w:pPr>
        <w:ind w:left="300" w:right="299" w:firstLine="648"/>
        <w:spacing w:after="0" w:line="282" w:lineRule="auto"/>
        <w:rPr>
          <w:sz w:val="20"/>
          <w:szCs w:val="20"/>
          <w:color w:val="auto"/>
        </w:rPr>
      </w:pPr>
      <w:r>
        <w:rPr>
          <w:rFonts w:ascii="Times New Roman" w:cs="Times New Roman" w:eastAsia="Times New Roman" w:hAnsi="Times New Roman"/>
          <w:sz w:val="18"/>
          <w:szCs w:val="18"/>
          <w:color w:val="auto"/>
        </w:rPr>
        <w:t>Aura Biosciences,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21" w:lineRule="exact"/>
        <w:rPr>
          <w:sz w:val="20"/>
          <w:szCs w:val="20"/>
          <w:color w:val="auto"/>
        </w:rPr>
      </w:pPr>
    </w:p>
    <w:p>
      <w:pPr>
        <w:jc w:val="both"/>
        <w:ind w:left="300" w:right="299" w:firstLine="640"/>
        <w:spacing w:after="0" w:line="258" w:lineRule="auto"/>
        <w:tabs>
          <w:tab w:leader="none" w:pos="11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on January 13, 2009. A Tenth Amended and Restated Certificate of Incorporation was filed with the Secretary of State of the State of Delaware on November 2, 2021 and amended on June 20, 2024 (as amended,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Pursuant to Section 242 of the DGCL, this Certificate of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certain provisions of the Charter.</w:t>
      </w:r>
    </w:p>
    <w:p>
      <w:pPr>
        <w:spacing w:after="0" w:line="183" w:lineRule="exact"/>
        <w:rPr>
          <w:rFonts w:ascii="Times New Roman" w:cs="Times New Roman" w:eastAsia="Times New Roman" w:hAnsi="Times New Roman"/>
          <w:sz w:val="18"/>
          <w:szCs w:val="18"/>
          <w:color w:val="auto"/>
        </w:rPr>
      </w:pPr>
    </w:p>
    <w:p>
      <w:pPr>
        <w:ind w:left="300" w:right="319" w:firstLine="640"/>
        <w:spacing w:after="0" w:line="282" w:lineRule="auto"/>
        <w:tabs>
          <w:tab w:leader="none" w:pos="11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approved and duly adopted by the Corporation’s Board of Directors and stockholders in accordance with the provisions of Section 242 of the DGCL.</w:t>
      </w:r>
    </w:p>
    <w:p>
      <w:pPr>
        <w:spacing w:after="0" w:line="161" w:lineRule="exact"/>
        <w:rPr>
          <w:rFonts w:ascii="Times New Roman" w:cs="Times New Roman" w:eastAsia="Times New Roman" w:hAnsi="Times New Roman"/>
          <w:sz w:val="18"/>
          <w:szCs w:val="18"/>
          <w:color w:val="auto"/>
        </w:rPr>
      </w:pPr>
    </w:p>
    <w:p>
      <w:pPr>
        <w:ind w:left="1180" w:hanging="240"/>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is hereby amended by replacing the first paragraph of Article IV in its entirety as follows:</w:t>
      </w:r>
    </w:p>
    <w:p>
      <w:pPr>
        <w:spacing w:after="0" w:line="225" w:lineRule="exact"/>
        <w:rPr>
          <w:sz w:val="20"/>
          <w:szCs w:val="20"/>
          <w:color w:val="auto"/>
        </w:rPr>
      </w:pPr>
    </w:p>
    <w:p>
      <w:pPr>
        <w:ind w:left="940" w:right="459"/>
        <w:spacing w:after="0" w:line="258"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five hundred ten million (510,000,000), of which (i) five hundred million (500,000,000) shares shall be a class designated as common stock, par value $0.00001 per share (the “Common Stock”), and (ii) ten million (10,000,000) shares shall be a class designated as undesignated preferred stock, par value $0.00001 per share (the “Undesignated Preferred Stock”).”</w:t>
      </w:r>
    </w:p>
    <w:p>
      <w:pPr>
        <w:spacing w:after="0" w:line="399" w:lineRule="exact"/>
        <w:rPr>
          <w:sz w:val="20"/>
          <w:szCs w:val="20"/>
          <w:color w:val="auto"/>
        </w:rPr>
      </w:pPr>
    </w:p>
    <w:p>
      <w:pPr>
        <w:ind w:left="300" w:right="419" w:firstLine="648"/>
        <w:spacing w:after="0" w:line="289" w:lineRule="auto"/>
        <w:rPr>
          <w:sz w:val="20"/>
          <w:szCs w:val="20"/>
          <w:color w:val="auto"/>
        </w:rPr>
      </w:pPr>
      <w:r>
        <w:rPr>
          <w:rFonts w:ascii="Times New Roman" w:cs="Times New Roman" w:eastAsia="Times New Roman" w:hAnsi="Times New Roman"/>
          <w:sz w:val="18"/>
          <w:szCs w:val="18"/>
          <w:color w:val="auto"/>
        </w:rPr>
        <w:t>IN WITNESS WHEREOF, this Amendment, having been duly adopted in accordance with Section 242 of the DGCL, has been duly executed by a duly authorized officer of the Corporation on this [•]</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 2026.</w:t>
      </w:r>
    </w:p>
    <w:p>
      <w:pPr>
        <w:spacing w:after="0" w:line="200" w:lineRule="exact"/>
        <w:rPr>
          <w:sz w:val="20"/>
          <w:szCs w:val="20"/>
          <w:color w:val="auto"/>
        </w:rPr>
      </w:pPr>
    </w:p>
    <w:p>
      <w:pPr>
        <w:spacing w:after="0" w:line="2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AURA BIOSCIENCES, INC.</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Natalie Holles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AURA BIOSCIENCES, INC.</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2021 STOCK OPTION AND INCENTIVE PLAN</w:t>
      </w: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PURPOSE OF THE PLAN; DEFINITIONS</w:t>
      </w:r>
    </w:p>
    <w:p>
      <w:pPr>
        <w:spacing w:after="0" w:line="206" w:lineRule="exact"/>
        <w:rPr>
          <w:sz w:val="20"/>
          <w:szCs w:val="20"/>
          <w:color w:val="auto"/>
        </w:rPr>
      </w:pPr>
    </w:p>
    <w:p>
      <w:pPr>
        <w:ind w:left="300" w:right="359" w:firstLine="648"/>
        <w:spacing w:after="0" w:line="234" w:lineRule="auto"/>
        <w:rPr>
          <w:sz w:val="20"/>
          <w:szCs w:val="20"/>
          <w:color w:val="auto"/>
        </w:rPr>
      </w:pPr>
      <w:r>
        <w:rPr>
          <w:rFonts w:ascii="Times New Roman" w:cs="Times New Roman" w:eastAsia="Times New Roman" w:hAnsi="Times New Roman"/>
          <w:sz w:val="22"/>
          <w:szCs w:val="22"/>
          <w:color w:val="auto"/>
        </w:rPr>
        <w:t>The name of the plan is the Aura Biosciences, Inc. 2021 Stock Option and Incentive Plan (as amended from time to time, the “Plan”). The purpose of the Plan is to encourage and enable the officers, employees, Non-Employee Directors and Consultants of Aura Biosciences,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following terms shall be defined as set forth below:</w:t>
      </w:r>
    </w:p>
    <w:p>
      <w:pPr>
        <w:spacing w:after="0" w:line="202" w:lineRule="exact"/>
        <w:rPr>
          <w:sz w:val="20"/>
          <w:szCs w:val="20"/>
          <w:color w:val="auto"/>
        </w:rPr>
      </w:pPr>
    </w:p>
    <w:p>
      <w:pPr>
        <w:ind w:left="300" w:right="9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means the Securities Act of 1933, as amended, and the rules and regulations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thereunder.</w:t>
      </w:r>
    </w:p>
    <w:p>
      <w:pPr>
        <w:spacing w:after="0" w:line="150" w:lineRule="exact"/>
        <w:rPr>
          <w:sz w:val="20"/>
          <w:szCs w:val="20"/>
          <w:color w:val="auto"/>
        </w:rPr>
      </w:pPr>
    </w:p>
    <w:p>
      <w:pPr>
        <w:ind w:left="300" w:right="439" w:firstLine="648"/>
        <w:spacing w:after="0" w:line="272" w:lineRule="exact"/>
        <w:rPr>
          <w:sz w:val="20"/>
          <w:szCs w:val="20"/>
          <w:color w:val="auto"/>
        </w:rPr>
      </w:pPr>
      <w:r>
        <w:rPr>
          <w:rFonts w:ascii="Times New Roman" w:cs="Times New Roman" w:eastAsia="Times New Roman" w:hAnsi="Times New Roman"/>
          <w:sz w:val="22"/>
          <w:szCs w:val="22"/>
          <w:i w:val="1"/>
          <w:iCs w:val="1"/>
          <w:color w:val="auto"/>
        </w:rPr>
        <w:t xml:space="preserve">“Administrator” </w:t>
      </w:r>
      <w:r>
        <w:rPr>
          <w:rFonts w:ascii="Times New Roman" w:cs="Times New Roman" w:eastAsia="Times New Roman" w:hAnsi="Times New Roman"/>
          <w:sz w:val="22"/>
          <w:szCs w:val="22"/>
          <w:color w:val="auto"/>
        </w:rPr>
        <w:t>means either the Board or the compensation committee of the Board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similar committee performing the functions of the compensation committee and which is comprised of not less than two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who are independent.</w:t>
      </w:r>
    </w:p>
    <w:p>
      <w:pPr>
        <w:spacing w:after="0" w:line="143" w:lineRule="exact"/>
        <w:rPr>
          <w:sz w:val="20"/>
          <w:szCs w:val="20"/>
          <w:color w:val="auto"/>
        </w:rPr>
      </w:pPr>
    </w:p>
    <w:p>
      <w:pPr>
        <w:ind w:left="300" w:right="4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72" w:lineRule="exact"/>
        <w:rPr>
          <w:sz w:val="20"/>
          <w:szCs w:val="20"/>
          <w:color w:val="auto"/>
        </w:rPr>
      </w:pPr>
    </w:p>
    <w:p>
      <w:pPr>
        <w:ind w:left="300" w:right="35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“Award”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“Awards,” </w:t>
      </w:r>
      <w:r>
        <w:rPr>
          <w:rFonts w:ascii="Times New Roman" w:cs="Times New Roman" w:eastAsia="Times New Roman" w:hAnsi="Times New Roman"/>
          <w:sz w:val="22"/>
          <w:szCs w:val="22"/>
          <w:color w:val="auto"/>
        </w:rPr>
        <w:t>except where referring to a particular category of grant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shall include Incentive Stock Options, Non-Qualified Stock Options, Stock Appreciation Rights, Restricted Stock Awards, Restricted Stock Units, Unrestricted Stock Awards, Cash-Based Awards, and Dividend Equivalent Rights.</w:t>
      </w:r>
    </w:p>
    <w:p>
      <w:pPr>
        <w:spacing w:after="0" w:line="172" w:lineRule="exact"/>
        <w:rPr>
          <w:sz w:val="20"/>
          <w:szCs w:val="20"/>
          <w:color w:val="auto"/>
        </w:rPr>
      </w:pPr>
    </w:p>
    <w:p>
      <w:pPr>
        <w:jc w:val="both"/>
        <w:ind w:left="300" w:right="47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“Award Certificate” </w:t>
      </w:r>
      <w:r>
        <w:rPr>
          <w:rFonts w:ascii="Times New Roman" w:cs="Times New Roman" w:eastAsia="Times New Roman" w:hAnsi="Times New Roman"/>
          <w:sz w:val="22"/>
          <w:szCs w:val="22"/>
          <w:color w:val="auto"/>
        </w:rPr>
        <w:t>means a written or electronic document setting forth the terms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applicable to an Award granted under the Plan. Each Award Certificate is subject to the terms and conditions of the Plan.</w:t>
      </w:r>
    </w:p>
    <w:p>
      <w:pPr>
        <w:spacing w:after="0" w:line="1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i w:val="1"/>
          <w:iCs w:val="1"/>
          <w:color w:val="auto"/>
        </w:rPr>
        <w:t xml:space="preserve">“Board” </w:t>
      </w:r>
      <w:r>
        <w:rPr>
          <w:rFonts w:ascii="Times New Roman" w:cs="Times New Roman" w:eastAsia="Times New Roman" w:hAnsi="Times New Roman"/>
          <w:sz w:val="22"/>
          <w:szCs w:val="22"/>
          <w:color w:val="auto"/>
        </w:rPr>
        <w:t>means the Board of Directors of the Company.</w:t>
      </w:r>
    </w:p>
    <w:p>
      <w:pPr>
        <w:spacing w:after="0" w:line="206" w:lineRule="exact"/>
        <w:rPr>
          <w:sz w:val="20"/>
          <w:szCs w:val="20"/>
          <w:color w:val="auto"/>
        </w:rPr>
      </w:pPr>
    </w:p>
    <w:p>
      <w:pPr>
        <w:ind w:left="300" w:right="1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“Cash-Based Award” </w:t>
      </w:r>
      <w:r>
        <w:rPr>
          <w:rFonts w:ascii="Times New Roman" w:cs="Times New Roman" w:eastAsia="Times New Roman" w:hAnsi="Times New Roman"/>
          <w:sz w:val="22"/>
          <w:szCs w:val="22"/>
          <w:color w:val="auto"/>
        </w:rPr>
        <w:t>means an Award entitling the recipient to receive a cash-denominated payment.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 w:name="page35"/>
    <w:bookmarkEnd w:id="34"/>
    <w:p>
      <w:pPr>
        <w:ind w:left="300" w:right="3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and any successor Code,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related rules, regulations and interpretations.</w:t>
      </w:r>
    </w:p>
    <w:p>
      <w:pPr>
        <w:spacing w:after="0" w:line="150" w:lineRule="exact"/>
        <w:rPr>
          <w:sz w:val="20"/>
          <w:szCs w:val="20"/>
          <w:color w:val="auto"/>
        </w:rPr>
      </w:pPr>
    </w:p>
    <w:p>
      <w:pPr>
        <w:jc w:val="both"/>
        <w:ind w:left="300" w:right="89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“Consultant” </w:t>
      </w:r>
      <w:r>
        <w:rPr>
          <w:rFonts w:ascii="Times New Roman" w:cs="Times New Roman" w:eastAsia="Times New Roman" w:hAnsi="Times New Roman"/>
          <w:sz w:val="22"/>
          <w:szCs w:val="22"/>
          <w:color w:val="auto"/>
        </w:rPr>
        <w:t>means a consultant or adviser who provides</w:t>
      </w:r>
      <w:r>
        <w:rPr>
          <w:rFonts w:ascii="Times New Roman" w:cs="Times New Roman" w:eastAsia="Times New Roman" w:hAnsi="Times New Roman"/>
          <w:sz w:val="22"/>
          <w:szCs w:val="22"/>
          <w:i w:val="1"/>
          <w:iCs w:val="1"/>
          <w:color w:val="auto"/>
        </w:rPr>
        <w:t xml:space="preserve"> bona fide </w:t>
      </w:r>
      <w:r>
        <w:rPr>
          <w:rFonts w:ascii="Times New Roman" w:cs="Times New Roman" w:eastAsia="Times New Roman" w:hAnsi="Times New Roman"/>
          <w:sz w:val="22"/>
          <w:szCs w:val="22"/>
          <w:color w:val="auto"/>
        </w:rPr>
        <w:t>services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an Affiliate as an independent contractor and who qualifies as a consultant or advisor under Instruction A.1.(a)(1) of Form S-8 under the Act.</w:t>
      </w:r>
    </w:p>
    <w:p>
      <w:pPr>
        <w:spacing w:after="0" w:line="167" w:lineRule="exact"/>
        <w:rPr>
          <w:sz w:val="20"/>
          <w:szCs w:val="20"/>
          <w:color w:val="auto"/>
        </w:rPr>
      </w:pPr>
    </w:p>
    <w:p>
      <w:pPr>
        <w:ind w:left="300" w:right="479" w:firstLine="70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“Dividend Equivalent Right” </w:t>
      </w:r>
      <w:r>
        <w:rPr>
          <w:rFonts w:ascii="Times New Roman" w:cs="Times New Roman" w:eastAsia="Times New Roman" w:hAnsi="Times New Roman"/>
          <w:sz w:val="22"/>
          <w:szCs w:val="22"/>
          <w:color w:val="auto"/>
        </w:rPr>
        <w:t>means an Award entitling the grantee to receive credits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based on cash dividends that would have been paid on the shares of Stock specified in the Dividend Equivalent Right (or other award to which it relates) if such shares had been issued to and held by the grantee.</w:t>
      </w:r>
    </w:p>
    <w:p>
      <w:pPr>
        <w:spacing w:after="0" w:line="172" w:lineRule="exact"/>
        <w:rPr>
          <w:sz w:val="20"/>
          <w:szCs w:val="20"/>
          <w:color w:val="auto"/>
        </w:rPr>
      </w:pPr>
    </w:p>
    <w:p>
      <w:pPr>
        <w:ind w:left="300" w:right="8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“Effective Date” </w:t>
      </w:r>
      <w:r>
        <w:rPr>
          <w:rFonts w:ascii="Times New Roman" w:cs="Times New Roman" w:eastAsia="Times New Roman" w:hAnsi="Times New Roman"/>
          <w:sz w:val="22"/>
          <w:szCs w:val="22"/>
          <w:color w:val="auto"/>
        </w:rPr>
        <w:t>means the date on which the Plan becomes effective as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19.</w:t>
      </w:r>
    </w:p>
    <w:p>
      <w:pPr>
        <w:spacing w:after="0" w:line="150" w:lineRule="exact"/>
        <w:rPr>
          <w:sz w:val="20"/>
          <w:szCs w:val="20"/>
          <w:color w:val="auto"/>
        </w:rPr>
      </w:pPr>
    </w:p>
    <w:p>
      <w:pPr>
        <w:ind w:left="300" w:right="4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 and the rules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regulations thereunder.</w:t>
      </w:r>
    </w:p>
    <w:p>
      <w:pPr>
        <w:spacing w:after="0" w:line="150" w:lineRule="exact"/>
        <w:rPr>
          <w:sz w:val="20"/>
          <w:szCs w:val="20"/>
          <w:color w:val="auto"/>
        </w:rPr>
      </w:pPr>
    </w:p>
    <w:p>
      <w:pPr>
        <w:ind w:left="300" w:right="3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“Fair Market Value” </w:t>
      </w:r>
      <w:r>
        <w:rPr>
          <w:rFonts w:ascii="Times New Roman" w:cs="Times New Roman" w:eastAsia="Times New Roman" w:hAnsi="Times New Roman"/>
          <w:sz w:val="22"/>
          <w:szCs w:val="22"/>
          <w:color w:val="auto"/>
        </w:rPr>
        <w:t>of the Stock on any given date means the fair market value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76" w:lineRule="exact"/>
        <w:rPr>
          <w:sz w:val="20"/>
          <w:szCs w:val="20"/>
          <w:color w:val="auto"/>
        </w:rPr>
      </w:pPr>
    </w:p>
    <w:p>
      <w:pPr>
        <w:ind w:left="300" w:right="10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“Incentive Stock Option” </w:t>
      </w:r>
      <w:r>
        <w:rPr>
          <w:rFonts w:ascii="Times New Roman" w:cs="Times New Roman" w:eastAsia="Times New Roman" w:hAnsi="Times New Roman"/>
          <w:sz w:val="22"/>
          <w:szCs w:val="22"/>
          <w:color w:val="auto"/>
        </w:rPr>
        <w:t>means any Stock Option designated and qualified as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“incentive stock option” as defined in Section 422 of the Code.</w:t>
      </w:r>
    </w:p>
    <w:p>
      <w:pPr>
        <w:spacing w:after="0" w:line="150" w:lineRule="exact"/>
        <w:rPr>
          <w:sz w:val="20"/>
          <w:szCs w:val="20"/>
          <w:color w:val="auto"/>
        </w:rPr>
      </w:pPr>
    </w:p>
    <w:p>
      <w:pPr>
        <w:ind w:left="300" w:right="35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“Non-Employee Director” </w:t>
      </w:r>
      <w:r>
        <w:rPr>
          <w:rFonts w:ascii="Times New Roman" w:cs="Times New Roman" w:eastAsia="Times New Roman" w:hAnsi="Times New Roman"/>
          <w:sz w:val="22"/>
          <w:szCs w:val="22"/>
          <w:color w:val="auto"/>
        </w:rPr>
        <w:t>means a member of the Board who is not also an employee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or any Subsidiary.</w:t>
      </w:r>
    </w:p>
    <w:p>
      <w:pPr>
        <w:spacing w:after="0" w:line="150" w:lineRule="exact"/>
        <w:rPr>
          <w:sz w:val="20"/>
          <w:szCs w:val="20"/>
          <w:color w:val="auto"/>
        </w:rPr>
      </w:pPr>
    </w:p>
    <w:p>
      <w:pPr>
        <w:ind w:left="300" w:right="6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“Non-Qualified Stock Option” </w:t>
      </w:r>
      <w:r>
        <w:rPr>
          <w:rFonts w:ascii="Times New Roman" w:cs="Times New Roman" w:eastAsia="Times New Roman" w:hAnsi="Times New Roman"/>
          <w:sz w:val="22"/>
          <w:szCs w:val="22"/>
          <w:color w:val="auto"/>
        </w:rPr>
        <w:t>means any Stock Option that is not an Incentive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w:t>
      </w:r>
    </w:p>
    <w:p>
      <w:pPr>
        <w:spacing w:after="0" w:line="150" w:lineRule="exact"/>
        <w:rPr>
          <w:sz w:val="20"/>
          <w:szCs w:val="20"/>
          <w:color w:val="auto"/>
        </w:rPr>
      </w:pPr>
    </w:p>
    <w:p>
      <w:pPr>
        <w:ind w:left="300" w:right="8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“Option”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“Stock Option” </w:t>
      </w:r>
      <w:r>
        <w:rPr>
          <w:rFonts w:ascii="Times New Roman" w:cs="Times New Roman" w:eastAsia="Times New Roman" w:hAnsi="Times New Roman"/>
          <w:sz w:val="22"/>
          <w:szCs w:val="22"/>
          <w:color w:val="auto"/>
        </w:rPr>
        <w:t>means any option to purchase shares of Stock granted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Section 5.</w:t>
      </w:r>
    </w:p>
    <w:p>
      <w:pPr>
        <w:spacing w:after="0" w:line="150" w:lineRule="exact"/>
        <w:rPr>
          <w:sz w:val="20"/>
          <w:szCs w:val="20"/>
          <w:color w:val="auto"/>
        </w:rPr>
      </w:pPr>
    </w:p>
    <w:p>
      <w:pPr>
        <w:jc w:val="both"/>
        <w:ind w:left="300" w:right="39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“Registration Date” </w:t>
      </w:r>
      <w:r>
        <w:rPr>
          <w:rFonts w:ascii="Times New Roman" w:cs="Times New Roman" w:eastAsia="Times New Roman" w:hAnsi="Times New Roman"/>
          <w:sz w:val="22"/>
          <w:szCs w:val="22"/>
          <w:color w:val="auto"/>
        </w:rPr>
        <w:t>means the date upon which the registration statement on Form S-1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is filed by the Company with respect to its initial public offering is declared effective by the Securities and Exchange Commission.</w:t>
      </w:r>
    </w:p>
    <w:p>
      <w:pPr>
        <w:spacing w:after="0" w:line="167" w:lineRule="exact"/>
        <w:rPr>
          <w:sz w:val="20"/>
          <w:szCs w:val="20"/>
          <w:color w:val="auto"/>
        </w:rPr>
      </w:pPr>
    </w:p>
    <w:p>
      <w:pPr>
        <w:jc w:val="both"/>
        <w:ind w:left="300" w:right="3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Shares” </w:t>
      </w:r>
      <w:r>
        <w:rPr>
          <w:rFonts w:ascii="Times New Roman" w:cs="Times New Roman" w:eastAsia="Times New Roman" w:hAnsi="Times New Roman"/>
          <w:sz w:val="22"/>
          <w:szCs w:val="22"/>
          <w:color w:val="auto"/>
        </w:rPr>
        <w:t>means the shares of Stock underlying a Restricted Stock Award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remain subject to a risk of forfeiture or the Company’s right of repurchase.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5" w:name="page36"/>
    <w:bookmarkEnd w:id="35"/>
    <w:p>
      <w:pPr>
        <w:ind w:left="300" w:right="1179"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“Restricted Stock Award” </w:t>
      </w:r>
      <w:r>
        <w:rPr>
          <w:rFonts w:ascii="Times New Roman" w:cs="Times New Roman" w:eastAsia="Times New Roman" w:hAnsi="Times New Roman"/>
          <w:sz w:val="21"/>
          <w:szCs w:val="21"/>
          <w:color w:val="auto"/>
        </w:rPr>
        <w:t>means an Award of Restricted Shares subject to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restrictions and conditions as the Administrator may determine at the time of grant.</w:t>
      </w:r>
    </w:p>
    <w:p>
      <w:pPr>
        <w:spacing w:after="0" w:line="126" w:lineRule="exact"/>
        <w:rPr>
          <w:sz w:val="20"/>
          <w:szCs w:val="20"/>
          <w:color w:val="auto"/>
        </w:rPr>
      </w:pPr>
    </w:p>
    <w:p>
      <w:pPr>
        <w:ind w:left="300" w:right="4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Stock Units” </w:t>
      </w:r>
      <w:r>
        <w:rPr>
          <w:rFonts w:ascii="Times New Roman" w:cs="Times New Roman" w:eastAsia="Times New Roman" w:hAnsi="Times New Roman"/>
          <w:sz w:val="22"/>
          <w:szCs w:val="22"/>
          <w:color w:val="auto"/>
        </w:rPr>
        <w:t>means an Award of stock units subject to such restrictions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conditions as the Administrator may determine at the time of grant.</w:t>
      </w:r>
    </w:p>
    <w:p>
      <w:pPr>
        <w:spacing w:after="0" w:line="150" w:lineRule="exact"/>
        <w:rPr>
          <w:sz w:val="20"/>
          <w:szCs w:val="20"/>
          <w:color w:val="auto"/>
        </w:rPr>
      </w:pPr>
    </w:p>
    <w:p>
      <w:pPr>
        <w:ind w:left="300" w:right="359" w:firstLine="648"/>
        <w:spacing w:after="0" w:line="245" w:lineRule="auto"/>
        <w:rPr>
          <w:sz w:val="20"/>
          <w:szCs w:val="20"/>
          <w:color w:val="auto"/>
        </w:rPr>
      </w:pPr>
      <w:r>
        <w:rPr>
          <w:rFonts w:ascii="Times New Roman" w:cs="Times New Roman" w:eastAsia="Times New Roman" w:hAnsi="Times New Roman"/>
          <w:sz w:val="21"/>
          <w:szCs w:val="21"/>
          <w:i w:val="1"/>
          <w:iCs w:val="1"/>
          <w:color w:val="auto"/>
        </w:rPr>
        <w:t xml:space="preserve">“Sale Event” </w:t>
      </w:r>
      <w:r>
        <w:rPr>
          <w:rFonts w:ascii="Times New Roman" w:cs="Times New Roman" w:eastAsia="Times New Roman" w:hAnsi="Times New Roman"/>
          <w:sz w:val="21"/>
          <w:szCs w:val="21"/>
          <w:color w:val="auto"/>
        </w:rPr>
        <w:t>means (i) the sale of all or substantially all of the assets of the Company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7" w:lineRule="exact"/>
        <w:rPr>
          <w:sz w:val="20"/>
          <w:szCs w:val="20"/>
          <w:color w:val="auto"/>
        </w:rPr>
      </w:pPr>
    </w:p>
    <w:p>
      <w:pPr>
        <w:ind w:left="300" w:right="319"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Sale Price</w:t>
      </w:r>
      <w:r>
        <w:rPr>
          <w:rFonts w:ascii="Times New Roman" w:cs="Times New Roman" w:eastAsia="Times New Roman" w:hAnsi="Times New Roman"/>
          <w:sz w:val="21"/>
          <w:szCs w:val="21"/>
          <w:color w:val="auto"/>
        </w:rPr>
        <w:t>” means the value as determined by the Administrator of the consideration payable, or otherwise to be received by stockholders, per share of Stock pursuant to a Sale Event.</w:t>
      </w:r>
    </w:p>
    <w:p>
      <w:pPr>
        <w:spacing w:after="0" w:line="126" w:lineRule="exact"/>
        <w:rPr>
          <w:sz w:val="20"/>
          <w:szCs w:val="20"/>
          <w:color w:val="auto"/>
        </w:rPr>
      </w:pPr>
    </w:p>
    <w:p>
      <w:pPr>
        <w:ind w:left="300" w:right="3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409A” </w:t>
      </w:r>
      <w:r>
        <w:rPr>
          <w:rFonts w:ascii="Times New Roman" w:cs="Times New Roman" w:eastAsia="Times New Roman" w:hAnsi="Times New Roman"/>
          <w:sz w:val="22"/>
          <w:szCs w:val="22"/>
          <w:color w:val="auto"/>
        </w:rPr>
        <w:t>means Section 409A of the Code and the regulations and other guidance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promulgated thereunder.</w:t>
      </w:r>
    </w:p>
    <w:p>
      <w:pPr>
        <w:spacing w:after="0" w:line="150" w:lineRule="exact"/>
        <w:rPr>
          <w:sz w:val="20"/>
          <w:szCs w:val="20"/>
          <w:color w:val="auto"/>
        </w:rPr>
      </w:pPr>
    </w:p>
    <w:p>
      <w:pPr>
        <w:ind w:left="300" w:right="37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“Service Relationship” </w:t>
      </w:r>
      <w:r>
        <w:rPr>
          <w:rFonts w:ascii="Times New Roman" w:cs="Times New Roman" w:eastAsia="Times New Roman" w:hAnsi="Times New Roman"/>
          <w:sz w:val="22"/>
          <w:szCs w:val="22"/>
          <w:color w:val="auto"/>
        </w:rPr>
        <w:t>means any relationship as an employee, director or Consultant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or any Affiliate (e.g., a Service Relationship shall be deemed to continue without interruption in the event an individual’s status changes from full-time employee to part-time employee or Consultant).</w:t>
      </w:r>
    </w:p>
    <w:p>
      <w:pPr>
        <w:spacing w:after="0" w:line="172" w:lineRule="exact"/>
        <w:rPr>
          <w:sz w:val="20"/>
          <w:szCs w:val="20"/>
          <w:color w:val="auto"/>
        </w:rPr>
      </w:pPr>
    </w:p>
    <w:p>
      <w:pPr>
        <w:ind w:left="300" w:right="8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“Stock” </w:t>
      </w:r>
      <w:r>
        <w:rPr>
          <w:rFonts w:ascii="Times New Roman" w:cs="Times New Roman" w:eastAsia="Times New Roman" w:hAnsi="Times New Roman"/>
          <w:sz w:val="22"/>
          <w:szCs w:val="22"/>
          <w:color w:val="auto"/>
        </w:rPr>
        <w:t>means the Common Stock, par value $0.00001 per share,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adjustments pursuant to Section 3.</w:t>
      </w:r>
    </w:p>
    <w:p>
      <w:pPr>
        <w:spacing w:after="0" w:line="150" w:lineRule="exact"/>
        <w:rPr>
          <w:sz w:val="20"/>
          <w:szCs w:val="20"/>
          <w:color w:val="auto"/>
        </w:rPr>
      </w:pPr>
    </w:p>
    <w:p>
      <w:pPr>
        <w:ind w:left="300" w:right="35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“Stock Appreciation Right” </w:t>
      </w:r>
      <w:r>
        <w:rPr>
          <w:rFonts w:ascii="Times New Roman" w:cs="Times New Roman" w:eastAsia="Times New Roman" w:hAnsi="Times New Roman"/>
          <w:sz w:val="22"/>
          <w:szCs w:val="22"/>
          <w:color w:val="auto"/>
        </w:rPr>
        <w:t>means an Award entitling the recipient to receive shares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77" w:lineRule="exact"/>
        <w:rPr>
          <w:sz w:val="20"/>
          <w:szCs w:val="20"/>
          <w:color w:val="auto"/>
        </w:rPr>
      </w:pPr>
    </w:p>
    <w:p>
      <w:pPr>
        <w:ind w:left="300" w:right="5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any corporation or other entity (other than the Company) in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has at least a 50 percent interest, either directly or indirectly.</w:t>
      </w:r>
    </w:p>
    <w:p>
      <w:pPr>
        <w:spacing w:after="0" w:line="150" w:lineRule="exact"/>
        <w:rPr>
          <w:sz w:val="20"/>
          <w:szCs w:val="20"/>
          <w:color w:val="auto"/>
        </w:rPr>
      </w:pPr>
    </w:p>
    <w:p>
      <w:pPr>
        <w:jc w:val="both"/>
        <w:ind w:left="300" w:right="37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“Ten Percent Owner” </w:t>
      </w:r>
      <w:r>
        <w:rPr>
          <w:rFonts w:ascii="Times New Roman" w:cs="Times New Roman" w:eastAsia="Times New Roman" w:hAnsi="Times New Roman"/>
          <w:sz w:val="22"/>
          <w:szCs w:val="22"/>
          <w:color w:val="auto"/>
        </w:rPr>
        <w:t>means an employee who owns or is deemed to own (by reason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attribution rules of Section 424(d) of the Code) more than 10 percent of the combined voting power of all classes of stock of the Company or any parent or subsidiary corporation.</w:t>
      </w:r>
    </w:p>
    <w:p>
      <w:pPr>
        <w:spacing w:after="0" w:line="1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i w:val="1"/>
          <w:iCs w:val="1"/>
          <w:color w:val="auto"/>
        </w:rPr>
        <w:t xml:space="preserve">“Unrestricted Stock Award” </w:t>
      </w:r>
      <w:r>
        <w:rPr>
          <w:rFonts w:ascii="Times New Roman" w:cs="Times New Roman" w:eastAsia="Times New Roman" w:hAnsi="Times New Roman"/>
          <w:sz w:val="21"/>
          <w:szCs w:val="21"/>
          <w:color w:val="auto"/>
        </w:rPr>
        <w:t>means an Award of shares of Stock free of any restrictions.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6" w:name="page37"/>
    <w:bookmarkEnd w:id="36"/>
    <w:p>
      <w:pPr>
        <w:ind w:left="1580" w:right="1059" w:hanging="1295"/>
        <w:spacing w:after="0" w:line="25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ADMINISTRATION OF PLAN; ADMINISTRATOR AUTHORITY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SELECT GRANTEES AND DETERMINE AWARDS</w:t>
      </w:r>
    </w:p>
    <w:p>
      <w:pPr>
        <w:spacing w:after="0" w:line="158" w:lineRule="exact"/>
        <w:rPr>
          <w:sz w:val="20"/>
          <w:szCs w:val="20"/>
          <w:color w:val="auto"/>
        </w:rPr>
      </w:pPr>
    </w:p>
    <w:p>
      <w:pPr>
        <w:ind w:left="1380" w:hanging="440"/>
        <w:spacing w:after="0"/>
        <w:tabs>
          <w:tab w:leader="none" w:pos="1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Plan</w:t>
      </w:r>
      <w:r>
        <w:rPr>
          <w:rFonts w:ascii="Times New Roman" w:cs="Times New Roman" w:eastAsia="Times New Roman" w:hAnsi="Times New Roman"/>
          <w:sz w:val="22"/>
          <w:szCs w:val="22"/>
          <w:color w:val="auto"/>
        </w:rPr>
        <w:t>. The Plan shall be administered by the Administrator.</w:t>
      </w:r>
    </w:p>
    <w:p>
      <w:pPr>
        <w:spacing w:after="0" w:line="206" w:lineRule="exact"/>
        <w:rPr>
          <w:rFonts w:ascii="Times New Roman" w:cs="Times New Roman" w:eastAsia="Times New Roman" w:hAnsi="Times New Roman"/>
          <w:sz w:val="22"/>
          <w:szCs w:val="22"/>
          <w:color w:val="auto"/>
        </w:rPr>
      </w:pPr>
    </w:p>
    <w:p>
      <w:pPr>
        <w:ind w:left="300" w:right="499" w:firstLine="640"/>
        <w:spacing w:after="0" w:line="258" w:lineRule="auto"/>
        <w:tabs>
          <w:tab w:leader="none" w:pos="1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Administrator</w:t>
      </w:r>
      <w:r>
        <w:rPr>
          <w:rFonts w:ascii="Times New Roman" w:cs="Times New Roman" w:eastAsia="Times New Roman" w:hAnsi="Times New Roman"/>
          <w:sz w:val="22"/>
          <w:szCs w:val="22"/>
          <w:color w:val="auto"/>
        </w:rPr>
        <w:t>. The Administrator shall have the power and authority to grant Awards consistent with the terms of the Plan, including the power and authority:</w:t>
      </w:r>
    </w:p>
    <w:p>
      <w:pPr>
        <w:spacing w:after="0" w:line="158" w:lineRule="exact"/>
        <w:rPr>
          <w:rFonts w:ascii="Times New Roman" w:cs="Times New Roman" w:eastAsia="Times New Roman" w:hAnsi="Times New Roman"/>
          <w:sz w:val="22"/>
          <w:szCs w:val="22"/>
          <w:color w:val="auto"/>
        </w:rPr>
      </w:pPr>
    </w:p>
    <w:p>
      <w:pPr>
        <w:ind w:left="2060" w:hanging="472"/>
        <w:spacing w:after="0"/>
        <w:tabs>
          <w:tab w:leader="none" w:pos="206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select the individuals to whom Awards may from time to time be granted;</w:t>
      </w:r>
    </w:p>
    <w:p>
      <w:pPr>
        <w:spacing w:after="0" w:line="217" w:lineRule="exact"/>
        <w:rPr>
          <w:rFonts w:ascii="Times New Roman" w:cs="Times New Roman" w:eastAsia="Times New Roman" w:hAnsi="Times New Roman"/>
          <w:sz w:val="21"/>
          <w:szCs w:val="21"/>
          <w:color w:val="auto"/>
        </w:rPr>
      </w:pPr>
    </w:p>
    <w:p>
      <w:pPr>
        <w:ind w:left="300" w:right="419" w:firstLine="1288"/>
        <w:spacing w:after="0" w:line="255" w:lineRule="auto"/>
        <w:tabs>
          <w:tab w:leader="none" w:pos="2062"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61" w:lineRule="exact"/>
        <w:rPr>
          <w:rFonts w:ascii="Times New Roman" w:cs="Times New Roman" w:eastAsia="Times New Roman" w:hAnsi="Times New Roman"/>
          <w:sz w:val="21"/>
          <w:szCs w:val="21"/>
          <w:color w:val="auto"/>
        </w:rPr>
      </w:pPr>
    </w:p>
    <w:p>
      <w:pPr>
        <w:ind w:left="2060" w:hanging="472"/>
        <w:spacing w:after="0"/>
        <w:tabs>
          <w:tab w:leader="none" w:pos="20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of Stock to be covered by any Award;</w:t>
      </w:r>
    </w:p>
    <w:p>
      <w:pPr>
        <w:spacing w:after="0" w:line="206" w:lineRule="exact"/>
        <w:rPr>
          <w:rFonts w:ascii="Times New Roman" w:cs="Times New Roman" w:eastAsia="Times New Roman" w:hAnsi="Times New Roman"/>
          <w:sz w:val="22"/>
          <w:szCs w:val="22"/>
          <w:color w:val="auto"/>
        </w:rPr>
      </w:pPr>
    </w:p>
    <w:p>
      <w:pPr>
        <w:ind w:left="300" w:right="319" w:firstLine="1288"/>
        <w:spacing w:after="0" w:line="239" w:lineRule="auto"/>
        <w:tabs>
          <w:tab w:leader="none" w:pos="206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0" w:lineRule="exact"/>
        <w:rPr>
          <w:rFonts w:ascii="Times New Roman" w:cs="Times New Roman" w:eastAsia="Times New Roman" w:hAnsi="Times New Roman"/>
          <w:sz w:val="22"/>
          <w:szCs w:val="22"/>
          <w:color w:val="auto"/>
        </w:rPr>
      </w:pPr>
    </w:p>
    <w:p>
      <w:pPr>
        <w:ind w:left="2060" w:hanging="472"/>
        <w:spacing w:after="0"/>
        <w:tabs>
          <w:tab w:leader="none" w:pos="206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accelerate at any time the exercisability or vesting of all or any portion of</w:t>
      </w:r>
    </w:p>
    <w:p>
      <w:pPr>
        <w:spacing w:after="0" w:line="25" w:lineRule="exact"/>
        <w:rPr>
          <w:rFonts w:ascii="Times New Roman" w:cs="Times New Roman" w:eastAsia="Times New Roman" w:hAnsi="Times New Roman"/>
          <w:sz w:val="21"/>
          <w:szCs w:val="21"/>
          <w:color w:val="auto"/>
        </w:rPr>
      </w:pPr>
    </w:p>
    <w:p>
      <w:pPr>
        <w:ind w:left="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Award;</w:t>
      </w:r>
    </w:p>
    <w:p>
      <w:pPr>
        <w:spacing w:after="0" w:line="182" w:lineRule="exact"/>
        <w:rPr>
          <w:rFonts w:ascii="Times New Roman" w:cs="Times New Roman" w:eastAsia="Times New Roman" w:hAnsi="Times New Roman"/>
          <w:sz w:val="21"/>
          <w:szCs w:val="21"/>
          <w:color w:val="auto"/>
        </w:rPr>
      </w:pPr>
    </w:p>
    <w:p>
      <w:pPr>
        <w:jc w:val="both"/>
        <w:ind w:left="300" w:right="659" w:firstLine="1288"/>
        <w:spacing w:after="0" w:line="244" w:lineRule="auto"/>
        <w:tabs>
          <w:tab w:leader="none" w:pos="206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5(c) or Section 6(d), as applicable, to extend at any time the period in which Stock Options and Stock Appreciation Rights may be exercised; and</w:t>
      </w:r>
    </w:p>
    <w:p>
      <w:pPr>
        <w:spacing w:after="0" w:line="173" w:lineRule="exact"/>
        <w:rPr>
          <w:rFonts w:ascii="Times New Roman" w:cs="Times New Roman" w:eastAsia="Times New Roman" w:hAnsi="Times New Roman"/>
          <w:sz w:val="22"/>
          <w:szCs w:val="22"/>
          <w:color w:val="auto"/>
        </w:rPr>
      </w:pPr>
    </w:p>
    <w:p>
      <w:pPr>
        <w:ind w:left="300" w:right="379" w:firstLine="1288"/>
        <w:spacing w:after="0" w:line="236" w:lineRule="auto"/>
        <w:tabs>
          <w:tab w:leader="none" w:pos="206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1" w:lineRule="exact"/>
        <w:rPr>
          <w:sz w:val="20"/>
          <w:szCs w:val="20"/>
          <w:color w:val="auto"/>
        </w:rPr>
      </w:pPr>
    </w:p>
    <w:p>
      <w:pPr>
        <w:ind w:left="300" w:right="719" w:firstLine="648"/>
        <w:spacing w:after="0" w:line="258" w:lineRule="auto"/>
        <w:rPr>
          <w:sz w:val="20"/>
          <w:szCs w:val="20"/>
          <w:color w:val="auto"/>
        </w:rPr>
      </w:pPr>
      <w:r>
        <w:rPr>
          <w:rFonts w:ascii="Times New Roman" w:cs="Times New Roman" w:eastAsia="Times New Roman" w:hAnsi="Times New Roman"/>
          <w:sz w:val="22"/>
          <w:szCs w:val="22"/>
          <w:color w:val="auto"/>
        </w:rPr>
        <w:t>All decisions and interpretations of the Administrator shall be binding on all persons, including the Company and Plan grantees.</w:t>
      </w:r>
    </w:p>
    <w:p>
      <w:pPr>
        <w:spacing w:after="0" w:line="158" w:lineRule="exact"/>
        <w:rPr>
          <w:sz w:val="20"/>
          <w:szCs w:val="20"/>
          <w:color w:val="auto"/>
        </w:rPr>
      </w:pPr>
    </w:p>
    <w:p>
      <w:pPr>
        <w:ind w:left="300" w:right="499" w:firstLine="640"/>
        <w:spacing w:after="0" w:line="246" w:lineRule="auto"/>
        <w:tabs>
          <w:tab w:leader="none" w:pos="138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Delegation of Authority to Grant Awards</w:t>
      </w:r>
      <w:r>
        <w:rPr>
          <w:rFonts w:ascii="Times New Roman" w:cs="Times New Roman" w:eastAsia="Times New Roman" w:hAnsi="Times New Roman"/>
          <w:sz w:val="21"/>
          <w:szCs w:val="21"/>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w:t>
      </w:r>
    </w:p>
    <w:p>
      <w:pPr>
        <w:spacing w:after="0" w:line="1" w:lineRule="exact"/>
        <w:rPr>
          <w:rFonts w:ascii="Times New Roman" w:cs="Times New Roman" w:eastAsia="Times New Roman" w:hAnsi="Times New Roman"/>
          <w:sz w:val="21"/>
          <w:szCs w:val="21"/>
          <w:color w:val="auto"/>
        </w:rPr>
      </w:pPr>
    </w:p>
    <w:p>
      <w:pPr>
        <w:ind w:left="300" w:right="379" w:hanging="8"/>
        <w:spacing w:after="0" w:line="249" w:lineRule="auto"/>
        <w:tabs>
          <w:tab w:leader="none" w:pos="61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7" w:name="page38"/>
    <w:bookmarkEnd w:id="37"/>
    <w:p>
      <w:pPr>
        <w:ind w:left="300" w:right="439"/>
        <w:spacing w:after="0" w:line="244" w:lineRule="auto"/>
        <w:rPr>
          <w:sz w:val="20"/>
          <w:szCs w:val="20"/>
          <w:color w:val="auto"/>
        </w:rPr>
      </w:pPr>
      <w:r>
        <w:rPr>
          <w:rFonts w:ascii="Times New Roman" w:cs="Times New Roman" w:eastAsia="Times New Roman" w:hAnsi="Times New Roman"/>
          <w:sz w:val="22"/>
          <w:szCs w:val="22"/>
          <w:color w:val="auto"/>
        </w:rPr>
        <w:t>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3" w:lineRule="exact"/>
        <w:rPr>
          <w:sz w:val="20"/>
          <w:szCs w:val="20"/>
          <w:color w:val="auto"/>
        </w:rPr>
      </w:pPr>
    </w:p>
    <w:p>
      <w:pPr>
        <w:ind w:left="300" w:right="339" w:firstLine="640"/>
        <w:spacing w:after="0" w:line="239" w:lineRule="auto"/>
        <w:tabs>
          <w:tab w:leader="none" w:pos="13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Certificate</w:t>
      </w:r>
      <w:r>
        <w:rPr>
          <w:rFonts w:ascii="Times New Roman" w:cs="Times New Roman" w:eastAsia="Times New Roman" w:hAnsi="Times New Roman"/>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0" w:lineRule="exact"/>
        <w:rPr>
          <w:rFonts w:ascii="Times New Roman" w:cs="Times New Roman" w:eastAsia="Times New Roman" w:hAnsi="Times New Roman"/>
          <w:sz w:val="22"/>
          <w:szCs w:val="22"/>
          <w:color w:val="auto"/>
        </w:rPr>
      </w:pPr>
    </w:p>
    <w:p>
      <w:pPr>
        <w:ind w:left="300" w:right="319" w:firstLine="640"/>
        <w:spacing w:after="0" w:line="234" w:lineRule="auto"/>
        <w:tabs>
          <w:tab w:leader="none" w:pos="13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3" w:lineRule="exact"/>
        <w:rPr>
          <w:rFonts w:ascii="Times New Roman" w:cs="Times New Roman" w:eastAsia="Times New Roman" w:hAnsi="Times New Roman"/>
          <w:sz w:val="22"/>
          <w:szCs w:val="22"/>
          <w:color w:val="auto"/>
        </w:rPr>
      </w:pPr>
    </w:p>
    <w:p>
      <w:pPr>
        <w:ind w:left="300" w:right="419" w:firstLine="640"/>
        <w:spacing w:after="0" w:line="232" w:lineRule="auto"/>
        <w:tabs>
          <w:tab w:leader="none" w:pos="13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Award Recipients</w:t>
      </w:r>
      <w:r>
        <w:rPr>
          <w:rFonts w:ascii="Times New Roman" w:cs="Times New Roman" w:eastAsia="Times New Roman" w:hAnsi="Times New Roman"/>
          <w:sz w:val="22"/>
          <w:szCs w:val="22"/>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STOCK ISSUABLE UNDER THE PLAN; MERGERS; SUBSTITUTION</w:t>
      </w:r>
    </w:p>
    <w:p>
      <w:pPr>
        <w:spacing w:after="0" w:line="206" w:lineRule="exact"/>
        <w:rPr>
          <w:sz w:val="20"/>
          <w:szCs w:val="20"/>
          <w:color w:val="auto"/>
        </w:rPr>
      </w:pPr>
    </w:p>
    <w:p>
      <w:pPr>
        <w:ind w:left="300" w:right="359" w:firstLine="640"/>
        <w:spacing w:after="0" w:line="247" w:lineRule="auto"/>
        <w:tabs>
          <w:tab w:leader="none" w:pos="13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Issuable</w:t>
      </w:r>
      <w:r>
        <w:rPr>
          <w:rFonts w:ascii="Times New Roman" w:cs="Times New Roman" w:eastAsia="Times New Roman" w:hAnsi="Times New Roman"/>
          <w:sz w:val="21"/>
          <w:szCs w:val="21"/>
          <w:color w:val="auto"/>
        </w:rPr>
        <w:t>. The maximum number of shares of Stock reserved and available for issuance under the Plan shall be 3,352,166 shares (the “Initial Limit”), subject to adjustment as provided in this Section 3, plus on January 1, 2022 and each January 1 thereafter, the number of shares of Stock reserved and available for issuance under the Plan shall be cumulatively increased by (i) 5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8" w:name="page39"/>
    <w:bookmarkEnd w:id="38"/>
    <w:p>
      <w:pPr>
        <w:ind w:left="300" w:right="339"/>
        <w:spacing w:after="0" w:line="244" w:lineRule="auto"/>
        <w:rPr>
          <w:sz w:val="20"/>
          <w:szCs w:val="20"/>
          <w:color w:val="auto"/>
        </w:rPr>
      </w:pPr>
      <w:r>
        <w:rPr>
          <w:rFonts w:ascii="Times New Roman" w:cs="Times New Roman" w:eastAsia="Times New Roman" w:hAnsi="Times New Roman"/>
          <w:sz w:val="21"/>
          <w:szCs w:val="21"/>
          <w:color w:val="auto"/>
        </w:rPr>
        <w:t>shall not exceed the Initial Limit, as cumulatively increased on January 1, 2022 and each January 1 thereafter by the lesser of the Annual Increase for such year or 3,352,166 shares of Stock, subject in all cases to adjustment as provided in Section 3(b). For purposes of this limitation, the shares of Stock underlying any awards under the Plan and under the Company’s Amended and Restated 2009 Stock Option and Restricted Stock Plan, as amended, and the Company’s 2018 Equity Incentive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76" w:lineRule="exact"/>
        <w:rPr>
          <w:sz w:val="20"/>
          <w:szCs w:val="20"/>
          <w:color w:val="auto"/>
        </w:rPr>
      </w:pPr>
    </w:p>
    <w:p>
      <w:pPr>
        <w:ind w:left="300" w:right="339" w:firstLine="640"/>
        <w:spacing w:after="0" w:line="243" w:lineRule="auto"/>
        <w:tabs>
          <w:tab w:leader="none" w:pos="138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Stock</w:t>
      </w:r>
      <w:r>
        <w:rPr>
          <w:rFonts w:ascii="Times New Roman" w:cs="Times New Roman" w:eastAsia="Times New Roman" w:hAnsi="Times New Roman"/>
          <w:sz w:val="21"/>
          <w:szCs w:val="21"/>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w:t>
      </w:r>
    </w:p>
    <w:p>
      <w:pPr>
        <w:spacing w:after="0" w:line="8" w:lineRule="exact"/>
        <w:rPr>
          <w:rFonts w:ascii="Times New Roman" w:cs="Times New Roman" w:eastAsia="Times New Roman" w:hAnsi="Times New Roman"/>
          <w:sz w:val="21"/>
          <w:szCs w:val="21"/>
          <w:color w:val="auto"/>
        </w:rPr>
      </w:pPr>
    </w:p>
    <w:p>
      <w:pPr>
        <w:ind w:left="300" w:right="379" w:hanging="8"/>
        <w:spacing w:after="0" w:line="231" w:lineRule="auto"/>
        <w:tabs>
          <w:tab w:leader="none" w:pos="55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84" w:lineRule="exact"/>
        <w:rPr>
          <w:rFonts w:ascii="Times New Roman" w:cs="Times New Roman" w:eastAsia="Times New Roman" w:hAnsi="Times New Roman"/>
          <w:sz w:val="22"/>
          <w:szCs w:val="22"/>
          <w:color w:val="auto"/>
        </w:rPr>
      </w:pPr>
    </w:p>
    <w:p>
      <w:pPr>
        <w:jc w:val="both"/>
        <w:ind w:left="300" w:right="339" w:firstLine="640"/>
        <w:spacing w:after="0" w:line="255" w:lineRule="auto"/>
        <w:tabs>
          <w:tab w:leader="none" w:pos="138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Mergers and Other Transactions</w:t>
      </w:r>
      <w:r>
        <w:rPr>
          <w:rFonts w:ascii="Times New Roman" w:cs="Times New Roman" w:eastAsia="Times New Roman" w:hAnsi="Times New Roman"/>
          <w:sz w:val="21"/>
          <w:szCs w:val="21"/>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9" w:name="page40"/>
    <w:bookmarkEnd w:id="39"/>
    <w:p>
      <w:pPr>
        <w:ind w:left="300" w:right="319"/>
        <w:spacing w:after="0" w:line="232" w:lineRule="auto"/>
        <w:rPr>
          <w:sz w:val="20"/>
          <w:szCs w:val="20"/>
          <w:color w:val="auto"/>
        </w:rPr>
      </w:pPr>
      <w:r>
        <w:rPr>
          <w:rFonts w:ascii="Times New Roman" w:cs="Times New Roman" w:eastAsia="Times New Roman" w:hAnsi="Times New Roman"/>
          <w:sz w:val="22"/>
          <w:szCs w:val="22"/>
          <w:color w:val="auto"/>
        </w:rPr>
        <w:t>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79" w:lineRule="exact"/>
        <w:rPr>
          <w:sz w:val="20"/>
          <w:szCs w:val="20"/>
          <w:color w:val="auto"/>
        </w:rPr>
      </w:pPr>
    </w:p>
    <w:p>
      <w:pPr>
        <w:ind w:left="300" w:right="399" w:firstLine="640"/>
        <w:spacing w:after="0" w:line="234" w:lineRule="auto"/>
        <w:tabs>
          <w:tab w:leader="none" w:pos="13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Awards to Non-Employee Directors</w:t>
      </w:r>
      <w:r>
        <w:rPr>
          <w:rFonts w:ascii="Times New Roman" w:cs="Times New Roman" w:eastAsia="Times New Roman" w:hAnsi="Times New Roman"/>
          <w:sz w:val="22"/>
          <w:szCs w:val="22"/>
          <w:color w:val="auto"/>
        </w:rPr>
        <w:t>.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ASC 718 or successor provision but excluding the impact of estimated forfeitures related to service-based vesting provisions.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ELIGIBILITY</w:t>
      </w:r>
    </w:p>
    <w:p>
      <w:pPr>
        <w:spacing w:after="0" w:line="206" w:lineRule="exact"/>
        <w:rPr>
          <w:sz w:val="20"/>
          <w:szCs w:val="20"/>
          <w:color w:val="auto"/>
        </w:rPr>
      </w:pPr>
    </w:p>
    <w:p>
      <w:pPr>
        <w:ind w:left="300" w:right="339" w:firstLine="648"/>
        <w:spacing w:after="0" w:line="248" w:lineRule="auto"/>
        <w:rPr>
          <w:sz w:val="20"/>
          <w:szCs w:val="20"/>
          <w:color w:val="auto"/>
        </w:rPr>
      </w:pPr>
      <w:r>
        <w:rPr>
          <w:rFonts w:ascii="Times New Roman" w:cs="Times New Roman" w:eastAsia="Times New Roman" w:hAnsi="Times New Roman"/>
          <w:sz w:val="21"/>
          <w:szCs w:val="21"/>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STOCK OPTIONS</w:t>
      </w:r>
    </w:p>
    <w:p>
      <w:pPr>
        <w:spacing w:after="0" w:line="206" w:lineRule="exact"/>
        <w:rPr>
          <w:sz w:val="20"/>
          <w:szCs w:val="20"/>
          <w:color w:val="auto"/>
        </w:rPr>
      </w:pPr>
    </w:p>
    <w:p>
      <w:pPr>
        <w:ind w:left="300" w:right="499" w:firstLine="640"/>
        <w:spacing w:after="0" w:line="244" w:lineRule="auto"/>
        <w:tabs>
          <w:tab w:leader="none" w:pos="13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Stock Options</w:t>
      </w:r>
      <w:r>
        <w:rPr>
          <w:rFonts w:ascii="Times New Roman" w:cs="Times New Roman" w:eastAsia="Times New Roman" w:hAnsi="Times New Roman"/>
          <w:sz w:val="22"/>
          <w:szCs w:val="22"/>
          <w:color w:val="auto"/>
        </w:rPr>
        <w:t>. The Administrator may grant Stock Options under the Plan. Any Stock Option granted under the Plan shall be in such form as the Administrator may from time to time approve.</w:t>
      </w:r>
    </w:p>
    <w:p>
      <w:pPr>
        <w:spacing w:after="0" w:line="173" w:lineRule="exact"/>
        <w:rPr>
          <w:sz w:val="20"/>
          <w:szCs w:val="20"/>
          <w:color w:val="auto"/>
        </w:rPr>
      </w:pPr>
    </w:p>
    <w:p>
      <w:pPr>
        <w:ind w:left="300" w:right="379" w:firstLine="648"/>
        <w:spacing w:after="0" w:line="238" w:lineRule="auto"/>
        <w:rPr>
          <w:sz w:val="20"/>
          <w:szCs w:val="20"/>
          <w:color w:val="auto"/>
        </w:rPr>
      </w:pPr>
      <w:r>
        <w:rPr>
          <w:rFonts w:ascii="Times New Roman" w:cs="Times New Roman" w:eastAsia="Times New Roman" w:hAnsi="Times New Roman"/>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7" w:lineRule="exact"/>
        <w:rPr>
          <w:sz w:val="20"/>
          <w:szCs w:val="20"/>
          <w:color w:val="auto"/>
        </w:rPr>
      </w:pPr>
    </w:p>
    <w:p>
      <w:pPr>
        <w:ind w:left="300" w:right="379" w:firstLine="648"/>
        <w:spacing w:after="0" w:line="238" w:lineRule="auto"/>
        <w:rPr>
          <w:sz w:val="20"/>
          <w:szCs w:val="20"/>
          <w:color w:val="auto"/>
        </w:rPr>
      </w:pPr>
      <w:r>
        <w:rPr>
          <w:rFonts w:ascii="Times New Roman" w:cs="Times New Roman" w:eastAsia="Times New Roman" w:hAnsi="Times New Roman"/>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77" w:lineRule="exact"/>
        <w:rPr>
          <w:sz w:val="20"/>
          <w:szCs w:val="20"/>
          <w:color w:val="auto"/>
        </w:rPr>
      </w:pPr>
    </w:p>
    <w:p>
      <w:pPr>
        <w:ind w:left="300" w:right="319" w:firstLine="640"/>
        <w:spacing w:after="0" w:line="234" w:lineRule="auto"/>
        <w:tabs>
          <w:tab w:leader="none" w:pos="13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79" w:lineRule="exact"/>
        <w:rPr>
          <w:rFonts w:ascii="Times New Roman" w:cs="Times New Roman" w:eastAsia="Times New Roman" w:hAnsi="Times New Roman"/>
          <w:sz w:val="22"/>
          <w:szCs w:val="22"/>
          <w:color w:val="auto"/>
        </w:rPr>
      </w:pPr>
    </w:p>
    <w:p>
      <w:pPr>
        <w:jc w:val="both"/>
        <w:ind w:left="300" w:right="559" w:firstLine="640"/>
        <w:spacing w:after="0" w:line="255" w:lineRule="auto"/>
        <w:tabs>
          <w:tab w:leader="none" w:pos="13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61" w:lineRule="exact"/>
        <w:rPr>
          <w:rFonts w:ascii="Times New Roman" w:cs="Times New Roman" w:eastAsia="Times New Roman" w:hAnsi="Times New Roman"/>
          <w:sz w:val="21"/>
          <w:szCs w:val="21"/>
          <w:color w:val="auto"/>
        </w:rPr>
      </w:pPr>
    </w:p>
    <w:p>
      <w:pPr>
        <w:ind w:left="300" w:right="359" w:firstLine="640"/>
        <w:spacing w:after="0" w:line="251" w:lineRule="auto"/>
        <w:tabs>
          <w:tab w:leader="none" w:pos="13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 Rights of a Stockholder</w:t>
      </w:r>
      <w:r>
        <w:rPr>
          <w:rFonts w:ascii="Times New Roman" w:cs="Times New Roman" w:eastAsia="Times New Roman" w:hAnsi="Times New Roman"/>
          <w:sz w:val="21"/>
          <w:szCs w:val="21"/>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68" w:lineRule="exact"/>
        <w:rPr>
          <w:rFonts w:ascii="Times New Roman" w:cs="Times New Roman" w:eastAsia="Times New Roman" w:hAnsi="Times New Roman"/>
          <w:sz w:val="21"/>
          <w:szCs w:val="21"/>
          <w:color w:val="auto"/>
        </w:rPr>
      </w:pPr>
    </w:p>
    <w:p>
      <w:pPr>
        <w:ind w:left="300" w:right="419" w:firstLine="640"/>
        <w:spacing w:after="0" w:line="239" w:lineRule="auto"/>
        <w:tabs>
          <w:tab w:leader="none" w:pos="13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80" w:lineRule="exact"/>
        <w:rPr>
          <w:rFonts w:ascii="Times New Roman" w:cs="Times New Roman" w:eastAsia="Times New Roman" w:hAnsi="Times New Roman"/>
          <w:sz w:val="22"/>
          <w:szCs w:val="22"/>
          <w:color w:val="auto"/>
        </w:rPr>
      </w:pPr>
    </w:p>
    <w:p>
      <w:pPr>
        <w:ind w:left="2060" w:hanging="472"/>
        <w:spacing w:after="0"/>
        <w:tabs>
          <w:tab w:leader="none" w:pos="20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by certified or bank check or other instrument acceptable to the</w:t>
      </w:r>
    </w:p>
    <w:p>
      <w:pPr>
        <w:spacing w:after="0" w:line="14" w:lineRule="exact"/>
        <w:rPr>
          <w:rFonts w:ascii="Times New Roman" w:cs="Times New Roman" w:eastAsia="Times New Roman" w:hAnsi="Times New Roman"/>
          <w:sz w:val="22"/>
          <w:szCs w:val="22"/>
          <w:color w:val="auto"/>
        </w:rPr>
      </w:pPr>
    </w:p>
    <w:p>
      <w:pPr>
        <w:ind w:left="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Administrator;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1" w:name="page42"/>
    <w:bookmarkEnd w:id="41"/>
    <w:p>
      <w:pPr>
        <w:jc w:val="both"/>
        <w:ind w:left="300" w:right="639" w:firstLine="1288"/>
        <w:spacing w:after="0" w:line="239" w:lineRule="auto"/>
        <w:tabs>
          <w:tab w:leader="none" w:pos="206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0" w:lineRule="exact"/>
        <w:rPr>
          <w:rFonts w:ascii="Times New Roman" w:cs="Times New Roman" w:eastAsia="Times New Roman" w:hAnsi="Times New Roman"/>
          <w:sz w:val="22"/>
          <w:szCs w:val="22"/>
          <w:color w:val="auto"/>
        </w:rPr>
      </w:pPr>
    </w:p>
    <w:p>
      <w:pPr>
        <w:ind w:left="300" w:right="319" w:firstLine="1288"/>
        <w:spacing w:after="0" w:line="236" w:lineRule="auto"/>
        <w:tabs>
          <w:tab w:leader="none" w:pos="206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1" w:lineRule="exact"/>
        <w:rPr>
          <w:rFonts w:ascii="Times New Roman" w:cs="Times New Roman" w:eastAsia="Times New Roman" w:hAnsi="Times New Roman"/>
          <w:sz w:val="22"/>
          <w:szCs w:val="22"/>
          <w:color w:val="auto"/>
        </w:rPr>
      </w:pPr>
    </w:p>
    <w:p>
      <w:pPr>
        <w:jc w:val="both"/>
        <w:ind w:left="300" w:right="299" w:firstLine="1288"/>
        <w:spacing w:after="0" w:line="239" w:lineRule="auto"/>
        <w:tabs>
          <w:tab w:leader="none" w:pos="206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0" w:lineRule="exact"/>
        <w:rPr>
          <w:sz w:val="20"/>
          <w:szCs w:val="20"/>
          <w:color w:val="auto"/>
        </w:rPr>
      </w:pPr>
    </w:p>
    <w:p>
      <w:pPr>
        <w:ind w:left="300" w:right="339"/>
        <w:spacing w:after="0" w:line="233" w:lineRule="auto"/>
        <w:rPr>
          <w:sz w:val="20"/>
          <w:szCs w:val="20"/>
          <w:color w:val="auto"/>
        </w:rPr>
      </w:pPr>
      <w:r>
        <w:rPr>
          <w:rFonts w:ascii="Times New Roman" w:cs="Times New Roman" w:eastAsia="Times New Roman" w:hAnsi="Times New Roman"/>
          <w:sz w:val="22"/>
          <w:szCs w:val="22"/>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0" w:lineRule="exact"/>
        <w:rPr>
          <w:sz w:val="20"/>
          <w:szCs w:val="20"/>
          <w:color w:val="auto"/>
        </w:rPr>
      </w:pPr>
    </w:p>
    <w:p>
      <w:pPr>
        <w:ind w:left="300" w:right="379" w:firstLine="640"/>
        <w:spacing w:after="0" w:line="235" w:lineRule="auto"/>
        <w:tabs>
          <w:tab w:leader="none" w:pos="13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Limit on Incentive Stock Options</w:t>
      </w:r>
      <w:r>
        <w:rPr>
          <w:rFonts w:ascii="Times New Roman" w:cs="Times New Roman" w:eastAsia="Times New Roman" w:hAnsi="Times New Roman"/>
          <w:sz w:val="22"/>
          <w:szCs w:val="22"/>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STOCK APPRECIATION RIGHTS</w:t>
      </w:r>
    </w:p>
    <w:p>
      <w:pPr>
        <w:spacing w:after="0" w:line="206" w:lineRule="exact"/>
        <w:rPr>
          <w:sz w:val="20"/>
          <w:szCs w:val="20"/>
          <w:color w:val="auto"/>
        </w:rPr>
      </w:pPr>
    </w:p>
    <w:p>
      <w:pPr>
        <w:ind w:left="300" w:right="579" w:firstLine="640"/>
        <w:spacing w:after="0" w:line="251" w:lineRule="auto"/>
        <w:tabs>
          <w:tab w:leader="none" w:pos="13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 of Stock Appreciation Rights</w:t>
      </w:r>
      <w:r>
        <w:rPr>
          <w:rFonts w:ascii="Times New Roman" w:cs="Times New Roman" w:eastAsia="Times New Roman" w:hAnsi="Times New Roman"/>
          <w:sz w:val="21"/>
          <w:szCs w:val="21"/>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2" w:name="page43"/>
    <w:bookmarkEnd w:id="42"/>
    <w:p>
      <w:pPr>
        <w:ind w:left="300" w:right="439"/>
        <w:spacing w:after="0" w:line="258" w:lineRule="auto"/>
        <w:rPr>
          <w:sz w:val="20"/>
          <w:szCs w:val="20"/>
          <w:color w:val="auto"/>
        </w:rPr>
      </w:pPr>
      <w:r>
        <w:rPr>
          <w:rFonts w:ascii="Times New Roman" w:cs="Times New Roman" w:eastAsia="Times New Roman" w:hAnsi="Times New Roman"/>
          <w:sz w:val="22"/>
          <w:szCs w:val="22"/>
          <w:color w:val="auto"/>
        </w:rPr>
        <w:t>multiplied by the number of shares of Stock with respect to which the Stock Appreciation Right shall have been exercised.</w:t>
      </w:r>
    </w:p>
    <w:p>
      <w:pPr>
        <w:spacing w:after="0" w:line="158" w:lineRule="exact"/>
        <w:rPr>
          <w:sz w:val="20"/>
          <w:szCs w:val="20"/>
          <w:color w:val="auto"/>
        </w:rPr>
      </w:pPr>
    </w:p>
    <w:p>
      <w:pPr>
        <w:ind w:left="300" w:right="299" w:firstLine="640"/>
        <w:spacing w:after="0" w:line="235" w:lineRule="auto"/>
        <w:tabs>
          <w:tab w:leader="none" w:pos="13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 of Stock Appreciation Rights</w:t>
      </w:r>
      <w:r>
        <w:rPr>
          <w:rFonts w:ascii="Times New Roman" w:cs="Times New Roman" w:eastAsia="Times New Roman" w:hAnsi="Times New Roman"/>
          <w:sz w:val="22"/>
          <w:szCs w:val="22"/>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183" w:lineRule="exact"/>
        <w:rPr>
          <w:rFonts w:ascii="Times New Roman" w:cs="Times New Roman" w:eastAsia="Times New Roman" w:hAnsi="Times New Roman"/>
          <w:sz w:val="22"/>
          <w:szCs w:val="22"/>
          <w:color w:val="auto"/>
        </w:rPr>
      </w:pPr>
    </w:p>
    <w:p>
      <w:pPr>
        <w:ind w:left="300" w:right="299" w:firstLine="640"/>
        <w:spacing w:after="0" w:line="244" w:lineRule="auto"/>
        <w:tabs>
          <w:tab w:leader="none" w:pos="13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and Exercise of Stock Appreciation Rights</w:t>
      </w:r>
      <w:r>
        <w:rPr>
          <w:rFonts w:ascii="Times New Roman" w:cs="Times New Roman" w:eastAsia="Times New Roman" w:hAnsi="Times New Roman"/>
          <w:sz w:val="22"/>
          <w:szCs w:val="22"/>
          <w:color w:val="auto"/>
        </w:rPr>
        <w:t>. Stock Appreciation Rights may be granted by the Administrator independently of any Stock Option granted pursuant to Section 5 of the Plan.</w:t>
      </w:r>
    </w:p>
    <w:p>
      <w:pPr>
        <w:spacing w:after="0" w:line="173" w:lineRule="exact"/>
        <w:rPr>
          <w:rFonts w:ascii="Times New Roman" w:cs="Times New Roman" w:eastAsia="Times New Roman" w:hAnsi="Times New Roman"/>
          <w:sz w:val="22"/>
          <w:szCs w:val="22"/>
          <w:color w:val="auto"/>
        </w:rPr>
      </w:pPr>
    </w:p>
    <w:p>
      <w:pPr>
        <w:ind w:left="300" w:right="319" w:firstLine="640"/>
        <w:spacing w:after="0" w:line="238" w:lineRule="auto"/>
        <w:tabs>
          <w:tab w:leader="none" w:pos="13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 of Stock Appreciation Rights</w:t>
      </w:r>
      <w:r>
        <w:rPr>
          <w:rFonts w:ascii="Times New Roman" w:cs="Times New Roman" w:eastAsia="Times New Roman" w:hAnsi="Times New Roman"/>
          <w:sz w:val="22"/>
          <w:szCs w:val="22"/>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RESTRICTED STOCK AWARDS</w:t>
      </w:r>
    </w:p>
    <w:p>
      <w:pPr>
        <w:spacing w:after="0" w:line="206" w:lineRule="exact"/>
        <w:rPr>
          <w:sz w:val="20"/>
          <w:szCs w:val="20"/>
          <w:color w:val="auto"/>
        </w:rPr>
      </w:pPr>
    </w:p>
    <w:p>
      <w:pPr>
        <w:jc w:val="both"/>
        <w:ind w:left="300" w:right="439" w:firstLine="640"/>
        <w:spacing w:after="0" w:line="249" w:lineRule="auto"/>
        <w:tabs>
          <w:tab w:leader="none" w:pos="13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Restricted Stock Awards</w:t>
      </w:r>
      <w:r>
        <w:rPr>
          <w:rFonts w:ascii="Times New Roman" w:cs="Times New Roman" w:eastAsia="Times New Roman" w:hAnsi="Times New Roman"/>
          <w:sz w:val="21"/>
          <w:szCs w:val="21"/>
          <w:color w:val="auto"/>
        </w:rPr>
        <w:t>. The Administrator may grant Restricted Stock Awards under the Plan. A Restricted Stock Award is any Award of Restricted Shares subject to such restrictions and conditions as the Administrator may determine at the time of grant.</w:t>
      </w:r>
    </w:p>
    <w:p>
      <w:pPr>
        <w:spacing w:after="0" w:line="1" w:lineRule="exact"/>
        <w:rPr>
          <w:rFonts w:ascii="Times New Roman" w:cs="Times New Roman" w:eastAsia="Times New Roman" w:hAnsi="Times New Roman"/>
          <w:sz w:val="21"/>
          <w:szCs w:val="21"/>
          <w:color w:val="auto"/>
        </w:rPr>
      </w:pPr>
    </w:p>
    <w:p>
      <w:pPr>
        <w:ind w:left="300" w:right="83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Conditions may be based on continuing employment (or other Service Relationship) and/or achievement of pre-established performance goals and objectives.</w:t>
      </w:r>
    </w:p>
    <w:p>
      <w:pPr>
        <w:spacing w:after="0" w:line="178" w:lineRule="exact"/>
        <w:rPr>
          <w:rFonts w:ascii="Times New Roman" w:cs="Times New Roman" w:eastAsia="Times New Roman" w:hAnsi="Times New Roman"/>
          <w:sz w:val="21"/>
          <w:szCs w:val="21"/>
          <w:color w:val="auto"/>
        </w:rPr>
      </w:pPr>
    </w:p>
    <w:p>
      <w:pPr>
        <w:ind w:left="300" w:right="299" w:firstLine="640"/>
        <w:spacing w:after="0" w:line="244" w:lineRule="auto"/>
        <w:tabs>
          <w:tab w:leader="none" w:pos="13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Upon the grant of the Restricted Stock Award and payment of any applicable purchase price, if any,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83" w:lineRule="exact"/>
        <w:rPr>
          <w:rFonts w:ascii="Times New Roman" w:cs="Times New Roman" w:eastAsia="Times New Roman" w:hAnsi="Times New Roman"/>
          <w:sz w:val="21"/>
          <w:szCs w:val="21"/>
          <w:color w:val="auto"/>
        </w:rPr>
      </w:pPr>
    </w:p>
    <w:p>
      <w:pPr>
        <w:ind w:left="300" w:right="479" w:firstLine="640"/>
        <w:spacing w:after="0" w:line="255" w:lineRule="auto"/>
        <w:tabs>
          <w:tab w:leader="none" w:pos="13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3" w:name="page44"/>
    <w:bookmarkEnd w:id="43"/>
    <w:p>
      <w:pPr>
        <w:ind w:left="300" w:right="319"/>
        <w:spacing w:after="0" w:line="234" w:lineRule="auto"/>
        <w:rPr>
          <w:sz w:val="20"/>
          <w:szCs w:val="20"/>
          <w:color w:val="auto"/>
        </w:rPr>
      </w:pPr>
      <w:r>
        <w:rPr>
          <w:rFonts w:ascii="Times New Roman" w:cs="Times New Roman" w:eastAsia="Times New Roman" w:hAnsi="Times New Roman"/>
          <w:sz w:val="22"/>
          <w:szCs w:val="22"/>
          <w:color w:val="auto"/>
        </w:rPr>
        <w:t>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79" w:lineRule="exact"/>
        <w:rPr>
          <w:sz w:val="20"/>
          <w:szCs w:val="20"/>
          <w:color w:val="auto"/>
        </w:rPr>
      </w:pPr>
    </w:p>
    <w:p>
      <w:pPr>
        <w:ind w:left="300" w:right="319" w:firstLine="640"/>
        <w:spacing w:after="0" w:line="249" w:lineRule="auto"/>
        <w:tabs>
          <w:tab w:leader="none" w:pos="13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Restricted Shares</w:t>
      </w:r>
      <w:r>
        <w:rPr>
          <w:rFonts w:ascii="Times New Roman" w:cs="Times New Roman" w:eastAsia="Times New Roman" w:hAnsi="Times New Roman"/>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RESTRICTED STOCK UNITS</w:t>
      </w:r>
    </w:p>
    <w:p>
      <w:pPr>
        <w:spacing w:after="0" w:line="206" w:lineRule="exact"/>
        <w:rPr>
          <w:sz w:val="20"/>
          <w:szCs w:val="20"/>
          <w:color w:val="auto"/>
        </w:rPr>
      </w:pPr>
    </w:p>
    <w:p>
      <w:pPr>
        <w:ind w:left="300" w:right="419" w:firstLine="640"/>
        <w:spacing w:after="0" w:line="235" w:lineRule="auto"/>
        <w:tabs>
          <w:tab w:leader="none" w:pos="13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Restricted Stock Units</w:t>
      </w:r>
      <w:r>
        <w:rPr>
          <w:rFonts w:ascii="Times New Roman" w:cs="Times New Roman" w:eastAsia="Times New Roman" w:hAnsi="Times New Roman"/>
          <w:sz w:val="22"/>
          <w:szCs w:val="22"/>
          <w:color w:val="auto"/>
        </w:rPr>
        <w:t xml:space="preserve">.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w:t>
      </w:r>
      <w:r>
        <w:rPr>
          <w:rFonts w:ascii="Times New Roman" w:cs="Times New Roman" w:eastAsia="Times New Roman" w:hAnsi="Times New Roman"/>
          <w:sz w:val="19"/>
          <w:szCs w:val="19"/>
          <w:color w:val="auto"/>
        </w:rPr>
        <w:t>(or cash, to the extent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explicitly provided for in the Award Certificate)</w:t>
      </w:r>
      <w:r>
        <w:rPr>
          <w:rFonts w:ascii="Times New Roman" w:cs="Times New Roman" w:eastAsia="Times New Roman" w:hAnsi="Times New Roman"/>
          <w:sz w:val="21"/>
          <w:szCs w:val="21"/>
          <w:color w:val="auto"/>
        </w:rPr>
        <w:t>. Restricted Stock Units with deferred settlement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dates are subject to Section 409A and shall contain such additional terms and conditions as the Administrator shall determine in its sole discretion in order to comply with the requirements of Section 409A.</w:t>
      </w:r>
    </w:p>
    <w:p>
      <w:pPr>
        <w:spacing w:after="0" w:line="183" w:lineRule="exact"/>
        <w:rPr>
          <w:rFonts w:ascii="Times New Roman" w:cs="Times New Roman" w:eastAsia="Times New Roman" w:hAnsi="Times New Roman"/>
          <w:sz w:val="22"/>
          <w:szCs w:val="22"/>
          <w:color w:val="auto"/>
        </w:rPr>
      </w:pPr>
    </w:p>
    <w:p>
      <w:pPr>
        <w:ind w:left="300" w:right="319" w:firstLine="640"/>
        <w:spacing w:after="0" w:line="245" w:lineRule="auto"/>
        <w:tabs>
          <w:tab w:leader="none" w:pos="13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to Receive Restricted Stock Units in Lieu of Compensation</w:t>
      </w:r>
      <w:r>
        <w:rPr>
          <w:rFonts w:ascii="Times New Roman" w:cs="Times New Roman" w:eastAsia="Times New Roman" w:hAnsi="Times New Roman"/>
          <w:sz w:val="21"/>
          <w:szCs w:val="21"/>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4" w:name="page45"/>
    <w:bookmarkEnd w:id="44"/>
    <w:p>
      <w:pPr>
        <w:ind w:left="300" w:right="699"/>
        <w:spacing w:after="0" w:line="282" w:lineRule="auto"/>
        <w:rPr>
          <w:sz w:val="20"/>
          <w:szCs w:val="20"/>
          <w:color w:val="auto"/>
        </w:rPr>
      </w:pPr>
      <w:r>
        <w:rPr>
          <w:rFonts w:ascii="Times New Roman" w:cs="Times New Roman" w:eastAsia="Times New Roman" w:hAnsi="Times New Roman"/>
          <w:sz w:val="21"/>
          <w:szCs w:val="21"/>
          <w:color w:val="auto"/>
        </w:rPr>
        <w:t>deems appropriate. Any Restricted Stock Units that are elected to be received in lieu of cash compensation shall be fully vested, unless otherwise provided in the Award Certificate.</w:t>
      </w:r>
    </w:p>
    <w:p>
      <w:pPr>
        <w:spacing w:after="0" w:line="135" w:lineRule="exact"/>
        <w:rPr>
          <w:sz w:val="20"/>
          <w:szCs w:val="20"/>
          <w:color w:val="auto"/>
        </w:rPr>
      </w:pPr>
    </w:p>
    <w:p>
      <w:pPr>
        <w:ind w:left="300" w:right="459" w:firstLine="640"/>
        <w:spacing w:after="0" w:line="238" w:lineRule="auto"/>
        <w:tabs>
          <w:tab w:leader="none" w:pos="13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76" w:lineRule="exact"/>
        <w:rPr>
          <w:rFonts w:ascii="Times New Roman" w:cs="Times New Roman" w:eastAsia="Times New Roman" w:hAnsi="Times New Roman"/>
          <w:sz w:val="22"/>
          <w:szCs w:val="22"/>
          <w:color w:val="auto"/>
        </w:rPr>
      </w:pPr>
    </w:p>
    <w:p>
      <w:pPr>
        <w:ind w:left="300" w:right="559" w:firstLine="640"/>
        <w:spacing w:after="0" w:line="238" w:lineRule="auto"/>
        <w:tabs>
          <w:tab w:leader="none" w:pos="13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UNRESTRICTED STOCK AWARDS</w:t>
      </w:r>
    </w:p>
    <w:p>
      <w:pPr>
        <w:spacing w:after="0" w:line="206" w:lineRule="exact"/>
        <w:rPr>
          <w:sz w:val="20"/>
          <w:szCs w:val="20"/>
          <w:color w:val="auto"/>
        </w:rPr>
      </w:pPr>
    </w:p>
    <w:p>
      <w:pPr>
        <w:ind w:left="300" w:right="359"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Grant or Sale of Unrestricted Stock</w:t>
      </w:r>
      <w:r>
        <w:rPr>
          <w:rFonts w:ascii="Times New Roman" w:cs="Times New Roman" w:eastAsia="Times New Roman" w:hAnsi="Times New Roman"/>
          <w:sz w:val="22"/>
          <w:szCs w:val="22"/>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CASH-BASED AWARDS</w:t>
      </w:r>
    </w:p>
    <w:p>
      <w:pPr>
        <w:spacing w:after="0" w:line="206" w:lineRule="exact"/>
        <w:rPr>
          <w:sz w:val="20"/>
          <w:szCs w:val="20"/>
          <w:color w:val="auto"/>
        </w:rPr>
      </w:pPr>
    </w:p>
    <w:p>
      <w:pPr>
        <w:ind w:left="300" w:right="339" w:firstLine="648"/>
        <w:spacing w:after="0" w:line="234" w:lineRule="auto"/>
        <w:rPr>
          <w:sz w:val="20"/>
          <w:szCs w:val="20"/>
          <w:color w:val="auto"/>
        </w:rPr>
      </w:pPr>
      <w:r>
        <w:rPr>
          <w:rFonts w:ascii="Times New Roman" w:cs="Times New Roman" w:eastAsia="Times New Roman" w:hAnsi="Times New Roman"/>
          <w:sz w:val="22"/>
          <w:szCs w:val="22"/>
          <w:u w:val="single" w:color="auto"/>
          <w:color w:val="auto"/>
        </w:rPr>
        <w:t>Grant of Cash-Based Awards</w:t>
      </w:r>
      <w:r>
        <w:rPr>
          <w:rFonts w:ascii="Times New Roman" w:cs="Times New Roman" w:eastAsia="Times New Roman" w:hAnsi="Times New Roman"/>
          <w:sz w:val="22"/>
          <w:szCs w:val="22"/>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DIVIDEND EQUIVALENT RIGHTS</w:t>
      </w:r>
    </w:p>
    <w:p>
      <w:pPr>
        <w:spacing w:after="0" w:line="206" w:lineRule="exact"/>
        <w:rPr>
          <w:sz w:val="20"/>
          <w:szCs w:val="20"/>
          <w:color w:val="auto"/>
        </w:rPr>
      </w:pPr>
    </w:p>
    <w:p>
      <w:pPr>
        <w:ind w:left="300" w:right="339" w:firstLine="640"/>
        <w:spacing w:after="0" w:line="246" w:lineRule="auto"/>
        <w:tabs>
          <w:tab w:leader="none" w:pos="13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Rights</w:t>
      </w:r>
      <w:r>
        <w:rPr>
          <w:rFonts w:ascii="Times New Roman" w:cs="Times New Roman" w:eastAsia="Times New Roman" w:hAnsi="Times New Roman"/>
          <w:sz w:val="21"/>
          <w:szCs w:val="21"/>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5" w:name="page46"/>
    <w:bookmarkEnd w:id="45"/>
    <w:p>
      <w:pPr>
        <w:ind w:left="300" w:right="439"/>
        <w:spacing w:after="0" w:line="235" w:lineRule="auto"/>
        <w:rPr>
          <w:sz w:val="20"/>
          <w:szCs w:val="20"/>
          <w:color w:val="auto"/>
        </w:rPr>
      </w:pPr>
      <w:r>
        <w:rPr>
          <w:rFonts w:ascii="Times New Roman" w:cs="Times New Roman" w:eastAsia="Times New Roman" w:hAnsi="Times New Roman"/>
          <w:sz w:val="22"/>
          <w:szCs w:val="22"/>
          <w:color w:val="auto"/>
        </w:rPr>
        <w:t>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83" w:lineRule="exact"/>
        <w:rPr>
          <w:sz w:val="20"/>
          <w:szCs w:val="20"/>
          <w:color w:val="auto"/>
        </w:rPr>
      </w:pPr>
    </w:p>
    <w:p>
      <w:pPr>
        <w:ind w:left="300" w:right="559" w:firstLine="640"/>
        <w:spacing w:after="0" w:line="238" w:lineRule="auto"/>
        <w:tabs>
          <w:tab w:leader="none" w:pos="1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TRANSFERABILITY OF AWARDS</w:t>
      </w:r>
    </w:p>
    <w:p>
      <w:pPr>
        <w:spacing w:after="0" w:line="206" w:lineRule="exact"/>
        <w:rPr>
          <w:sz w:val="20"/>
          <w:szCs w:val="20"/>
          <w:color w:val="auto"/>
        </w:rPr>
      </w:pPr>
    </w:p>
    <w:p>
      <w:pPr>
        <w:ind w:left="300" w:right="499" w:firstLine="640"/>
        <w:spacing w:after="0" w:line="235" w:lineRule="auto"/>
        <w:tabs>
          <w:tab w:leader="none" w:pos="1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3" w:lineRule="exact"/>
        <w:rPr>
          <w:rFonts w:ascii="Times New Roman" w:cs="Times New Roman" w:eastAsia="Times New Roman" w:hAnsi="Times New Roman"/>
          <w:sz w:val="22"/>
          <w:szCs w:val="22"/>
          <w:color w:val="auto"/>
        </w:rPr>
      </w:pPr>
    </w:p>
    <w:p>
      <w:pPr>
        <w:ind w:left="300" w:right="339" w:firstLine="640"/>
        <w:spacing w:after="0" w:line="235" w:lineRule="auto"/>
        <w:tabs>
          <w:tab w:leader="none" w:pos="1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Action</w:t>
      </w:r>
      <w:r>
        <w:rPr>
          <w:rFonts w:ascii="Times New Roman" w:cs="Times New Roman" w:eastAsia="Times New Roman" w:hAnsi="Times New Roman"/>
          <w:sz w:val="22"/>
          <w:szCs w:val="22"/>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78" w:lineRule="exact"/>
        <w:rPr>
          <w:rFonts w:ascii="Times New Roman" w:cs="Times New Roman" w:eastAsia="Times New Roman" w:hAnsi="Times New Roman"/>
          <w:sz w:val="22"/>
          <w:szCs w:val="22"/>
          <w:color w:val="auto"/>
        </w:rPr>
      </w:pPr>
    </w:p>
    <w:p>
      <w:pPr>
        <w:ind w:left="300" w:right="459" w:firstLine="640"/>
        <w:spacing w:after="0" w:line="235" w:lineRule="auto"/>
        <w:tabs>
          <w:tab w:leader="none" w:pos="1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8" w:lineRule="exact"/>
        <w:rPr>
          <w:rFonts w:ascii="Times New Roman" w:cs="Times New Roman" w:eastAsia="Times New Roman" w:hAnsi="Times New Roman"/>
          <w:sz w:val="22"/>
          <w:szCs w:val="22"/>
          <w:color w:val="auto"/>
        </w:rPr>
      </w:pPr>
    </w:p>
    <w:p>
      <w:pPr>
        <w:ind w:left="300" w:right="359" w:firstLine="640"/>
        <w:spacing w:after="0" w:line="238" w:lineRule="auto"/>
        <w:tabs>
          <w:tab w:leader="none" w:pos="1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Beneficiary</w:t>
      </w:r>
      <w:r>
        <w:rPr>
          <w:rFonts w:ascii="Times New Roman" w:cs="Times New Roman" w:eastAsia="Times New Roman" w:hAnsi="Times New Roman"/>
          <w:sz w:val="22"/>
          <w:szCs w:val="22"/>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6" w:name="page47"/>
    <w:bookmarkEnd w:id="46"/>
    <w:p>
      <w:pPr>
        <w:ind w:left="300" w:right="559"/>
        <w:spacing w:after="0" w:line="258" w:lineRule="auto"/>
        <w:rPr>
          <w:sz w:val="20"/>
          <w:szCs w:val="20"/>
          <w:color w:val="auto"/>
        </w:rPr>
      </w:pPr>
      <w:r>
        <w:rPr>
          <w:rFonts w:ascii="Times New Roman" w:cs="Times New Roman" w:eastAsia="Times New Roman" w:hAnsi="Times New Roman"/>
          <w:sz w:val="22"/>
          <w:szCs w:val="22"/>
          <w:color w:val="auto"/>
        </w:rPr>
        <w:t>has been designated by a deceased grantee, or if the designated beneficiaries have predeceased the grantee, the beneficiary shall be the grantee’s estate.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TAX WITHHOLDING</w:t>
      </w:r>
    </w:p>
    <w:p>
      <w:pPr>
        <w:spacing w:after="0" w:line="206" w:lineRule="exact"/>
        <w:rPr>
          <w:sz w:val="20"/>
          <w:szCs w:val="20"/>
          <w:color w:val="auto"/>
        </w:rPr>
      </w:pPr>
    </w:p>
    <w:p>
      <w:pPr>
        <w:ind w:left="300" w:right="299" w:firstLine="640"/>
        <w:spacing w:after="0" w:line="234" w:lineRule="auto"/>
        <w:tabs>
          <w:tab w:leader="none" w:pos="1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by Grantee</w:t>
      </w:r>
      <w:r>
        <w:rPr>
          <w:rFonts w:ascii="Times New Roman" w:cs="Times New Roman" w:eastAsia="Times New Roman" w:hAnsi="Times New Roman"/>
          <w:sz w:val="22"/>
          <w:szCs w:val="22"/>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83" w:lineRule="exact"/>
        <w:rPr>
          <w:rFonts w:ascii="Times New Roman" w:cs="Times New Roman" w:eastAsia="Times New Roman" w:hAnsi="Times New Roman"/>
          <w:sz w:val="22"/>
          <w:szCs w:val="22"/>
          <w:color w:val="auto"/>
        </w:rPr>
      </w:pPr>
    </w:p>
    <w:p>
      <w:pPr>
        <w:ind w:left="300" w:right="299" w:firstLine="640"/>
        <w:spacing w:after="0" w:line="233" w:lineRule="auto"/>
        <w:tabs>
          <w:tab w:leader="none" w:pos="1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in Stock</w:t>
      </w:r>
      <w:r>
        <w:rPr>
          <w:rFonts w:ascii="Times New Roman" w:cs="Times New Roman" w:eastAsia="Times New Roman" w:hAnsi="Times New Roman"/>
          <w:sz w:val="22"/>
          <w:szCs w:val="22"/>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SECTION 409A AWARDS</w:t>
      </w:r>
    </w:p>
    <w:p>
      <w:pPr>
        <w:spacing w:after="0" w:line="206" w:lineRule="exact"/>
        <w:rPr>
          <w:sz w:val="20"/>
          <w:szCs w:val="20"/>
          <w:color w:val="auto"/>
        </w:rPr>
      </w:pPr>
    </w:p>
    <w:p>
      <w:pPr>
        <w:ind w:left="300" w:right="319" w:firstLine="648"/>
        <w:spacing w:after="0" w:line="244" w:lineRule="auto"/>
        <w:rPr>
          <w:sz w:val="20"/>
          <w:szCs w:val="20"/>
          <w:color w:val="auto"/>
        </w:rPr>
      </w:pPr>
      <w:r>
        <w:rPr>
          <w:rFonts w:ascii="Times New Roman" w:cs="Times New Roman" w:eastAsia="Times New Roman" w:hAnsi="Times New Roman"/>
          <w:sz w:val="21"/>
          <w:szCs w:val="21"/>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7" w:name="page48"/>
    <w:bookmarkEnd w:id="47"/>
    <w:p>
      <w:pPr>
        <w:ind w:left="1720" w:right="579" w:hanging="1425"/>
        <w:spacing w:after="0" w:line="258"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TERMINATION OF SERVICE RELATIONSHIP, TRANSFER, LEAVE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ABSENCE, ETC.</w:t>
      </w:r>
    </w:p>
    <w:p>
      <w:pPr>
        <w:spacing w:after="0" w:line="158" w:lineRule="exact"/>
        <w:rPr>
          <w:sz w:val="20"/>
          <w:szCs w:val="20"/>
          <w:color w:val="auto"/>
        </w:rPr>
      </w:pPr>
    </w:p>
    <w:p>
      <w:pPr>
        <w:ind w:left="300" w:right="539" w:firstLine="640"/>
        <w:spacing w:after="0" w:line="244" w:lineRule="auto"/>
        <w:tabs>
          <w:tab w:leader="none" w:pos="1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Service Relationship is with an Affiliate and such Affiliate ceases to be an Affiliate, the grantee shall be deemed to have terminated his or her Service Relationship for purposes of the Plan.</w:t>
      </w:r>
    </w:p>
    <w:p>
      <w:pPr>
        <w:spacing w:after="0" w:line="173" w:lineRule="exact"/>
        <w:rPr>
          <w:rFonts w:ascii="Times New Roman" w:cs="Times New Roman" w:eastAsia="Times New Roman" w:hAnsi="Times New Roman"/>
          <w:sz w:val="22"/>
          <w:szCs w:val="22"/>
          <w:color w:val="auto"/>
        </w:rPr>
      </w:pPr>
    </w:p>
    <w:p>
      <w:pPr>
        <w:ind w:left="300" w:right="299" w:firstLine="640"/>
        <w:spacing w:after="0" w:line="258" w:lineRule="auto"/>
        <w:tabs>
          <w:tab w:leader="none" w:pos="1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Plan, the following events shall not be deemed a termination of a Service Relationship:</w:t>
      </w:r>
    </w:p>
    <w:p>
      <w:pPr>
        <w:spacing w:after="0" w:line="158" w:lineRule="exact"/>
        <w:rPr>
          <w:rFonts w:ascii="Times New Roman" w:cs="Times New Roman" w:eastAsia="Times New Roman" w:hAnsi="Times New Roman"/>
          <w:sz w:val="22"/>
          <w:szCs w:val="22"/>
          <w:color w:val="auto"/>
        </w:rPr>
      </w:pPr>
    </w:p>
    <w:p>
      <w:pPr>
        <w:ind w:left="300" w:right="499" w:firstLine="1288"/>
        <w:spacing w:after="0" w:line="258" w:lineRule="auto"/>
        <w:tabs>
          <w:tab w:leader="none" w:pos="206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the employment of the Company from an Affiliate or from the Company to an Affiliate, or from one Affiliate to another; or</w:t>
      </w:r>
    </w:p>
    <w:p>
      <w:pPr>
        <w:spacing w:after="0" w:line="158" w:lineRule="exact"/>
        <w:rPr>
          <w:rFonts w:ascii="Times New Roman" w:cs="Times New Roman" w:eastAsia="Times New Roman" w:hAnsi="Times New Roman"/>
          <w:sz w:val="22"/>
          <w:szCs w:val="22"/>
          <w:color w:val="auto"/>
        </w:rPr>
      </w:pPr>
    </w:p>
    <w:p>
      <w:pPr>
        <w:ind w:left="300" w:right="339" w:firstLine="1288"/>
        <w:spacing w:after="0" w:line="239" w:lineRule="auto"/>
        <w:tabs>
          <w:tab w:leader="none" w:pos="206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AMENDMENTS AND TERMINATION</w:t>
      </w:r>
    </w:p>
    <w:p>
      <w:pPr>
        <w:spacing w:after="0" w:line="206" w:lineRule="exact"/>
        <w:rPr>
          <w:sz w:val="20"/>
          <w:szCs w:val="20"/>
          <w:color w:val="auto"/>
        </w:rPr>
      </w:pPr>
    </w:p>
    <w:p>
      <w:pPr>
        <w:ind w:left="300" w:right="299" w:firstLine="648"/>
        <w:spacing w:after="0" w:line="244" w:lineRule="auto"/>
        <w:rPr>
          <w:sz w:val="20"/>
          <w:szCs w:val="20"/>
          <w:color w:val="auto"/>
        </w:rPr>
      </w:pPr>
      <w:r>
        <w:rPr>
          <w:rFonts w:ascii="Times New Roman" w:cs="Times New Roman" w:eastAsia="Times New Roman" w:hAnsi="Times New Roman"/>
          <w:sz w:val="21"/>
          <w:szCs w:val="21"/>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STATUS OF PLAN</w:t>
      </w:r>
    </w:p>
    <w:p>
      <w:pPr>
        <w:spacing w:after="0" w:line="206" w:lineRule="exact"/>
        <w:rPr>
          <w:sz w:val="20"/>
          <w:szCs w:val="20"/>
          <w:color w:val="auto"/>
        </w:rPr>
      </w:pPr>
    </w:p>
    <w:p>
      <w:pPr>
        <w:ind w:left="300" w:right="299" w:firstLine="648"/>
        <w:spacing w:after="0" w:line="248" w:lineRule="auto"/>
        <w:rPr>
          <w:sz w:val="20"/>
          <w:szCs w:val="20"/>
          <w:color w:val="auto"/>
        </w:rPr>
      </w:pPr>
      <w:r>
        <w:rPr>
          <w:rFonts w:ascii="Times New Roman" w:cs="Times New Roman" w:eastAsia="Times New Roman" w:hAnsi="Times New Roman"/>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GENERAL PROVISIONS</w:t>
      </w:r>
    </w:p>
    <w:p>
      <w:pPr>
        <w:spacing w:after="0" w:line="206" w:lineRule="exact"/>
        <w:rPr>
          <w:sz w:val="20"/>
          <w:szCs w:val="20"/>
          <w:color w:val="auto"/>
        </w:rPr>
      </w:pPr>
    </w:p>
    <w:p>
      <w:pPr>
        <w:ind w:left="300" w:right="479" w:firstLine="640"/>
        <w:spacing w:after="0" w:line="244" w:lineRule="auto"/>
        <w:tabs>
          <w:tab w:leader="none" w:pos="1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Distribution</w:t>
      </w:r>
      <w:r>
        <w:rPr>
          <w:rFonts w:ascii="Times New Roman" w:cs="Times New Roman" w:eastAsia="Times New Roman" w:hAnsi="Times New Roman"/>
          <w:sz w:val="22"/>
          <w:szCs w:val="22"/>
          <w:color w:val="auto"/>
        </w:rPr>
        <w:t>. The Administrator may require each person acquiring Stock pursuant to an Award to represent to and agree with the Company in writing that such person is acquiring the shares without a view to distribution thereof.</w:t>
      </w:r>
    </w:p>
    <w:p>
      <w:pPr>
        <w:spacing w:after="0" w:line="173" w:lineRule="exact"/>
        <w:rPr>
          <w:rFonts w:ascii="Times New Roman" w:cs="Times New Roman" w:eastAsia="Times New Roman" w:hAnsi="Times New Roman"/>
          <w:sz w:val="22"/>
          <w:szCs w:val="22"/>
          <w:color w:val="auto"/>
        </w:rPr>
      </w:pPr>
    </w:p>
    <w:p>
      <w:pPr>
        <w:ind w:left="300" w:right="319" w:firstLine="640"/>
        <w:spacing w:after="0" w:line="243" w:lineRule="auto"/>
        <w:tabs>
          <w:tab w:leader="none" w:pos="13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Stock</w:t>
      </w:r>
      <w:r>
        <w:rPr>
          <w:rFonts w:ascii="Times New Roman" w:cs="Times New Roman" w:eastAsia="Times New Roman" w:hAnsi="Times New Roman"/>
          <w:sz w:val="21"/>
          <w:szCs w:val="21"/>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left="300" w:right="319" w:firstLine="640"/>
        <w:spacing w:after="0" w:line="255" w:lineRule="auto"/>
        <w:tabs>
          <w:tab w:leader="none" w:pos="13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Fractional Shares</w:t>
      </w:r>
      <w:r>
        <w:rPr>
          <w:rFonts w:ascii="Times New Roman" w:cs="Times New Roman" w:eastAsia="Times New Roman" w:hAnsi="Times New Roman"/>
          <w:sz w:val="21"/>
          <w:szCs w:val="21"/>
          <w:color w:val="auto"/>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61" w:lineRule="exact"/>
        <w:rPr>
          <w:rFonts w:ascii="Times New Roman" w:cs="Times New Roman" w:eastAsia="Times New Roman" w:hAnsi="Times New Roman"/>
          <w:sz w:val="21"/>
          <w:szCs w:val="21"/>
          <w:color w:val="auto"/>
        </w:rPr>
      </w:pPr>
    </w:p>
    <w:p>
      <w:pPr>
        <w:jc w:val="both"/>
        <w:ind w:left="300" w:right="299" w:firstLine="640"/>
        <w:spacing w:after="0" w:line="239" w:lineRule="auto"/>
        <w:tabs>
          <w:tab w:leader="none" w:pos="1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Rights</w:t>
      </w:r>
      <w:r>
        <w:rPr>
          <w:rFonts w:ascii="Times New Roman" w:cs="Times New Roman" w:eastAsia="Times New Roman" w:hAnsi="Times New Roman"/>
          <w:sz w:val="22"/>
          <w:szCs w:val="22"/>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80" w:lineRule="exact"/>
        <w:rPr>
          <w:rFonts w:ascii="Times New Roman" w:cs="Times New Roman" w:eastAsia="Times New Roman" w:hAnsi="Times New Roman"/>
          <w:sz w:val="22"/>
          <w:szCs w:val="22"/>
          <w:color w:val="auto"/>
        </w:rPr>
      </w:pPr>
    </w:p>
    <w:p>
      <w:pPr>
        <w:jc w:val="both"/>
        <w:ind w:left="300" w:right="419" w:firstLine="640"/>
        <w:spacing w:after="0" w:line="239" w:lineRule="auto"/>
        <w:tabs>
          <w:tab w:leader="none" w:pos="1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Compensation Arrangements; No Employment Rights</w:t>
      </w:r>
      <w:r>
        <w:rPr>
          <w:rFonts w:ascii="Times New Roman" w:cs="Times New Roman" w:eastAsia="Times New Roman" w:hAnsi="Times New Roman"/>
          <w:sz w:val="22"/>
          <w:szCs w:val="22"/>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9" w:name="page50"/>
    <w:bookmarkEnd w:id="49"/>
    <w:p>
      <w:pPr>
        <w:ind w:left="300" w:right="1099"/>
        <w:spacing w:after="0" w:line="258" w:lineRule="auto"/>
        <w:rPr>
          <w:sz w:val="20"/>
          <w:szCs w:val="20"/>
          <w:color w:val="auto"/>
        </w:rPr>
      </w:pPr>
      <w:r>
        <w:rPr>
          <w:rFonts w:ascii="Times New Roman" w:cs="Times New Roman" w:eastAsia="Times New Roman" w:hAnsi="Times New Roman"/>
          <w:sz w:val="22"/>
          <w:szCs w:val="22"/>
          <w:color w:val="auto"/>
        </w:rPr>
        <w:t>confer upon any employee any right to continued employment with the Company or any Subsidiary.</w:t>
      </w:r>
    </w:p>
    <w:p>
      <w:pPr>
        <w:spacing w:after="0" w:line="158" w:lineRule="exact"/>
        <w:rPr>
          <w:sz w:val="20"/>
          <w:szCs w:val="20"/>
          <w:color w:val="auto"/>
        </w:rPr>
      </w:pPr>
    </w:p>
    <w:p>
      <w:pPr>
        <w:ind w:left="300" w:right="319" w:firstLine="640"/>
        <w:spacing w:after="0" w:line="244" w:lineRule="auto"/>
        <w:tabs>
          <w:tab w:leader="none" w:pos="1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Policy Restrictions</w:t>
      </w:r>
      <w:r>
        <w:rPr>
          <w:rFonts w:ascii="Times New Roman" w:cs="Times New Roman" w:eastAsia="Times New Roman" w:hAnsi="Times New Roman"/>
          <w:sz w:val="22"/>
          <w:szCs w:val="22"/>
          <w:color w:val="auto"/>
        </w:rPr>
        <w:t>. Option exercises and other Awards under the Plan shall be subject to the Company’s insider trading policies and procedures, as in effect from time to time.</w:t>
      </w:r>
    </w:p>
    <w:p>
      <w:pPr>
        <w:spacing w:after="0" w:line="173" w:lineRule="exact"/>
        <w:rPr>
          <w:rFonts w:ascii="Times New Roman" w:cs="Times New Roman" w:eastAsia="Times New Roman" w:hAnsi="Times New Roman"/>
          <w:sz w:val="22"/>
          <w:szCs w:val="22"/>
          <w:color w:val="auto"/>
        </w:rPr>
      </w:pPr>
    </w:p>
    <w:p>
      <w:pPr>
        <w:ind w:left="300" w:right="459" w:firstLine="640"/>
        <w:spacing w:after="0" w:line="238" w:lineRule="auto"/>
        <w:tabs>
          <w:tab w:leader="none" w:pos="1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A participant’s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EFFECTIVE DATE OF PLAN</w:t>
      </w:r>
    </w:p>
    <w:p>
      <w:pPr>
        <w:spacing w:after="0" w:line="206" w:lineRule="exact"/>
        <w:rPr>
          <w:sz w:val="20"/>
          <w:szCs w:val="20"/>
          <w:color w:val="auto"/>
        </w:rPr>
      </w:pPr>
    </w:p>
    <w:p>
      <w:pPr>
        <w:ind w:left="300" w:right="579" w:firstLine="648"/>
        <w:spacing w:after="0" w:line="236" w:lineRule="auto"/>
        <w:rPr>
          <w:sz w:val="20"/>
          <w:szCs w:val="20"/>
          <w:color w:val="auto"/>
        </w:rPr>
      </w:pPr>
      <w:r>
        <w:rPr>
          <w:rFonts w:ascii="Times New Roman" w:cs="Times New Roman" w:eastAsia="Times New Roman" w:hAnsi="Times New Roman"/>
          <w:sz w:val="22"/>
          <w:szCs w:val="22"/>
          <w:color w:val="auto"/>
        </w:rPr>
        <w:t>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u w:val="single" w:color="auto"/>
          <w:color w:val="auto"/>
        </w:rPr>
        <w:t>GOVERNING LAW</w:t>
      </w:r>
    </w:p>
    <w:p>
      <w:pPr>
        <w:spacing w:after="0" w:line="206" w:lineRule="exact"/>
        <w:rPr>
          <w:sz w:val="20"/>
          <w:szCs w:val="20"/>
          <w:color w:val="auto"/>
        </w:rPr>
      </w:pPr>
    </w:p>
    <w:p>
      <w:pPr>
        <w:ind w:left="300" w:right="519" w:firstLine="648"/>
        <w:spacing w:after="0" w:line="238" w:lineRule="auto"/>
        <w:rPr>
          <w:sz w:val="20"/>
          <w:szCs w:val="20"/>
          <w:color w:val="auto"/>
        </w:rPr>
      </w:pPr>
      <w:r>
        <w:rPr>
          <w:rFonts w:ascii="Times New Roman" w:cs="Times New Roman" w:eastAsia="Times New Roman" w:hAnsi="Times New Roman"/>
          <w:sz w:val="22"/>
          <w:szCs w:val="22"/>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 APPROVED BY BOARD OF DIRECTORS: October 7, 2021</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 APPROVED BY STOCKHOLDERS: October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613410</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0" w:name="page51"/>
    <w:bookmarkEnd w:id="50"/>
    <w:p>
      <w:pPr>
        <w:spacing w:after="0" w:line="19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the 2021 Stock Option and Incentive Plan</w:t>
      </w:r>
    </w:p>
    <w:p>
      <w:pPr>
        <w:spacing w:after="0" w:line="225" w:lineRule="exact"/>
        <w:rPr>
          <w:sz w:val="20"/>
          <w:szCs w:val="20"/>
          <w:color w:val="auto"/>
        </w:rPr>
      </w:pPr>
    </w:p>
    <w:p>
      <w:pPr>
        <w:ind w:left="300" w:right="659"/>
        <w:spacing w:after="0" w:line="317" w:lineRule="auto"/>
        <w:rPr>
          <w:sz w:val="20"/>
          <w:szCs w:val="20"/>
          <w:color w:val="auto"/>
        </w:rPr>
      </w:pPr>
      <w:r>
        <w:rPr>
          <w:rFonts w:ascii="Times New Roman" w:cs="Times New Roman" w:eastAsia="Times New Roman" w:hAnsi="Times New Roman"/>
          <w:sz w:val="17"/>
          <w:szCs w:val="17"/>
          <w:color w:val="auto"/>
        </w:rPr>
        <w:t>In accordance with Section 16 of the Aura Biosciences, Inc.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2021 Stock Option and Incentive Plan (the “</w:t>
      </w:r>
      <w:r>
        <w:rPr>
          <w:rFonts w:ascii="Times New Roman" w:cs="Times New Roman" w:eastAsia="Times New Roman" w:hAnsi="Times New Roman"/>
          <w:sz w:val="17"/>
          <w:szCs w:val="17"/>
          <w:b w:val="1"/>
          <w:bCs w:val="1"/>
          <w:u w:val="single" w:color="auto"/>
          <w:color w:val="auto"/>
        </w:rPr>
        <w:t>Plan</w:t>
      </w:r>
      <w:r>
        <w:rPr>
          <w:rFonts w:ascii="Times New Roman" w:cs="Times New Roman" w:eastAsia="Times New Roman" w:hAnsi="Times New Roman"/>
          <w:sz w:val="17"/>
          <w:szCs w:val="17"/>
          <w:color w:val="auto"/>
        </w:rPr>
        <w:t>”), the Plan is hereby amended as follows, subject to approval of the Company’s stockholders:</w:t>
      </w:r>
    </w:p>
    <w:p>
      <w:pPr>
        <w:spacing w:after="0" w:line="136" w:lineRule="exact"/>
        <w:rPr>
          <w:sz w:val="20"/>
          <w:szCs w:val="20"/>
          <w:color w:val="auto"/>
        </w:rPr>
      </w:pPr>
    </w:p>
    <w:p>
      <w:pPr>
        <w:ind w:left="940" w:hanging="324"/>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Plan is hereby amended to include the following as a new definition:</w:t>
      </w:r>
    </w:p>
    <w:p>
      <w:pPr>
        <w:spacing w:after="0" w:line="221" w:lineRule="exact"/>
        <w:rPr>
          <w:rFonts w:ascii="Times New Roman" w:cs="Times New Roman" w:eastAsia="Times New Roman" w:hAnsi="Times New Roman"/>
          <w:sz w:val="18"/>
          <w:szCs w:val="18"/>
          <w:color w:val="auto"/>
        </w:rPr>
      </w:pPr>
    </w:p>
    <w:p>
      <w:pPr>
        <w:ind w:left="940" w:right="33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Shares</w:t>
      </w:r>
      <w:r>
        <w:rPr>
          <w:rFonts w:ascii="Times New Roman" w:cs="Times New Roman" w:eastAsia="Times New Roman" w:hAnsi="Times New Roman"/>
          <w:sz w:val="18"/>
          <w:szCs w:val="18"/>
          <w:color w:val="auto"/>
        </w:rPr>
        <w:t>” means, as of a specified date, the sum of (a) number of shares of Stock issued and outstanding and (b) the number of shares of Stock issuable pursuant to the exercise of any outstanding, pre-funded warrants to acquire shares of Stock for a nominal exercise price.</w:t>
      </w:r>
    </w:p>
    <w:p>
      <w:pPr>
        <w:spacing w:after="0" w:line="20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of the Plan is hereby deleted and replaced as follows:</w:t>
      </w:r>
    </w:p>
    <w:p>
      <w:pPr>
        <w:spacing w:after="0" w:line="225" w:lineRule="exact"/>
        <w:rPr>
          <w:rFonts w:ascii="Times New Roman" w:cs="Times New Roman" w:eastAsia="Times New Roman" w:hAnsi="Times New Roman"/>
          <w:sz w:val="18"/>
          <w:szCs w:val="18"/>
          <w:color w:val="auto"/>
        </w:rPr>
      </w:pPr>
    </w:p>
    <w:p>
      <w:pPr>
        <w:ind w:left="940" w:right="3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3,352,166 shares (the “</w:t>
      </w:r>
      <w:r>
        <w:rPr>
          <w:rFonts w:ascii="Times New Roman" w:cs="Times New Roman" w:eastAsia="Times New Roman" w:hAnsi="Times New Roman"/>
          <w:sz w:val="18"/>
          <w:szCs w:val="18"/>
          <w:b w:val="1"/>
          <w:bCs w:val="1"/>
          <w:color w:val="auto"/>
        </w:rPr>
        <w:t>Initial Limit</w:t>
      </w:r>
      <w:r>
        <w:rPr>
          <w:rFonts w:ascii="Times New Roman" w:cs="Times New Roman" w:eastAsia="Times New Roman" w:hAnsi="Times New Roman"/>
          <w:sz w:val="18"/>
          <w:szCs w:val="18"/>
          <w:color w:val="auto"/>
        </w:rPr>
        <w:t>”), subject to adjustment as provided in this Section 3, plus on January 1, 2022 and each January 1 thereafter, the number of shares of Stock reserved and available for issuance under the Plan shall be cumulatively increased by (i) five percent (5%) of the Outstanding Shares on the immediately preceding December 31 or (ii) such lesser number of shares as determined by the Administrator (the “</w:t>
      </w:r>
      <w:r>
        <w:rPr>
          <w:rFonts w:ascii="Times New Roman" w:cs="Times New Roman" w:eastAsia="Times New Roman" w:hAnsi="Times New Roman"/>
          <w:sz w:val="18"/>
          <w:szCs w:val="18"/>
          <w:b w:val="1"/>
          <w:bCs w:val="1"/>
          <w:color w:val="auto"/>
        </w:rPr>
        <w:t>Annual Increase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This Amendment No. 1 to the Plan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constitutes an integral part of the Plan. For all purposes of this Amendment, capitalized terms used herein without definition shall have the meanings specified in the Plan, as the Plan shall be in effect on the date hereof after giving effect to the Amendment.</w:t>
      </w:r>
    </w:p>
    <w:p>
      <w:pPr>
        <w:spacing w:after="0" w:line="1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Except as set forth herein, all of the terms and conditions of the Plan, as in effect prior to the effectiveness of this Amendment, shall continue to remain in full force and effect as originally stated therein.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APPROVED BY BOARD OF DIRECTORS: June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621665</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jc w:val="center"/>
        <w:ind w:right="-99"/>
        <w:spacing w:after="0"/>
        <w:rPr>
          <w:sz w:val="20"/>
          <w:szCs w:val="20"/>
          <w:color w:val="auto"/>
        </w:rPr>
      </w:pPr>
      <w:r>
        <w:rPr>
          <w:rFonts w:ascii="Times New Roman" w:cs="Times New Roman" w:eastAsia="Times New Roman" w:hAnsi="Times New Roman"/>
          <w:sz w:val="18"/>
          <w:szCs w:val="18"/>
          <w:b w:val="1"/>
          <w:bCs w:val="1"/>
          <w:color w:val="FF0000"/>
        </w:rPr>
        <w:t>PRELIMINARY PROXY CARD — SUBJECT TO COMPLETION, DATED JUNE 17, 2026</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540" w:type="dxa"/>
        <w:tblCellMar>
          <w:top w:w="0" w:type="dxa"/>
          <w:left w:w="0" w:type="dxa"/>
          <w:bottom w:w="0" w:type="dxa"/>
          <w:right w:w="0" w:type="dxa"/>
        </w:tblCellMar>
      </w:tblPr>
      <w:tr>
        <w:trPr>
          <w:trHeight w:val="331"/>
        </w:trPr>
        <w:tc>
          <w:tcPr>
            <w:tcW w:w="2580" w:type="dxa"/>
            <w:vAlign w:val="bottom"/>
          </w:tcPr>
          <w:p>
            <w:pPr>
              <w:spacing w:after="0"/>
              <w:rPr>
                <w:sz w:val="24"/>
                <w:szCs w:val="24"/>
                <w:color w:val="auto"/>
              </w:rPr>
            </w:pPr>
          </w:p>
        </w:tc>
        <w:tc>
          <w:tcPr>
            <w:tcW w:w="4580" w:type="dxa"/>
            <w:vAlign w:val="bottom"/>
          </w:tcPr>
          <w:p>
            <w:pPr>
              <w:ind w:left="2020"/>
              <w:spacing w:after="0"/>
              <w:rPr>
                <w:sz w:val="20"/>
                <w:szCs w:val="20"/>
                <w:color w:val="auto"/>
              </w:rPr>
            </w:pPr>
            <w:r>
              <w:rPr>
                <w:rFonts w:ascii="Arial" w:cs="Arial" w:eastAsia="Arial" w:hAnsi="Arial"/>
                <w:sz w:val="27"/>
                <w:szCs w:val="27"/>
                <w:b w:val="1"/>
                <w:bCs w:val="1"/>
                <w:color w:val="363435"/>
              </w:rPr>
              <w:t>SCAN TO</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4580" w:type="dxa"/>
            <w:vAlign w:val="bottom"/>
          </w:tcPr>
          <w:p>
            <w:pPr>
              <w:ind w:left="2420"/>
              <w:spacing w:after="0"/>
              <w:rPr>
                <w:sz w:val="20"/>
                <w:szCs w:val="20"/>
                <w:color w:val="auto"/>
              </w:rPr>
            </w:pPr>
            <w:r>
              <w:rPr>
                <w:rFonts w:ascii="Arial" w:cs="Arial" w:eastAsia="Arial" w:hAnsi="Arial"/>
                <w:sz w:val="14"/>
                <w:szCs w:val="14"/>
                <w:b w:val="1"/>
                <w:bCs w:val="1"/>
                <w:color w:val="363435"/>
              </w:rPr>
              <w:t>VIEW</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4580" w:type="dxa"/>
            <w:vAlign w:val="bottom"/>
          </w:tcPr>
          <w:p>
            <w:pPr>
              <w:ind w:left="2120"/>
              <w:spacing w:after="0"/>
              <w:rPr>
                <w:sz w:val="20"/>
                <w:szCs w:val="20"/>
                <w:color w:val="auto"/>
              </w:rPr>
            </w:pPr>
            <w:r>
              <w:rPr>
                <w:rFonts w:ascii="Arial" w:cs="Arial" w:eastAsia="Arial" w:hAnsi="Arial"/>
                <w:sz w:val="14"/>
                <w:szCs w:val="14"/>
                <w:b w:val="1"/>
                <w:bCs w:val="1"/>
                <w:color w:val="363435"/>
              </w:rPr>
              <w:t>MATERIALS &amp;</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4580" w:type="dxa"/>
            <w:vAlign w:val="bottom"/>
          </w:tcPr>
          <w:p>
            <w:pPr>
              <w:ind w:left="2420"/>
              <w:spacing w:after="0"/>
              <w:rPr>
                <w:sz w:val="20"/>
                <w:szCs w:val="20"/>
                <w:color w:val="auto"/>
              </w:rPr>
            </w:pPr>
            <w:r>
              <w:rPr>
                <w:rFonts w:ascii="Arial" w:cs="Arial" w:eastAsia="Arial" w:hAnsi="Arial"/>
                <w:sz w:val="14"/>
                <w:szCs w:val="14"/>
                <w:b w:val="1"/>
                <w:bCs w:val="1"/>
                <w:color w:val="363435"/>
              </w:rPr>
              <w:t>VOTE</w:t>
            </w:r>
          </w:p>
        </w:tc>
        <w:tc>
          <w:tcPr>
            <w:tcW w:w="0" w:type="dxa"/>
            <w:vAlign w:val="bottom"/>
          </w:tcPr>
          <w:p>
            <w:pPr>
              <w:spacing w:after="0"/>
              <w:rPr>
                <w:sz w:val="1"/>
                <w:szCs w:val="1"/>
                <w:color w:val="auto"/>
              </w:rPr>
            </w:pPr>
          </w:p>
        </w:tc>
      </w:tr>
      <w:tr>
        <w:trPr>
          <w:trHeight w:val="178"/>
        </w:trPr>
        <w:tc>
          <w:tcPr>
            <w:tcW w:w="2580" w:type="dxa"/>
            <w:vAlign w:val="bottom"/>
          </w:tcPr>
          <w:p>
            <w:pPr>
              <w:spacing w:after="0"/>
              <w:rPr>
                <w:sz w:val="20"/>
                <w:szCs w:val="20"/>
                <w:color w:val="auto"/>
              </w:rPr>
            </w:pPr>
            <w:r>
              <w:rPr>
                <w:rFonts w:ascii="Arial" w:cs="Arial" w:eastAsia="Arial" w:hAnsi="Arial"/>
                <w:sz w:val="9"/>
                <w:szCs w:val="9"/>
                <w:i w:val="1"/>
                <w:iCs w:val="1"/>
                <w:color w:val="363435"/>
              </w:rPr>
              <w:t>AURA BIOSCIENCES, INC.</w:t>
            </w:r>
          </w:p>
        </w:tc>
        <w:tc>
          <w:tcPr>
            <w:tcW w:w="4580" w:type="dxa"/>
            <w:vAlign w:val="bottom"/>
          </w:tcPr>
          <w:p>
            <w:pPr>
              <w:ind w:left="1440"/>
              <w:spacing w:after="0"/>
              <w:rPr>
                <w:sz w:val="20"/>
                <w:szCs w:val="20"/>
                <w:color w:val="auto"/>
              </w:rPr>
            </w:pPr>
            <w:r>
              <w:rPr>
                <w:rFonts w:ascii="Arial" w:cs="Arial" w:eastAsia="Arial" w:hAnsi="Arial"/>
                <w:sz w:val="11"/>
                <w:szCs w:val="11"/>
                <w:b w:val="1"/>
                <w:bCs w:val="1"/>
                <w:color w:val="363435"/>
              </w:rPr>
              <w:t>VOTE BY INTERNET</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20"/>
                <w:szCs w:val="20"/>
                <w:color w:val="auto"/>
              </w:rPr>
            </w:pPr>
            <w:r>
              <w:rPr>
                <w:rFonts w:ascii="Arial" w:cs="Arial" w:eastAsia="Arial" w:hAnsi="Arial"/>
                <w:sz w:val="9"/>
                <w:szCs w:val="9"/>
                <w:i w:val="1"/>
                <w:iCs w:val="1"/>
                <w:color w:val="363435"/>
              </w:rPr>
              <w:t>80 GUEST STREET</w:t>
            </w:r>
          </w:p>
        </w:tc>
        <w:tc>
          <w:tcPr>
            <w:tcW w:w="4580" w:type="dxa"/>
            <w:vAlign w:val="bottom"/>
          </w:tcPr>
          <w:p>
            <w:pPr>
              <w:ind w:left="1440"/>
              <w:spacing w:after="0" w:line="122" w:lineRule="exact"/>
              <w:rPr>
                <w:sz w:val="20"/>
                <w:szCs w:val="20"/>
                <w:color w:val="auto"/>
              </w:rPr>
            </w:pPr>
            <w:r>
              <w:rPr>
                <w:rFonts w:ascii="Arial" w:cs="Arial" w:eastAsia="Arial" w:hAnsi="Arial"/>
                <w:sz w:val="11"/>
                <w:szCs w:val="11"/>
                <w:i w:val="1"/>
                <w:iCs w:val="1"/>
                <w:color w:val="363435"/>
              </w:rPr>
              <w:t xml:space="preserve">Before The Meeting </w:t>
            </w:r>
            <w:r>
              <w:rPr>
                <w:rFonts w:ascii="Arial" w:cs="Arial" w:eastAsia="Arial" w:hAnsi="Arial"/>
                <w:sz w:val="11"/>
                <w:szCs w:val="11"/>
                <w:color w:val="363435"/>
              </w:rPr>
              <w:t>- Go to</w:t>
            </w:r>
            <w:r>
              <w:rPr>
                <w:rFonts w:ascii="Arial" w:cs="Arial" w:eastAsia="Arial" w:hAnsi="Arial"/>
                <w:sz w:val="11"/>
                <w:szCs w:val="11"/>
                <w:i w:val="1"/>
                <w:iCs w:val="1"/>
                <w:color w:val="363435"/>
              </w:rPr>
              <w:t xml:space="preserve"> </w:t>
            </w:r>
            <w:r>
              <w:rPr>
                <w:rFonts w:ascii="Arial" w:cs="Arial" w:eastAsia="Arial" w:hAnsi="Arial"/>
                <w:sz w:val="11"/>
                <w:szCs w:val="11"/>
                <w:b w:val="1"/>
                <w:bCs w:val="1"/>
                <w:color w:val="363435"/>
              </w:rPr>
              <w:t>www.proxyvote.com or scan the</w:t>
            </w:r>
          </w:p>
        </w:tc>
        <w:tc>
          <w:tcPr>
            <w:tcW w:w="0" w:type="dxa"/>
            <w:vAlign w:val="bottom"/>
          </w:tcPr>
          <w:p>
            <w:pPr>
              <w:spacing w:after="0"/>
              <w:rPr>
                <w:sz w:val="1"/>
                <w:szCs w:val="1"/>
                <w:color w:val="auto"/>
              </w:rPr>
            </w:pPr>
          </w:p>
        </w:tc>
      </w:tr>
      <w:tr>
        <w:trPr>
          <w:trHeight w:val="148"/>
        </w:trPr>
        <w:tc>
          <w:tcPr>
            <w:tcW w:w="2580" w:type="dxa"/>
            <w:vAlign w:val="bottom"/>
            <w:vMerge w:val="restart"/>
          </w:tcPr>
          <w:p>
            <w:pPr>
              <w:spacing w:after="0"/>
              <w:rPr>
                <w:sz w:val="20"/>
                <w:szCs w:val="20"/>
                <w:color w:val="auto"/>
              </w:rPr>
            </w:pPr>
            <w:r>
              <w:rPr>
                <w:rFonts w:ascii="Arial" w:cs="Arial" w:eastAsia="Arial" w:hAnsi="Arial"/>
                <w:sz w:val="9"/>
                <w:szCs w:val="9"/>
                <w:i w:val="1"/>
                <w:iCs w:val="1"/>
                <w:color w:val="363435"/>
              </w:rPr>
              <w:t>BOSTON, MA 02135</w:t>
            </w:r>
          </w:p>
        </w:tc>
        <w:tc>
          <w:tcPr>
            <w:tcW w:w="4580" w:type="dxa"/>
            <w:vAlign w:val="bottom"/>
          </w:tcPr>
          <w:p>
            <w:pPr>
              <w:ind w:left="1440"/>
              <w:spacing w:after="0"/>
              <w:rPr>
                <w:sz w:val="20"/>
                <w:szCs w:val="20"/>
                <w:color w:val="auto"/>
              </w:rPr>
            </w:pPr>
            <w:r>
              <w:rPr>
                <w:rFonts w:ascii="Arial" w:cs="Arial" w:eastAsia="Arial" w:hAnsi="Arial"/>
                <w:sz w:val="11"/>
                <w:szCs w:val="11"/>
                <w:b w:val="1"/>
                <w:bCs w:val="1"/>
                <w:color w:val="363435"/>
              </w:rPr>
              <w:t>QR Barcode above</w:t>
            </w:r>
          </w:p>
        </w:tc>
        <w:tc>
          <w:tcPr>
            <w:tcW w:w="0" w:type="dxa"/>
            <w:vAlign w:val="bottom"/>
          </w:tcPr>
          <w:p>
            <w:pPr>
              <w:spacing w:after="0"/>
              <w:rPr>
                <w:sz w:val="1"/>
                <w:szCs w:val="1"/>
                <w:color w:val="auto"/>
              </w:rPr>
            </w:pPr>
          </w:p>
        </w:tc>
      </w:tr>
      <w:tr>
        <w:trPr>
          <w:trHeight w:val="73"/>
        </w:trPr>
        <w:tc>
          <w:tcPr>
            <w:tcW w:w="2580" w:type="dxa"/>
            <w:vAlign w:val="bottom"/>
            <w:vMerge w:val="continue"/>
          </w:tcPr>
          <w:p>
            <w:pPr>
              <w:spacing w:after="0"/>
              <w:rPr>
                <w:sz w:val="6"/>
                <w:szCs w:val="6"/>
                <w:color w:val="auto"/>
              </w:rPr>
            </w:pPr>
          </w:p>
        </w:tc>
        <w:tc>
          <w:tcPr>
            <w:tcW w:w="4580" w:type="dxa"/>
            <w:vAlign w:val="bottom"/>
            <w:vMerge w:val="restart"/>
          </w:tcPr>
          <w:p>
            <w:pPr>
              <w:ind w:left="1440"/>
              <w:spacing w:after="0"/>
              <w:rPr>
                <w:sz w:val="20"/>
                <w:szCs w:val="20"/>
                <w:color w:val="auto"/>
              </w:rPr>
            </w:pPr>
            <w:r>
              <w:rPr>
                <w:rFonts w:ascii="Arial" w:cs="Arial" w:eastAsia="Arial" w:hAnsi="Arial"/>
                <w:sz w:val="11"/>
                <w:szCs w:val="11"/>
                <w:color w:val="363435"/>
              </w:rPr>
              <w:t>Use the Internet to transmit your voting instructions and for</w:t>
            </w:r>
          </w:p>
        </w:tc>
        <w:tc>
          <w:tcPr>
            <w:tcW w:w="0" w:type="dxa"/>
            <w:vAlign w:val="bottom"/>
          </w:tcPr>
          <w:p>
            <w:pPr>
              <w:spacing w:after="0"/>
              <w:rPr>
                <w:sz w:val="1"/>
                <w:szCs w:val="1"/>
                <w:color w:val="auto"/>
              </w:rPr>
            </w:pPr>
          </w:p>
        </w:tc>
      </w:tr>
      <w:tr>
        <w:trPr>
          <w:trHeight w:val="117"/>
        </w:trPr>
        <w:tc>
          <w:tcPr>
            <w:tcW w:w="2580" w:type="dxa"/>
            <w:vAlign w:val="bottom"/>
          </w:tcPr>
          <w:p>
            <w:pPr>
              <w:spacing w:after="0"/>
              <w:rPr>
                <w:sz w:val="20"/>
                <w:szCs w:val="20"/>
                <w:color w:val="auto"/>
              </w:rPr>
            </w:pPr>
            <w:r>
              <w:rPr>
                <w:rFonts w:ascii="Arial" w:cs="Arial" w:eastAsia="Arial" w:hAnsi="Arial"/>
                <w:sz w:val="9"/>
                <w:szCs w:val="9"/>
                <w:i w:val="1"/>
                <w:iCs w:val="1"/>
                <w:color w:val="363435"/>
              </w:rPr>
              <w:t>UNITED STATES</w:t>
            </w:r>
          </w:p>
        </w:tc>
        <w:tc>
          <w:tcPr>
            <w:tcW w:w="4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4580" w:type="dxa"/>
            <w:vAlign w:val="bottom"/>
          </w:tcPr>
          <w:p>
            <w:pPr>
              <w:ind w:left="1440"/>
              <w:spacing w:after="0" w:line="122" w:lineRule="exact"/>
              <w:rPr>
                <w:sz w:val="20"/>
                <w:szCs w:val="20"/>
                <w:color w:val="auto"/>
              </w:rPr>
            </w:pPr>
            <w:r>
              <w:rPr>
                <w:rFonts w:ascii="Arial" w:cs="Arial" w:eastAsia="Arial" w:hAnsi="Arial"/>
                <w:sz w:val="11"/>
                <w:szCs w:val="11"/>
                <w:color w:val="363435"/>
                <w:w w:val="97"/>
              </w:rPr>
              <w:t>electronic delivery of information up until 11:59 p.m. Eastern Time</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4580" w:type="dxa"/>
            <w:vAlign w:val="bottom"/>
          </w:tcPr>
          <w:p>
            <w:pPr>
              <w:ind w:left="1440"/>
              <w:spacing w:after="0" w:line="122" w:lineRule="exact"/>
              <w:rPr>
                <w:sz w:val="20"/>
                <w:szCs w:val="20"/>
                <w:color w:val="auto"/>
              </w:rPr>
            </w:pPr>
            <w:r>
              <w:rPr>
                <w:rFonts w:ascii="Arial" w:cs="Arial" w:eastAsia="Arial" w:hAnsi="Arial"/>
                <w:sz w:val="11"/>
                <w:szCs w:val="11"/>
                <w:color w:val="363435"/>
              </w:rPr>
              <w:t>on August 4, 2026. Have your proxy card in hand when you</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4580" w:type="dxa"/>
            <w:vAlign w:val="bottom"/>
          </w:tcPr>
          <w:p>
            <w:pPr>
              <w:ind w:left="1440"/>
              <w:spacing w:after="0" w:line="122" w:lineRule="exact"/>
              <w:rPr>
                <w:sz w:val="20"/>
                <w:szCs w:val="20"/>
                <w:color w:val="auto"/>
              </w:rPr>
            </w:pPr>
            <w:r>
              <w:rPr>
                <w:rFonts w:ascii="Arial" w:cs="Arial" w:eastAsia="Arial" w:hAnsi="Arial"/>
                <w:sz w:val="11"/>
                <w:szCs w:val="11"/>
                <w:color w:val="363435"/>
              </w:rPr>
              <w:t>access the web site and follow the instructions to obtain your</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4580" w:type="dxa"/>
            <w:vAlign w:val="bottom"/>
          </w:tcPr>
          <w:p>
            <w:pPr>
              <w:ind w:left="1440"/>
              <w:spacing w:after="0"/>
              <w:rPr>
                <w:sz w:val="20"/>
                <w:szCs w:val="20"/>
                <w:color w:val="auto"/>
              </w:rPr>
            </w:pPr>
            <w:r>
              <w:rPr>
                <w:rFonts w:ascii="Arial" w:cs="Arial" w:eastAsia="Arial" w:hAnsi="Arial"/>
                <w:sz w:val="11"/>
                <w:szCs w:val="11"/>
                <w:color w:val="363435"/>
              </w:rPr>
              <w:t>records and to create an electronic voting instruction form.</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4580" w:type="dxa"/>
            <w:vAlign w:val="bottom"/>
          </w:tcPr>
          <w:p>
            <w:pPr>
              <w:ind w:left="1440"/>
              <w:spacing w:after="0"/>
              <w:rPr>
                <w:sz w:val="20"/>
                <w:szCs w:val="20"/>
                <w:color w:val="auto"/>
              </w:rPr>
            </w:pPr>
            <w:r>
              <w:rPr>
                <w:rFonts w:ascii="Arial" w:cs="Arial" w:eastAsia="Arial" w:hAnsi="Arial"/>
                <w:sz w:val="11"/>
                <w:szCs w:val="11"/>
                <w:i w:val="1"/>
                <w:iCs w:val="1"/>
                <w:color w:val="363435"/>
              </w:rPr>
              <w:t xml:space="preserve">During The Meeting </w:t>
            </w:r>
            <w:r>
              <w:rPr>
                <w:rFonts w:ascii="Arial" w:cs="Arial" w:eastAsia="Arial" w:hAnsi="Arial"/>
                <w:sz w:val="11"/>
                <w:szCs w:val="11"/>
                <w:color w:val="363435"/>
              </w:rPr>
              <w:t>- Go to</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4580" w:type="dxa"/>
            <w:vAlign w:val="bottom"/>
          </w:tcPr>
          <w:p>
            <w:pPr>
              <w:ind w:left="1440"/>
              <w:spacing w:after="0"/>
              <w:rPr>
                <w:sz w:val="20"/>
                <w:szCs w:val="20"/>
                <w:color w:val="auto"/>
              </w:rPr>
            </w:pPr>
            <w:r>
              <w:rPr>
                <w:rFonts w:ascii="Arial" w:cs="Arial" w:eastAsia="Arial" w:hAnsi="Arial"/>
                <w:sz w:val="11"/>
                <w:szCs w:val="11"/>
                <w:b w:val="1"/>
                <w:bCs w:val="1"/>
                <w:color w:val="363435"/>
              </w:rPr>
              <w:t>www.virtualshareholdermeeting.com/AURA2026SM</w:t>
            </w:r>
          </w:p>
        </w:tc>
        <w:tc>
          <w:tcPr>
            <w:tcW w:w="0" w:type="dxa"/>
            <w:vAlign w:val="bottom"/>
          </w:tcPr>
          <w:p>
            <w:pPr>
              <w:spacing w:after="0"/>
              <w:rPr>
                <w:sz w:val="1"/>
                <w:szCs w:val="1"/>
                <w:color w:val="auto"/>
              </w:rPr>
            </w:pPr>
          </w:p>
        </w:tc>
      </w:tr>
      <w:tr>
        <w:trPr>
          <w:trHeight w:val="217"/>
        </w:trPr>
        <w:tc>
          <w:tcPr>
            <w:tcW w:w="2580" w:type="dxa"/>
            <w:vAlign w:val="bottom"/>
          </w:tcPr>
          <w:p>
            <w:pPr>
              <w:spacing w:after="0"/>
              <w:rPr>
                <w:sz w:val="18"/>
                <w:szCs w:val="18"/>
                <w:color w:val="auto"/>
              </w:rPr>
            </w:pPr>
          </w:p>
        </w:tc>
        <w:tc>
          <w:tcPr>
            <w:tcW w:w="4580" w:type="dxa"/>
            <w:vAlign w:val="bottom"/>
          </w:tcPr>
          <w:p>
            <w:pPr>
              <w:ind w:left="1440"/>
              <w:spacing w:after="0"/>
              <w:rPr>
                <w:sz w:val="20"/>
                <w:szCs w:val="20"/>
                <w:color w:val="auto"/>
              </w:rPr>
            </w:pPr>
            <w:r>
              <w:rPr>
                <w:rFonts w:ascii="Arial" w:cs="Arial" w:eastAsia="Arial" w:hAnsi="Arial"/>
                <w:sz w:val="11"/>
                <w:szCs w:val="11"/>
                <w:color w:val="363435"/>
              </w:rPr>
              <w:t>You may attend the meeting via the Internet and vote during the</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4580" w:type="dxa"/>
            <w:vAlign w:val="bottom"/>
          </w:tcPr>
          <w:p>
            <w:pPr>
              <w:ind w:left="1440"/>
              <w:spacing w:after="0" w:line="122" w:lineRule="exact"/>
              <w:rPr>
                <w:sz w:val="20"/>
                <w:szCs w:val="20"/>
                <w:color w:val="auto"/>
              </w:rPr>
            </w:pPr>
            <w:r>
              <w:rPr>
                <w:rFonts w:ascii="Arial" w:cs="Arial" w:eastAsia="Arial" w:hAnsi="Arial"/>
                <w:sz w:val="11"/>
                <w:szCs w:val="11"/>
                <w:color w:val="363435"/>
              </w:rPr>
              <w:t>meeting. Have the information that is printed in the box marked</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4580" w:type="dxa"/>
            <w:vAlign w:val="bottom"/>
          </w:tcPr>
          <w:p>
            <w:pPr>
              <w:ind w:left="1440"/>
              <w:spacing w:after="0"/>
              <w:rPr>
                <w:sz w:val="20"/>
                <w:szCs w:val="20"/>
                <w:color w:val="auto"/>
              </w:rPr>
            </w:pPr>
            <w:r>
              <w:rPr>
                <w:rFonts w:ascii="Arial" w:cs="Arial" w:eastAsia="Arial" w:hAnsi="Arial"/>
                <w:sz w:val="11"/>
                <w:szCs w:val="11"/>
                <w:color w:val="363435"/>
              </w:rPr>
              <w:t>by the arrow available and follow the instructions.</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4580" w:type="dxa"/>
            <w:vAlign w:val="bottom"/>
          </w:tcPr>
          <w:p>
            <w:pPr>
              <w:ind w:left="1440"/>
              <w:spacing w:after="0"/>
              <w:rPr>
                <w:sz w:val="20"/>
                <w:szCs w:val="20"/>
                <w:color w:val="auto"/>
              </w:rPr>
            </w:pPr>
            <w:r>
              <w:rPr>
                <w:rFonts w:ascii="Arial" w:cs="Arial" w:eastAsia="Arial" w:hAnsi="Arial"/>
                <w:sz w:val="11"/>
                <w:szCs w:val="11"/>
                <w:b w:val="1"/>
                <w:bCs w:val="1"/>
                <w:color w:val="363435"/>
              </w:rPr>
              <w:t>VOTE BY PHONE - 1-800-690-6903</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4580" w:type="dxa"/>
            <w:vAlign w:val="bottom"/>
          </w:tcPr>
          <w:p>
            <w:pPr>
              <w:ind w:left="1440"/>
              <w:spacing w:after="0" w:line="122" w:lineRule="exact"/>
              <w:rPr>
                <w:sz w:val="20"/>
                <w:szCs w:val="20"/>
                <w:color w:val="auto"/>
              </w:rPr>
            </w:pPr>
            <w:r>
              <w:rPr>
                <w:rFonts w:ascii="Arial" w:cs="Arial" w:eastAsia="Arial" w:hAnsi="Arial"/>
                <w:sz w:val="11"/>
                <w:szCs w:val="11"/>
                <w:color w:val="363435"/>
                <w:w w:val="98"/>
              </w:rPr>
              <w:t>Use any touch-tone telephone to transmit your voting instructions</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4580" w:type="dxa"/>
            <w:vAlign w:val="bottom"/>
          </w:tcPr>
          <w:p>
            <w:pPr>
              <w:ind w:left="1440"/>
              <w:spacing w:after="0" w:line="122" w:lineRule="exact"/>
              <w:rPr>
                <w:sz w:val="20"/>
                <w:szCs w:val="20"/>
                <w:color w:val="auto"/>
              </w:rPr>
            </w:pPr>
            <w:r>
              <w:rPr>
                <w:rFonts w:ascii="Arial" w:cs="Arial" w:eastAsia="Arial" w:hAnsi="Arial"/>
                <w:sz w:val="11"/>
                <w:szCs w:val="11"/>
                <w:color w:val="363435"/>
              </w:rPr>
              <w:t>up until 11:59 p.m. Eastern Time on August 4, 2026. Have your</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4580" w:type="dxa"/>
            <w:vAlign w:val="bottom"/>
          </w:tcPr>
          <w:p>
            <w:pPr>
              <w:ind w:left="1440"/>
              <w:spacing w:after="0"/>
              <w:rPr>
                <w:sz w:val="20"/>
                <w:szCs w:val="20"/>
                <w:color w:val="auto"/>
              </w:rPr>
            </w:pPr>
            <w:r>
              <w:rPr>
                <w:rFonts w:ascii="Arial" w:cs="Arial" w:eastAsia="Arial" w:hAnsi="Arial"/>
                <w:sz w:val="11"/>
                <w:szCs w:val="11"/>
                <w:color w:val="363435"/>
                <w:w w:val="98"/>
              </w:rPr>
              <w:t>proxy card in hand when you call and then follow the instructions.</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4580" w:type="dxa"/>
            <w:vAlign w:val="bottom"/>
          </w:tcPr>
          <w:p>
            <w:pPr>
              <w:ind w:left="1440"/>
              <w:spacing w:after="0"/>
              <w:rPr>
                <w:sz w:val="20"/>
                <w:szCs w:val="20"/>
                <w:color w:val="auto"/>
              </w:rPr>
            </w:pPr>
            <w:r>
              <w:rPr>
                <w:rFonts w:ascii="Arial" w:cs="Arial" w:eastAsia="Arial" w:hAnsi="Arial"/>
                <w:sz w:val="11"/>
                <w:szCs w:val="11"/>
                <w:b w:val="1"/>
                <w:bCs w:val="1"/>
                <w:color w:val="363435"/>
              </w:rPr>
              <w:t>VOTE BY MAIL</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4580" w:type="dxa"/>
            <w:vAlign w:val="bottom"/>
          </w:tcPr>
          <w:p>
            <w:pPr>
              <w:ind w:left="1440"/>
              <w:spacing w:after="0" w:line="122" w:lineRule="exact"/>
              <w:rPr>
                <w:sz w:val="20"/>
                <w:szCs w:val="20"/>
                <w:color w:val="auto"/>
              </w:rPr>
            </w:pPr>
            <w:r>
              <w:rPr>
                <w:rFonts w:ascii="Arial" w:cs="Arial" w:eastAsia="Arial" w:hAnsi="Arial"/>
                <w:sz w:val="11"/>
                <w:szCs w:val="11"/>
                <w:color w:val="363435"/>
                <w:w w:val="99"/>
              </w:rPr>
              <w:t>Mark, sign and date your proxy card and return it in the postage-</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4580" w:type="dxa"/>
            <w:vAlign w:val="bottom"/>
          </w:tcPr>
          <w:p>
            <w:pPr>
              <w:ind w:left="1440"/>
              <w:spacing w:after="0" w:line="122" w:lineRule="exact"/>
              <w:rPr>
                <w:sz w:val="20"/>
                <w:szCs w:val="20"/>
                <w:color w:val="auto"/>
              </w:rPr>
            </w:pPr>
            <w:r>
              <w:rPr>
                <w:rFonts w:ascii="Arial" w:cs="Arial" w:eastAsia="Arial" w:hAnsi="Arial"/>
                <w:sz w:val="11"/>
                <w:szCs w:val="11"/>
                <w:color w:val="363435"/>
              </w:rPr>
              <w:t>paid envelope we have provided or return it to Vote Processing,</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4580" w:type="dxa"/>
            <w:vAlign w:val="bottom"/>
          </w:tcPr>
          <w:p>
            <w:pPr>
              <w:ind w:left="1440"/>
              <w:spacing w:after="0"/>
              <w:rPr>
                <w:sz w:val="20"/>
                <w:szCs w:val="20"/>
                <w:color w:val="auto"/>
              </w:rPr>
            </w:pPr>
            <w:r>
              <w:rPr>
                <w:rFonts w:ascii="Arial" w:cs="Arial" w:eastAsia="Arial" w:hAnsi="Arial"/>
                <w:sz w:val="11"/>
                <w:szCs w:val="11"/>
                <w:color w:val="363435"/>
              </w:rPr>
              <w:t>c/o Broadridge, 51 Mercedes Way, Edgewood, NY 11717.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-2558415</wp:posOffset>
            </wp:positionV>
            <wp:extent cx="4114800" cy="4883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14800" cy="48831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20"/>
                <w:szCs w:val="20"/>
                <w:color w:val="auto"/>
              </w:rPr>
            </w:pPr>
            <w:r>
              <w:rPr>
                <w:rFonts w:ascii="Arial" w:cs="Arial" w:eastAsia="Arial" w:hAnsi="Arial"/>
                <w:sz w:val="13"/>
                <w:szCs w:val="13"/>
                <w:color w:val="363435"/>
              </w:rPr>
              <w:t>TO VOTE, MARK BLOCKS BELOW IN BLUE OR BLACK INK AS</w:t>
            </w:r>
          </w:p>
        </w:tc>
        <w:tc>
          <w:tcPr>
            <w:tcW w:w="2940" w:type="dxa"/>
            <w:vAlign w:val="bottom"/>
          </w:tcPr>
          <w:p>
            <w:pPr>
              <w:spacing w:after="0"/>
              <w:rPr>
                <w:sz w:val="12"/>
                <w:szCs w:val="12"/>
                <w:color w:val="auto"/>
              </w:rPr>
            </w:pPr>
          </w:p>
        </w:tc>
      </w:tr>
      <w:tr>
        <w:trPr>
          <w:trHeight w:val="135"/>
        </w:trPr>
        <w:tc>
          <w:tcPr>
            <w:tcW w:w="7200" w:type="dxa"/>
            <w:vAlign w:val="bottom"/>
          </w:tcPr>
          <w:p>
            <w:pPr>
              <w:spacing w:after="0" w:line="135" w:lineRule="exact"/>
              <w:rPr>
                <w:sz w:val="20"/>
                <w:szCs w:val="20"/>
                <w:color w:val="auto"/>
              </w:rPr>
            </w:pPr>
            <w:r>
              <w:rPr>
                <w:rFonts w:ascii="Arial" w:cs="Arial" w:eastAsia="Arial" w:hAnsi="Arial"/>
                <w:sz w:val="13"/>
                <w:szCs w:val="13"/>
                <w:color w:val="363435"/>
              </w:rPr>
              <w:t>FOLLOWS:</w:t>
            </w:r>
          </w:p>
        </w:tc>
        <w:tc>
          <w:tcPr>
            <w:tcW w:w="2940" w:type="dxa"/>
            <w:vAlign w:val="bottom"/>
          </w:tcPr>
          <w:p>
            <w:pPr>
              <w:spacing w:after="0"/>
              <w:rPr>
                <w:sz w:val="11"/>
                <w:szCs w:val="11"/>
                <w:color w:val="auto"/>
              </w:rPr>
            </w:pPr>
          </w:p>
        </w:tc>
      </w:tr>
      <w:tr>
        <w:trPr>
          <w:trHeight w:val="166"/>
        </w:trPr>
        <w:tc>
          <w:tcPr>
            <w:tcW w:w="7200" w:type="dxa"/>
            <w:vAlign w:val="bottom"/>
          </w:tcPr>
          <w:p>
            <w:pPr>
              <w:ind w:left="5040"/>
              <w:spacing w:after="0"/>
              <w:rPr>
                <w:sz w:val="20"/>
                <w:szCs w:val="20"/>
                <w:color w:val="auto"/>
              </w:rPr>
            </w:pPr>
            <w:r>
              <w:rPr>
                <w:rFonts w:ascii="Arial" w:cs="Arial" w:eastAsia="Arial" w:hAnsi="Arial"/>
                <w:sz w:val="13"/>
                <w:szCs w:val="13"/>
                <w:color w:val="363435"/>
              </w:rPr>
              <w:t>T01401-Z93403</w:t>
            </w:r>
          </w:p>
        </w:tc>
        <w:tc>
          <w:tcPr>
            <w:tcW w:w="2940" w:type="dxa"/>
            <w:vAlign w:val="bottom"/>
          </w:tcPr>
          <w:p>
            <w:pPr>
              <w:jc w:val="right"/>
              <w:spacing w:after="0"/>
              <w:rPr>
                <w:sz w:val="20"/>
                <w:szCs w:val="20"/>
                <w:color w:val="auto"/>
              </w:rPr>
            </w:pPr>
            <w:r>
              <w:rPr>
                <w:rFonts w:ascii="Arial" w:cs="Arial" w:eastAsia="Arial" w:hAnsi="Arial"/>
                <w:sz w:val="13"/>
                <w:szCs w:val="13"/>
                <w:color w:val="363435"/>
              </w:rPr>
              <w:t>KEEP THIS PORTION FOR YOUR RECORDS</w:t>
            </w:r>
          </w:p>
        </w:tc>
      </w:tr>
      <w:tr>
        <w:trPr>
          <w:trHeight w:val="458"/>
        </w:trPr>
        <w:tc>
          <w:tcPr>
            <w:tcW w:w="7200" w:type="dxa"/>
            <w:vAlign w:val="bottom"/>
          </w:tcPr>
          <w:p>
            <w:pPr>
              <w:ind w:left="2560"/>
              <w:spacing w:after="0"/>
              <w:rPr>
                <w:sz w:val="20"/>
                <w:szCs w:val="20"/>
                <w:color w:val="auto"/>
              </w:rPr>
            </w:pPr>
            <w:r>
              <w:rPr>
                <w:rFonts w:ascii="Arial" w:cs="Arial" w:eastAsia="Arial" w:hAnsi="Arial"/>
                <w:sz w:val="14"/>
                <w:szCs w:val="14"/>
                <w:b w:val="1"/>
                <w:bCs w:val="1"/>
                <w:color w:val="363435"/>
              </w:rPr>
              <w:t>THIS PROXY CARD IS VALID ONLY WHEN SIGNED AND DATED.</w:t>
            </w:r>
          </w:p>
        </w:tc>
        <w:tc>
          <w:tcPr>
            <w:tcW w:w="2940" w:type="dxa"/>
            <w:vAlign w:val="bottom"/>
          </w:tcPr>
          <w:p>
            <w:pPr>
              <w:jc w:val="right"/>
              <w:spacing w:after="0"/>
              <w:rPr>
                <w:sz w:val="20"/>
                <w:szCs w:val="20"/>
                <w:color w:val="auto"/>
              </w:rPr>
            </w:pPr>
            <w:r>
              <w:rPr>
                <w:rFonts w:ascii="Arial" w:cs="Arial" w:eastAsia="Arial" w:hAnsi="Arial"/>
                <w:sz w:val="13"/>
                <w:szCs w:val="13"/>
                <w:color w:val="363435"/>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-563880</wp:posOffset>
            </wp:positionV>
            <wp:extent cx="6995160" cy="4860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4860290"/>
                    </a:xfrm>
                    <a:prstGeom prst="rect">
                      <a:avLst/>
                    </a:prstGeom>
                    <a:noFill/>
                  </pic:spPr>
                </pic:pic>
              </a:graphicData>
            </a:graphic>
          </wp:anchor>
        </w:drawing>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AURA BIOSCIENCES, INC.</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The Board of Directors recommends you vote FOR proposals 1 and 2.</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500" w:type="dxa"/>
            <w:vAlign w:val="bottom"/>
          </w:tcPr>
          <w:p>
            <w:pPr>
              <w:jc w:val="center"/>
              <w:ind w:left="13"/>
              <w:spacing w:after="0"/>
              <w:rPr>
                <w:sz w:val="20"/>
                <w:szCs w:val="20"/>
                <w:color w:val="auto"/>
              </w:rPr>
            </w:pPr>
            <w:r>
              <w:rPr>
                <w:rFonts w:ascii="Arial" w:cs="Arial" w:eastAsia="Arial" w:hAnsi="Arial"/>
                <w:sz w:val="13"/>
                <w:szCs w:val="13"/>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Agains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136"/>
        </w:trPr>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500" w:type="dxa"/>
            <w:vAlign w:val="bottom"/>
            <w:vMerge w:val="restart"/>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t</w:t>
            </w:r>
          </w:p>
        </w:tc>
        <w:tc>
          <w:tcPr>
            <w:tcW w:w="560" w:type="dxa"/>
            <w:vAlign w:val="bottom"/>
            <w:vMerge w:val="restart"/>
          </w:tcPr>
          <w:p>
            <w:pPr>
              <w:jc w:val="center"/>
              <w:ind w:left="13"/>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63"/>
        </w:trPr>
        <w:tc>
          <w:tcPr>
            <w:tcW w:w="160" w:type="dxa"/>
            <w:vAlign w:val="bottom"/>
          </w:tcPr>
          <w:p>
            <w:pPr>
              <w:jc w:val="right"/>
              <w:spacing w:after="0"/>
              <w:rPr>
                <w:sz w:val="20"/>
                <w:szCs w:val="20"/>
                <w:color w:val="auto"/>
              </w:rPr>
            </w:pPr>
            <w:r>
              <w:rPr>
                <w:rFonts w:ascii="Arial" w:cs="Arial" w:eastAsia="Arial" w:hAnsi="Arial"/>
                <w:sz w:val="13"/>
                <w:szCs w:val="13"/>
                <w:color w:val="auto"/>
                <w:w w:val="91"/>
              </w:rPr>
              <w:t>1.</w:t>
            </w:r>
          </w:p>
        </w:tc>
        <w:tc>
          <w:tcPr>
            <w:tcW w:w="7680" w:type="dxa"/>
            <w:vAlign w:val="bottom"/>
            <w:gridSpan w:val="2"/>
          </w:tcPr>
          <w:p>
            <w:pPr>
              <w:ind w:left="60"/>
              <w:spacing w:after="0"/>
              <w:rPr>
                <w:sz w:val="20"/>
                <w:szCs w:val="20"/>
                <w:color w:val="auto"/>
              </w:rPr>
            </w:pPr>
            <w:r>
              <w:rPr>
                <w:rFonts w:ascii="Arial" w:cs="Arial" w:eastAsia="Arial" w:hAnsi="Arial"/>
                <w:sz w:val="13"/>
                <w:szCs w:val="13"/>
                <w:color w:val="auto"/>
              </w:rPr>
              <w:t>To approve an amendment to our Tenth Amended and Restated Certificate of Incorporation to increase authorized shares of</w:t>
            </w:r>
          </w:p>
        </w:tc>
        <w:tc>
          <w:tcPr>
            <w:tcW w:w="500" w:type="dxa"/>
            <w:vAlign w:val="bottom"/>
            <w:vMerge w:val="continue"/>
          </w:tcPr>
          <w:p>
            <w:pPr>
              <w:spacing w:after="0"/>
              <w:rPr>
                <w:sz w:val="14"/>
                <w:szCs w:val="14"/>
                <w:color w:val="auto"/>
              </w:rPr>
            </w:pPr>
          </w:p>
        </w:tc>
        <w:tc>
          <w:tcPr>
            <w:tcW w:w="6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rPr>
              <w:t>☐</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auto"/>
              </w:rPr>
              <w:t>common</w:t>
            </w:r>
          </w:p>
        </w:tc>
        <w:tc>
          <w:tcPr>
            <w:tcW w:w="6900" w:type="dxa"/>
            <w:vAlign w:val="bottom"/>
          </w:tcPr>
          <w:p>
            <w:pPr>
              <w:ind w:left="200"/>
              <w:spacing w:after="0"/>
              <w:rPr>
                <w:sz w:val="20"/>
                <w:szCs w:val="20"/>
                <w:color w:val="auto"/>
              </w:rPr>
            </w:pPr>
            <w:r>
              <w:rPr>
                <w:rFonts w:ascii="Arial" w:cs="Arial" w:eastAsia="Arial" w:hAnsi="Arial"/>
                <w:sz w:val="13"/>
                <w:szCs w:val="13"/>
                <w:color w:val="auto"/>
              </w:rPr>
              <w:t>stock from 150,000,000 to 500,000,000; and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60" w:type="dxa"/>
            <w:vAlign w:val="bottom"/>
          </w:tcPr>
          <w:p>
            <w:pPr>
              <w:jc w:val="right"/>
              <w:spacing w:after="0"/>
              <w:rPr>
                <w:sz w:val="20"/>
                <w:szCs w:val="20"/>
                <w:color w:val="auto"/>
              </w:rPr>
            </w:pPr>
            <w:r>
              <w:rPr>
                <w:rFonts w:ascii="Arial" w:cs="Arial" w:eastAsia="Arial" w:hAnsi="Arial"/>
                <w:sz w:val="13"/>
                <w:szCs w:val="13"/>
                <w:color w:val="auto"/>
                <w:w w:val="91"/>
              </w:rPr>
              <w:t>2.</w:t>
            </w:r>
          </w:p>
        </w:tc>
        <w:tc>
          <w:tcPr>
            <w:tcW w:w="7680" w:type="dxa"/>
            <w:vAlign w:val="bottom"/>
            <w:gridSpan w:val="2"/>
          </w:tcPr>
          <w:p>
            <w:pPr>
              <w:ind w:left="60"/>
              <w:spacing w:after="0"/>
              <w:rPr>
                <w:sz w:val="20"/>
                <w:szCs w:val="20"/>
                <w:color w:val="auto"/>
              </w:rPr>
            </w:pPr>
            <w:r>
              <w:rPr>
                <w:rFonts w:ascii="Arial" w:cs="Arial" w:eastAsia="Arial" w:hAnsi="Arial"/>
                <w:sz w:val="13"/>
                <w:szCs w:val="13"/>
                <w:color w:val="auto"/>
              </w:rPr>
              <w:t>To approve an amendment to the Aura Biosciences, Inc. 2021 Stock Option and Incentive Plan.</w:t>
            </w:r>
          </w:p>
        </w:tc>
        <w:tc>
          <w:tcPr>
            <w:tcW w:w="500" w:type="dxa"/>
            <w:vAlign w:val="bottom"/>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rPr>
              <w:t>☐</w:t>
            </w:r>
          </w:p>
        </w:tc>
        <w:tc>
          <w:tcPr>
            <w:tcW w:w="560" w:type="dxa"/>
            <w:vAlign w:val="bottom"/>
          </w:tcPr>
          <w:p>
            <w:pPr>
              <w:jc w:val="center"/>
              <w:ind w:left="13"/>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480" w:right="2220"/>
        <w:spacing w:after="0" w:line="259"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69" w:lineRule="exact"/>
        <w:rPr>
          <w:sz w:val="20"/>
          <w:szCs w:val="20"/>
          <w:color w:val="auto"/>
        </w:rPr>
      </w:pPr>
    </w:p>
    <w:p>
      <w:pPr>
        <w:ind w:left="420"/>
        <w:spacing w:after="0"/>
        <w:tabs>
          <w:tab w:leader="none" w:pos="2940" w:val="left"/>
          <w:tab w:leader="none" w:pos="5240" w:val="left"/>
          <w:tab w:leader="none" w:pos="7720" w:val="left"/>
        </w:tabs>
        <w:rPr>
          <w:sz w:val="20"/>
          <w:szCs w:val="20"/>
          <w:color w:val="auto"/>
        </w:rPr>
      </w:pPr>
      <w:r>
        <w:rPr>
          <w:rFonts w:ascii="Arial" w:cs="Arial" w:eastAsia="Arial" w:hAnsi="Arial"/>
          <w:sz w:val="13"/>
          <w:szCs w:val="13"/>
          <w:color w:val="auto"/>
        </w:rPr>
        <w:t>Signature [PLEASE SIGN WITHIN BOX]</w:t>
        <w:tab/>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ACTIVE/207732091.5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473710</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40"/>
          </w:cols>
          <w:pgMar w:left="820" w:top="1413" w:right="9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363435"/>
        </w:rPr>
        <w:t>Important Notice Regarding the Availability of Proxy Materials for the Special Meeting:</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363435"/>
        </w:rPr>
        <w:t>The Notice and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2149475</wp:posOffset>
            </wp:positionV>
            <wp:extent cx="6995160" cy="4860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3"/>
          <w:szCs w:val="13"/>
          <w:color w:val="363435"/>
        </w:rPr>
        <w:t>T01402-Z93403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363435"/>
        </w:rPr>
        <w:t>AURA BIOSCIENCES, INC.</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363435"/>
        </w:rPr>
        <w:t>Special Meeting of Stockholders</w:t>
      </w:r>
    </w:p>
    <w:p>
      <w:pPr>
        <w:jc w:val="center"/>
        <w:ind w:right="60"/>
        <w:spacing w:after="0" w:line="230" w:lineRule="auto"/>
        <w:rPr>
          <w:sz w:val="20"/>
          <w:szCs w:val="20"/>
          <w:color w:val="auto"/>
        </w:rPr>
      </w:pPr>
      <w:r>
        <w:rPr>
          <w:rFonts w:ascii="Arial" w:cs="Arial" w:eastAsia="Arial" w:hAnsi="Arial"/>
          <w:sz w:val="22"/>
          <w:szCs w:val="22"/>
          <w:b w:val="1"/>
          <w:bCs w:val="1"/>
          <w:color w:val="363435"/>
        </w:rPr>
        <w:t>August 5, 2026 9:30 AM, Eastern Time</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363435"/>
        </w:rPr>
        <w:t>This proxy is solicited by the Board of Directors</w:t>
      </w:r>
    </w:p>
    <w:p>
      <w:pPr>
        <w:spacing w:after="0" w:line="194" w:lineRule="exact"/>
        <w:rPr>
          <w:sz w:val="20"/>
          <w:szCs w:val="20"/>
          <w:color w:val="auto"/>
        </w:rPr>
      </w:pPr>
    </w:p>
    <w:p>
      <w:pPr>
        <w:jc w:val="both"/>
        <w:ind w:right="60"/>
        <w:spacing w:after="0" w:line="242" w:lineRule="auto"/>
        <w:rPr>
          <w:sz w:val="20"/>
          <w:szCs w:val="20"/>
          <w:color w:val="auto"/>
        </w:rPr>
      </w:pPr>
      <w:r>
        <w:rPr>
          <w:rFonts w:ascii="Arial" w:cs="Arial" w:eastAsia="Arial" w:hAnsi="Arial"/>
          <w:sz w:val="18"/>
          <w:szCs w:val="18"/>
          <w:color w:val="363435"/>
        </w:rPr>
        <w:t>The stockholder(s) hereby appoint(s) Natalie Holles and Conor Kilroy, or either of them, as proxies, each with the power to appoint their substitute, and hereby authorize(s) them to represent and to vote, as designated on the reverse side of this ballot, all of the shares of Common Stock of AURA BIOSCIENCES, INC. that the stockholder(s) is/are entitled to vote at the Special Meeting of Stockholders to be held at 9:30 AM, Eastern Time on August 5, 2026, at www.virtualshareholdermeeting.com/AURA2026SM, and any adjournment or postponement thereof. Receipt of the Notice of the Special Meeting of the Stockholders and Proxy Statement is hereby acknowledged.</w:t>
      </w:r>
    </w:p>
    <w:p>
      <w:pPr>
        <w:spacing w:after="0" w:line="179" w:lineRule="exact"/>
        <w:rPr>
          <w:sz w:val="20"/>
          <w:szCs w:val="20"/>
          <w:color w:val="auto"/>
        </w:rPr>
      </w:pPr>
    </w:p>
    <w:p>
      <w:pPr>
        <w:jc w:val="both"/>
        <w:ind w:right="60"/>
        <w:spacing w:after="0" w:line="281" w:lineRule="auto"/>
        <w:rPr>
          <w:sz w:val="20"/>
          <w:szCs w:val="20"/>
          <w:color w:val="auto"/>
        </w:rPr>
      </w:pPr>
      <w:r>
        <w:rPr>
          <w:rFonts w:ascii="Arial" w:cs="Arial" w:eastAsia="Arial" w:hAnsi="Arial"/>
          <w:sz w:val="18"/>
          <w:szCs w:val="18"/>
          <w:b w:val="1"/>
          <w:bCs w:val="1"/>
          <w:color w:val="363435"/>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363435"/>
        </w:rPr>
        <w:t>Continued and to be signed on reverse side</w:t>
      </w:r>
    </w:p>
    <w:p>
      <w:pPr>
        <w:spacing w:after="0" w:line="200" w:lineRule="exact"/>
        <w:rPr>
          <w:sz w:val="20"/>
          <w:szCs w:val="20"/>
          <w:color w:val="auto"/>
        </w:rPr>
      </w:pPr>
    </w:p>
    <w:p>
      <w:pPr>
        <w:spacing w:after="0" w:line="33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ACTIVE/207732091.5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473710</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860"/>
          </w:cols>
          <w:pgMar w:left="1060" w:top="1440" w:right="97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lowerRoman"/>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3"/>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2"/>
    </w:lvl>
  </w:abstractNum>
  <w:abstractNum w:abstractNumId="19">
    <w:nsid w:val="614FD4A1"/>
    <w:multiLevelType w:val="hybridMultilevel"/>
    <w:lvl w:ilvl="0">
      <w:lvlJc w:val="left"/>
      <w:lvlText w:val="(%1)"/>
      <w:numFmt w:val="decimal"/>
      <w:start w:val="4"/>
    </w:lvl>
  </w:abstractNum>
  <w:abstractNum w:abstractNumId="20">
    <w:nsid w:val="419AC241"/>
    <w:multiLevelType w:val="hybridMultilevel"/>
    <w:lvl w:ilvl="0">
      <w:lvlJc w:val="left"/>
      <w:lvlText w:val="(%1)"/>
      <w:numFmt w:val="decimal"/>
      <w:start w:val="7"/>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lowerLetter"/>
      <w:start w:val="1"/>
    </w:lvl>
    <w:lvl w:ilvl="1">
      <w:lvlJc w:val="left"/>
      <w:lvlText w:val="(%2)"/>
      <w:numFmt w:val="lowerRoman"/>
      <w:start w:val="1"/>
    </w:lvl>
  </w:abstractNum>
  <w:abstractNum w:abstractNumId="23">
    <w:nsid w:val="5072367"/>
    <w:multiLevelType w:val="hybridMultilevel"/>
    <w:lvl w:ilvl="0">
      <w:lvlJc w:val="left"/>
      <w:lvlText w:val="%1"/>
      <w:numFmt w:val="lowerLetter"/>
      <w:start w:val="1"/>
    </w:lvl>
    <w:lvl w:ilvl="1">
      <w:lvlJc w:val="left"/>
      <w:lvlText w:val="(%2)"/>
      <w:numFmt w:val="lowerLetter"/>
      <w:start w:val="3"/>
    </w:lvl>
  </w:abstractNum>
  <w:abstractNum w:abstractNumId="24">
    <w:nsid w:val="3804823E"/>
    <w:multiLevelType w:val="hybridMultilevel"/>
    <w:lvl w:ilvl="0">
      <w:lvlJc w:val="left"/>
      <w:lvlText w:val="(%1)"/>
      <w:numFmt w:val="lowerLetter"/>
      <w:start w:val="35"/>
    </w:lvl>
    <w:lvl w:ilvl="1">
      <w:lvlJc w:val="left"/>
      <w:lvlText w:val="%2"/>
      <w:numFmt w:val="lowerLetter"/>
      <w:start w:val="1"/>
    </w:lvl>
  </w:abstractNum>
  <w:abstractNum w:abstractNumId="25">
    <w:nsid w:val="77465F01"/>
    <w:multiLevelType w:val="hybridMultilevel"/>
    <w:lvl w:ilvl="0">
      <w:lvlJc w:val="left"/>
      <w:lvlText w:val="(%1)"/>
      <w:numFmt w:val="lowerLetter"/>
      <w:start w:val="4"/>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1"/>
    </w:lvl>
    <w:lvl w:ilvl="1">
      <w:lvlJc w:val="left"/>
      <w:lvlText w:val="(%2)"/>
      <w:numFmt w:val="lowerLetter"/>
      <w:start w:val="2"/>
    </w:lvl>
  </w:abstractNum>
  <w:abstractNum w:abstractNumId="28">
    <w:nsid w:val="2463B9EA"/>
    <w:multiLevelType w:val="hybridMultilevel"/>
    <w:lvl w:ilvl="0">
      <w:lvlJc w:val="left"/>
      <w:lvlText w:val="(%1)"/>
      <w:numFmt w:val="lowerLetter"/>
      <w:start w:val="9"/>
    </w:lvl>
    <w:lvl w:ilvl="1">
      <w:lvlJc w:val="left"/>
      <w:lvlText w:val="(%2)"/>
      <w:numFmt w:val="lowerLetter"/>
      <w:start w:val="3"/>
    </w:lvl>
  </w:abstractNum>
  <w:abstractNum w:abstractNumId="29">
    <w:nsid w:val="5E884ADC"/>
    <w:multiLevelType w:val="hybridMultilevel"/>
    <w:lvl w:ilvl="0">
      <w:lvlJc w:val="left"/>
      <w:lvlText w:val="(%1)"/>
      <w:numFmt w:val="lowerLetter"/>
      <w:start w:val="4"/>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2"/>
    </w:lvl>
    <w:lvl w:ilvl="1">
      <w:lvlJc w:val="left"/>
      <w:lvlText w:val="(%2)"/>
      <w:numFmt w:val="lowerLetter"/>
      <w:start w:val="9"/>
    </w:lvl>
  </w:abstractNum>
  <w:abstractNum w:abstractNumId="32">
    <w:nsid w:val="580BD78F"/>
    <w:multiLevelType w:val="hybridMultilevel"/>
    <w:lvl w:ilvl="0">
      <w:lvlJc w:val="left"/>
      <w:lvlText w:val="(%1)"/>
      <w:numFmt w:val="lowerRoman"/>
      <w:start w:val="2"/>
    </w:lvl>
  </w:abstractNum>
  <w:abstractNum w:abstractNumId="33">
    <w:nsid w:val="153EA438"/>
    <w:multiLevelType w:val="hybridMultilevel"/>
    <w:lvl w:ilvl="0">
      <w:lvlJc w:val="left"/>
      <w:lvlText w:val="(%1)"/>
      <w:numFmt w:val="lowerLetter"/>
      <w:start w:val="6"/>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4"/>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3"/>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2"/>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1"/>
    </w:lvl>
    <w:lvl w:ilvl="1">
      <w:lvlJc w:val="left"/>
      <w:lvlText w:val="(%2)"/>
      <w:numFmt w:val="lowerRoman"/>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Letter"/>
      <w:start w:val="6"/>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2026-06-17T15:33:42Z</dcterms:created>
  <dcterms:modified xsi:type="dcterms:W3CDTF">2026-06-17T15:33:42Z</dcterms:modified>
</cp:coreProperties>
</file>