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777872_4-matrix.xml.htm"/>
      <w:bookmarkStart w:id="1" w:name="kses260777872_4matrix"/>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Matrix Capital Management Company,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MATRIX CAPITAL MANAGEMENT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PLEASANT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PORTSMOUTH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Aura Biosciences, Inc.</w:t>
              </w:r>
            </w:hyperlink>
            <w:r>
              <w:rPr/>
              <w:t xml:space="preserve"> [ </w:t>
            </w:r>
            <w:r>
              <w:rPr>
                <w:rFonts w:ascii="Times;serif" w:hAnsi="Times;serif"/>
                <w:color w:val="0000FF"/>
                <w:sz w:val="24"/>
                <w:shd w:fill="FFFFFF" w:val="clear"/>
              </w:rPr>
              <w:t>AURA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4"/>
        <w:gridCol w:w="903"/>
        <w:gridCol w:w="774"/>
        <w:gridCol w:w="599"/>
        <w:gridCol w:w="340"/>
        <w:gridCol w:w="1138"/>
        <w:gridCol w:w="430"/>
        <w:gridCol w:w="651"/>
        <w:gridCol w:w="1123"/>
        <w:gridCol w:w="968"/>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$0.00001 per share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6,922,870</w:t>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5.64</w:t>
            </w:r>
            <w:r>
              <w:rPr/>
              <w:t xml:space="preserve"> </w:t>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Matrix Capital Management Company,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MATRIX CAPITAL MANAGEMENT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PLEASANT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PORTSMOUTH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GOEL DAVID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MATRIX CAPITAL MANAGEMENT CO.,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PLEASANT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PORTSMOUTH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reported herein are held by Matrix Capital Management Master Fund, LP (the "Matrix Fund"). Matrix Capital Management Company, LP (the "Investment Manager"), a Delaware limited partnership, is the investment advisor to the Matrix Fund. Mr. David E. Goel ("Mr. Goel", and together with the Investment Manager, the "Reporting Persons"), serves as the Managing General Partner of the Investment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filing of this statement shall not be deemed an admission that either of the Reporting Persons is the beneficial owner of the securities reported herein for purposes of Section 16 of the Securities Act of 1934, as amended, or otherwise. Each of the Reporting Persons expressly disclaims beneficial ownership of the securities reported herein except to the extent of its or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Matrix Capital Management Company, LP, by: /s/ David E. Goel, its Managing General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E. Goel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0830" TargetMode="External"/><Relationship Id="rId5" Type="http://schemas.openxmlformats.org/officeDocument/2006/relationships/hyperlink" Target="http://www.sec.gov/cgi-bin/browse-edgar?action=getcompany&amp;CIK=00015017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410830" TargetMode="External"/><Relationship Id="rId9" Type="http://schemas.openxmlformats.org/officeDocument/2006/relationships/hyperlink" Target="http://www.sec.gov/cgi-bin/browse-edgar?action=getcompany&amp;CIK=0001548144"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779</Words>
  <Characters>4254</Characters>
  <CharactersWithSpaces>4944</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