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5" w:lineRule="exact"/>
        <w:rPr>
          <w:sz w:val="24"/>
          <w:szCs w:val="24"/>
          <w:color w:val="auto"/>
        </w:rPr>
      </w:pPr>
    </w:p>
    <w:p>
      <w:pPr>
        <w:ind w:left="3700" w:right="1520" w:hanging="3679"/>
        <w:spacing w:after="0" w:line="328"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AURA BIOSCIENCES,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7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38"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1" w:lineRule="exact"/>
        <w:rPr>
          <w:sz w:val="24"/>
          <w:szCs w:val="24"/>
          <w:color w:val="auto"/>
        </w:rPr>
      </w:pPr>
    </w:p>
    <w:p>
      <w:pPr>
        <w:sectPr>
          <w:pgSz w:w="11900" w:h="16838" w:orient="portrait"/>
          <w:cols w:equalWidth="0" w:num="2">
            <w:col w:w="7180" w:space="720"/>
            <w:col w:w="3340"/>
          </w:cols>
          <w:pgMar w:left="320" w:top="360"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44"/>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6"/>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4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189"/>
        </w:trPr>
        <w:tc>
          <w:tcPr>
            <w:tcW w:w="424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6"/>
                <w:szCs w:val="16"/>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24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AURA</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104" w:lineRule="exact"/>
        <w:rPr>
          <w:sz w:val="24"/>
          <w:szCs w:val="24"/>
          <w:color w:val="auto"/>
        </w:rPr>
      </w:pPr>
    </w:p>
    <w:p>
      <w:pPr>
        <w:ind w:right="12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60" w:firstLine="59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right="120" w:firstLine="59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6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4" w:lineRule="exact"/>
        <w:rPr>
          <w:sz w:val="24"/>
          <w:szCs w:val="24"/>
          <w:color w:val="auto"/>
        </w:rPr>
      </w:pPr>
    </w:p>
    <w:p>
      <w:pPr>
        <w:jc w:val="both"/>
        <w:ind w:right="60" w:firstLine="59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1200"/>
        <w:spacing w:after="0" w:line="25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2023, the registrant had 38,197,098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51" w:lineRule="exact"/>
        <w:rPr>
          <w:sz w:val="20"/>
          <w:szCs w:val="20"/>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commercialization of our product candidates.</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heavily dependent on the success of AU-011 or belzupacap sarotalocan, or bel-sar, our only product candidate to date.</w:t>
      </w:r>
    </w:p>
    <w:p>
      <w:pPr>
        <w:spacing w:after="0" w:line="49"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yet successfully completed any pivotal clinical trials nor commercialized any pharmaceutical products, which may make it difficult to evaluate our future prospects.</w:t>
      </w: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8" w:lineRule="exact"/>
        <w:rPr>
          <w:rFonts w:ascii="Arial" w:cs="Arial" w:eastAsia="Arial" w:hAnsi="Arial"/>
          <w:sz w:val="18"/>
          <w:szCs w:val="18"/>
          <w:color w:val="auto"/>
        </w:rPr>
      </w:pPr>
    </w:p>
    <w:p>
      <w:pPr>
        <w:jc w:val="both"/>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third-party contract manufacturing organizations, or CMOs, for the production of clinical supply of bel-sar and may continue to rely on CMOs for the production of commercial supply of bel-sar,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4"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503"/>
        <w:spacing w:after="0" w:line="25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49"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15" w:lineRule="exact"/>
        <w:rPr>
          <w:sz w:val="20"/>
          <w:szCs w:val="20"/>
          <w:color w:val="auto"/>
        </w:rPr>
      </w:pPr>
    </w:p>
    <w:p>
      <w:pPr>
        <w:jc w:val="both"/>
        <w:ind w:left="1020" w:hanging="503"/>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macroeconomic conditions, including rising interest rates and inflation, on our business operations;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the COVID-19 pandemic;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1"/>
        </w:trPr>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40" w:type="dxa"/>
            <w:vAlign w:val="bottom"/>
            <w:gridSpan w:val="7"/>
          </w:tcPr>
          <w:p>
            <w:pPr>
              <w:ind w:left="3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SUMMARY OF RISKS</w:t>
            </w:r>
          </w:p>
        </w:tc>
        <w:tc>
          <w:tcPr>
            <w:tcW w:w="80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260" w:type="dxa"/>
            <w:vAlign w:val="bottom"/>
            <w:gridSpan w:val="18"/>
          </w:tcPr>
          <w:p>
            <w:pPr>
              <w:spacing w:after="0" w:line="196" w:lineRule="exact"/>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vMerge w:val="continue"/>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116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line="189" w:lineRule="exact"/>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0" w:type="dxa"/>
            <w:vAlign w:val="bottom"/>
            <w:gridSpan w:val="1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2023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121,582</w:t>
            </w:r>
          </w:p>
        </w:tc>
        <w:tc>
          <w:tcPr>
            <w:tcW w:w="14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114,281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67,229</w:t>
            </w:r>
          </w:p>
        </w:tc>
        <w:tc>
          <w:tcPr>
            <w:tcW w:w="140" w:type="dxa"/>
            <w:vAlign w:val="bottom"/>
          </w:tcPr>
          <w:p>
            <w:pPr>
              <w:spacing w:after="0"/>
              <w:rPr>
                <w:sz w:val="19"/>
                <w:szCs w:val="19"/>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deposits</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140" w:type="dxa"/>
            <w:vAlign w:val="bottom"/>
          </w:tcPr>
          <w:p>
            <w:pPr>
              <w:spacing w:after="0"/>
              <w:rPr>
                <w:sz w:val="19"/>
                <w:szCs w:val="19"/>
                <w:color w:val="auto"/>
              </w:rPr>
            </w:pP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166,211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196,702</w:t>
            </w:r>
          </w:p>
        </w:tc>
        <w:tc>
          <w:tcPr>
            <w:tcW w:w="140" w:type="dxa"/>
            <w:vAlign w:val="bottom"/>
            <w:shd w:val="clear" w:color="auto" w:fill="CFF0FC"/>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Restricted cash and deposits, net of current portion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9"/>
                <w:szCs w:val="19"/>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operating lease</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140" w:type="dxa"/>
            <w:vAlign w:val="bottom"/>
            <w:shd w:val="clear" w:color="auto" w:fill="CFF0FC"/>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9"/>
                <w:szCs w:val="19"/>
                <w:color w:val="auto"/>
              </w:rPr>
            </w:pPr>
          </w:p>
        </w:tc>
      </w:tr>
      <w:tr>
        <w:trPr>
          <w:trHeight w:val="22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40" w:type="dxa"/>
            <w:vAlign w:val="bottom"/>
            <w:shd w:val="clear" w:color="auto" w:fill="CFF0FC"/>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9"/>
                <w:szCs w:val="19"/>
                <w:color w:val="auto"/>
              </w:rPr>
            </w:pPr>
          </w:p>
        </w:tc>
      </w:tr>
      <w:tr>
        <w:trPr>
          <w:trHeight w:val="22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10,457</w:t>
            </w:r>
          </w:p>
        </w:tc>
        <w:tc>
          <w:tcPr>
            <w:tcW w:w="140" w:type="dxa"/>
            <w:vAlign w:val="bottom"/>
          </w:tcPr>
          <w:p>
            <w:pPr>
              <w:spacing w:after="0"/>
              <w:rPr>
                <w:sz w:val="19"/>
                <w:szCs w:val="19"/>
                <w:color w:val="auto"/>
              </w:rPr>
            </w:pPr>
          </w:p>
        </w:tc>
      </w:tr>
      <w:tr>
        <w:trPr>
          <w:trHeight w:val="230"/>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w:t>
            </w:r>
          </w:p>
        </w:tc>
        <w:tc>
          <w:tcPr>
            <w:tcW w:w="1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28,352</w:t>
            </w:r>
          </w:p>
        </w:tc>
        <w:tc>
          <w:tcPr>
            <w:tcW w:w="140" w:type="dxa"/>
            <w:vAlign w:val="bottom"/>
          </w:tcPr>
          <w:p>
            <w:pPr>
              <w:spacing w:after="0"/>
              <w:rPr>
                <w:sz w:val="19"/>
                <w:szCs w:val="19"/>
                <w:color w:val="auto"/>
              </w:rPr>
            </w:pPr>
          </w:p>
        </w:tc>
      </w:tr>
      <w:tr>
        <w:trPr>
          <w:trHeight w:val="22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74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Common stock, $0.00001 par value, 150,000,000 authorized at June 30, 2023 and</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2022, and 38,086,606 and 37,771,918 shares issued and outstanding at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30, 2023 and December 31, 2022, respectively</w:t>
            </w:r>
          </w:p>
        </w:tc>
        <w:tc>
          <w:tcPr>
            <w:tcW w:w="18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413,325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406,555</w:t>
            </w:r>
          </w:p>
        </w:tc>
        <w:tc>
          <w:tcPr>
            <w:tcW w:w="140" w:type="dxa"/>
            <w:vAlign w:val="bottom"/>
          </w:tcPr>
          <w:p>
            <w:pPr>
              <w:spacing w:after="0"/>
              <w:rPr>
                <w:sz w:val="19"/>
                <w:szCs w:val="19"/>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(246,665 )</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(210,900 )</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(223 )</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r>
      <w:tr>
        <w:trPr>
          <w:trHeight w:val="223"/>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166,437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195,583</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44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4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-2836545</wp:posOffset>
            </wp:positionV>
            <wp:extent cx="8572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-2836545</wp:posOffset>
            </wp:positionV>
            <wp:extent cx="8572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-1928495</wp:posOffset>
            </wp:positionV>
            <wp:extent cx="8572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-1928495</wp:posOffset>
            </wp:positionV>
            <wp:extent cx="857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-1628140</wp:posOffset>
            </wp:positionV>
            <wp:extent cx="8572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-1628140</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wp:posOffset>
            </wp:positionV>
            <wp:extent cx="8572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1"/>
        </w:trPr>
        <w:tc>
          <w:tcPr>
            <w:tcW w:w="4600" w:type="dxa"/>
            <w:vAlign w:val="bottom"/>
          </w:tcPr>
          <w:p>
            <w:pPr>
              <w:spacing w:after="0"/>
              <w:rPr>
                <w:sz w:val="21"/>
                <w:szCs w:val="21"/>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Aura Biosciences, Inc.</w:t>
            </w: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9800" w:type="dxa"/>
            <w:vAlign w:val="bottom"/>
            <w:gridSpan w:val="12"/>
          </w:tcPr>
          <w:p>
            <w:pPr>
              <w:jc w:val="center"/>
              <w:ind w:left="131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3"/>
          </w:tcPr>
          <w:p>
            <w:pPr>
              <w:jc w:val="center"/>
              <w:ind w:right="40"/>
              <w:spacing w:after="0" w:line="202" w:lineRule="exact"/>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40" w:type="dxa"/>
            <w:vAlign w:val="bottom"/>
            <w:gridSpan w:val="8"/>
          </w:tcPr>
          <w:p>
            <w:pPr>
              <w:jc w:val="center"/>
              <w:ind w:left="311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6"/>
          </w:tcPr>
          <w:p>
            <w:pPr>
              <w:jc w:val="right"/>
              <w:ind w:right="1040"/>
              <w:spacing w:after="0" w:line="202" w:lineRule="exact"/>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880" w:type="dxa"/>
            <w:vAlign w:val="bottom"/>
            <w:gridSpan w:val="6"/>
          </w:tcPr>
          <w:p>
            <w:pPr>
              <w:jc w:val="right"/>
              <w:ind w:right="90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9,510</w:t>
            </w:r>
          </w:p>
        </w:tc>
        <w:tc>
          <w:tcPr>
            <w:tcW w:w="4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(20,276 )</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(13,816 )</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(39,720 )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(26,627 )</w:t>
            </w:r>
          </w:p>
        </w:tc>
        <w:tc>
          <w:tcPr>
            <w:tcW w:w="0" w:type="dxa"/>
            <w:vAlign w:val="bottom"/>
          </w:tcPr>
          <w:p>
            <w:pPr>
              <w:spacing w:after="0"/>
              <w:rPr>
                <w:sz w:val="1"/>
                <w:szCs w:val="1"/>
                <w:color w:val="auto"/>
              </w:rPr>
            </w:pPr>
          </w:p>
        </w:tc>
      </w:tr>
      <w:tr>
        <w:trPr>
          <w:trHeight w:val="230"/>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accretion income</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(18,299 )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 xml:space="preserve">(13,468 </w:t>
            </w:r>
            <w:r>
              <w:rPr>
                <w:rFonts w:ascii="Arial" w:cs="Arial" w:eastAsia="Arial" w:hAnsi="Arial"/>
                <w:sz w:val="18"/>
                <w:szCs w:val="18"/>
                <w:color w:val="auto"/>
                <w:highlight w:val="white"/>
              </w:rPr>
              <w:t>)</w:t>
            </w: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(35,765 )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(26,303 )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(0.48 )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(0.46 )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(0.95 )</w:t>
            </w: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(0.90 )</w:t>
            </w:r>
          </w:p>
        </w:tc>
        <w:tc>
          <w:tcPr>
            <w:tcW w:w="0" w:type="dxa"/>
            <w:vAlign w:val="bottom"/>
          </w:tcPr>
          <w:p>
            <w:pPr>
              <w:spacing w:after="0"/>
              <w:rPr>
                <w:sz w:val="1"/>
                <w:szCs w:val="1"/>
                <w:color w:val="auto"/>
              </w:rPr>
            </w:pPr>
          </w:p>
        </w:tc>
      </w:tr>
      <w:tr>
        <w:trPr>
          <w:trHeight w:val="184"/>
        </w:trPr>
        <w:tc>
          <w:tcPr>
            <w:tcW w:w="46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 average common stock outstanding—basic</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37,855,533</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29,251,480</w:t>
            </w:r>
          </w:p>
        </w:tc>
        <w:tc>
          <w:tcPr>
            <w:tcW w:w="4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37,820,104</w:t>
            </w:r>
          </w:p>
        </w:tc>
        <w:tc>
          <w:tcPr>
            <w:tcW w:w="140" w:type="dxa"/>
            <w:vAlign w:val="bottom"/>
            <w:tcBorders>
              <w:top w:val="single" w:sz="8" w:color="CFF0FC"/>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29,232,661</w:t>
            </w:r>
          </w:p>
        </w:tc>
        <w:tc>
          <w:tcPr>
            <w:tcW w:w="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line="189"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(18,299 )</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(13,468 )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(35,765 )</w:t>
            </w:r>
          </w:p>
        </w:tc>
        <w:tc>
          <w:tcPr>
            <w:tcW w:w="1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(26,303 )</w:t>
            </w: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items: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(178 )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(123 )</w:t>
            </w: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(151 )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(178 )</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(123 )</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(151 )</w:t>
            </w:r>
          </w:p>
        </w:tc>
        <w:tc>
          <w:tcPr>
            <w:tcW w:w="14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(18,477 )</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 xml:space="preserve">(13,591 </w:t>
            </w:r>
            <w:r>
              <w:rPr>
                <w:rFonts w:ascii="Arial" w:cs="Arial" w:eastAsia="Arial" w:hAnsi="Arial"/>
                <w:sz w:val="18"/>
                <w:szCs w:val="18"/>
                <w:color w:val="auto"/>
                <w:highlight w:val="white"/>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(35,916 )</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(26,431 )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-2614295</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-2614295</wp:posOffset>
            </wp:positionV>
            <wp:extent cx="7683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-2614295</wp:posOffset>
            </wp:positionV>
            <wp:extent cx="857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-2614295</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-2305685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-2305685</wp:posOffset>
            </wp:positionV>
            <wp:extent cx="7683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-2305685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-2305685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-1568450</wp:posOffset>
            </wp:positionV>
            <wp:extent cx="8572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-1568450</wp:posOffset>
            </wp:positionV>
            <wp:extent cx="8572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-1568450</wp:posOffset>
            </wp:positionV>
            <wp:extent cx="8572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-1242695</wp:posOffset>
            </wp:positionV>
            <wp:extent cx="327469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3003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-179705</wp:posOffset>
            </wp:positionV>
            <wp:extent cx="8572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-179705</wp:posOffset>
            </wp:positionV>
            <wp:extent cx="8572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1"/>
        </w:trPr>
        <w:tc>
          <w:tcPr>
            <w:tcW w:w="2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9"/>
              </w:rPr>
              <w:t>Aura Biosciences, Inc.</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780" w:type="dxa"/>
            <w:vAlign w:val="bottom"/>
          </w:tcPr>
          <w:p>
            <w:pPr>
              <w:spacing w:after="0"/>
              <w:rPr>
                <w:sz w:val="24"/>
                <w:szCs w:val="24"/>
                <w:color w:val="auto"/>
              </w:rPr>
            </w:pPr>
          </w:p>
        </w:tc>
        <w:tc>
          <w:tcPr>
            <w:tcW w:w="548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gridSpan w:val="3"/>
          </w:tcPr>
          <w:p>
            <w:pPr>
              <w:jc w:val="center"/>
              <w:ind w:right="570"/>
              <w:spacing w:after="0" w:line="202" w:lineRule="exact"/>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0" w:type="dxa"/>
            <w:vAlign w:val="bottom"/>
            <w:gridSpan w:val="7"/>
          </w:tcPr>
          <w:p>
            <w:pPr>
              <w:jc w:val="center"/>
              <w:ind w:right="1060"/>
              <w:spacing w:after="0"/>
              <w:rPr>
                <w:sz w:val="20"/>
                <w:szCs w:val="20"/>
                <w:color w:val="auto"/>
              </w:rPr>
            </w:pPr>
            <w:r>
              <w:rPr>
                <w:rFonts w:ascii="Arial" w:cs="Arial" w:eastAsia="Arial" w:hAnsi="Arial"/>
                <w:sz w:val="18"/>
                <w:szCs w:val="18"/>
                <w:b w:val="1"/>
                <w:bCs w:val="1"/>
                <w:color w:val="auto"/>
                <w:w w:val="99"/>
              </w:rPr>
              <w:t>(in thousands, except share data)</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Accumulated</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Other</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32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Comprehensiv</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Paid-In</w:t>
            </w:r>
          </w:p>
        </w:tc>
        <w:tc>
          <w:tcPr>
            <w:tcW w:w="14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2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Deficit</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 Amount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37,771,918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406,555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(210,900 )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c>
          <w:tcPr>
            <w:tcW w:w="1380" w:type="dxa"/>
            <w:vAlign w:val="bottom"/>
          </w:tcPr>
          <w:p>
            <w:pPr>
              <w:jc w:val="right"/>
              <w:spacing w:after="0"/>
              <w:rPr>
                <w:sz w:val="20"/>
                <w:szCs w:val="20"/>
                <w:color w:val="auto"/>
              </w:rPr>
            </w:pPr>
            <w:r>
              <w:rPr>
                <w:rFonts w:ascii="Arial" w:cs="Arial" w:eastAsia="Arial" w:hAnsi="Arial"/>
                <w:sz w:val="18"/>
                <w:szCs w:val="18"/>
                <w:color w:val="auto"/>
              </w:rPr>
              <w:t>195,583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Employee Stock Purchase Plan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Issuance</w:t>
            </w:r>
          </w:p>
        </w:tc>
        <w:tc>
          <w:tcPr>
            <w:tcW w:w="1140" w:type="dxa"/>
            <w:vAlign w:val="bottom"/>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exercises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21,549</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Unrealized gain on marketable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(17,466 )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(17,466 )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37,800,102</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408,669</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(228,366 )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(45 )</w:t>
            </w:r>
          </w:p>
        </w:tc>
        <w:tc>
          <w:tcPr>
            <w:tcW w:w="1380" w:type="dxa"/>
            <w:vAlign w:val="bottom"/>
          </w:tcPr>
          <w:p>
            <w:pPr>
              <w:jc w:val="right"/>
              <w:spacing w:after="0"/>
              <w:rPr>
                <w:sz w:val="20"/>
                <w:szCs w:val="20"/>
                <w:color w:val="auto"/>
              </w:rPr>
            </w:pPr>
            <w:r>
              <w:rPr>
                <w:rFonts w:ascii="Arial" w:cs="Arial" w:eastAsia="Arial" w:hAnsi="Arial"/>
                <w:sz w:val="18"/>
                <w:szCs w:val="18"/>
                <w:color w:val="auto"/>
              </w:rPr>
              <w:t>180,258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Issuance of common stock under</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ATM facility</w:t>
            </w:r>
          </w:p>
        </w:tc>
        <w:tc>
          <w:tcPr>
            <w:tcW w:w="1140" w:type="dxa"/>
            <w:vAlign w:val="bottom"/>
          </w:tcPr>
          <w:p>
            <w:pPr>
              <w:jc w:val="right"/>
              <w:spacing w:after="0"/>
              <w:rPr>
                <w:sz w:val="20"/>
                <w:szCs w:val="20"/>
                <w:color w:val="auto"/>
              </w:rPr>
            </w:pPr>
            <w:r>
              <w:rPr>
                <w:rFonts w:ascii="Arial" w:cs="Arial" w:eastAsia="Arial" w:hAnsi="Arial"/>
                <w:sz w:val="18"/>
                <w:szCs w:val="18"/>
                <w:color w:val="auto"/>
              </w:rPr>
              <w:t>169,200</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exercises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117,304</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Unrealized loss on marketable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(178 )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(18,299 )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(18,299 )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38,086,606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413,325</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(246,665 )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(223 )</w:t>
            </w:r>
          </w:p>
        </w:tc>
        <w:tc>
          <w:tcPr>
            <w:tcW w:w="1380" w:type="dxa"/>
            <w:vAlign w:val="bottom"/>
          </w:tcPr>
          <w:p>
            <w:pPr>
              <w:jc w:val="right"/>
              <w:spacing w:after="0"/>
              <w:rPr>
                <w:sz w:val="20"/>
                <w:szCs w:val="20"/>
                <w:color w:val="auto"/>
              </w:rPr>
            </w:pPr>
            <w:r>
              <w:rPr>
                <w:rFonts w:ascii="Arial" w:cs="Arial" w:eastAsia="Arial" w:hAnsi="Arial"/>
                <w:sz w:val="18"/>
                <w:szCs w:val="18"/>
                <w:color w:val="auto"/>
              </w:rPr>
              <w:t>166,437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Accumulated</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Other</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320" w:type="dxa"/>
            <w:vAlign w:val="bottom"/>
            <w:gridSpan w:val="3"/>
            <w:vMerge w:val="restart"/>
          </w:tcPr>
          <w:p>
            <w:pPr>
              <w:ind w:left="64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Comprehensiv</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Paid-In</w:t>
            </w:r>
          </w:p>
        </w:tc>
        <w:tc>
          <w:tcPr>
            <w:tcW w:w="14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Accumulated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Deficit</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 Amount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Equity</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29,211,643</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304,452</w:t>
            </w:r>
          </w:p>
        </w:tc>
        <w:tc>
          <w:tcPr>
            <w:tcW w:w="1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(152,137 )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152,315</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7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Stock-based compensation</w:t>
            </w: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exercises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line="203" w:lineRule="exact"/>
              <w:rPr>
                <w:sz w:val="20"/>
                <w:szCs w:val="20"/>
                <w:color w:val="auto"/>
              </w:rPr>
            </w:pPr>
            <w:r>
              <w:rPr>
                <w:rFonts w:ascii="Arial" w:cs="Arial" w:eastAsia="Arial" w:hAnsi="Arial"/>
                <w:sz w:val="18"/>
                <w:szCs w:val="18"/>
                <w:color w:val="auto"/>
              </w:rPr>
              <w:t>Unrealized loss on marketable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(12,835 )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(12,835 )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29,217,236</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306,063</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(164,972 )</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380" w:type="dxa"/>
            <w:vAlign w:val="bottom"/>
          </w:tcPr>
          <w:p>
            <w:pPr>
              <w:jc w:val="right"/>
              <w:spacing w:after="0"/>
              <w:rPr>
                <w:sz w:val="20"/>
                <w:szCs w:val="20"/>
                <w:color w:val="auto"/>
              </w:rPr>
            </w:pPr>
            <w:r>
              <w:rPr>
                <w:rFonts w:ascii="Arial" w:cs="Arial" w:eastAsia="Arial" w:hAnsi="Arial"/>
                <w:sz w:val="18"/>
                <w:szCs w:val="18"/>
                <w:color w:val="auto"/>
              </w:rPr>
              <w:t>141,086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Stock option exercises</w:t>
            </w:r>
          </w:p>
        </w:tc>
        <w:tc>
          <w:tcPr>
            <w:tcW w:w="1140" w:type="dxa"/>
            <w:vAlign w:val="bottom"/>
          </w:tcPr>
          <w:p>
            <w:pPr>
              <w:jc w:val="right"/>
              <w:spacing w:after="0"/>
              <w:rPr>
                <w:sz w:val="20"/>
                <w:szCs w:val="20"/>
                <w:color w:val="auto"/>
              </w:rPr>
            </w:pPr>
            <w:r>
              <w:rPr>
                <w:rFonts w:ascii="Arial" w:cs="Arial" w:eastAsia="Arial" w:hAnsi="Arial"/>
                <w:sz w:val="18"/>
                <w:szCs w:val="18"/>
                <w:color w:val="auto"/>
              </w:rPr>
              <w:t>49,612</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Unrealized loss on marketable</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(123 )</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(13,468 )</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(13,468 )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29,266,848</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307,659</w:t>
            </w: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(178,440 )</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(128 )</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-4645660</wp:posOffset>
            </wp:positionV>
            <wp:extent cx="857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-4645660</wp:posOffset>
            </wp:positionV>
            <wp:extent cx="8572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-4645660</wp:posOffset>
            </wp:positionV>
            <wp:extent cx="857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-4645660</wp:posOffset>
            </wp:positionV>
            <wp:extent cx="857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-4645660</wp:posOffset>
            </wp:positionV>
            <wp:extent cx="857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-4645660</wp:posOffset>
            </wp:positionV>
            <wp:extent cx="857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-3376930</wp:posOffset>
            </wp:positionV>
            <wp:extent cx="8572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63436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-3376930</wp:posOffset>
            </wp:positionV>
            <wp:extent cx="85725" cy="1191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-3376930</wp:posOffset>
            </wp:positionV>
            <wp:extent cx="85725" cy="1191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-3376930</wp:posOffset>
            </wp:positionV>
            <wp:extent cx="85725" cy="1191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-3376930</wp:posOffset>
            </wp:positionV>
            <wp:extent cx="85725" cy="1191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-3376930</wp:posOffset>
            </wp:positionV>
            <wp:extent cx="85725" cy="119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19126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-2039620</wp:posOffset>
            </wp:positionV>
            <wp:extent cx="4646295"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46295" cy="3003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-1173480</wp:posOffset>
            </wp:positionV>
            <wp:extent cx="8572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-1173480</wp:posOffset>
            </wp:positionV>
            <wp:extent cx="857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-1173480</wp:posOffset>
            </wp:positionV>
            <wp:extent cx="857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-1173480</wp:posOffset>
            </wp:positionV>
            <wp:extent cx="857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-1173480</wp:posOffset>
            </wp:positionV>
            <wp:extent cx="857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-1173480</wp:posOffset>
            </wp:positionV>
            <wp:extent cx="8572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-24765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1"/>
        </w:trPr>
        <w:tc>
          <w:tcPr>
            <w:tcW w:w="7640" w:type="dxa"/>
            <w:vAlign w:val="bottom"/>
            <w:gridSpan w:val="2"/>
          </w:tcPr>
          <w:p>
            <w:pPr>
              <w:jc w:val="center"/>
              <w:ind w:left="3510"/>
              <w:spacing w:after="0"/>
              <w:rPr>
                <w:sz w:val="20"/>
                <w:szCs w:val="20"/>
                <w:color w:val="auto"/>
              </w:rPr>
            </w:pPr>
            <w:r>
              <w:rPr>
                <w:rFonts w:ascii="Arial" w:cs="Arial" w:eastAsia="Arial" w:hAnsi="Arial"/>
                <w:sz w:val="18"/>
                <w:szCs w:val="18"/>
                <w:b w:val="1"/>
                <w:bCs w:val="1"/>
                <w:color w:val="auto"/>
                <w:w w:val="99"/>
              </w:rPr>
              <w:t>Aura Biosciences, Inc.</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8040" w:type="dxa"/>
            <w:vAlign w:val="bottom"/>
            <w:gridSpan w:val="3"/>
          </w:tcPr>
          <w:p>
            <w:pPr>
              <w:jc w:val="center"/>
              <w:ind w:left="305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jc w:val="center"/>
              <w:ind w:left="3510"/>
              <w:spacing w:after="0" w:line="202" w:lineRule="exact"/>
              <w:rPr>
                <w:sz w:val="20"/>
                <w:szCs w:val="20"/>
                <w:color w:val="auto"/>
              </w:rPr>
            </w:pPr>
            <w:r>
              <w:rPr>
                <w:rFonts w:ascii="Arial" w:cs="Arial" w:eastAsia="Arial" w:hAnsi="Arial"/>
                <w:sz w:val="18"/>
                <w:szCs w:val="18"/>
                <w:b w:val="1"/>
                <w:bCs w:val="1"/>
                <w:color w:val="auto"/>
                <w:w w:val="99"/>
              </w:rPr>
              <w:t>(Unaudited)</w:t>
            </w: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640" w:type="dxa"/>
            <w:vAlign w:val="bottom"/>
            <w:gridSpan w:val="2"/>
          </w:tcPr>
          <w:p>
            <w:pPr>
              <w:jc w:val="center"/>
              <w:ind w:left="3510"/>
              <w:spacing w:after="0"/>
              <w:rPr>
                <w:sz w:val="20"/>
                <w:szCs w:val="20"/>
                <w:color w:val="auto"/>
              </w:rPr>
            </w:pPr>
            <w:r>
              <w:rPr>
                <w:rFonts w:ascii="Arial" w:cs="Arial" w:eastAsia="Arial" w:hAnsi="Arial"/>
                <w:sz w:val="18"/>
                <w:szCs w:val="18"/>
                <w:b w:val="1"/>
                <w:bCs w:val="1"/>
                <w:color w:val="auto"/>
                <w:w w:val="99"/>
              </w:rPr>
              <w:t>(in thousands)</w:t>
            </w:r>
          </w:p>
        </w:tc>
        <w:tc>
          <w:tcPr>
            <w:tcW w:w="400" w:type="dxa"/>
            <w:vAlign w:val="bottom"/>
          </w:tcPr>
          <w:p>
            <w:pPr>
              <w:spacing w:after="0"/>
              <w:rPr>
                <w:sz w:val="21"/>
                <w:szCs w:val="21"/>
                <w:color w:val="auto"/>
              </w:rPr>
            </w:pPr>
          </w:p>
        </w:tc>
        <w:tc>
          <w:tcPr>
            <w:tcW w:w="3200" w:type="dxa"/>
            <w:vAlign w:val="bottom"/>
            <w:gridSpan w:val="6"/>
            <w:vMerge w:val="restart"/>
          </w:tcPr>
          <w:p>
            <w:pPr>
              <w:jc w:val="right"/>
              <w:ind w:right="10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(35,765 )</w:t>
            </w:r>
          </w:p>
        </w:tc>
        <w:tc>
          <w:tcPr>
            <w:tcW w:w="2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(26,303 )</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Accretion on marketable securities</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(2,032 )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76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Non-cash lease expense</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(892 )</w:t>
            </w:r>
          </w:p>
        </w:tc>
        <w:tc>
          <w:tcPr>
            <w:tcW w:w="0" w:type="dxa"/>
            <w:vAlign w:val="bottom"/>
          </w:tcPr>
          <w:p>
            <w:pPr>
              <w:spacing w:after="0"/>
              <w:rPr>
                <w:sz w:val="1"/>
                <w:szCs w:val="1"/>
                <w:color w:val="auto"/>
              </w:rPr>
            </w:pPr>
          </w:p>
        </w:tc>
      </w:tr>
      <w:tr>
        <w:trPr>
          <w:trHeight w:val="229"/>
        </w:trPr>
        <w:tc>
          <w:tcPr>
            <w:tcW w:w="7640" w:type="dxa"/>
            <w:vAlign w:val="bottom"/>
            <w:gridSpan w:val="2"/>
          </w:tcPr>
          <w:p>
            <w:pPr>
              <w:ind w:left="7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(277 )</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(2,382 )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(1,515 )</w:t>
            </w:r>
          </w:p>
        </w:tc>
        <w:tc>
          <w:tcPr>
            <w:tcW w:w="0" w:type="dxa"/>
            <w:vAlign w:val="bottom"/>
          </w:tcPr>
          <w:p>
            <w:pPr>
              <w:spacing w:after="0"/>
              <w:rPr>
                <w:sz w:val="1"/>
                <w:szCs w:val="1"/>
                <w:color w:val="auto"/>
              </w:rPr>
            </w:pPr>
          </w:p>
        </w:tc>
      </w:tr>
      <w:tr>
        <w:trPr>
          <w:trHeight w:val="229"/>
        </w:trPr>
        <w:tc>
          <w:tcPr>
            <w:tcW w:w="7640" w:type="dxa"/>
            <w:vAlign w:val="bottom"/>
            <w:gridSpan w:val="2"/>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(443 )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(31,057 )</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(25,828 )</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(302 )</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 of marketable securities</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(88,847 )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(71,266 )</w:t>
            </w:r>
          </w:p>
        </w:tc>
        <w:tc>
          <w:tcPr>
            <w:tcW w:w="0" w:type="dxa"/>
            <w:vAlign w:val="bottom"/>
          </w:tcPr>
          <w:p>
            <w:pPr>
              <w:spacing w:after="0"/>
              <w:rPr>
                <w:sz w:val="1"/>
                <w:szCs w:val="1"/>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Maturities of marketable securities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(45,472 )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(68,939 )</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stock under ATM facility, net of issuance costs</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ESPP purchase</w:t>
            </w: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(73,850 )</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(94,441 )</w:t>
            </w: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48,520</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54,770</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180" w:type="dxa"/>
            <w:vAlign w:val="bottom"/>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ATM settled in future period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-2691130</wp:posOffset>
            </wp:positionV>
            <wp:extent cx="8572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-2691130</wp:posOffset>
            </wp:positionV>
            <wp:extent cx="857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-1791335</wp:posOffset>
            </wp:positionV>
            <wp:extent cx="8572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-1791335</wp:posOffset>
            </wp:positionV>
            <wp:extent cx="8572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-1199515</wp:posOffset>
            </wp:positionV>
            <wp:extent cx="8572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-1199515</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-591185</wp:posOffset>
            </wp:positionV>
            <wp:extent cx="12858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58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 w:right="320"/>
        <w:spacing w:after="0" w:line="250"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47,732</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53,849</w:t>
            </w:r>
          </w:p>
        </w:tc>
        <w:tc>
          <w:tcPr>
            <w:tcW w:w="14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Long-term restricted cash, end of period</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9"/>
                <w:szCs w:val="19"/>
                <w:color w:val="auto"/>
              </w:rPr>
            </w:pPr>
          </w:p>
        </w:tc>
      </w:tr>
      <w:tr>
        <w:trPr>
          <w:trHeight w:val="263"/>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48,520</w:t>
            </w:r>
          </w:p>
        </w:tc>
        <w:tc>
          <w:tcPr>
            <w:tcW w:w="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54,770</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Aura Biosciences, Inc. (the “Company” or “Aura”) is a clinical-stage biotechnology company envisioning a new way to treat cancer. Leveraging its novel targeted oncology platform, the Company has the goal to develop a new standard of care across multiple cancer indications. Within these consolidated financial statements, unless the context otherwise requires, references to the Company or Aura refer to Aura Biosciences, Inc. and its subsidiaries on a consolidated basis. The Company’s initial focus is on ocular and urologic oncology where the disease is diagnosed early and there is a high unmet medical need for targeted local therapies. The Company’s proprietary platform enables the targeting of a broad range of solid tumors using Virus-Like Particles, or VLPs, that can be conjugated with drugs or loaded with nucleic acids to create Virus-Like Drug Conjugates, or VDCs. The Company’s VDCs are largely agnostic to tumor type and can recognize a subset of modified tumor associated glycosaminoglycans that are part of the heparan sulphate chain of HSPGs expressed on the cell surface of many tumor cells and in the tumor microenvironment. Bel-sar, the Company’s first VDC candidate, is being developed for the first-line treatment of early-stage choroidal melanoma, a rare disease with no drugs approved where the standard of care leaves many patients with blindness. The Company is also developing bel-sar for additional ocular oncology indications, including choroidal metastasis, and in non-muscle invasive bladder cancer, or NMIBC. Aura’s headquarters are located in Boston, Massachusetts.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8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Through June 30, 2023, the Company has funded its operations primarily with proceeds from the initial and additional closings of its convertible preferred stock financings, and through its IPO, follow-on offering and at-the-market offering, or ATM. On December 5, 2022, the Company issued and sold 7,705,000 shares of common stock, including the full exercise of the underwriters’ option to purchase additional shares at a price to the public of $12.00 per share for aggregate gross proceeds of $92.5 million, or the Follow-On Offering. The Company received approximately $86.7 million in net proceeds from the Follow-On Offering after deducting underwriting discounts,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The Company issued 169,200 shares of common stock at an average price of $12.58 for aggregate gross proceeds of $2.1 million during the six months ended June 30, 2023 under the ATM. In addition, the Company issued 732,189 shares of common stock at an average price of $12.51 for aggregate gross proceeds of $9.2 million as of December 31, 2022 under the ATM. On November 2, 2021, the Company completed its IPO, in which it issued and sold 6,210,000 shares of common stock, including the full exercise of the underwriters’ option to purchase additional shares at a price to the public of $14.00 per share for aggregate gross proceeds of $86.9 million. The Company received approximately $78.3 million in net proceeds after deducting underwriting discounts, commissions and offering expenses. The Company has incurred recurring losses and negative operating cash flows from operations since its inception, including net losses of $35.8 million and $26.3 million for the six months ended June 30, 2023 and 2022, respectively. As of June 30, 2023, the Company had cash and cash equivalents and marketable securities of $162.0 million and an accumulated deficit of $246.7 million. The Company expects to continue to generate operating losses for the foreseeable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509"/>
        <w:spacing w:after="0" w:line="243"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and six months ended June 30, 2023,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8" w:lineRule="exact"/>
        <w:rPr>
          <w:sz w:val="20"/>
          <w:szCs w:val="20"/>
          <w:color w:val="auto"/>
        </w:rPr>
      </w:pPr>
    </w:p>
    <w:p>
      <w:pPr>
        <w:ind w:left="520" w:right="7260" w:hanging="512"/>
        <w:spacing w:after="0" w:line="326"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six months ended June 30, 2023 and 2022 are also unaudited. The unaudited condensed results of operations are not necessarily indicative of the operating results that may occur for the full fiscal year ending December 31, 2023.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2022, in the Company’s Annual Report on Form 10-K filed with the SEC on March 15, 2023. There have been no changes to the Company’s significant accounting policies except as noted below.</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the standard on January 1, 2023 and it did not have a material impact on its results of operations, financial condition, and financial statement disclosures.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June 30, 2023 and December 31,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8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300" w:type="dxa"/>
            <w:vAlign w:val="bottom"/>
          </w:tcPr>
          <w:p>
            <w:pPr>
              <w:spacing w:after="0"/>
              <w:rPr>
                <w:sz w:val="19"/>
                <w:szCs w:val="19"/>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8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300" w:type="dxa"/>
            <w:vAlign w:val="bottom"/>
          </w:tcPr>
          <w:p>
            <w:pPr>
              <w:spacing w:after="0"/>
              <w:rPr>
                <w:sz w:val="17"/>
                <w:szCs w:val="17"/>
                <w:color w:val="auto"/>
              </w:rPr>
            </w:pPr>
          </w:p>
        </w:tc>
        <w:tc>
          <w:tcPr>
            <w:tcW w:w="12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(Level 3)</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Financial assets</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47,220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48,048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48,048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46,504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46,504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Yankee bonds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1,295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161,501</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47,220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114,281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46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80" w:type="dxa"/>
            <w:vAlign w:val="bottom"/>
          </w:tcPr>
          <w:p>
            <w:pPr>
              <w:spacing w:after="0"/>
              <w:rPr>
                <w:sz w:val="19"/>
                <w:szCs w:val="19"/>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300" w:type="dxa"/>
            <w:vAlign w:val="bottom"/>
          </w:tcPr>
          <w:p>
            <w:pPr>
              <w:spacing w:after="0"/>
              <w:rPr>
                <w:sz w:val="19"/>
                <w:szCs w:val="19"/>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80" w:type="dxa"/>
            <w:vAlign w:val="bottom"/>
          </w:tcPr>
          <w:p>
            <w:pPr>
              <w:spacing w:after="0"/>
              <w:rPr>
                <w:sz w:val="17"/>
                <w:szCs w:val="17"/>
                <w:color w:val="auto"/>
              </w:rPr>
            </w:pPr>
          </w:p>
        </w:tc>
        <w:tc>
          <w:tcPr>
            <w:tcW w:w="112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300" w:type="dxa"/>
            <w:vAlign w:val="bottom"/>
          </w:tcPr>
          <w:p>
            <w:pPr>
              <w:spacing w:after="0"/>
              <w:rPr>
                <w:sz w:val="17"/>
                <w:szCs w:val="17"/>
                <w:color w:val="auto"/>
              </w:rPr>
            </w:pPr>
          </w:p>
        </w:tc>
        <w:tc>
          <w:tcPr>
            <w:tcW w:w="126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inputs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12"/>
        </w:trPr>
        <w:tc>
          <w:tcPr>
            <w:tcW w:w="566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8"/>
                <w:szCs w:val="18"/>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(Level 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18,099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18,099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56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185,811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118,582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67,229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56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6840" w:type="dxa"/>
            <w:vAlign w:val="bottom"/>
            <w:gridSpan w:val="4"/>
          </w:tcPr>
          <w:p>
            <w:pPr>
              <w:jc w:val="right"/>
              <w:ind w:right="63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3"/>
          </w:tcPr>
          <w:p>
            <w:pPr>
              <w:ind w:left="20"/>
              <w:spacing w:after="0"/>
              <w:rPr>
                <w:sz w:val="20"/>
                <w:szCs w:val="20"/>
                <w:color w:val="auto"/>
              </w:rPr>
            </w:pPr>
            <w:r>
              <w:rPr>
                <w:rFonts w:ascii="Arial" w:cs="Arial" w:eastAsia="Arial" w:hAnsi="Arial"/>
                <w:sz w:val="18"/>
                <w:szCs w:val="18"/>
                <w:color w:val="auto"/>
              </w:rPr>
              <w:t>IT equipment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(4,462 )</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(3,864 )</w:t>
            </w:r>
          </w:p>
        </w:tc>
        <w:tc>
          <w:tcPr>
            <w:tcW w:w="0" w:type="dxa"/>
            <w:vAlign w:val="bottom"/>
          </w:tcPr>
          <w:p>
            <w:pPr>
              <w:spacing w:after="0"/>
              <w:rPr>
                <w:sz w:val="1"/>
                <w:szCs w:val="1"/>
                <w:color w:val="auto"/>
              </w:rPr>
            </w:pPr>
          </w:p>
        </w:tc>
      </w:tr>
      <w:tr>
        <w:trPr>
          <w:trHeight w:val="223"/>
        </w:trPr>
        <w:tc>
          <w:tcPr>
            <w:tcW w:w="566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-4173855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-4157345</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-4173855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-4157345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-4173855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-4157345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-4173855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-4157345</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-2022475</wp:posOffset>
            </wp:positionV>
            <wp:extent cx="85725"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-2022475</wp:posOffset>
            </wp:positionV>
            <wp:extent cx="7683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-2022475</wp:posOffset>
            </wp:positionV>
            <wp:extent cx="8572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-2022475</wp:posOffset>
            </wp:positionV>
            <wp:extent cx="85725"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-487680</wp:posOffset>
            </wp:positionV>
            <wp:extent cx="85725"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-487680</wp:posOffset>
            </wp:positionV>
            <wp:extent cx="8572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-179705</wp:posOffset>
            </wp:positionV>
            <wp:extent cx="85725"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7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Depreciation expense was $0.3 million and $0.3 million for the three months ended June 30, 2023 and 2022, respectively. In addition, depreciation expense was $0.6 million and $0.6 million for the six months ended June 30, 2023 and 2022,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1"/>
        </w:trPr>
        <w:tc>
          <w:tcPr>
            <w:tcW w:w="566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7360" w:type="dxa"/>
            <w:vAlign w:val="bottom"/>
            <w:gridSpan w:val="6"/>
          </w:tcPr>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4,178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66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70"/>
              <w:spacing w:after="0" w:line="187" w:lineRule="exact"/>
              <w:rPr>
                <w:sz w:val="20"/>
                <w:szCs w:val="20"/>
                <w:color w:val="auto"/>
              </w:rPr>
            </w:pPr>
            <w:r>
              <w:rPr>
                <w:rFonts w:ascii="Arial" w:cs="Arial" w:eastAsia="Arial" w:hAnsi="Arial"/>
                <w:sz w:val="18"/>
                <w:szCs w:val="18"/>
                <w:b w:val="1"/>
                <w:bCs w:val="1"/>
                <w:color w:val="auto"/>
                <w:w w:val="99"/>
              </w:rPr>
              <w:t>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spacing w:after="0" w:line="187"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5"/>
          </w:tcPr>
          <w:p>
            <w:pPr>
              <w:jc w:val="center"/>
              <w:ind w:right="340"/>
              <w:spacing w:after="0" w:line="18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Losses</w:t>
            </w:r>
          </w:p>
        </w:tc>
        <w:tc>
          <w:tcPr>
            <w:tcW w:w="3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48,116</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Yankee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114,505</w:t>
            </w:r>
          </w:p>
        </w:tc>
        <w:tc>
          <w:tcPr>
            <w:tcW w:w="1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70"/>
              <w:spacing w:after="0" w:line="187" w:lineRule="exact"/>
              <w:rPr>
                <w:sz w:val="20"/>
                <w:szCs w:val="20"/>
                <w:color w:val="auto"/>
              </w:rPr>
            </w:pPr>
            <w:r>
              <w:rPr>
                <w:rFonts w:ascii="Arial" w:cs="Arial" w:eastAsia="Arial" w:hAnsi="Arial"/>
                <w:sz w:val="18"/>
                <w:szCs w:val="18"/>
                <w:b w:val="1"/>
                <w:bCs w:val="1"/>
                <w:color w:val="auto"/>
                <w:w w:val="99"/>
              </w:rPr>
              <w:t>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center"/>
              <w:spacing w:after="0" w:line="187" w:lineRule="exact"/>
              <w:rPr>
                <w:sz w:val="20"/>
                <w:szCs w:val="20"/>
                <w:color w:val="auto"/>
              </w:rPr>
            </w:pPr>
            <w:r>
              <w:rPr>
                <w:rFonts w:ascii="Arial" w:cs="Arial" w:eastAsia="Arial" w:hAnsi="Arial"/>
                <w:sz w:val="18"/>
                <w:szCs w:val="18"/>
                <w:b w:val="1"/>
                <w:bCs w:val="1"/>
                <w:color w:val="auto"/>
                <w:w w:val="98"/>
              </w:rPr>
              <w:t>Unrealized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5"/>
          </w:tcPr>
          <w:p>
            <w:pPr>
              <w:jc w:val="center"/>
              <w:ind w:right="340"/>
              <w:spacing w:after="0" w:line="18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Losses</w:t>
            </w:r>
          </w:p>
        </w:tc>
        <w:tc>
          <w:tcPr>
            <w:tcW w:w="3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27,476</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67,302</w:t>
            </w:r>
          </w:p>
        </w:tc>
        <w:tc>
          <w:tcPr>
            <w:tcW w:w="1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-3616960</wp:posOffset>
            </wp:positionV>
            <wp:extent cx="85725"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-3616960</wp:posOffset>
            </wp:positionV>
            <wp:extent cx="8572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-1388110</wp:posOffset>
            </wp:positionV>
            <wp:extent cx="2777490" cy="916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77490" cy="91694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7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of June 30, 2023, the unrealized losses on the Company’s investments in commercial paper, corporate bonds, U.S. government agencies securities, Yankee bonds,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4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As of June 30, 2023, 41 marketable securities with contractual maturities of one year or less were in an unrealized loss position totaling $0.2 million.</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all marketable securities held by the Company had remaining contractual maturities of one year or less.</w:t>
      </w: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There were no impairments of the Company’s assets measured and carried at fair value during the six months ended June 30,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1"/>
        </w:trPr>
        <w:tc>
          <w:tcPr>
            <w:tcW w:w="764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2"/>
        </w:trPr>
        <w:tc>
          <w:tcPr>
            <w:tcW w:w="764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r>
      <w:tr>
        <w:trPr>
          <w:trHeight w:val="239"/>
        </w:trPr>
        <w:tc>
          <w:tcPr>
            <w:tcW w:w="7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40" w:type="dxa"/>
            <w:vAlign w:val="bottom"/>
            <w:shd w:val="clear" w:color="auto" w:fill="CFF0FC"/>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19"/>
                <w:szCs w:val="19"/>
                <w:color w:val="auto"/>
              </w:rPr>
            </w:pPr>
          </w:p>
        </w:tc>
      </w:tr>
      <w:tr>
        <w:trPr>
          <w:trHeight w:val="23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5,334</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4,573</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-179070</wp:posOffset>
            </wp:positionV>
            <wp:extent cx="8572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had 150,000,000 authorized shares of common stock, par value $0.00001 per share, of which 38,086,606 and 37,771,918 shares were issued and outstanding at June 30, 2023 and December 31, 2022, respectively. In addition, the Company had 10,000,000 authorized shares of preferred stock, par value $0.00001 per share, all of which shares of preferred stock will be undesignated. No authorized shares of preferred stock were issued and outstanding at June 30, 2023 and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73"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On December 5, 2022, the Company issued and sold 7,705,000 shares of common stock, including the full exercise of the underwriters’ option to purchase additional shares at a price to the public of $12.00 per share for aggregate gross proceeds of $92.5 million in the Follow-On Offering. The Company received approximately $86.7 million in net proceeds from the Follow-On Offering after deducting underwriting discounts, commissions and offering expenses.</w:t>
      </w:r>
    </w:p>
    <w:p>
      <w:pPr>
        <w:spacing w:after="0" w:line="5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169,200 shares of common stock at an average price of $12.58 for aggregate gross proceeds of $2.1 million during the six months ended June 30, 2023 under the ATM. In addition, the Company issued 732,189 shares of common stock at an average price of $12.51 for aggregate gross proceeds of $9.2 million as of December 31, 2022 under the ATM.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08"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208" w:lineRule="exact"/>
        <w:rPr>
          <w:sz w:val="20"/>
          <w:szCs w:val="20"/>
          <w:color w:val="auto"/>
        </w:rPr>
      </w:pPr>
    </w:p>
    <w:p>
      <w:pPr>
        <w:jc w:val="both"/>
        <w:ind w:firstLine="305"/>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2023, the shares reserved for issuance was increased to 6,850,986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08" w:lineRule="exact"/>
        <w:rPr>
          <w:sz w:val="20"/>
          <w:szCs w:val="20"/>
          <w:color w:val="auto"/>
        </w:rPr>
      </w:pPr>
    </w:p>
    <w:p>
      <w:pPr>
        <w:jc w:val="both"/>
        <w:ind w:firstLine="487"/>
        <w:spacing w:after="0" w:line="237"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2023, the shares reserved for issuance was increased to 962,550 shares. The purchase price of the shares under the ESPP are at 85% of the lower of the fair market value of the Company’s common stock on the first trading day of the offering period or on the purchase date. As of June 30, 2023, 955,915 shares were available to be issued under the ESPP. The Company recognized $0.03 million share-based compensation expense related to the ESPP for the six months ended June 30, 2023. The Company recognized $0.02 million share-based compensation expense related to the ESPP for the three months ended June 30,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8" w:lineRule="exact"/>
        <w:rPr>
          <w:sz w:val="20"/>
          <w:szCs w:val="20"/>
          <w:color w:val="auto"/>
        </w:rPr>
      </w:pPr>
    </w:p>
    <w:p>
      <w:pPr>
        <w:jc w:val="both"/>
        <w:ind w:firstLine="415"/>
        <w:spacing w:after="0" w:line="260" w:lineRule="auto"/>
        <w:rPr>
          <w:sz w:val="20"/>
          <w:szCs w:val="20"/>
          <w:color w:val="auto"/>
        </w:rPr>
      </w:pPr>
      <w:r>
        <w:rPr>
          <w:rFonts w:ascii="Arial" w:cs="Arial" w:eastAsia="Arial" w:hAnsi="Arial"/>
          <w:sz w:val="18"/>
          <w:szCs w:val="18"/>
          <w:color w:val="auto"/>
        </w:rPr>
        <w:t>With the transfer of the available options from the 2018 Plan to the 2021 Plan, there were 4,324,297 options and restricted stock units available for grant under the 2021 Plan at June 30, 2023.</w:t>
      </w:r>
    </w:p>
    <w:p>
      <w:pPr>
        <w:spacing w:after="0" w:line="17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spacing w:after="0" w:line="2" w:lineRule="exact"/>
        <w:rPr>
          <w:sz w:val="20"/>
          <w:szCs w:val="20"/>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employees, directors and consultants shall be granted awards;</w:t>
      </w:r>
    </w:p>
    <w:p>
      <w:pPr>
        <w:spacing w:after="0" w:line="36"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subject to options and other awards;</w:t>
      </w:r>
    </w:p>
    <w:p>
      <w:pPr>
        <w:spacing w:after="0" w:line="49" w:lineRule="exact"/>
        <w:rPr>
          <w:rFonts w:ascii="Arial" w:cs="Arial" w:eastAsia="Arial" w:hAnsi="Arial"/>
          <w:sz w:val="18"/>
          <w:szCs w:val="18"/>
          <w:color w:val="auto"/>
        </w:rPr>
      </w:pPr>
    </w:p>
    <w:p>
      <w:pPr>
        <w:ind w:left="1020" w:hanging="368"/>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2"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options;</w:t>
      </w:r>
    </w:p>
    <w:p>
      <w:pPr>
        <w:spacing w:after="0" w:line="36" w:lineRule="exact"/>
        <w:rPr>
          <w:rFonts w:ascii="Arial" w:cs="Arial" w:eastAsia="Arial" w:hAnsi="Arial"/>
          <w:sz w:val="18"/>
          <w:szCs w:val="18"/>
          <w:color w:val="auto"/>
        </w:rPr>
      </w:pPr>
    </w:p>
    <w:p>
      <w:pPr>
        <w:ind w:left="1020" w:hanging="368"/>
        <w:spacing w:after="0" w:line="25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2" w:lineRule="exact"/>
        <w:rPr>
          <w:rFonts w:ascii="Arial" w:cs="Arial" w:eastAsia="Arial" w:hAnsi="Arial"/>
          <w:sz w:val="18"/>
          <w:szCs w:val="18"/>
          <w:color w:val="auto"/>
        </w:rPr>
      </w:pPr>
    </w:p>
    <w:p>
      <w:pPr>
        <w:ind w:left="1020" w:hanging="368"/>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six months ended June 30,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5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300" w:type="dxa"/>
            <w:vAlign w:val="bottom"/>
          </w:tcPr>
          <w:p>
            <w:pPr>
              <w:spacing w:after="0"/>
              <w:rPr>
                <w:sz w:val="17"/>
                <w:szCs w:val="17"/>
                <w:color w:val="auto"/>
              </w:rPr>
            </w:pPr>
          </w:p>
        </w:tc>
        <w:tc>
          <w:tcPr>
            <w:tcW w:w="11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Aggregate</w:t>
            </w:r>
          </w:p>
        </w:tc>
        <w:tc>
          <w:tcPr>
            <w:tcW w:w="14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Weighted-</w:t>
            </w:r>
          </w:p>
        </w:tc>
        <w:tc>
          <w:tcPr>
            <w:tcW w:w="2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c>
          <w:tcPr>
            <w:tcW w:w="14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Average</w:t>
            </w:r>
          </w:p>
        </w:tc>
        <w:tc>
          <w:tcPr>
            <w:tcW w:w="2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Value</w:t>
            </w:r>
          </w:p>
        </w:tc>
        <w:tc>
          <w:tcPr>
            <w:tcW w:w="14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Exercise</w:t>
            </w:r>
          </w:p>
        </w:tc>
        <w:tc>
          <w:tcPr>
            <w:tcW w:w="2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Term</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7"/>
                <w:szCs w:val="17"/>
                <w:color w:val="auto"/>
              </w:rPr>
            </w:pPr>
          </w:p>
        </w:tc>
      </w:tr>
      <w:tr>
        <w:trPr>
          <w:trHeight w:val="239"/>
        </w:trPr>
        <w:tc>
          <w:tcPr>
            <w:tcW w:w="5640" w:type="dxa"/>
            <w:vAlign w:val="bottom"/>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Price</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3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thousands)</w:t>
            </w:r>
          </w:p>
        </w:tc>
        <w:tc>
          <w:tcPr>
            <w:tcW w:w="140" w:type="dxa"/>
            <w:vAlign w:val="bottom"/>
          </w:tcPr>
          <w:p>
            <w:pPr>
              <w:spacing w:after="0"/>
              <w:rPr>
                <w:sz w:val="20"/>
                <w:szCs w:val="20"/>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140" w:type="dxa"/>
            <w:vAlign w:val="bottom"/>
            <w:shd w:val="clear" w:color="auto" w:fill="CFF0FC"/>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984,725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(138,853 )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(521,690 )</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10.87</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4,627,518</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21,242</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2,432,054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14,655</w:t>
            </w:r>
          </w:p>
        </w:tc>
        <w:tc>
          <w:tcPr>
            <w:tcW w:w="14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-196215</wp:posOffset>
            </wp:positionV>
            <wp:extent cx="2794635"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94635" cy="1968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2023 and 2022 was $7.66 and $11.56 per share, respectively. The fair value of options vested during the six months ended June 30, 2023 and 2022 was $3.4 million and $1.2 million, respectively. The total intrinsic value of options exercised was $0.9 million and $0.6 million for the six months ended June 30, 2023 and 2022,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jc w:val="both"/>
        <w:ind w:right="40" w:firstLine="509"/>
        <w:spacing w:after="0" w:line="252" w:lineRule="auto"/>
        <w:rPr>
          <w:sz w:val="20"/>
          <w:szCs w:val="20"/>
          <w:color w:val="auto"/>
        </w:rPr>
      </w:pPr>
      <w:r>
        <w:rPr>
          <w:rFonts w:ascii="Arial" w:cs="Arial" w:eastAsia="Arial" w:hAnsi="Arial"/>
          <w:sz w:val="18"/>
          <w:szCs w:val="18"/>
          <w:color w:val="auto"/>
        </w:rPr>
        <w:t>The fair value of the stock options issued for the three and six months ended June 30, 2023 and 2022 was measured with the following weighted-average assumptions:</w:t>
      </w: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980" w:type="dxa"/>
            <w:vAlign w:val="bottom"/>
            <w:gridSpan w:val="5"/>
          </w:tcPr>
          <w:p>
            <w:pPr>
              <w:jc w:val="center"/>
              <w:ind w:right="280"/>
              <w:spacing w:after="0" w:line="203" w:lineRule="exact"/>
              <w:rPr>
                <w:sz w:val="20"/>
                <w:szCs w:val="20"/>
                <w:color w:val="auto"/>
              </w:rPr>
            </w:pPr>
            <w:r>
              <w:rPr>
                <w:rFonts w:ascii="Arial" w:cs="Arial" w:eastAsia="Arial" w:hAnsi="Arial"/>
                <w:sz w:val="18"/>
                <w:szCs w:val="18"/>
                <w:b w:val="1"/>
                <w:bCs w:val="1"/>
                <w:color w:val="auto"/>
                <w:w w:val="99"/>
              </w:rPr>
              <w:t>Three Months Ended</w:t>
            </w:r>
          </w:p>
        </w:tc>
        <w:tc>
          <w:tcPr>
            <w:tcW w:w="2440" w:type="dxa"/>
            <w:vAlign w:val="bottom"/>
            <w:gridSpan w:val="6"/>
          </w:tcPr>
          <w:p>
            <w:pPr>
              <w:jc w:val="center"/>
              <w:ind w:right="160"/>
              <w:spacing w:after="0" w:line="203" w:lineRule="exact"/>
              <w:rPr>
                <w:sz w:val="20"/>
                <w:szCs w:val="20"/>
                <w:color w:val="auto"/>
              </w:rPr>
            </w:pPr>
            <w:r>
              <w:rPr>
                <w:rFonts w:ascii="Arial" w:cs="Arial" w:eastAsia="Arial" w:hAnsi="Arial"/>
                <w:sz w:val="18"/>
                <w:szCs w:val="18"/>
                <w:b w:val="1"/>
                <w:bCs w:val="1"/>
                <w:color w:val="auto"/>
                <w:w w:val="99"/>
              </w:rPr>
              <w:t>Six Months Ended</w:t>
            </w:r>
          </w:p>
        </w:tc>
      </w:tr>
      <w:tr>
        <w:trPr>
          <w:trHeight w:val="239"/>
        </w:trPr>
        <w:tc>
          <w:tcPr>
            <w:tcW w:w="586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June 30,</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3.69 %</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3.09 %</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3.57 %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2.53 %</w:t>
            </w:r>
          </w:p>
        </w:tc>
        <w:tc>
          <w:tcPr>
            <w:tcW w:w="40" w:type="dxa"/>
            <w:vAlign w:val="bottom"/>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5.91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85.43 %</w:t>
            </w: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76.85 %</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84.97 %</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75.44 %</w:t>
            </w:r>
          </w:p>
        </w:tc>
        <w:tc>
          <w:tcPr>
            <w:tcW w:w="40" w:type="dxa"/>
            <w:vAlign w:val="bottom"/>
          </w:tcPr>
          <w:p>
            <w:pPr>
              <w:spacing w:after="0"/>
              <w:rPr>
                <w:sz w:val="19"/>
                <w:szCs w:val="19"/>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78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880" w:type="dxa"/>
            <w:vAlign w:val="bottom"/>
            <w:gridSpan w:val="3"/>
          </w:tcPr>
          <w:p>
            <w:pPr>
              <w:ind w:left="520"/>
              <w:spacing w:after="0"/>
              <w:rPr>
                <w:sz w:val="20"/>
                <w:szCs w:val="20"/>
                <w:color w:val="auto"/>
              </w:rPr>
            </w:pPr>
            <w:r>
              <w:rPr>
                <w:rFonts w:ascii="Arial" w:cs="Arial" w:eastAsia="Arial" w:hAnsi="Arial"/>
                <w:sz w:val="18"/>
                <w:szCs w:val="18"/>
                <w:color w:val="auto"/>
                <w:w w:val="8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648970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8970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648970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89700" cy="14541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8" w:lineRule="exact"/>
        <w:rPr>
          <w:sz w:val="20"/>
          <w:szCs w:val="20"/>
          <w:color w:val="auto"/>
        </w:rPr>
      </w:pPr>
    </w:p>
    <w:p>
      <w:pPr>
        <w:jc w:val="both"/>
        <w:ind w:right="40" w:firstLine="509"/>
        <w:spacing w:after="0" w:line="260"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six months ended June 30, 2023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c>
          <w:tcPr>
            <w:tcW w:w="140" w:type="dxa"/>
            <w:vAlign w:val="bottom"/>
          </w:tcPr>
          <w:p>
            <w:pPr>
              <w:spacing w:after="0"/>
              <w:rPr>
                <w:sz w:val="17"/>
                <w:szCs w:val="17"/>
                <w:color w:val="auto"/>
              </w:rPr>
            </w:pPr>
          </w:p>
        </w:tc>
      </w:tr>
      <w:tr>
        <w:trPr>
          <w:trHeight w:val="203"/>
        </w:trPr>
        <w:tc>
          <w:tcPr>
            <w:tcW w:w="7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r>
      <w:tr>
        <w:trPr>
          <w:trHeight w:val="203"/>
        </w:trPr>
        <w:tc>
          <w:tcPr>
            <w:tcW w:w="7600" w:type="dxa"/>
            <w:vAlign w:val="bottom"/>
          </w:tcPr>
          <w:p>
            <w:pPr>
              <w:spacing w:after="0"/>
              <w:rPr>
                <w:sz w:val="17"/>
                <w:szCs w:val="17"/>
                <w:color w:val="auto"/>
              </w:rPr>
            </w:pPr>
          </w:p>
        </w:tc>
        <w:tc>
          <w:tcPr>
            <w:tcW w:w="196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Restricted Stock</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140" w:type="dxa"/>
            <w:vAlign w:val="bottom"/>
          </w:tcPr>
          <w:p>
            <w:pPr>
              <w:spacing w:after="0"/>
              <w:rPr>
                <w:sz w:val="17"/>
                <w:szCs w:val="17"/>
                <w:color w:val="auto"/>
              </w:rPr>
            </w:pPr>
          </w:p>
        </w:tc>
      </w:tr>
      <w:tr>
        <w:trPr>
          <w:trHeight w:val="239"/>
        </w:trPr>
        <w:tc>
          <w:tcPr>
            <w:tcW w:w="7600" w:type="dxa"/>
            <w:vAlign w:val="bottom"/>
          </w:tcPr>
          <w:p>
            <w:pPr>
              <w:spacing w:after="0"/>
              <w:rPr>
                <w:sz w:val="20"/>
                <w:szCs w:val="20"/>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1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140" w:type="dxa"/>
            <w:vAlign w:val="bottom"/>
          </w:tcPr>
          <w:p>
            <w:pPr>
              <w:spacing w:after="0"/>
              <w:rPr>
                <w:sz w:val="20"/>
                <w:szCs w:val="20"/>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153,950</w:t>
            </w:r>
          </w:p>
        </w:tc>
        <w:tc>
          <w:tcPr>
            <w:tcW w:w="3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598,445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Vested/Released</w:t>
            </w:r>
          </w:p>
        </w:tc>
        <w:tc>
          <w:tcPr>
            <w:tcW w:w="19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(109,287 )</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June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643,108</w:t>
            </w:r>
          </w:p>
        </w:tc>
        <w:tc>
          <w:tcPr>
            <w:tcW w:w="3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ind w:right="380" w:firstLine="509"/>
        <w:spacing w:after="0" w:line="260"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No restricted stock units vested during the six months ended June 30, 2023.</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r>
      <w:tr>
        <w:trPr>
          <w:trHeight w:val="230"/>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5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FF0FC"/>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FF0FC"/>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140" w:type="dxa"/>
            <w:vAlign w:val="bottom"/>
          </w:tcPr>
          <w:p>
            <w:pPr>
              <w:spacing w:after="0"/>
              <w:rPr>
                <w:sz w:val="19"/>
                <w:szCs w:val="19"/>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2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As of June 30, 2023, there was $14.2 million of unrecognized compensation expense related to stock options, which is expected to be recognized over a weighted-average period of 2.5 years.</w:t>
      </w:r>
    </w:p>
    <w:p>
      <w:pPr>
        <w:spacing w:after="0" w:line="159"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As of June 30, 2023, there was $6.0 million of unrecognized compensation expense related to restricted stock units, which is expected to be recognized over a weighted-average period of 3.14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73" w:lineRule="exact"/>
        <w:rPr>
          <w:sz w:val="20"/>
          <w:szCs w:val="20"/>
          <w:color w:val="auto"/>
        </w:rPr>
      </w:pPr>
    </w:p>
    <w:p>
      <w:pPr>
        <w:jc w:val="both"/>
        <w:ind w:right="40" w:firstLine="509"/>
        <w:spacing w:after="0" w:line="239" w:lineRule="auto"/>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June 30, 2023.</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9"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11. Compensation</w:t>
      </w:r>
    </w:p>
    <w:p>
      <w:pPr>
        <w:spacing w:after="0" w:line="73" w:lineRule="exact"/>
        <w:rPr>
          <w:sz w:val="20"/>
          <w:szCs w:val="20"/>
          <w:color w:val="auto"/>
        </w:rPr>
      </w:pPr>
    </w:p>
    <w:p>
      <w:pPr>
        <w:jc w:val="both"/>
        <w:ind w:right="40" w:firstLine="509"/>
        <w:spacing w:after="0" w:line="239"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 million and $0.1 million for the three months ended June 30, 2023 and 2022, respectively. The Company made matching contributions in the amount of $0.4 million and $0.3 million for the six months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73" w:lineRule="exact"/>
        <w:rPr>
          <w:sz w:val="20"/>
          <w:szCs w:val="20"/>
          <w:color w:val="auto"/>
        </w:rPr>
      </w:pPr>
    </w:p>
    <w:p>
      <w:pPr>
        <w:jc w:val="both"/>
        <w:ind w:right="40" w:firstLine="509"/>
        <w:spacing w:after="0" w:line="260"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June 30, 2023 and one operating lease that was terminated in August 2022.</w:t>
      </w:r>
    </w:p>
    <w:p>
      <w:pPr>
        <w:spacing w:after="0" w:line="173" w:lineRule="exact"/>
        <w:rPr>
          <w:sz w:val="20"/>
          <w:szCs w:val="20"/>
          <w:color w:val="auto"/>
        </w:rPr>
      </w:pPr>
    </w:p>
    <w:p>
      <w:pPr>
        <w:jc w:val="both"/>
        <w:ind w:right="40" w:firstLine="509"/>
        <w:spacing w:after="0" w:line="239"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June 30, 2023, the Company has incurred $0.1 million of expenses related to the expansion, and has been reimbursed for $0.1 million of these expenses.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six months ended June 30, 2023 and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76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9"/>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0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8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9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24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413"/>
        </w:trPr>
        <w:tc>
          <w:tcPr>
            <w:tcW w:w="50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0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Cash paid for amounts included in the measurement of</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liabilities—operating leases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1,537</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508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remaining lease term—operating leases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(years)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10.71 %</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3.51 %</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-993775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-976630</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-993775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-976630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-993775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-976630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0"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June 30, 2023 (in thousands):</w:t>
      </w: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440"/>
              <w:spacing w:after="0" w:line="203" w:lineRule="exact"/>
              <w:rPr>
                <w:sz w:val="20"/>
                <w:szCs w:val="20"/>
                <w:color w:val="auto"/>
              </w:rPr>
            </w:pPr>
            <w:r>
              <w:rPr>
                <w:rFonts w:ascii="Arial" w:cs="Arial" w:eastAsia="Arial" w:hAnsi="Arial"/>
                <w:sz w:val="18"/>
                <w:szCs w:val="18"/>
                <w:b w:val="1"/>
                <w:bCs w:val="1"/>
                <w:color w:val="auto"/>
              </w:rPr>
              <w:t>Operating lease</w:t>
            </w:r>
          </w:p>
        </w:tc>
      </w:tr>
      <w:tr>
        <w:trPr>
          <w:trHeight w:val="203"/>
        </w:trPr>
        <w:tc>
          <w:tcPr>
            <w:tcW w:w="4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0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payments as of June</w:t>
            </w:r>
          </w:p>
        </w:tc>
      </w:tr>
      <w:tr>
        <w:trPr>
          <w:trHeight w:val="239"/>
        </w:trPr>
        <w:tc>
          <w:tcPr>
            <w:tcW w:w="4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30, 2023</w:t>
            </w:r>
          </w:p>
        </w:tc>
        <w:tc>
          <w:tcPr>
            <w:tcW w:w="140" w:type="dxa"/>
            <w:vAlign w:val="bottom"/>
          </w:tcPr>
          <w:p>
            <w:pPr>
              <w:spacing w:after="0"/>
              <w:rPr>
                <w:sz w:val="20"/>
                <w:szCs w:val="20"/>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720" w:type="dxa"/>
            <w:vAlign w:val="bottom"/>
            <w:gridSpan w:val="2"/>
            <w:shd w:val="clear" w:color="auto" w:fill="CFF0FC"/>
          </w:tcPr>
          <w:p>
            <w:pPr>
              <w:ind w:left="45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40" w:type="dxa"/>
            <w:vAlign w:val="bottom"/>
            <w:shd w:val="clear" w:color="auto" w:fill="CFF0FC"/>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19"/>
                <w:szCs w:val="19"/>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140" w:type="dxa"/>
            <w:vAlign w:val="bottom"/>
            <w:shd w:val="clear" w:color="auto" w:fill="CFF0FC"/>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2026</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3,400</w:t>
            </w:r>
          </w:p>
        </w:tc>
        <w:tc>
          <w:tcPr>
            <w:tcW w:w="140" w:type="dxa"/>
            <w:vAlign w:val="bottom"/>
          </w:tcPr>
          <w:p>
            <w:pPr>
              <w:spacing w:after="0"/>
              <w:rPr>
                <w:sz w:val="19"/>
                <w:szCs w:val="19"/>
                <w:color w:val="auto"/>
              </w:rPr>
            </w:pPr>
          </w:p>
        </w:tc>
      </w:tr>
      <w:tr>
        <w:trPr>
          <w:trHeight w:val="23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40" w:type="dxa"/>
            <w:vAlign w:val="bottom"/>
            <w:shd w:val="clear" w:color="auto" w:fill="CFF0FC"/>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w:t>
            </w:r>
          </w:p>
        </w:tc>
        <w:tc>
          <w:tcPr>
            <w:tcW w:w="140" w:type="dxa"/>
            <w:vAlign w:val="bottom"/>
          </w:tcPr>
          <w:p>
            <w:pPr>
              <w:spacing w:after="0"/>
              <w:rPr>
                <w:sz w:val="19"/>
                <w:szCs w:val="19"/>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32,413</w:t>
            </w:r>
          </w:p>
        </w:tc>
        <w:tc>
          <w:tcPr>
            <w:tcW w:w="140" w:type="dxa"/>
            <w:vAlign w:val="bottom"/>
            <w:shd w:val="clear" w:color="auto" w:fill="CFF0FC"/>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(11,998 )</w:t>
            </w:r>
          </w:p>
        </w:tc>
      </w:tr>
      <w:tr>
        <w:trPr>
          <w:trHeight w:val="22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 at June 30, 2023</w:t>
            </w:r>
          </w:p>
        </w:tc>
        <w:tc>
          <w:tcPr>
            <w:tcW w:w="4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4720" w:type="dxa"/>
            <w:vAlign w:val="bottom"/>
            <w:gridSpan w:val="2"/>
            <w:shd w:val="clear" w:color="auto" w:fill="CFF0FC"/>
          </w:tcPr>
          <w:p>
            <w:pPr>
              <w:ind w:left="45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17,407</w:t>
            </w:r>
          </w:p>
        </w:tc>
        <w:tc>
          <w:tcPr>
            <w:tcW w:w="140" w:type="dxa"/>
            <w:vAlign w:val="bottom"/>
            <w:shd w:val="clear" w:color="auto" w:fill="CFF0FC"/>
          </w:tcPr>
          <w:p>
            <w:pPr>
              <w:spacing w:after="0"/>
              <w:rPr>
                <w:sz w:val="22"/>
                <w:szCs w:val="22"/>
                <w:color w:val="auto"/>
              </w:rPr>
            </w:pPr>
          </w:p>
        </w:tc>
      </w:tr>
      <w:tr>
        <w:trPr>
          <w:trHeight w:val="629"/>
        </w:trPr>
        <w:tc>
          <w:tcPr>
            <w:tcW w:w="4660" w:type="dxa"/>
            <w:vAlign w:val="bottom"/>
            <w:tcBorders>
              <w:top w:val="single" w:sz="8" w:color="CFF0FC"/>
            </w:tcBorders>
          </w:tcPr>
          <w:p>
            <w:pPr>
              <w:spacing w:after="0"/>
              <w:rPr>
                <w:sz w:val="24"/>
                <w:szCs w:val="24"/>
                <w:color w:val="auto"/>
              </w:rPr>
            </w:pPr>
          </w:p>
        </w:tc>
        <w:tc>
          <w:tcPr>
            <w:tcW w:w="4540" w:type="dxa"/>
            <w:vAlign w:val="bottom"/>
            <w:tcBorders>
              <w:top w:val="single" w:sz="8" w:color="CFF0FC"/>
            </w:tcBorders>
          </w:tcPr>
          <w:p>
            <w:pPr>
              <w:jc w:val="right"/>
              <w:ind w:right="339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88"/>
        </w:trPr>
        <w:tc>
          <w:tcPr>
            <w:tcW w:w="4660" w:type="dxa"/>
            <w:vAlign w:val="bottom"/>
            <w:tcBorders>
              <w:bottom w:val="single" w:sz="8" w:color="9A9A9A"/>
            </w:tcBorders>
          </w:tcPr>
          <w:p>
            <w:pPr>
              <w:spacing w:after="0"/>
              <w:rPr>
                <w:sz w:val="7"/>
                <w:szCs w:val="7"/>
                <w:color w:val="auto"/>
              </w:rPr>
            </w:pPr>
          </w:p>
        </w:tc>
        <w:tc>
          <w:tcPr>
            <w:tcW w:w="45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-814070</wp:posOffset>
            </wp:positionV>
            <wp:extent cx="85725"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549" w:right="29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4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 Company recognized no expenses related to this agreement and related amendments for the six months ended June 30, 2023 and 2022, respectively.</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 Company must also pay LI-COR a non-refundable, non-creditable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six months ended June 30, 2023 and 2022,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w:t>
      </w:r>
    </w:p>
    <w:p>
      <w:pPr>
        <w:spacing w:after="0" w:line="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six months ended June 30, 2023 and 2022, the Company recognized $0 million and $0.05 million of expenses related to this agreement,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7" w:name="page18"/>
    <w:bookmarkEnd w:id="17"/>
    <w:p>
      <w:pPr>
        <w:jc w:val="both"/>
        <w:ind w:firstLine="509"/>
        <w:spacing w:after="0" w:line="239"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six months ended June 30, 2023, the Company recognized no expenses related to this agreement.</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six months ended June 30, 2023 and 2022, the Company paid no research collaboration fees related to this agreement.</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six months ended June 30, 2023 and 2022.</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will be in August 2023. This eighth amendment extended the term of the CRADA to September 30, 2024. During the six months ended June 30, 2023, the Company recognized no expenses related to this agreement</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no patent licensing fees for the six months ended June 30, 2023 and 2022, respectively.</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June 30, 2023.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six months ended June 30, 2023 and 2022.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8" w:name="page19"/>
    <w:bookmarkEnd w:id="18"/>
    <w:p>
      <w:pPr>
        <w:ind w:left="1020"/>
        <w:spacing w:after="0"/>
        <w:rPr>
          <w:sz w:val="20"/>
          <w:szCs w:val="20"/>
          <w:color w:val="auto"/>
        </w:rPr>
      </w:pPr>
      <w:r>
        <w:rPr>
          <w:rFonts w:ascii="Arial" w:cs="Arial" w:eastAsia="Arial" w:hAnsi="Arial"/>
          <w:sz w:val="18"/>
          <w:szCs w:val="18"/>
          <w:i w:val="1"/>
          <w:iCs w:val="1"/>
          <w:color w:val="auto"/>
        </w:rPr>
        <w:t>Clearside</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July 2019, the Company entered into an exclusive license agreement with Clearside Biomedical, Inc., or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91"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 Company recognized $0.4 million and $0 million in expense related to this agreement and related amendments for the six months ended June 30, 2023 and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8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has calculated basic and diluted net loss per share for the three and six months ended June 30, 2023 and 2022 as follows (in thousands, except share and per share data):</w:t>
      </w: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6"/>
          </w:tcPr>
          <w:p>
            <w:pPr>
              <w:ind w:left="320"/>
              <w:spacing w:after="0" w:line="203" w:lineRule="exact"/>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380" w:type="dxa"/>
            <w:vAlign w:val="bottom"/>
            <w:gridSpan w:val="5"/>
          </w:tcPr>
          <w:p>
            <w:pPr>
              <w:jc w:val="right"/>
              <w:ind w:right="560"/>
              <w:spacing w:after="0" w:line="203" w:lineRule="exact"/>
              <w:rPr>
                <w:sz w:val="20"/>
                <w:szCs w:val="20"/>
                <w:color w:val="auto"/>
              </w:rPr>
            </w:pPr>
            <w:r>
              <w:rPr>
                <w:rFonts w:ascii="Arial" w:cs="Arial" w:eastAsia="Arial" w:hAnsi="Arial"/>
                <w:sz w:val="18"/>
                <w:szCs w:val="18"/>
                <w:b w:val="1"/>
                <w:bCs w:val="1"/>
                <w:color w:val="auto"/>
              </w:rPr>
              <w:t>Six Months Ended</w:t>
            </w:r>
          </w:p>
        </w:tc>
      </w:tr>
      <w:tr>
        <w:trPr>
          <w:trHeight w:val="239"/>
        </w:trPr>
        <w:tc>
          <w:tcPr>
            <w:tcW w:w="5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37"/>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(18,299 )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(13,468 )</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(35,765 )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(26,303 )</w:t>
            </w: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common stock outstanding—basic and diluted</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9"/>
              </w:rPr>
              <w:t>29,232,66</w:t>
            </w:r>
          </w:p>
        </w:tc>
        <w:tc>
          <w:tcPr>
            <w:tcW w:w="140" w:type="dxa"/>
            <w:vAlign w:val="bottom"/>
          </w:tcPr>
          <w:p>
            <w:pPr>
              <w:spacing w:after="0"/>
              <w:rPr>
                <w:sz w:val="17"/>
                <w:szCs w:val="17"/>
                <w:color w:val="auto"/>
              </w:rPr>
            </w:pPr>
          </w:p>
        </w:tc>
      </w:tr>
      <w:tr>
        <w:trPr>
          <w:trHeight w:val="229"/>
        </w:trPr>
        <w:tc>
          <w:tcPr>
            <w:tcW w:w="5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37,855,533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29,251,480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37,820,104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(0.48 )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(0.46 )</w:t>
            </w:r>
          </w:p>
        </w:tc>
        <w:tc>
          <w:tcPr>
            <w:tcW w:w="160" w:type="dxa"/>
            <w:vAlign w:val="bottom"/>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(0.95 )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(0.90 )</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7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4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4,627,518</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4,135,212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643,108</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206,933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22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3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5,283,312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4,354,831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60" w:type="dxa"/>
            <w:vAlign w:val="bottom"/>
            <w:vMerge w:val="restart"/>
          </w:tcPr>
          <w:p>
            <w:pPr>
              <w:jc w:val="right"/>
              <w:ind w:right="1210"/>
              <w:spacing w:after="0"/>
              <w:rPr>
                <w:sz w:val="20"/>
                <w:szCs w:val="20"/>
                <w:color w:val="auto"/>
              </w:rPr>
            </w:pPr>
            <w:r>
              <w:rPr>
                <w:rFonts w:ascii="Arial" w:cs="Arial" w:eastAsia="Arial" w:hAnsi="Arial"/>
                <w:sz w:val="18"/>
                <w:szCs w:val="18"/>
                <w:color w:val="auto"/>
              </w:rPr>
              <w:t>15</w:t>
            </w: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76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-650875</wp:posOffset>
            </wp:positionV>
            <wp:extent cx="85725"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14. Income Taxes</w:t>
      </w:r>
    </w:p>
    <w:p>
      <w:pPr>
        <w:spacing w:after="0" w:line="7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estimates an annual effective tax rate of 0% for the year ending December 31, 2023 as the Company incurred losses for the six months ended June 30, 2023, and is forecasting additional losses through the remainder of fiscal year ending December 31, 2023, resulting in an estimated net loss for both financial statement and tax purposes for the year ending December 31, 2023. Therefore, no federal or state income taxes are expected and none have been recorded at this time. Income taxes have been accounted for using the liability method.</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As of June 30, 2023, the Company had no unrecognized income tax benefits that would reduce the Company’s effective tax rate if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8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not identified any subsequent events that require disclosure.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for targeted local therapies.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subset of modified tumor associated glycosaminoglycans, or GAGs, that are part of the heparan sulphate chain of HSPGs expressed on the cell surface of many tumor cells and in the tumor microenvironment.</w:t>
      </w:r>
    </w:p>
    <w:p>
      <w:pPr>
        <w:spacing w:after="0" w:line="19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Bel-sar, our first VDC candidate, is being developed for the first-line treatment of early-stage choroidal melanoma, a rare disease with no drugs approved where the standard of care leaves many patients with blindness. We have received orphan drug designation for the treatment of uveal melanoma from the U.S Food and Drug Administration, or the FDA, and the European Medicines Agency, or EMA, and fast track designation from the FDA for the treatment of choroidal melanoma. We have completed a Phase 1b/2 trial using intravitreal administration that has demonstrated clinical proof of concept, assessed using endpoints in alignment with the feedback from the FDA. We are currently evaluating suprachoroidal, or SC, administration of bel-sar in a Phase 2 trial. Enrollment is complete in the Phase 2 trial, and updated efficacy data with 12 months median follow up of patients treated with the therapeutic regimen intended to be used in the Phase 3 trial is on track to be presented in the second half of 2023. In February 2023 we presented average nine-month interim safety and efficacy data from this ongoing trial at Macula Society’s Annual Meeting which demonstrated a favorable safety profile with no posterior inflammation and no treatment-related serious adverse events, or SAEs, reported as of January 10, 2023. The results, with an average of nine months of follow up in patients who received a therapeutic regimen with three cycles of therapy, and who match the criteria for the planned global Phase 3 trial (n=8), showed a statistically significant reduction in the tumor growth rate (-0.289 mm/yr, p = &lt;0.0001) compared to each patient’s documented growth rate at study entry, and a 100% (8/8) tumor control. In addition, the visual acuity preservation in the group of patients was 88% (7/8), with the majority of patients being at high-risk for vision loss with tumors close to fovea or optic disk. We have selected the SC route to conduct our global Phase 3 trial in alignment with regulatory agencies. The Phase 3 clinical trial design incorporates guidance and feedback from the FDA following a Type C meeting. The Phase 3 trial is designed as a superiority trial comparing belzupacap sarotalocan (bel-sar) versus sham. The trial is a global Phase 3, randomized, multi-center, masked study, and it is intended to enroll approximately 100 patients randomized 2:1:2 to receive high dose regimen of bel-sar, low dose regimen of bel-sar with SC administration, or a sham control. The primary endpoint is time to tumor progression and the first key secondary endpoint is a composite time to event analysis that will compare the tumor control and visual acuity of the bel-sar high-dose regimen to sham when the last patient completes their 12 months of follow up. We are currently conducting start up activities for the global Phase 3 trial with the goal to dose our first patient in the second half of 2023. We are also developing bel-sar for additional ocular oncology indications and have an open IND in the United States for choroidal metastasis, supporting the potential of bel-sar to provide a novel treatment option that preserves vision for these patients. Choroidal metastasis is a high unmet medical need and the most common intraocular malignancy that is caused by multiple primary cancers in the body that metastasize to the eye (e.g., breast and lung cancer). These patients are treated by the same ocular oncologists that treat choroidal melanoma and there are no drugs approved that can treat the lesion in the eye and preserve vision. We received fast track designation from the FDA’s Division of Oncology and plan to initiate the Phase 2 trial in 2024.</w:t>
      </w:r>
    </w:p>
    <w:p>
      <w:pPr>
        <w:spacing w:after="0" w:line="21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addition to our ocular oncology franchise, we are leveraging our targeted oncology platform to develop bel-sar in the field of urologic oncology with an initial indication for the treatment of non-muscle invasive bladder cancer, or NMIBC, where we received fast track designation by the FDA’s Division of Oncology. We initiated enrollment in a Phase 1 trial and we plan to present data from this trial in 2024.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509"/>
        <w:spacing w:after="0" w:line="235" w:lineRule="auto"/>
        <w:rPr>
          <w:sz w:val="20"/>
          <w:szCs w:val="20"/>
          <w:color w:val="auto"/>
        </w:rPr>
      </w:pPr>
      <w:r>
        <w:rPr>
          <w:rFonts w:ascii="Arial" w:cs="Arial" w:eastAsia="Arial" w:hAnsi="Arial"/>
          <w:sz w:val="18"/>
          <w:szCs w:val="18"/>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June 30, 2023, we have raised an aggregate of approximately $323.5 million of gross proceeds primarily from private placements of our equity and convertible preferred stock as well as through the issuance of our common stock. On December 5, 2022, we issued and sold 7,705,000 shares of common stock, including the full exercise of the underwriters’ option to purchase additional shares at a price to the public of $ 12.00 per share, for aggregate gross proceeds of $92.5 million, or the Follow-On Offering. We received approximately $86.7 million in net proceeds from the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We issued 169,200 shares of common stock at an average price of $12.58 for aggregate gross proceeds of $2.1 million during the six months ended June 30, 2023 under the ATM. In addition, we issued 732,189 shares of common stock at an average price of $12.51 for aggregate gross proceeds of $9.2 million as of December 31, 2022 under the ATM. In November 2021, we issued and sold 6,210,000 shares of our common stock, including the full exercise of the underwriters’ option to purchase additional shares at a price to the public of $14.00 per share for aggregate gross proceeds of $86.9 million in our initial public offering, or IPO. We received approximately $78.3 million in net proceeds from the IPO after deducting underwriting discounts, commissions and offering expenses.</w:t>
      </w:r>
    </w:p>
    <w:p>
      <w:pPr>
        <w:spacing w:after="0" w:line="19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$35.8 million and $26.3 million for the six months ended June 30, 2023 and 2022, respectively. As of June 30, 2023, we had an accumulated deficit of $246.7 million. In addition, our losses from operations may fluctuate significantly from quarter-to-quarter and year-to-year, depending on the timing of our clinical trials and our expenditures on other research and development activities.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12" w:lineRule="exact"/>
        <w:rPr>
          <w:sz w:val="20"/>
          <w:szCs w:val="20"/>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our current and future clinical trials of bel-sar;</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the preclinical and clinical development of new indications;</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36"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49" w:lineRule="exact"/>
        <w:rPr>
          <w:rFonts w:ascii="Arial" w:cs="Arial" w:eastAsia="Arial" w:hAnsi="Arial"/>
          <w:sz w:val="18"/>
          <w:szCs w:val="18"/>
          <w:color w:val="auto"/>
        </w:rPr>
      </w:pPr>
    </w:p>
    <w:p>
      <w:pPr>
        <w:ind w:left="1160" w:hanging="508"/>
        <w:spacing w:after="0" w:line="260"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2" w:name="page23"/>
    <w:bookmarkEnd w:id="22"/>
    <w:p>
      <w:pPr>
        <w:jc w:val="both"/>
        <w:ind w:firstLine="509"/>
        <w:spacing w:after="0" w:line="238"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June 30, 2023, we had cash and cash equivalents and marketable securities of $162.0 million. We believe that our existing cash and cash equivalents and marketable securities will enable us to fund our operating expenses and capital expenditure requirements into the second half of 2025. We have based this estimate on assumptions that may prove to be wrong, and we could exhaust our available capital resources sooner than we expect.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8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spacing w:after="0" w:line="2" w:lineRule="exact"/>
        <w:rPr>
          <w:sz w:val="20"/>
          <w:szCs w:val="20"/>
          <w:color w:val="auto"/>
        </w:rPr>
      </w:pPr>
    </w:p>
    <w:p>
      <w:pPr>
        <w:ind w:left="1160" w:hanging="50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6"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2" w:lineRule="exact"/>
        <w:rPr>
          <w:rFonts w:ascii="Arial" w:cs="Arial" w:eastAsia="Arial" w:hAnsi="Arial"/>
          <w:sz w:val="18"/>
          <w:szCs w:val="18"/>
          <w:color w:val="auto"/>
        </w:rPr>
      </w:pPr>
    </w:p>
    <w:p>
      <w:pPr>
        <w:ind w:left="1160" w:hanging="508"/>
        <w:spacing w:after="0" w:line="25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2" w:lineRule="exact"/>
        <w:rPr>
          <w:rFonts w:ascii="Arial" w:cs="Arial" w:eastAsia="Arial" w:hAnsi="Arial"/>
          <w:sz w:val="18"/>
          <w:szCs w:val="18"/>
          <w:color w:val="auto"/>
        </w:rPr>
      </w:pPr>
    </w:p>
    <w:p>
      <w:pPr>
        <w:jc w:val="both"/>
        <w:ind w:left="1160" w:hanging="508"/>
        <w:spacing w:after="0" w:line="24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bel-sar, including the potential cost of CMOs that manufacture product for use in our preclinical studies and clinical trials and perform analytical testing, scale-up and other services in connection with our development activities;</w:t>
      </w:r>
    </w:p>
    <w:p>
      <w:pPr>
        <w:spacing w:after="0" w:line="3"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intellectual property portfolio;</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2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expense research and development costs as incurred. Costs for external research and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3" w:name="page24"/>
    <w:bookmarkEnd w:id="23"/>
    <w:p>
      <w:pPr>
        <w:jc w:val="both"/>
        <w:ind w:firstLine="509"/>
        <w:spacing w:after="0" w:line="243"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growth of the Company, including costs of accounting, audit, legal, regulatory and tax compliance services; director and officer insurance costs; and investor and public relations costs.</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8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and interest income on our invested cash balances.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Taxes</w:t>
      </w:r>
    </w:p>
    <w:p>
      <w:pPr>
        <w:spacing w:after="0" w:line="6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2022, we had federal gross operating loss carryforwards of approximately $155.1 million which may be available to offset future taxable income, of which $44.2 million begin to expire in 2029 and go through 2037 and $110.9 million do not expire. The state gross operating loss carryforwards of $127.5 million, which may be available to offset future taxable income and which would begin to expire in 2030, except for $0.7 million of state net operating losses, or NOLs, that do not expire. As of December 31, 2022, we had federal and state research and experimentation credit carryforwards of $ 6.4 million and $1.9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540" w:type="dxa"/>
            <w:vAlign w:val="bottom"/>
            <w:gridSpan w:val="3"/>
          </w:tcPr>
          <w:p>
            <w:pPr>
              <w:jc w:val="center"/>
              <w:ind w:right="650"/>
              <w:spacing w:after="0"/>
              <w:rPr>
                <w:sz w:val="20"/>
                <w:szCs w:val="20"/>
                <w:color w:val="auto"/>
              </w:rPr>
            </w:pPr>
            <w:r>
              <w:rPr>
                <w:rFonts w:ascii="Arial" w:cs="Arial" w:eastAsia="Arial" w:hAnsi="Arial"/>
                <w:sz w:val="18"/>
                <w:szCs w:val="18"/>
                <w:b w:val="1"/>
                <w:bCs w:val="1"/>
                <w:color w:val="auto"/>
                <w:w w:val="82"/>
              </w:rPr>
              <w:t>thousands)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15,120</w:t>
            </w:r>
          </w:p>
        </w:tc>
        <w:tc>
          <w:tcPr>
            <w:tcW w:w="320" w:type="dxa"/>
            <w:vAlign w:val="bottom"/>
          </w:tcPr>
          <w:p>
            <w:pPr>
              <w:spacing w:after="0"/>
              <w:rPr>
                <w:sz w:val="19"/>
                <w:szCs w:val="19"/>
                <w:color w:val="auto"/>
              </w:rPr>
            </w:pPr>
          </w:p>
        </w:tc>
        <w:tc>
          <w:tcPr>
            <w:tcW w:w="3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9,510</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(20,276 )</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(13,816 )</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(6,460 )</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1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(32 )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(18,299 )</w:t>
            </w:r>
          </w:p>
        </w:tc>
        <w:tc>
          <w:tcPr>
            <w:tcW w:w="3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(13,468 </w:t>
            </w:r>
            <w:r>
              <w:rPr>
                <w:rFonts w:ascii="Arial" w:cs="Arial" w:eastAsia="Arial" w:hAnsi="Arial"/>
                <w:sz w:val="18"/>
                <w:szCs w:val="18"/>
                <w:color w:val="auto"/>
                <w:highlight w:val="white"/>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(4,831 )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20" w:type="dxa"/>
            <w:vAlign w:val="bottom"/>
            <w:vMerge w:val="restart"/>
          </w:tcPr>
          <w:p>
            <w:pPr>
              <w:jc w:val="right"/>
              <w:ind w:right="91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-1576705</wp:posOffset>
            </wp:positionV>
            <wp:extent cx="8572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-1576705</wp:posOffset>
            </wp:positionV>
            <wp:extent cx="8572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-1576705</wp:posOffset>
            </wp:positionV>
            <wp:extent cx="8572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-1268095</wp:posOffset>
            </wp:positionV>
            <wp:extent cx="8572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-1268095</wp:posOffset>
            </wp:positionV>
            <wp:extent cx="8572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-668020</wp:posOffset>
            </wp:positionV>
            <wp:extent cx="8572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4" w:name="page25"/>
    <w:bookmarkEnd w:id="24"/>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8"/>
              </w:rPr>
              <w:t>thousands)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15,120</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8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expenses increased to $15.1 million for the three months ended June 30, 2023 from $9.5 million for the three months ended June 30, 2022, primarily due to ongoing clinical costs associated with the progression of our Phase 2 study and CRO costs associated with the start of our Phase 3 global trial, manufacturing and development costs for bel-sar, and higher personnel expenses from growing headcount.</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increased to $5.2 million for the three months ended June 30, 2023 from $4.3 million for the three months ended June 30, 2022, primarily driven by personnel expenses, as well as increases in general corporate expenses related to growth of the Company.</w:t>
      </w:r>
    </w:p>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(in thousands)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29,524</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17,786</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39,720</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(39,720 )</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(26,627 )</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(13,093 )</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18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1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(35,765 )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(26,303 </w:t>
            </w:r>
            <w:r>
              <w:rPr>
                <w:rFonts w:ascii="Arial" w:cs="Arial" w:eastAsia="Arial" w:hAnsi="Arial"/>
                <w:sz w:val="18"/>
                <w:szCs w:val="18"/>
                <w:color w:val="auto"/>
                <w:highlight w:val="white"/>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(9,462 )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20" w:type="dxa"/>
            <w:vAlign w:val="bottom"/>
            <w:vMerge w:val="restart"/>
          </w:tcPr>
          <w:p>
            <w:pPr>
              <w:jc w:val="right"/>
              <w:ind w:right="91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-1576705</wp:posOffset>
            </wp:positionV>
            <wp:extent cx="85725"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-1576705</wp:posOffset>
            </wp:positionV>
            <wp:extent cx="85725"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-1576705</wp:posOffset>
            </wp:positionV>
            <wp:extent cx="85725"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-1268095</wp:posOffset>
            </wp:positionV>
            <wp:extent cx="8572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-1268095</wp:posOffset>
            </wp:positionV>
            <wp:extent cx="8572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-1268095</wp:posOffset>
            </wp:positionV>
            <wp:extent cx="8572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-668020</wp:posOffset>
            </wp:positionV>
            <wp:extent cx="8572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2023 and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8"/>
              </w:rPr>
              <w:t>thousands)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6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29,524</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17,786</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11,738</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expenses increased to $29.5 million for the six months ended June 30, 2023 from $ 17.8 million for the six months ended June 30, 2022, primarily due to ongoing clinical costs associated with the progression of our Phase 2 study and CRO costs associated with the start of our Phase 3 global trial, manufacturing and development costs for bel-sar, and higher personnel expenses from growing headcount.</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increased to $10.2 million for the six months ended June 30, 2023 from $8.8 million for the six months ended June 30, 2022, primarily driven by personnel expenses, as well as increases in general corporate expenses related to growth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June 30, 2023, we have raised an aggregate of approximately $323.5 million of gross proceeds primarily from private placements of our equity and convertible preferred stock and warrants, as well as through the issuance of our common stock. On December 5, 2022, we issued and sold 7,705,000 shares of common stock, including the full exercise of the underwriters’ option to purchase additional shares at a price to the public of $12.00 per share for aggregate gross proceeds of $ 92.5 million in the Follow-On Offering. We received approximately $86.7 million in net proceeds from the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We issued 169,200 shares of common stock at an average price of $12.58 for aggregate gross proceeds of $2.1 million during the six months ended June 30, 2023 under the ATM. In addition, we issued 732,189 shares of common stock at an average price of $12.51 for aggregate gross proceeds of $9.2 million as of December 31, 2022 under the ATM. In November 2021, we issued and sold a total of 6,210,000 shares in our IPO of our common stock, including the full exercise of the underwriters’ option to purchase additional shares, at a price to the public of $ 14.00 per share for aggregate gross proceeds of $86.9 million. We received approximately $78.3 million in net proceeds from the IPO after deducting underwriting discounts, commissions and offering expenses.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29"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thousands)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(31,057 )</w:t>
            </w:r>
          </w:p>
        </w:tc>
        <w:tc>
          <w:tcPr>
            <w:tcW w:w="520" w:type="dxa"/>
            <w:vAlign w:val="bottom"/>
            <w:shd w:val="clear" w:color="auto" w:fill="CFF0FC"/>
          </w:tcPr>
          <w:p>
            <w:pPr>
              <w:jc w:val="center"/>
              <w:ind w:right="2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(25,828 )</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(45,472 )</w:t>
            </w:r>
          </w:p>
        </w:tc>
        <w:tc>
          <w:tcPr>
            <w:tcW w:w="5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(68,939 )</w:t>
            </w:r>
          </w:p>
        </w:tc>
      </w:tr>
      <w:tr>
        <w:trPr>
          <w:trHeight w:val="22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3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70"/>
              <w:spacing w:after="0"/>
              <w:rPr>
                <w:sz w:val="20"/>
                <w:szCs w:val="20"/>
                <w:color w:val="auto"/>
              </w:rPr>
            </w:pPr>
            <w:r>
              <w:rPr>
                <w:rFonts w:ascii="Arial" w:cs="Arial" w:eastAsia="Arial" w:hAnsi="Arial"/>
                <w:sz w:val="18"/>
                <w:szCs w:val="18"/>
                <w:color w:val="auto"/>
              </w:rPr>
              <w:t>(73,850 )</w:t>
            </w:r>
          </w:p>
        </w:tc>
        <w:tc>
          <w:tcPr>
            <w:tcW w:w="520" w:type="dxa"/>
            <w:vAlign w:val="bottom"/>
          </w:tcPr>
          <w:p>
            <w:pPr>
              <w:jc w:val="center"/>
              <w:ind w:right="2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(94,441 )</w:t>
            </w:r>
          </w:p>
        </w:tc>
      </w:tr>
      <w:tr>
        <w:trPr>
          <w:trHeight w:val="20"/>
        </w:trPr>
        <w:tc>
          <w:tcPr>
            <w:tcW w:w="7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-179070</wp:posOffset>
            </wp:positionV>
            <wp:extent cx="8572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six months ended June 30, 2023, net cash used in operating activities was $31.1 million primarily due to our net loss of $35.8 million and a decrease in accounts payable related to timing of vendor invoicing and payments, partially offset by an increase in stock compensation expense and prepaid expenses related to CRO costs associated with the start of our Phase 3 global trial.</w:t>
      </w:r>
    </w:p>
    <w:p>
      <w:pPr>
        <w:spacing w:after="0" w:line="18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six months ended June 30, 2022, net cash used in operating activities was $25.8 million, primarily due to our net loss of $26.3 million and decrease in accounts payable related to the timing of vendor invoicing and payments, partially offset by the non-cash charge related to stock compensation expense.</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Net cash used in investing activities during the six months ended June 30, 2023 was $45.5 million primarily due to purchases of marketable securities and property and equipment, partially offset by proceeds from sale and maturities of marketable securities.</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Net cash used in investing activities during the six months ended June 30, 2022 was $68.9 million primarily due to purchases of marketable securities and property and equipment, partially offset by maturities of marketable securities.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During the six months ended June 30, 2023, net cash provided by financing activities was $2.7 million from proceeds from stock options exercises and issuance of common stock under the ATM.</w:t>
      </w:r>
    </w:p>
    <w:p>
      <w:pPr>
        <w:spacing w:after="0" w:line="1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During the six months ended June 30, 2022, net cash provided by financing activities was $0.3 million from proceeds from stock options exercises.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18" w:lineRule="exact"/>
        <w:rPr>
          <w:sz w:val="20"/>
          <w:szCs w:val="20"/>
          <w:color w:val="auto"/>
        </w:rPr>
      </w:pPr>
    </w:p>
    <w:p>
      <w:pPr>
        <w:ind w:left="1160" w:hanging="508"/>
        <w:spacing w:after="0" w:line="25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2"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9" w:lineRule="exact"/>
        <w:rPr>
          <w:rFonts w:ascii="Arial" w:cs="Arial" w:eastAsia="Arial" w:hAnsi="Arial"/>
          <w:sz w:val="18"/>
          <w:szCs w:val="18"/>
          <w:color w:val="auto"/>
        </w:rPr>
      </w:pPr>
    </w:p>
    <w:p>
      <w:pPr>
        <w:ind w:left="1160" w:hanging="508"/>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jc w:val="both"/>
        <w:ind w:left="1160" w:hanging="508"/>
        <w:spacing w:after="0" w:line="24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 w:lineRule="exact"/>
        <w:rPr>
          <w:rFonts w:ascii="Arial" w:cs="Arial" w:eastAsia="Arial" w:hAnsi="Arial"/>
          <w:sz w:val="18"/>
          <w:szCs w:val="18"/>
          <w:color w:val="auto"/>
        </w:rPr>
      </w:pPr>
    </w:p>
    <w:p>
      <w:pPr>
        <w:jc w:val="both"/>
        <w:ind w:left="1160" w:hanging="508"/>
        <w:spacing w:after="0" w:line="24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6"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49" w:lineRule="exact"/>
        <w:rPr>
          <w:rFonts w:ascii="Arial" w:cs="Arial" w:eastAsia="Arial" w:hAnsi="Arial"/>
          <w:sz w:val="18"/>
          <w:szCs w:val="18"/>
          <w:color w:val="auto"/>
        </w:rPr>
      </w:pPr>
    </w:p>
    <w:p>
      <w:pPr>
        <w:ind w:left="1160" w:hanging="508"/>
        <w:spacing w:after="0" w:line="25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9" w:lineRule="exact"/>
        <w:rPr>
          <w:rFonts w:ascii="Arial" w:cs="Arial" w:eastAsia="Arial" w:hAnsi="Arial"/>
          <w:sz w:val="18"/>
          <w:szCs w:val="18"/>
          <w:color w:val="auto"/>
        </w:rPr>
      </w:pPr>
    </w:p>
    <w:p>
      <w:pPr>
        <w:ind w:left="1160" w:hanging="5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June 30, 2023, we had cash and cash equivalents and marketable securities of $162.0 million. Based on our research and development plans, we believe that our existing cash and cash equivalents, will be sufficient to fund our operations into the second half of 2025. We have based this estimate on assumptions that may prove to be wrong, and we could exhaust our available capital resources sooner than we expect.</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Material Cash Requirements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gridSpan w:val="10"/>
          </w:tcPr>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June 30, 2023.</w:t>
            </w: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46"/>
        </w:trPr>
        <w:tc>
          <w:tcPr>
            <w:tcW w:w="3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Payments Due by Period</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3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30"/>
              <w:spacing w:after="0" w:line="187" w:lineRule="exact"/>
              <w:rPr>
                <w:sz w:val="20"/>
                <w:szCs w:val="20"/>
                <w:color w:val="auto"/>
              </w:rPr>
            </w:pPr>
            <w:r>
              <w:rPr>
                <w:rFonts w:ascii="Arial" w:cs="Arial" w:eastAsia="Arial" w:hAnsi="Arial"/>
                <w:sz w:val="18"/>
                <w:szCs w:val="18"/>
                <w:b w:val="1"/>
                <w:bCs w:val="1"/>
                <w:color w:val="auto"/>
              </w:rPr>
              <w:t>Less than</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ind w:left="280"/>
              <w:spacing w:after="0" w:line="187" w:lineRule="exact"/>
              <w:rPr>
                <w:sz w:val="20"/>
                <w:szCs w:val="20"/>
                <w:color w:val="auto"/>
              </w:rPr>
            </w:pPr>
            <w:r>
              <w:rPr>
                <w:rFonts w:ascii="Arial" w:cs="Arial" w:eastAsia="Arial" w:hAnsi="Arial"/>
                <w:sz w:val="18"/>
                <w:szCs w:val="18"/>
                <w:b w:val="1"/>
                <w:bCs w:val="1"/>
                <w:color w:val="auto"/>
              </w:rPr>
              <w:t>1 to 3</w:t>
            </w:r>
          </w:p>
        </w:tc>
        <w:tc>
          <w:tcPr>
            <w:tcW w:w="160" w:type="dxa"/>
            <w:vAlign w:val="bottom"/>
          </w:tcPr>
          <w:p>
            <w:pPr>
              <w:spacing w:after="0"/>
              <w:rPr>
                <w:sz w:val="16"/>
                <w:szCs w:val="16"/>
                <w:color w:val="auto"/>
              </w:rPr>
            </w:pPr>
          </w:p>
        </w:tc>
        <w:tc>
          <w:tcPr>
            <w:tcW w:w="1140" w:type="dxa"/>
            <w:vAlign w:val="bottom"/>
          </w:tcPr>
          <w:p>
            <w:pPr>
              <w:jc w:val="right"/>
              <w:ind w:right="250"/>
              <w:spacing w:after="0" w:line="187" w:lineRule="exact"/>
              <w:rPr>
                <w:sz w:val="20"/>
                <w:szCs w:val="20"/>
                <w:color w:val="auto"/>
              </w:rPr>
            </w:pPr>
            <w:r>
              <w:rPr>
                <w:rFonts w:ascii="Arial" w:cs="Arial" w:eastAsia="Arial" w:hAnsi="Arial"/>
                <w:sz w:val="18"/>
                <w:szCs w:val="18"/>
                <w:b w:val="1"/>
                <w:bCs w:val="1"/>
                <w:color w:val="auto"/>
              </w:rPr>
              <w:t>3 to 5</w:t>
            </w:r>
          </w:p>
        </w:tc>
        <w:tc>
          <w:tcPr>
            <w:tcW w:w="400" w:type="dxa"/>
            <w:vAlign w:val="bottom"/>
          </w:tcPr>
          <w:p>
            <w:pPr>
              <w:spacing w:after="0"/>
              <w:rPr>
                <w:sz w:val="16"/>
                <w:szCs w:val="16"/>
                <w:color w:val="auto"/>
              </w:rPr>
            </w:pPr>
          </w:p>
        </w:tc>
        <w:tc>
          <w:tcPr>
            <w:tcW w:w="11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rPr>
              <w:t>More than</w:t>
            </w:r>
          </w:p>
        </w:tc>
        <w:tc>
          <w:tcPr>
            <w:tcW w:w="140" w:type="dxa"/>
            <w:vAlign w:val="bottom"/>
          </w:tcPr>
          <w:p>
            <w:pPr>
              <w:spacing w:after="0"/>
              <w:rPr>
                <w:sz w:val="16"/>
                <w:szCs w:val="16"/>
                <w:color w:val="auto"/>
              </w:rPr>
            </w:pPr>
          </w:p>
        </w:tc>
      </w:tr>
      <w:tr>
        <w:trPr>
          <w:trHeight w:val="239"/>
        </w:trPr>
        <w:tc>
          <w:tcPr>
            <w:tcW w:w="3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4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5 Years</w:t>
            </w:r>
          </w:p>
        </w:tc>
        <w:tc>
          <w:tcPr>
            <w:tcW w:w="140" w:type="dxa"/>
            <w:vAlign w:val="bottom"/>
          </w:tcPr>
          <w:p>
            <w:pPr>
              <w:spacing w:after="0"/>
              <w:rPr>
                <w:sz w:val="20"/>
                <w:szCs w:val="20"/>
                <w:color w:val="auto"/>
              </w:rPr>
            </w:pPr>
          </w:p>
        </w:tc>
      </w:tr>
      <w:tr>
        <w:trPr>
          <w:trHeight w:val="223"/>
        </w:trPr>
        <w:tc>
          <w:tcPr>
            <w:tcW w:w="3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thousands)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32,413</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4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32,413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3,158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15,648</w:t>
            </w:r>
          </w:p>
        </w:tc>
        <w:tc>
          <w:tcPr>
            <w:tcW w:w="14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-179070</wp:posOffset>
            </wp:positionV>
            <wp:extent cx="85725"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-179070</wp:posOffset>
            </wp:positionV>
            <wp:extent cx="7683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-179070</wp:posOffset>
            </wp:positionV>
            <wp:extent cx="85725"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76835"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80" w:hanging="372"/>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227" w:lineRule="exact"/>
        <w:rPr>
          <w:sz w:val="20"/>
          <w:szCs w:val="20"/>
          <w:color w:val="auto"/>
        </w:rPr>
      </w:pPr>
    </w:p>
    <w:p>
      <w:pPr>
        <w:jc w:val="both"/>
        <w:ind w:firstLine="564"/>
        <w:spacing w:after="0" w:line="260" w:lineRule="auto"/>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The lease commenced on August 1, 2022.</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2023, there were no material changes to our critical accounting policies from those described in the section titled “Management’s Discussion and Analysis of Financial Condition and Operations” included in our Annual Report on Form 10-K for the year ended December 31, 2022, as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We assessed the recent accounting pronouncements for the six months ended June 30, 2023 and determined no pronouncements have material impact to the condensed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5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3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If we are a smaller reporting company at the time we cease to be an Emerging Growth Company, or EGC, we may continue to rely on exemptions from certain disclosure requirements that are available to smaller reporting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2023,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on Form 10-Q, including our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$35.8 million and $26.3 million for the six months ended June 30, 2023 and 2022, respectively. As of June 30, 2023, we had an accumulated deficit of $246.7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both"/>
        <w:ind w:firstLine="509"/>
        <w:spacing w:after="0" w:line="243"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hanging="503"/>
        <w:spacing w:after="0" w:line="24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NMIBC, other research programs from our VDC technology platform and any future product candidates;</w:t>
      </w:r>
    </w:p>
    <w:p>
      <w:pPr>
        <w:spacing w:after="0" w:line="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49"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contract development and manufacturing organization for bel-sar and any future product candidates, including establishing and maintaining commercially viable supply and manufacturing relationships with third parties;</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fund our operating expenses and capital expenditures into the second half of 2025.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of and commercialize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20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9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and commercialization of our product candidates.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4" w:lineRule="exact"/>
        <w:rPr>
          <w:sz w:val="20"/>
          <w:szCs w:val="20"/>
          <w:color w:val="auto"/>
        </w:rPr>
      </w:pPr>
    </w:p>
    <w:p>
      <w:pPr>
        <w:jc w:val="both"/>
        <w:ind w:left="1020" w:hanging="503"/>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bel-sar in indeterminate lesions and primary choroidal melanoma and additional oncology indications, other research programs from our VDC technology platform, and any other future programs;</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102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contract development and manufacturing organization, or CDMO, including obtaining finished products that are appropriately packaged for sale;</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3"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jc w:val="both"/>
        <w:ind w:firstLine="509"/>
        <w:spacing w:after="0" w:line="238"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2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2"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6" w:name="page37"/>
    <w:bookmarkEnd w:id="36"/>
    <w:p>
      <w:pPr>
        <w:jc w:val="both"/>
        <w:ind w:firstLine="509"/>
        <w:spacing w:after="0" w:line="243"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8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have not yet successfully completed any pivotal clinical trials nor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indeterminate lesions and primary choroidal melanoma.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will need to expand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additional product candidates, our commercial opportunity could be limited.</w:t>
      </w:r>
    </w:p>
    <w:p>
      <w:pPr>
        <w:spacing w:after="0" w:line="8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7" w:name="page38"/>
    <w:bookmarkEnd w:id="37"/>
    <w:p>
      <w:pPr>
        <w:jc w:val="both"/>
        <w:ind w:firstLine="509"/>
        <w:spacing w:after="0" w:line="241"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7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and activation by a laser. For ocular oncology indications, we use Clearside Biomedical’s SCS Microinjector®, or the SCS Microinjector, to deliver bel-sar into the suprachoroidal space. In the United States, we plan to submit a single BLA for the review and approval of this combination of bel-sar with the SCS Microinjector and the laser(s) in our initial target indication of indeterminate lesions and small choroidal melanoma, but subsequent indications and delivery systems may require different or additional applications for marketing authorization. The SCS Microinjector was approved by FDA in October 2021 as a constituent of the drug/device combination product XIPERE®.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8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primary choroidal melanoma is a rare disease and as such clinical trial recruitment estimates may be inaccurate and such recruitment may take longer than expected.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in the future choose to conduct one or more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w:t>
      </w:r>
    </w:p>
    <w:p>
      <w:pPr>
        <w:spacing w:after="0" w:line="1" w:lineRule="exact"/>
        <w:rPr>
          <w:sz w:val="20"/>
          <w:szCs w:val="20"/>
          <w:color w:val="auto"/>
        </w:rPr>
      </w:pPr>
    </w:p>
    <w:p>
      <w:pPr>
        <w:jc w:val="both"/>
        <w:ind w:firstLine="8"/>
        <w:spacing w:after="0" w:line="236" w:lineRule="auto"/>
        <w:tabs>
          <w:tab w:leader="none" w:pos="2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2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9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clinical trials or post-approval studies;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2"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4" w:lineRule="exact"/>
        <w:rPr>
          <w:sz w:val="20"/>
          <w:szCs w:val="20"/>
          <w:color w:val="auto"/>
        </w:rPr>
      </w:pPr>
    </w:p>
    <w:p>
      <w:pPr>
        <w:ind w:left="1020" w:hanging="50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jc w:val="both"/>
        <w:ind w:left="1020" w:hanging="503"/>
        <w:spacing w:after="0" w:line="24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8"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1020" w:hanging="503"/>
        <w:spacing w:after="0" w:line="24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8"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2"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3"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both"/>
        <w:ind w:firstLine="509"/>
        <w:spacing w:after="0" w:line="238" w:lineRule="auto"/>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5" w:lineRule="exact"/>
        <w:rPr>
          <w:sz w:val="20"/>
          <w:szCs w:val="20"/>
          <w:color w:val="auto"/>
        </w:rPr>
      </w:pPr>
    </w:p>
    <w:p>
      <w:pPr>
        <w:ind w:left="1020" w:hanging="50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3" w:name="page44"/>
    <w:bookmarkEnd w:id="43"/>
    <w:p>
      <w:pPr>
        <w:jc w:val="both"/>
        <w:ind w:firstLine="509"/>
        <w:spacing w:after="0" w:line="237"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be unable to obtain orphan drug designations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4" w:name="page45"/>
    <w:bookmarkEnd w:id="44"/>
    <w:p>
      <w:pPr>
        <w:ind w:firstLine="509"/>
        <w:spacing w:after="0" w:line="241"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w:t>
      </w:r>
    </w:p>
    <w:p>
      <w:pPr>
        <w:spacing w:after="0" w:line="1" w:lineRule="exact"/>
        <w:rPr>
          <w:sz w:val="20"/>
          <w:szCs w:val="20"/>
          <w:color w:val="auto"/>
        </w:rPr>
      </w:pPr>
    </w:p>
    <w:p>
      <w:pPr>
        <w:jc w:val="both"/>
        <w:ind w:firstLine="8"/>
        <w:spacing w:after="0" w:line="236" w:lineRule="auto"/>
        <w:tabs>
          <w:tab w:leader="none" w:pos="2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the same product and indication for that time period, except in limited circumstances. The EU exclusivity period can be reduced to six years if a drug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 to nine years (or five years for well-established use orphan medicines).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choroidal metastasis and for the treatment of non-muscle invasive bladder cancer,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p>
    <w:p>
      <w:pPr>
        <w:spacing w:after="0" w:line="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plan to use a clinical CRO for the pivotal trial for bel-sar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9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8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2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9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firstLine="509"/>
        <w:spacing w:after="0" w:line="25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2"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third-party manufacturers;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supply or service disruptions or increased costs that are beyond our control;</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8" w:name="page49"/>
    <w:bookmarkEnd w:id="48"/>
    <w:p>
      <w:pPr>
        <w:jc w:val="both"/>
        <w:ind w:firstLine="509"/>
        <w:spacing w:after="0" w:line="243"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12"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49"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spacing w:after="0" w:line="3"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bel-sar and any future product candidates, which could reduce the marketing impact of any claims that we could make following FDA approval or approval by comparable foreign regulatory authorities, if obtained;</w:t>
      </w:r>
    </w:p>
    <w:p>
      <w:pPr>
        <w:spacing w:after="0" w:line="8"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publicity concerning our bel-sar or competing products and treatments;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49" w:name="page50"/>
    <w:bookmarkEnd w:id="49"/>
    <w:p>
      <w:pPr>
        <w:jc w:val="both"/>
        <w:ind w:firstLine="509"/>
        <w:spacing w:after="0" w:line="238"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8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9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w:t>
      </w:r>
      <w:r>
        <w:rPr>
          <w:rFonts w:ascii="Arial" w:cs="Arial" w:eastAsia="Arial" w:hAnsi="Arial"/>
          <w:sz w:val="18"/>
          <w:szCs w:val="18"/>
          <w:i w:val="1"/>
          <w:iCs w:val="1"/>
          <w:color w:val="auto"/>
        </w:rPr>
        <w:t>“Business – Government Regulation – Coverage and Reimbursement.”</w:t>
      </w:r>
      <w:r>
        <w:rPr>
          <w:rFonts w:ascii="Arial" w:cs="Arial" w:eastAsia="Arial" w:hAnsi="Arial"/>
          <w:sz w:val="18"/>
          <w:szCs w:val="18"/>
          <w:color w:val="auto"/>
        </w:rPr>
        <w:t>.</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Health Care Laws and Regulations.”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jc w:val="both"/>
        <w:ind w:firstLine="509"/>
        <w:spacing w:after="0" w:line="236"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w:t>
      </w:r>
      <w:r>
        <w:rPr>
          <w:rFonts w:ascii="Arial" w:cs="Arial" w:eastAsia="Arial" w:hAnsi="Arial"/>
          <w:sz w:val="18"/>
          <w:szCs w:val="18"/>
          <w:i w:val="1"/>
          <w:iCs w:val="1"/>
          <w:color w:val="auto"/>
        </w:rPr>
        <w:t>“Business – Government Regulation – Health Care Legislative Updates.”</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2" w:name="page53"/>
    <w:bookmarkEnd w:id="52"/>
    <w:p>
      <w:pPr>
        <w:jc w:val="both"/>
        <w:ind w:firstLine="509"/>
        <w:spacing w:after="0" w:line="24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8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5" w:lineRule="exact"/>
        <w:rPr>
          <w:sz w:val="20"/>
          <w:szCs w:val="20"/>
          <w:color w:val="auto"/>
        </w:rPr>
      </w:pPr>
    </w:p>
    <w:p>
      <w:pPr>
        <w:ind w:left="1020" w:hanging="503"/>
        <w:spacing w:after="0" w:line="25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issued to us may be successfully challenged by third parties.</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3" w:name="page54"/>
    <w:bookmarkEnd w:id="53"/>
    <w:p>
      <w:pPr>
        <w:jc w:val="both"/>
        <w:ind w:firstLine="509"/>
        <w:spacing w:after="0" w:line="237"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4" w:name="page55"/>
    <w:bookmarkEnd w:id="54"/>
    <w:p>
      <w:pPr>
        <w:jc w:val="both"/>
        <w:spacing w:after="0" w:line="251"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ind w:left="1020" w:hanging="503"/>
        <w:spacing w:after="0" w:line="25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bel-sar or a future product candidate, thereby potentially extending the term of marketing exclusivity for such product, our business may be harmed.</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9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both"/>
        <w:spacing w:after="0" w:line="251"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2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8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jc w:val="both"/>
        <w:ind w:firstLine="509"/>
        <w:spacing w:after="0" w:line="239"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9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59" w:name="page60"/>
    <w:bookmarkEnd w:id="59"/>
    <w:p>
      <w:pPr>
        <w:jc w:val="both"/>
        <w:spacing w:after="0" w:line="247"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jc w:val="both"/>
        <w:spacing w:after="0" w:line="247"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p>
    <w:p>
      <w:pPr>
        <w:spacing w:after="0" w:line="1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p>
    <w:p>
      <w:pPr>
        <w:spacing w:after="0" w:line="1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jc w:val="both"/>
        <w:ind w:firstLine="509"/>
        <w:spacing w:after="0" w:line="239" w:lineRule="auto"/>
        <w:rPr>
          <w:sz w:val="20"/>
          <w:szCs w:val="20"/>
          <w:color w:val="auto"/>
        </w:rPr>
      </w:pPr>
      <w:r>
        <w:rPr>
          <w:rFonts w:ascii="Arial" w:cs="Arial" w:eastAsia="Arial" w:hAnsi="Arial"/>
          <w:sz w:val="18"/>
          <w:szCs w:val="18"/>
          <w:color w:val="auto"/>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19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9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2" w:name="page63"/>
    <w:bookmarkEnd w:id="62"/>
    <w:p>
      <w:pPr>
        <w:jc w:val="both"/>
        <w:ind w:firstLine="509"/>
        <w:spacing w:after="0" w:line="237" w:lineRule="auto"/>
        <w:rPr>
          <w:sz w:val="20"/>
          <w:szCs w:val="20"/>
          <w:color w:val="auto"/>
        </w:rPr>
      </w:pPr>
      <w:r>
        <w:rPr>
          <w:rFonts w:ascii="Arial" w:cs="Arial" w:eastAsia="Arial" w:hAnsi="Arial"/>
          <w:sz w:val="18"/>
          <w:szCs w:val="18"/>
          <w:color w:val="auto"/>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obtaining the consent of the individuals to whom the personal data relates in certain circumstances,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GDPR prohibits the transfer of personal data to countries outside the EEA/UK which are not considered by the European Commission and UK government as providing “adequate” protection of personal data, including the United States,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a third country under the EU GDPR, the European Commission has issued a decision recognizing the UK as providing adequate protection under the EU GDPR, or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or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3" w:name="page64"/>
    <w:bookmarkEnd w:id="63"/>
    <w:p>
      <w:pPr>
        <w:jc w:val="both"/>
        <w:ind w:firstLine="509"/>
        <w:spacing w:after="0" w:line="241"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49"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2"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3" w:lineRule="exact"/>
        <w:rPr>
          <w:sz w:val="20"/>
          <w:szCs w:val="20"/>
          <w:color w:val="auto"/>
        </w:rPr>
      </w:pPr>
    </w:p>
    <w:p>
      <w:pPr>
        <w:ind w:firstLine="509"/>
        <w:spacing w:after="0" w:line="260"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64" w:name="page65"/>
    <w:bookmarkEnd w:id="64"/>
    <w:p>
      <w:pPr>
        <w:jc w:val="both"/>
        <w:spacing w:after="0" w:line="279"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2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diversion of management’s time and resources;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our stock price; and</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jc w:val="both"/>
        <w:spacing w:after="0" w:line="260"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Based on the beneficial ownership of our common stock as of June 30, 2023, our executive officers, directors, holders of 5% or more of our capital stock and their respective affiliates beneficially owned approximately 54.8%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2022, we had federal gross operating loss carryforwards of approximately $155.1 million, and state gross operating loss carryforwards of $127.5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2"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that our stockholders might consider favorable. Some of these provisions include:</w:t>
      </w:r>
    </w:p>
    <w:p>
      <w:pPr>
        <w:spacing w:after="0" w:line="9" w:lineRule="exact"/>
        <w:rPr>
          <w:sz w:val="20"/>
          <w:szCs w:val="20"/>
          <w:color w:val="auto"/>
        </w:rPr>
      </w:pPr>
    </w:p>
    <w:p>
      <w:pPr>
        <w:ind w:left="1020" w:hanging="503"/>
        <w:spacing w:after="0" w:line="25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jc w:val="both"/>
        <w:ind w:left="1020" w:hanging="503"/>
        <w:spacing w:after="0" w:line="24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9"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3"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8"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entered into an ATM, which provides for the offering, issuance and sale by us of shares of our common stock from time to time for aggregate gross proceeds of up to $75 million in sales deemed to be “at-the-market offerings” as defined by the Securities Act of 1933, as amended.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both"/>
        <w:ind w:firstLine="509"/>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June 30, 2023, we have 38,086,606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3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0" w:name="page71"/>
    <w:bookmarkEnd w:id="70"/>
    <w:p>
      <w:pPr>
        <w:jc w:val="both"/>
        <w:ind w:firstLine="509"/>
        <w:spacing w:after="0" w:line="247"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9"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2"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the Company to maintain letters or credit or other credit support arrangements;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9"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7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material adverse impacts on our business.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the U.S. and international markets. In addition, the current military conflict between Russia and Ukraine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1" w:name="page72"/>
    <w:bookmarkEnd w:id="71"/>
    <w:p>
      <w:pPr>
        <w:jc w:val="both"/>
        <w:spacing w:after="0" w:line="279"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8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both"/>
        <w:ind w:firstLine="509"/>
        <w:spacing w:after="0" w:line="238"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Quarterly Report on Form 10-Q entitled “Risk Factors” and the following:</w:t>
      </w:r>
    </w:p>
    <w:p>
      <w:pPr>
        <w:spacing w:after="0" w:line="12" w:lineRule="exact"/>
        <w:rPr>
          <w:sz w:val="20"/>
          <w:szCs w:val="20"/>
          <w:color w:val="auto"/>
        </w:rPr>
      </w:pP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2"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our employees, trials, collaboration partners, suppliers, our results of operations, liquidity and financial condition;</w:t>
      </w: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future competitive products or technologies;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6" w:lineRule="exact"/>
        <w:rPr>
          <w:rFonts w:ascii="Arial" w:cs="Arial" w:eastAsia="Arial" w:hAnsi="Arial"/>
          <w:sz w:val="18"/>
          <w:szCs w:val="18"/>
          <w:color w:val="auto"/>
        </w:rPr>
      </w:pP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4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1020" w:hanging="503"/>
        <w:spacing w:after="0" w:line="25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3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pandemics and other calamities;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3" w:name="page74"/>
    <w:bookmarkEnd w:id="73"/>
    <w:p>
      <w:pPr>
        <w:ind w:left="1020" w:hanging="503"/>
        <w:spacing w:after="0" w:line="250"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w:t>
      </w: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4" w:name="page75"/>
    <w:bookmarkEnd w:id="74"/>
    <w:p>
      <w:pPr>
        <w:jc w:val="both"/>
        <w:ind w:firstLine="509"/>
        <w:spacing w:after="0" w:line="239"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spacing w:after="0" w:line="1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77" w:lineRule="exact"/>
        <w:rPr>
          <w:sz w:val="20"/>
          <w:szCs w:val="20"/>
          <w:color w:val="auto"/>
        </w:rPr>
      </w:pPr>
    </w:p>
    <w:p>
      <w:pPr>
        <w:ind w:left="520" w:right="6960" w:hanging="512"/>
        <w:spacing w:after="0" w:line="350" w:lineRule="auto"/>
        <w:tabs>
          <w:tab w:leader="none" w:pos="28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50" w:lineRule="auto"/>
        <w:tabs>
          <w:tab w:leader="none" w:pos="29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9960" w:type="dxa"/>
            <w:vAlign w:val="bottom"/>
            <w:tcBorders>
              <w:bottom w:val="single" w:sz="8" w:color="auto"/>
            </w:tcBorders>
            <w:gridSpan w:val="10"/>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5"/>
                <w:szCs w:val="15"/>
                <w:color w:val="auto"/>
              </w:rPr>
            </w:pPr>
          </w:p>
        </w:tc>
        <w:tc>
          <w:tcPr>
            <w:tcW w:w="9960" w:type="dxa"/>
            <w:vAlign w:val="bottom"/>
            <w:gridSpan w:val="10"/>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Tenth Amended and Restated Certificate of Incorporation of Registrant, as currently in effect (incorporated by reference to</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Exhibit 3.1 of the Registrants’ Annual Report on Form 10-K (File No. 001-40971)).</w:t>
              </w:r>
            </w:hyperlink>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960" w:type="dxa"/>
            <w:vAlign w:val="bottom"/>
            <w:gridSpan w:val="10"/>
          </w:tcPr>
          <w:p>
            <w:pPr>
              <w:spacing w:after="0"/>
              <w:rPr>
                <w:rFonts w:ascii="Arial" w:cs="Arial" w:eastAsia="Arial" w:hAnsi="Arial"/>
                <w:sz w:val="18"/>
                <w:szCs w:val="18"/>
                <w:color w:val="0000FF"/>
              </w:rPr>
            </w:pPr>
            <w:hyperlink r:id="rId264">
              <w:r>
                <w:rPr>
                  <w:rFonts w:ascii="Arial" w:cs="Arial" w:eastAsia="Arial" w:hAnsi="Arial"/>
                  <w:sz w:val="18"/>
                  <w:szCs w:val="18"/>
                  <w:color w:val="0000FF"/>
                </w:rPr>
                <w:t>Amended and Restated Bylaws of Registrant, as currently in effect (incorporated by reference to Exhibit 3.2 of the</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Registrants’ Annual Report on Form 10-K (File No. 001-40971)).</w:t>
              </w:r>
            </w:hyperlink>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960" w:type="dxa"/>
            <w:vAlign w:val="bottom"/>
            <w:gridSpan w:val="10"/>
          </w:tcPr>
          <w:p>
            <w:pPr>
              <w:spacing w:after="0"/>
              <w:rPr>
                <w:rFonts w:ascii="Arial" w:cs="Arial" w:eastAsia="Arial" w:hAnsi="Arial"/>
                <w:sz w:val="18"/>
                <w:szCs w:val="18"/>
                <w:color w:val="0000FF"/>
              </w:rPr>
            </w:pPr>
            <w:hyperlink r:id="rId265">
              <w:r>
                <w:rPr>
                  <w:rFonts w:ascii="Arial" w:cs="Arial" w:eastAsia="Arial" w:hAnsi="Arial"/>
                  <w:sz w:val="18"/>
                  <w:szCs w:val="18"/>
                  <w:color w:val="0000FF"/>
                </w:rPr>
                <w:t>Fifth Amended and Restated Investors’ Rights Agreement (Incorporated by reference to Exhibit 4.2 to the Registrant’s</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Registration Statement on Form S-1, as amended (File No. 333-260156)).</w:t>
              </w:r>
            </w:hyperlink>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4920" w:type="dxa"/>
            <w:vAlign w:val="bottom"/>
            <w:gridSpan w:val="7"/>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gridSpan w:val="10"/>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r>
      <w:tr>
        <w:trPr>
          <w:trHeight w:val="20"/>
        </w:trPr>
        <w:tc>
          <w:tcPr>
            <w:tcW w:w="10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29"/>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9"/>
                <w:szCs w:val="19"/>
                <w:color w:val="auto"/>
              </w:rPr>
            </w:pPr>
          </w:p>
        </w:tc>
        <w:tc>
          <w:tcPr>
            <w:tcW w:w="99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 w:lineRule="exact"/>
        <w:rPr>
          <w:sz w:val="20"/>
          <w:szCs w:val="20"/>
          <w:color w:val="auto"/>
        </w:rPr>
      </w:pPr>
    </w:p>
    <w:p>
      <w:pPr>
        <w:ind w:right="3720" w:firstLine="21"/>
        <w:spacing w:after="0" w:line="399" w:lineRule="auto"/>
        <w:tabs>
          <w:tab w:leader="none" w:pos="1255"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9512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both"/>
        <w:ind w:firstLine="8"/>
        <w:spacing w:after="0" w:line="247" w:lineRule="auto"/>
        <w:tabs>
          <w:tab w:leader="none" w:pos="1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509"/>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Aura Biosciences, Inc.</w:t>
      </w:r>
    </w:p>
    <w:p>
      <w:pPr>
        <w:spacing w:after="0" w:line="252" w:lineRule="exact"/>
        <w:rPr>
          <w:sz w:val="20"/>
          <w:szCs w:val="20"/>
          <w:color w:val="auto"/>
        </w:rPr>
      </w:pPr>
    </w:p>
    <w:p>
      <w:pPr>
        <w:ind w:left="20"/>
        <w:spacing w:after="0"/>
        <w:tabs>
          <w:tab w:leader="none" w:pos="5640" w:val="left"/>
          <w:tab w:leader="none" w:pos="77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13970</wp:posOffset>
            </wp:positionV>
            <wp:extent cx="32575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Elisabet de los Pinos</w:t>
      </w:r>
    </w:p>
    <w:p>
      <w:pPr>
        <w:spacing w:after="0" w:line="3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41" w:lineRule="exact"/>
        <w:rPr>
          <w:sz w:val="20"/>
          <w:szCs w:val="20"/>
          <w:color w:val="auto"/>
        </w:rPr>
      </w:pPr>
    </w:p>
    <w:p>
      <w:pPr>
        <w:ind w:left="20"/>
        <w:spacing w:after="0"/>
        <w:tabs>
          <w:tab w:leader="none" w:pos="5640" w:val="left"/>
          <w:tab w:leader="none" w:pos="81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13970</wp:posOffset>
            </wp:positionV>
            <wp:extent cx="32575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Julie Feder</w:t>
      </w:r>
    </w:p>
    <w:p>
      <w:pPr>
        <w:spacing w:after="0" w:line="3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76"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0" w:firstLine="8"/>
        <w:spacing w:after="0" w:line="276"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ind w:right="20" w:firstLine="8"/>
        <w:spacing w:after="0" w:line="261" w:lineRule="auto"/>
        <w:tabs>
          <w:tab w:leader="none" w:pos="1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right="180" w:firstLine="517"/>
        <w:spacing w:after="0" w:line="261" w:lineRule="auto"/>
        <w:tabs>
          <w:tab w:leader="none" w:pos="7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120" w:firstLine="517"/>
        <w:spacing w:after="0" w:line="261" w:lineRule="auto"/>
        <w:tabs>
          <w:tab w:leader="none" w:pos="7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right="760" w:firstLine="517"/>
        <w:spacing w:after="0" w:line="276" w:lineRule="auto"/>
        <w:tabs>
          <w:tab w:leader="none" w:pos="7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140" w:firstLine="517"/>
        <w:spacing w:after="0" w:line="261" w:lineRule="auto"/>
        <w:tabs>
          <w:tab w:leader="none" w:pos="75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460" w:firstLine="8"/>
        <w:spacing w:after="0" w:line="276" w:lineRule="auto"/>
        <w:tabs>
          <w:tab w:leader="none" w:pos="17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60" w:firstLine="517"/>
        <w:spacing w:after="0" w:line="276" w:lineRule="auto"/>
        <w:tabs>
          <w:tab w:leader="none" w:pos="7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300" w:firstLine="517"/>
        <w:spacing w:after="0" w:line="276" w:lineRule="auto"/>
        <w:tabs>
          <w:tab w:leader="none" w:pos="74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48" w:lineRule="exact"/>
        <w:rPr>
          <w:sz w:val="20"/>
          <w:szCs w:val="20"/>
          <w:color w:val="auto"/>
        </w:rPr>
      </w:pPr>
    </w:p>
    <w:p>
      <w:pPr>
        <w:ind w:left="80"/>
        <w:spacing w:after="0"/>
        <w:tabs>
          <w:tab w:leader="none" w:pos="640" w:val="left"/>
          <w:tab w:leader="none" w:pos="5900" w:val="left"/>
          <w:tab w:leader="none" w:pos="790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18415</wp:posOffset>
            </wp:positionV>
            <wp:extent cx="30518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8"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Elisabet de los Pinos</w:t>
      </w:r>
    </w:p>
    <w:p>
      <w:pPr>
        <w:spacing w:after="0" w:line="46"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194"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76"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right="60" w:firstLine="8"/>
        <w:spacing w:after="0" w:line="276" w:lineRule="auto"/>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6"/>
          <w:szCs w:val="16"/>
          <w:color w:val="auto"/>
        </w:rPr>
      </w:pPr>
    </w:p>
    <w:p>
      <w:pPr>
        <w:ind w:right="20" w:firstLine="8"/>
        <w:spacing w:after="0" w:line="261" w:lineRule="auto"/>
        <w:tabs>
          <w:tab w:leader="none" w:pos="1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6"/>
          <w:szCs w:val="16"/>
          <w:color w:val="auto"/>
        </w:rPr>
      </w:pPr>
    </w:p>
    <w:p>
      <w:pPr>
        <w:ind w:right="180" w:firstLine="517"/>
        <w:spacing w:after="0" w:line="261" w:lineRule="auto"/>
        <w:tabs>
          <w:tab w:leader="none" w:pos="7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ind w:right="120" w:firstLine="517"/>
        <w:spacing w:after="0" w:line="261" w:lineRule="auto"/>
        <w:tabs>
          <w:tab w:leader="none" w:pos="7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ind w:right="760" w:firstLine="517"/>
        <w:spacing w:after="0" w:line="276" w:lineRule="auto"/>
        <w:tabs>
          <w:tab w:leader="none" w:pos="7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140" w:firstLine="517"/>
        <w:spacing w:after="0" w:line="261" w:lineRule="auto"/>
        <w:tabs>
          <w:tab w:leader="none" w:pos="75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right="460" w:firstLine="8"/>
        <w:spacing w:after="0" w:line="276" w:lineRule="auto"/>
        <w:tabs>
          <w:tab w:leader="none" w:pos="1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360" w:firstLine="517"/>
        <w:spacing w:after="0" w:line="276" w:lineRule="auto"/>
        <w:tabs>
          <w:tab w:leader="none" w:pos="7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300" w:firstLine="517"/>
        <w:spacing w:after="0" w:line="276" w:lineRule="auto"/>
        <w:tabs>
          <w:tab w:leader="none" w:pos="7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48" w:lineRule="exact"/>
        <w:rPr>
          <w:sz w:val="20"/>
          <w:szCs w:val="20"/>
          <w:color w:val="auto"/>
        </w:rPr>
      </w:pPr>
    </w:p>
    <w:p>
      <w:pPr>
        <w:ind w:left="80"/>
        <w:spacing w:after="0"/>
        <w:tabs>
          <w:tab w:leader="none" w:pos="680" w:val="left"/>
          <w:tab w:leader="none" w:pos="5900" w:val="left"/>
          <w:tab w:leader="none" w:pos="826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18415</wp:posOffset>
            </wp:positionV>
            <wp:extent cx="30518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8"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Julie Feder</w:t>
      </w:r>
    </w:p>
    <w:p>
      <w:pPr>
        <w:spacing w:after="0" w:line="43"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706755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ind w:right="600"/>
        <w:spacing w:after="0" w:line="261"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June 30, 2023 as filed with the Securities and Exchange Commission on the date hereof (the “Report”), each of the undersigned certifies, pursuant to 18 U.S.C. §1350, as adopted pursuant to §906 of the Sarbanes-Oxley Act of 2002, that, to the best of her knowledge:</w:t>
      </w:r>
    </w:p>
    <w:p>
      <w:pPr>
        <w:spacing w:after="0" w:line="385"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60" w:right="200" w:hanging="5478"/>
        <w:spacing w:after="0" w:line="522" w:lineRule="auto"/>
        <w:tabs>
          <w:tab w:leader="none" w:pos="759" w:val="left"/>
        </w:tabs>
        <w:numPr>
          <w:ilvl w:val="0"/>
          <w:numId w:val="38"/>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ind w:left="80"/>
        <w:spacing w:after="0"/>
        <w:tabs>
          <w:tab w:leader="none" w:pos="680" w:val="left"/>
          <w:tab w:leader="none" w:pos="5840" w:val="left"/>
          <w:tab w:leader="none" w:pos="782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546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8"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Elisabet de los Pinos</w:t>
      </w:r>
    </w:p>
    <w:p>
      <w:pPr>
        <w:spacing w:after="0" w:line="43"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4" w:lineRule="exact"/>
        <w:rPr>
          <w:sz w:val="20"/>
          <w:szCs w:val="20"/>
          <w:color w:val="auto"/>
        </w:rPr>
      </w:pPr>
    </w:p>
    <w:p>
      <w:pPr>
        <w:ind w:left="80"/>
        <w:spacing w:after="0"/>
        <w:tabs>
          <w:tab w:leader="none" w:pos="680" w:val="left"/>
          <w:tab w:leader="none" w:pos="5840" w:val="left"/>
          <w:tab w:leader="none" w:pos="8180" w:val="left"/>
        </w:tabs>
        <w:rPr>
          <w:sz w:val="20"/>
          <w:szCs w:val="20"/>
          <w:color w:val="auto"/>
        </w:rPr>
      </w:pPr>
      <w:r>
        <w:rPr>
          <w:rFonts w:ascii="Arial" w:cs="Arial" w:eastAsia="Arial" w:hAnsi="Arial"/>
          <w:sz w:val="16"/>
          <w:szCs w:val="16"/>
          <w:color w:val="auto"/>
        </w:rPr>
        <w:t>Date:</w:t>
        <w:tab/>
        <w:t>August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546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8"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Julie Feder</w:t>
      </w:r>
    </w:p>
    <w:p>
      <w:pPr>
        <w:spacing w:after="0" w:line="43"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lvl w:ilvl="1">
      <w:lvlJc w:val="left"/>
      <w:lvlText w:val="%2"/>
      <w:numFmt w:val="decimal"/>
      <w:start w:val="104"/>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63" Type="http://schemas.openxmlformats.org/officeDocument/2006/relationships/hyperlink" Target="https://www.sec.gov/Archives/edgar/data/1501796/000095017022004425/aura-ex3_1.htm" TargetMode="External"/><Relationship Id="rId264" Type="http://schemas.openxmlformats.org/officeDocument/2006/relationships/hyperlink" Target="https://www.sec.gov/Archives/edgar/data/1501796/000095017022004425/aura-ex3_2.htm" TargetMode="External"/><Relationship Id="rId265"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2023-08-09T06:18:12Z</dcterms:created>
  <dcterms:modified xsi:type="dcterms:W3CDTF">2023-08-09T06:18:12Z</dcterms:modified>
</cp:coreProperties>
</file>