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200025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217170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61595</wp:posOffset>
            </wp:positionV>
            <wp:extent cx="1419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87630</wp:posOffset>
            </wp:positionV>
            <wp:extent cx="1419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7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4" w:lineRule="exact"/>
        <w:rPr>
          <w:sz w:val="24"/>
          <w:szCs w:val="24"/>
          <w:color w:val="auto"/>
        </w:rPr>
      </w:pPr>
    </w:p>
    <w:p>
      <w:pPr>
        <w:ind w:left="4020" w:right="3220" w:hanging="3999"/>
        <w:spacing w:after="0" w:line="306" w:lineRule="auto"/>
        <w:tabs>
          <w:tab w:leader="none" w:pos="481"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ANNUAL REPORT PURSUANT TO SECTION 13 OR 15(d) OF THE SECURITIES EXCHANGE ACT OF 1934 For the fiscal year ended December 31, 2022</w:t>
      </w: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70" w:lineRule="exact"/>
        <w:rPr>
          <w:sz w:val="24"/>
          <w:szCs w:val="24"/>
          <w:color w:val="auto"/>
        </w:rPr>
      </w:pPr>
    </w:p>
    <w:p>
      <w:pPr>
        <w:ind w:left="480" w:right="20" w:hanging="459"/>
        <w:spacing w:after="0" w:line="262" w:lineRule="auto"/>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5"/>
          <w:szCs w:val="15"/>
          <w:b w:val="1"/>
          <w:bCs w:val="1"/>
          <w:color w:val="auto"/>
        </w:rPr>
        <w:t>TRANSITION REPORT PURSUANT TO SECTION 13 OR 15(d) OF THE SECURITIES EXCHANGE ACT OF 1934 FOR THE TRANSITION PERIOD FROM TO</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62865</wp:posOffset>
            </wp:positionV>
            <wp:extent cx="1419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AURA BIOSCIENCES, INC.</w:t>
      </w:r>
    </w:p>
    <w:p>
      <w:pPr>
        <w:sectPr>
          <w:pgSz w:w="11900" w:h="16838" w:orient="portrait"/>
          <w:cols w:equalWidth="0" w:num="1">
            <w:col w:w="11240"/>
          </w:cols>
          <w:pgMar w:left="320" w:top="414" w:right="339" w:bottom="1440" w:gutter="0" w:footer="0" w:header="0"/>
        </w:sectPr>
      </w:pPr>
    </w:p>
    <w:p>
      <w:pPr>
        <w:spacing w:after="0" w:line="4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38100</wp:posOffset>
            </wp:positionV>
            <wp:extent cx="1419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16"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Delaware</w:t>
      </w:r>
    </w:p>
    <w:p>
      <w:pPr>
        <w:spacing w:after="0" w:line="32"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(State or other jurisdiction of</w:t>
      </w:r>
    </w:p>
    <w:p>
      <w:pPr>
        <w:spacing w:after="0" w:line="25" w:lineRule="exact"/>
        <w:rPr>
          <w:sz w:val="24"/>
          <w:szCs w:val="24"/>
          <w:color w:val="auto"/>
        </w:rPr>
      </w:pPr>
    </w:p>
    <w:p>
      <w:pPr>
        <w:ind w:left="1660"/>
        <w:spacing w:after="0"/>
        <w:rPr>
          <w:sz w:val="20"/>
          <w:szCs w:val="20"/>
          <w:color w:val="auto"/>
        </w:rPr>
      </w:pPr>
      <w:r>
        <w:rPr>
          <w:rFonts w:ascii="Arial" w:cs="Arial" w:eastAsia="Arial" w:hAnsi="Arial"/>
          <w:sz w:val="16"/>
          <w:szCs w:val="16"/>
          <w:b w:val="1"/>
          <w:bCs w:val="1"/>
          <w:color w:val="auto"/>
        </w:rPr>
        <w:t>incorporation or organization)</w:t>
      </w:r>
    </w:p>
    <w:p>
      <w:pPr>
        <w:spacing w:after="0" w:line="79"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80 Guest Street</w:t>
      </w:r>
    </w:p>
    <w:p>
      <w:pPr>
        <w:spacing w:after="0" w:line="30"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Boston, MA</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32-0271970</w:t>
      </w:r>
    </w:p>
    <w:p>
      <w:pPr>
        <w:spacing w:after="0" w:line="4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(I.R.S. Employer</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Identification No.)</w:t>
      </w:r>
    </w:p>
    <w:p>
      <w:pPr>
        <w:spacing w:after="0" w:line="281"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02135</w:t>
      </w:r>
    </w:p>
    <w:p>
      <w:pPr>
        <w:spacing w:after="0" w:line="30" w:lineRule="exact"/>
        <w:rPr>
          <w:sz w:val="24"/>
          <w:szCs w:val="24"/>
          <w:color w:val="auto"/>
        </w:rPr>
      </w:pPr>
    </w:p>
    <w:p>
      <w:pPr>
        <w:sectPr>
          <w:pgSz w:w="11900" w:h="16838" w:orient="portrait"/>
          <w:cols w:equalWidth="0" w:num="2">
            <w:col w:w="7540" w:space="220"/>
            <w:col w:w="3480"/>
          </w:cols>
          <w:pgMar w:left="320" w:top="414" w:right="339" w:bottom="1440" w:gutter="0" w:footer="0" w:header="0"/>
          <w:type w:val="continuous"/>
        </w:sect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(617) 500-8864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68580</wp:posOffset>
            </wp:positionV>
            <wp:extent cx="1419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9860" cy="8255"/>
                    </a:xfrm>
                    <a:prstGeom prst="rect">
                      <a:avLst/>
                    </a:prstGeom>
                    <a:noFill/>
                  </pic:spPr>
                </pic:pic>
              </a:graphicData>
            </a:graphic>
          </wp:anchor>
        </w:drawing>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428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60" w:type="dxa"/>
            <w:vAlign w:val="bottom"/>
          </w:tcPr>
          <w:p>
            <w:pPr>
              <w:spacing w:after="0"/>
              <w:rPr>
                <w:sz w:val="14"/>
                <w:szCs w:val="14"/>
                <w:color w:val="auto"/>
              </w:rPr>
            </w:pPr>
          </w:p>
        </w:tc>
      </w:tr>
      <w:tr>
        <w:trPr>
          <w:trHeight w:val="214"/>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00" w:type="dxa"/>
            <w:vAlign w:val="bottom"/>
          </w:tcPr>
          <w:p>
            <w:pPr>
              <w:spacing w:after="0"/>
              <w:rPr>
                <w:sz w:val="18"/>
                <w:szCs w:val="18"/>
                <w:color w:val="auto"/>
              </w:rPr>
            </w:pPr>
          </w:p>
        </w:tc>
        <w:tc>
          <w:tcPr>
            <w:tcW w:w="5060" w:type="dxa"/>
            <w:vAlign w:val="bottom"/>
          </w:tcPr>
          <w:p>
            <w:pPr>
              <w:spacing w:after="0"/>
              <w:rPr>
                <w:sz w:val="18"/>
                <w:szCs w:val="18"/>
                <w:color w:val="auto"/>
              </w:rPr>
            </w:pPr>
          </w:p>
        </w:tc>
      </w:tr>
      <w:tr>
        <w:trPr>
          <w:trHeight w:val="188"/>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00" w:type="dxa"/>
            <w:vAlign w:val="bottom"/>
          </w:tcPr>
          <w:p>
            <w:pPr>
              <w:spacing w:after="0"/>
              <w:rPr>
                <w:sz w:val="16"/>
                <w:szCs w:val="16"/>
                <w:color w:val="auto"/>
              </w:rPr>
            </w:pPr>
          </w:p>
        </w:tc>
        <w:tc>
          <w:tcPr>
            <w:tcW w:w="5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4280" w:type="dxa"/>
            <w:vAlign w:val="bottom"/>
          </w:tcPr>
          <w:p>
            <w:pPr>
              <w:ind w:left="20"/>
              <w:spacing w:after="0"/>
              <w:rPr>
                <w:sz w:val="20"/>
                <w:szCs w:val="20"/>
                <w:color w:val="auto"/>
              </w:rPr>
            </w:pPr>
            <w:r>
              <w:rPr>
                <w:rFonts w:ascii="Arial" w:cs="Arial" w:eastAsia="Arial" w:hAnsi="Arial"/>
                <w:sz w:val="14"/>
                <w:szCs w:val="14"/>
                <w:color w:val="auto"/>
              </w:rPr>
              <w:t>Common Stock, par value $0.00001 per share</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AURA</w:t>
            </w:r>
          </w:p>
        </w:tc>
        <w:tc>
          <w:tcPr>
            <w:tcW w:w="10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Arial" w:cs="Arial" w:eastAsia="Arial" w:hAnsi="Arial"/>
                <w:sz w:val="14"/>
                <w:szCs w:val="14"/>
                <w:color w:val="auto"/>
              </w:rPr>
              <w:t>Nasdaq Global Market LLC</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9" w:lineRule="exact"/>
        <w:rPr>
          <w:sz w:val="24"/>
          <w:szCs w:val="24"/>
          <w:color w:val="auto"/>
        </w:rPr>
      </w:pPr>
    </w:p>
    <w:p>
      <w:pPr>
        <w:ind w:right="2680"/>
        <w:spacing w:after="0" w:line="210"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9" w:lineRule="exact"/>
        <w:rPr>
          <w:sz w:val="24"/>
          <w:szCs w:val="24"/>
          <w:color w:val="auto"/>
        </w:rPr>
      </w:pPr>
    </w:p>
    <w:p>
      <w:pPr>
        <w:ind w:right="2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 w:lineRule="exact"/>
        <w:rPr>
          <w:sz w:val="24"/>
          <w:szCs w:val="24"/>
          <w:color w:val="auto"/>
        </w:rPr>
      </w:pPr>
    </w:p>
    <w:p>
      <w:pPr>
        <w:spacing w:after="0" w:line="188" w:lineRule="exact"/>
        <w:rPr>
          <w:sz w:val="20"/>
          <w:szCs w:val="20"/>
          <w:color w:val="auto"/>
        </w:rPr>
      </w:pP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15" w:lineRule="exact"/>
        <w:rPr>
          <w:sz w:val="24"/>
          <w:szCs w:val="24"/>
          <w:color w:val="auto"/>
        </w:rPr>
      </w:pPr>
    </w:p>
    <w:p>
      <w:pPr>
        <w:ind w:right="20"/>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20" w:type="dxa"/>
        <w:tblCellMar>
          <w:top w:w="0" w:type="dxa"/>
          <w:left w:w="0" w:type="dxa"/>
          <w:bottom w:w="0" w:type="dxa"/>
          <w:right w:w="0" w:type="dxa"/>
        </w:tblCellMar>
      </w:tblPr>
      <w:tr>
        <w:trPr>
          <w:trHeight w:val="225"/>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6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37"/>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42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516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r>
        <w:trPr>
          <w:trHeight w:val="337"/>
        </w:trPr>
        <w:tc>
          <w:tcPr>
            <w:tcW w:w="18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6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60" w:type="dxa"/>
            <w:vAlign w:val="bottom"/>
          </w:tcPr>
          <w:p>
            <w:pPr>
              <w:ind w:left="320"/>
              <w:spacing w:after="0" w:line="188" w:lineRule="exact"/>
              <w:rPr>
                <w:sz w:val="20"/>
                <w:szCs w:val="20"/>
                <w:color w:val="auto"/>
              </w:rPr>
            </w:pPr>
            <w:r>
              <w:rPr>
                <w:rFonts w:ascii="Arial Unicode MS" w:cs="Arial Unicode MS" w:eastAsia="Arial Unicode MS" w:hAnsi="Arial Unicode MS"/>
                <w:sz w:val="14"/>
                <w:szCs w:val="14"/>
                <w:color w:val="auto"/>
              </w:rPr>
              <w:t>☒</w:t>
            </w:r>
          </w:p>
        </w:tc>
      </w:tr>
    </w:tbl>
    <w:p>
      <w:pPr>
        <w:spacing w:after="0" w:line="68"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spacing w:after="0" w:line="42" w:lineRule="exact"/>
        <w:rPr>
          <w:sz w:val="24"/>
          <w:szCs w:val="24"/>
          <w:color w:val="auto"/>
        </w:rPr>
      </w:pPr>
    </w:p>
    <w:p>
      <w:pPr>
        <w:spacing w:after="0" w:line="175"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w:t>
      </w:r>
      <w:r>
        <w:rPr>
          <w:rFonts w:ascii="Arial Unicode MS" w:cs="Arial Unicode MS" w:eastAsia="Arial Unicode MS" w:hAnsi="Arial Unicode MS"/>
          <w:sz w:val="14"/>
          <w:szCs w:val="14"/>
          <w:color w:val="auto"/>
        </w:rPr>
        <w:t>☐</w:t>
      </w:r>
    </w:p>
    <w:p>
      <w:pPr>
        <w:spacing w:after="0" w:line="5" w:lineRule="exact"/>
        <w:rPr>
          <w:sz w:val="24"/>
          <w:szCs w:val="24"/>
          <w:color w:val="auto"/>
        </w:rPr>
      </w:pPr>
    </w:p>
    <w:p>
      <w:pPr>
        <w:spacing w:after="0" w:line="188" w:lineRule="exact"/>
        <w:tabs>
          <w:tab w:leader="none" w:pos="79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ab/>
        <w:t xml:space="preserve">NO </w:t>
      </w:r>
      <w:r>
        <w:rPr>
          <w:rFonts w:ascii="Arial Unicode MS" w:cs="Arial Unicode MS" w:eastAsia="Arial Unicode MS" w:hAnsi="Arial Unicode MS"/>
          <w:sz w:val="14"/>
          <w:szCs w:val="14"/>
          <w:color w:val="auto"/>
        </w:rPr>
        <w:t>☒</w:t>
      </w:r>
    </w:p>
    <w:p>
      <w:pPr>
        <w:spacing w:after="0" w:line="79"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As of June 30, 2022 (the last business day of the Registrant’s most recently completed second fiscal quarter), the Registrant 's aggregate market value of its voting common equity held by non-affiliates was $280.1 million based on the closing sale price of $14.17 per share as reported on the Nasdaq Global Market on that date.</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10, 2023 was 37,800,102.</w:t>
      </w:r>
    </w:p>
    <w:p>
      <w:pPr>
        <w:spacing w:after="0" w:line="9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2" w:lineRule="exact"/>
        <w:rPr>
          <w:sz w:val="24"/>
          <w:szCs w:val="24"/>
          <w:color w:val="auto"/>
        </w:rPr>
      </w:pPr>
    </w:p>
    <w:p>
      <w:pPr>
        <w:spacing w:after="0" w:line="257" w:lineRule="auto"/>
        <w:rPr>
          <w:sz w:val="20"/>
          <w:szCs w:val="20"/>
          <w:color w:val="auto"/>
        </w:rPr>
      </w:pPr>
      <w:r>
        <w:rPr>
          <w:rFonts w:ascii="Arial" w:cs="Arial" w:eastAsia="Arial" w:hAnsi="Arial"/>
          <w:sz w:val="14"/>
          <w:szCs w:val="14"/>
          <w:color w:val="auto"/>
        </w:rPr>
        <w:t>Portions of the registrant’s proxy statement for the 2023 annual meeting of stockholders to be filed pursuant to Regulation 14A within 120 days after the registrant’s fiscal year ended December 31, 2022,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0" w:type="dxa"/>
            <w:vAlign w:val="bottom"/>
            <w:gridSpan w:val="10"/>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vMerge w:val="restart"/>
          </w:tcPr>
          <w:p>
            <w:pPr>
              <w:spacing w:after="0"/>
              <w:rPr>
                <w:sz w:val="24"/>
                <w:szCs w:val="24"/>
                <w:color w:val="auto"/>
              </w:rPr>
            </w:pPr>
          </w:p>
        </w:tc>
        <w:tc>
          <w:tcPr>
            <w:tcW w:w="580" w:type="dxa"/>
            <w:vAlign w:val="bottom"/>
            <w:vMerge w:val="restart"/>
          </w:tcPr>
          <w:p>
            <w:pPr>
              <w:spacing w:after="0"/>
              <w:rPr>
                <w:sz w:val="20"/>
                <w:szCs w:val="20"/>
                <w:color w:val="auto"/>
              </w:rPr>
            </w:pPr>
            <w:r>
              <w:rPr>
                <w:rFonts w:ascii="Arial" w:cs="Arial" w:eastAsia="Arial" w:hAnsi="Arial"/>
                <w:sz w:val="18"/>
                <w:szCs w:val="18"/>
                <w:b w:val="1"/>
                <w:bCs w:val="1"/>
                <w:color w:val="0000FF"/>
                <w:w w:val="94"/>
              </w:rPr>
              <w:t>PART I</w:t>
            </w:r>
          </w:p>
        </w:tc>
        <w:tc>
          <w:tcPr>
            <w:tcW w:w="700" w:type="dxa"/>
            <w:vAlign w:val="bottom"/>
            <w:gridSpan w:val="5"/>
            <w:vMerge w:val="restart"/>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4"/>
                <w:szCs w:val="14"/>
                <w:color w:val="auto"/>
              </w:rPr>
            </w:pPr>
          </w:p>
        </w:tc>
        <w:tc>
          <w:tcPr>
            <w:tcW w:w="580" w:type="dxa"/>
            <w:vAlign w:val="bottom"/>
            <w:tcBorders>
              <w:bottom w:val="single" w:sz="8" w:color="0000FF"/>
            </w:tcBorders>
            <w:vMerge w:val="continue"/>
          </w:tcPr>
          <w:p>
            <w:pPr>
              <w:spacing w:after="0"/>
              <w:rPr>
                <w:sz w:val="14"/>
                <w:szCs w:val="14"/>
                <w:color w:val="auto"/>
              </w:rPr>
            </w:pPr>
          </w:p>
        </w:tc>
        <w:tc>
          <w:tcPr>
            <w:tcW w:w="700" w:type="dxa"/>
            <w:vAlign w:val="bottom"/>
            <w:gridSpan w:val="5"/>
            <w:vMerge w:val="continue"/>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1B.</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2.</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3.</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4.</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280" w:type="dxa"/>
            <w:vAlign w:val="bottom"/>
            <w:gridSpan w:val="6"/>
          </w:tcPr>
          <w:p>
            <w:pPr>
              <w:spacing w:after="0"/>
              <w:rPr>
                <w:sz w:val="20"/>
                <w:szCs w:val="20"/>
                <w:color w:val="auto"/>
              </w:rPr>
            </w:pPr>
            <w:r>
              <w:rPr>
                <w:rFonts w:ascii="Arial" w:cs="Arial" w:eastAsia="Arial" w:hAnsi="Arial"/>
                <w:sz w:val="18"/>
                <w:szCs w:val="18"/>
                <w:b w:val="1"/>
                <w:bCs w:val="1"/>
                <w:color w:val="0000FF"/>
              </w:rPr>
              <w:t>PART II</w:t>
            </w: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5.</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6.</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Reserved]</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7.</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7A.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8.</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9.</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9A.</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9B.</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9C.</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5"/>
              </w:rPr>
              <w:t>PART III</w:t>
            </w:r>
          </w:p>
        </w:tc>
        <w:tc>
          <w:tcPr>
            <w:tcW w:w="20" w:type="dxa"/>
            <w:vAlign w:val="bottom"/>
            <w:tcBorders>
              <w:bottom w:val="single" w:sz="8" w:color="0000EE"/>
            </w:tcBorders>
          </w:tcPr>
          <w:p>
            <w:pPr>
              <w:spacing w:after="0"/>
              <w:rPr>
                <w:sz w:val="24"/>
                <w:szCs w:val="24"/>
                <w:color w:val="auto"/>
              </w:rPr>
            </w:pPr>
          </w:p>
        </w:tc>
        <w:tc>
          <w:tcPr>
            <w:tcW w:w="580" w:type="dxa"/>
            <w:vAlign w:val="bottom"/>
            <w:gridSpan w:val="2"/>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10.</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11.</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12.</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13.</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14.</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Principal Accounting Fees and Services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5"/>
              </w:rPr>
              <w:t>PART IV</w:t>
            </w:r>
          </w:p>
        </w:tc>
        <w:tc>
          <w:tcPr>
            <w:tcW w:w="20" w:type="dxa"/>
            <w:vAlign w:val="bottom"/>
            <w:tcBorders>
              <w:bottom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15.</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Borders>
              <w:right w:val="single" w:sz="8" w:color="0000EE"/>
            </w:tcBorders>
            <w:gridSpan w:val="6"/>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600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1280" w:type="dxa"/>
            <w:vAlign w:val="bottom"/>
            <w:gridSpan w:val="6"/>
          </w:tcPr>
          <w:p>
            <w:pPr>
              <w:ind w:left="120"/>
              <w:spacing w:after="0" w:line="195" w:lineRule="exact"/>
              <w:rPr>
                <w:sz w:val="20"/>
                <w:szCs w:val="20"/>
                <w:color w:val="auto"/>
              </w:rPr>
            </w:pPr>
            <w:r>
              <w:rPr>
                <w:rFonts w:ascii="Arial" w:cs="Arial" w:eastAsia="Arial" w:hAnsi="Arial"/>
                <w:sz w:val="18"/>
                <w:szCs w:val="18"/>
                <w:color w:val="auto"/>
              </w:rPr>
              <w:t>Item 16.</w:t>
            </w: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7540" w:type="dxa"/>
            <w:vAlign w:val="bottom"/>
            <w:gridSpan w:val="1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160" w:type="dxa"/>
            <w:vAlign w:val="bottom"/>
            <w:gridSpan w:val="22"/>
          </w:tcPr>
          <w:p>
            <w:pPr>
              <w:spacing w:after="0" w:line="195" w:lineRule="exact"/>
              <w:rPr>
                <w:sz w:val="20"/>
                <w:szCs w:val="20"/>
                <w:color w:val="auto"/>
              </w:rPr>
            </w:pPr>
            <w:r>
              <w:rPr>
                <w:rFonts w:ascii="Arial" w:cs="Arial" w:eastAsia="Arial" w:hAnsi="Arial"/>
                <w:sz w:val="18"/>
                <w:szCs w:val="18"/>
                <w:color w:val="0000FF"/>
              </w:rPr>
              <w:t>Signatures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0"/>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8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Form 10-K, or Annual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30" w:lineRule="exact"/>
        <w:rPr>
          <w:sz w:val="20"/>
          <w:szCs w:val="20"/>
          <w:color w:val="auto"/>
        </w:rPr>
      </w:pPr>
    </w:p>
    <w:p>
      <w:pPr>
        <w:jc w:val="both"/>
        <w:ind w:left="1020" w:hanging="369"/>
        <w:spacing w:after="0" w:line="23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macroeconomic conditions, including rising interest rates and inflation, on our business operations;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ongoing COVID-19 pandemic;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6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80"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 These risks are described more fully in Part II, “Item 1A—Risk Factors,” in this Annual Report on Form 10-K and include, but are not limited to, the following:</w:t>
      </w:r>
    </w:p>
    <w:p>
      <w:pPr>
        <w:spacing w:after="0" w:line="18" w:lineRule="exact"/>
        <w:rPr>
          <w:sz w:val="20"/>
          <w:szCs w:val="20"/>
          <w:color w:val="auto"/>
        </w:rPr>
      </w:pPr>
    </w:p>
    <w:p>
      <w:pPr>
        <w:ind w:left="1020" w:hanging="369"/>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21"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and commercialization of our product candidates.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heavily dependent on the success of AU-011 or belzupacap sarotalocan, or bel-sar, our only product candidate to date.</w:t>
      </w:r>
    </w:p>
    <w:p>
      <w:pPr>
        <w:spacing w:after="0" w:line="35"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2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not yet successfully initiated or completed any pivotal clinical trials nor commercialized any pharmaceutical products, which may make it difficult to evaluate our future prospects.</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spacing w:after="0" w:line="28"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currently rely on third-party contract manufacturing organizations, or CMOs, for the production of clinical supply of bel-sar and may continue to rely on CMOs for the production of commercial supply of bel-sar, if approved. This reliance on CMOs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2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2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43" w:lineRule="exact"/>
        <w:rPr>
          <w:rFonts w:ascii="Arial" w:cs="Arial" w:eastAsia="Arial" w:hAnsi="Arial"/>
          <w:sz w:val="18"/>
          <w:szCs w:val="18"/>
          <w:color w:val="auto"/>
        </w:rPr>
      </w:pPr>
    </w:p>
    <w:p>
      <w:pPr>
        <w:ind w:left="1020" w:hanging="369"/>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w:t>
      </w:r>
    </w:p>
    <w:p>
      <w:pPr>
        <w:ind w:left="1020"/>
        <w:spacing w:after="0" w:line="237" w:lineRule="auto"/>
        <w:rPr>
          <w:sz w:val="20"/>
          <w:szCs w:val="20"/>
          <w:color w:val="auto"/>
        </w:rPr>
      </w:pPr>
      <w:r>
        <w:rPr>
          <w:rFonts w:ascii="Arial" w:cs="Arial" w:eastAsia="Arial" w:hAnsi="Arial"/>
          <w:sz w:val="18"/>
          <w:szCs w:val="18"/>
          <w:color w:val="auto"/>
        </w:rPr>
        <w:t>influence over matters subject to stockholder approval.</w:t>
      </w: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for targeted local therapies.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subset of modified tumor associated glycosaminoglycans, or GAGs, that are part of the heparan sulphate chain of HSPGs expressed on the cell surface of many tumor cells and in the tumor microenvironment.</w:t>
      </w:r>
    </w:p>
    <w:p>
      <w:pPr>
        <w:spacing w:after="0" w:line="20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Bel-sar, our first VDC candidate, is being developed for the first-line treatment of early-stage choroidal melanoma, a rare disease with no drugs approved where the standard of care leaves many patients with blindness. We have received orphan drug designation for the treatment of uveal melanoma from the U.S Food and Drug Administration, or FDA, and the European Medicines Agency, or EMA, and fast track designation from the FDA for the treatment of choroidal melanoma. We have completed a Phase 1b/2 trial using intravitreal administration that has demonstrated clinical proof of concept, assessed using endpoints in alignment with the feedback from the FDA. We are currently evaluating suprachoroidal, or SC, administration of bel-sar in a Phase 2 study. In February 2023 we presented average nine-month interim safety and efficacy data from this ongoing trial at Macula Society’s Annual Meeting which demonstrated a favorable safety profile with no posterior inflammation and no treatment-related serious adverse events, or SAEs, reported as of January 10, 2023. The results, with an average of nine months of follow up in patients who received a therapeutic regimen with three cycles of therapy, and who match the criteria for the planned global Phase 3 trial (n=8), showed a statistically significant reduction in the tumor growth rate (-0.289 mm/yr, p = &lt;0.0001) compared to each patient’s documented growth rate at study entry, and a 100% (8/8) tumor control. In addition, the visual acuity preservation in the group of patients was 88% (7/8), with the majority of patients being at high-risk for vision loss with tumors close to fovea or optic disk. We have selected the SC route to conduct our global Phase 3 trial in alignment with regulatory agencies. We are currently conducting start up activities for the global Phase 3 study with the goal to dose our first patient in the first half of 2023. We are also developing bel-sar for additional ocular oncology indications and have an open IND in the United States for choroidal metastasis, supporting the potential of bel-sar to provide a novel treatment option that preserves vision for these patients. Choroidal metastasis is a high unmet medical need and the most common intraocular malignancy that is caused by multiple primary cancers in the body that metastasize to the eye (e.g., breast and lung cancer). These patients are treated by the same ocular oncologists that treat choroidal melanoma and there are no drugs approved that can treat the lesion in the eye and preserve vision. We received fast track designation from the FDA’s Division of Oncology and plan to initiate a Phase 2 study in this indication in the second half of 2023.</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to our ocular oncology franchise, we are leveraging our targeted oncology platform to develop bel-sar in the field of urologic oncology with an initial indication for the treatment of non-muscle invasive bladder cancer, or NMIBC, where we received fast track designation by the FDA’s Division of Oncology. We initiated enrollment in a Phase 1 trial and we plan to present initial data from this trial in the second half of 2023.</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VDCs are a novel class of drugs with a dual mechanism of action that promotes cancer cell death by both the delivery of the cytotoxic payload to generate acute necrosis and by activating a secondary immune mediated response. The tumor targeting specificity of VDCs is driven by the selective binding of the VLPs to a subset of modified tumor associated GAGs that are part of the heparan sulphate chain of HSPGs expressed on the tumor cell membrane. This targeting mechanism enables the delivery of multiple types of cytotoxic payloads directly to a wide range of solid tumors.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1123315</wp:posOffset>
            </wp:positionH>
            <wp:positionV relativeFrom="page">
              <wp:posOffset>345440</wp:posOffset>
            </wp:positionV>
            <wp:extent cx="5276850" cy="1684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276850" cy="168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0"/>
        <w:spacing w:after="0" w:line="252" w:lineRule="auto"/>
        <w:rPr>
          <w:sz w:val="20"/>
          <w:szCs w:val="20"/>
          <w:color w:val="auto"/>
        </w:rPr>
      </w:pPr>
      <w:r>
        <w:rPr>
          <w:rFonts w:ascii="Arial" w:cs="Arial" w:eastAsia="Arial" w:hAnsi="Arial"/>
          <w:sz w:val="18"/>
          <w:szCs w:val="18"/>
          <w:b w:val="1"/>
          <w:bCs w:val="1"/>
          <w:color w:val="auto"/>
        </w:rPr>
        <w:t>Figure 1. Structure of our VDCs and HSPG Targeted Tumor Binding. The cytotoxic drug payload is covalently bound to the VLP to form the VDC. The capsid proteins that make up the VLP can recognize a subset of modified tumor associated GAGs that are part of the heparan sulphate chain of HSPGs providing a highly selective tumor binding.</w:t>
      </w:r>
    </w:p>
    <w:p>
      <w:pPr>
        <w:spacing w:after="0" w:line="19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auto"/>
        </w:rPr>
        <w:t>We believe that our VDC platform has the potential to serve as a backbone for a broad portfolio of targeted oncology therapeutics and has the following potential key advantages:</w:t>
      </w:r>
    </w:p>
    <w:p>
      <w:pPr>
        <w:spacing w:after="0" w:line="22" w:lineRule="exact"/>
        <w:rPr>
          <w:sz w:val="20"/>
          <w:szCs w:val="20"/>
          <w:color w:val="auto"/>
        </w:rPr>
      </w:pPr>
    </w:p>
    <w:p>
      <w:pPr>
        <w:ind w:left="900" w:hanging="383"/>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single VDC can deliver hundreds of cytotoxic molecules conjugated to its capsid proteins.</w:t>
      </w:r>
    </w:p>
    <w:p>
      <w:pPr>
        <w:spacing w:after="0" w:line="35" w:lineRule="exact"/>
        <w:rPr>
          <w:rFonts w:ascii="Arial" w:cs="Arial" w:eastAsia="Arial" w:hAnsi="Arial"/>
          <w:sz w:val="18"/>
          <w:szCs w:val="18"/>
          <w:color w:val="auto"/>
        </w:rPr>
      </w:pPr>
    </w:p>
    <w:p>
      <w:pPr>
        <w:jc w:val="both"/>
        <w:ind w:left="900" w:hanging="383"/>
        <w:spacing w:after="0" w:line="23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the ability of VLPs to selectively recognize a subset of modified tumor associated GAGs that are part of the heparan sulphate chain of HSPGs present on a large number of tumor types, VDCs have the potential to be used broadly across a wide range of cancers with limited off-target toxicity.</w:t>
      </w:r>
    </w:p>
    <w:p>
      <w:pPr>
        <w:spacing w:after="0" w:line="14" w:lineRule="exact"/>
        <w:rPr>
          <w:rFonts w:ascii="Arial" w:cs="Arial" w:eastAsia="Arial" w:hAnsi="Arial"/>
          <w:sz w:val="18"/>
          <w:szCs w:val="18"/>
          <w:color w:val="auto"/>
        </w:rPr>
      </w:pPr>
    </w:p>
    <w:p>
      <w:pPr>
        <w:ind w:left="900" w:hanging="383"/>
        <w:spacing w:after="0" w:line="245"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VDCs have a high number of tumor associated GAG binding sites and this multi-valency permits the strong and selective binding to tumor cells.</w:t>
      </w:r>
    </w:p>
    <w:p>
      <w:pPr>
        <w:spacing w:after="0" w:line="21" w:lineRule="exact"/>
        <w:rPr>
          <w:rFonts w:ascii="Arial" w:cs="Arial" w:eastAsia="Arial" w:hAnsi="Arial"/>
          <w:sz w:val="18"/>
          <w:szCs w:val="18"/>
          <w:color w:val="auto"/>
        </w:rPr>
      </w:pPr>
    </w:p>
    <w:p>
      <w:pPr>
        <w:jc w:val="both"/>
        <w:ind w:left="900" w:hanging="383"/>
        <w:spacing w:after="0" w:line="273"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VDCs have a dual mechanism of action, first by acute necrosis of the tumor cells, and subsequently by creating a highly immunogenic milieu that induces an antitumor specific immune response potentially leading to a more robust and durable therapy.</w:t>
      </w:r>
    </w:p>
    <w:p>
      <w:pPr>
        <w:spacing w:after="0" w:line="17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goal is to leverage our platform to develop a new class of targeted therapies that bring therapeutic benefit to multiple cancer indications, initially focusing on the field of ocular oncology, a field representing a potential $1.5 billion market opportunity. Our next area of focus, bladder cancer, is one of the most expensive cancers to treat on a per patient basis, and the global market for bladder cancer is expected to reach $4.0 billion by 2028 across the United States, EU5 and Japan. To date, we have produced a VDC, bel-sar, that we are advancing in multiple indications, as shown in the pipeline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121285</wp:posOffset>
            </wp:positionV>
            <wp:extent cx="5200015" cy="2026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00015" cy="202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ind w:firstLine="509"/>
        <w:spacing w:after="0" w:line="236" w:lineRule="auto"/>
        <w:rPr>
          <w:sz w:val="20"/>
          <w:szCs w:val="20"/>
          <w:color w:val="auto"/>
        </w:rPr>
      </w:pPr>
      <w:r>
        <w:rPr>
          <w:rFonts w:ascii="Arial" w:cs="Arial" w:eastAsia="Arial" w:hAnsi="Arial"/>
          <w:sz w:val="18"/>
          <w:szCs w:val="18"/>
          <w:color w:val="auto"/>
        </w:rPr>
        <w:t>We are initially developing bel-sar for the treatment of primary choroidal melanoma, a vision- and life-threatening ocular cancer for which there are currently no drugs approved. Choroidal melanoma is the most common primary intraocular cancer in adults, with an incidence of 11,000 patients/year in the United States and Europe. It is estimated that 96% of patients are diagnosed early without clinical evidence of metastatic disease. However, despite the current treatments with radiotherapy the long-term prognosis is poor with death occurring in more than 50% of cases and irreversible vision loss within 5 to 10 years in approximately 70% of cases. We intend to develop bel-sar as a first line therapy to treat early-stage disease which includes small melanomas and indeterminate lesions representing approximately 9,000 patients/year in the United States and Europe. Bel-sar has also been granted Orphan Drug designation for treatment of uveal melanoma by the EMA.</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consists of an HPV-derived VLP conjugated to hundreds of infrared laser-activated molecules. The VDC is designed in a way that prevents the conjugation from interfering with tumor binding enabling its selectivity to tumor cells but not to normal cells. Laser activation of bel-sar is designed to result in precise tumor cell killing with minimal damage to surrounding healthy tissues. In the absence of bel-sar activation or binding to the tumor cell membrane, there is no cytotoxic effect. Multiple laser treatments, following a single dose of bel-sar, increase antitumor activity because of the reoxygenation of the tumor and the photostability of bel-sar. Finally, acute necrosis triggers immunogenic cell death leading to the generation of an adaptive, long-term antitumor immune response.</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completed a Phase 1b/2 trial using intravitreal administration that has demonstrated clinical proof of concept, assessed using endpoints in alignment with the feedback from the FDA. We are currently evaluating suprachoroidal (SC) administration of bel-sar in a Phase 2 study. In February 2023 we presented average nine -month interim safety and efficacy data from this ongoing trial at Macula Society’s Annual Meeting which demonstrated a favorable safety profile with no posterior inflammation and no treatment-related SAEs reported as of January 10, 2023. The average nine-month interim data, in patients that are similar to our planned Phase 3 criteria and received the therapeutic regimen with three cycles of therapy, also continued to show 88% visual acuity preservation and tumor control of 100% including patients whose tumors were close to the fovea and optic nerve, with a highly statistically significant growth rate reduction (p = &lt;0.0001). Based on these data we have selected the SC route to conduct our pivotal program in alignment with global regulatory agencies. We are currently conducting start up activities for the global Phase 3 trial with the goal to dose our first patient in the first half of 2023.</w:t>
      </w:r>
    </w:p>
    <w:p>
      <w:pPr>
        <w:spacing w:after="0" w:line="20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addition, we are developing bel-sar for the treatment of NMIBC. Bladder cancer is the most common malignancy involving the urinary system and is the eighth most common cause of cancer death in men in the United States. While metastatic bladder cancer has several approved therapies, there are very limited options for the treatment of intermediate and high-risk NMIBC. We have initiated clinical development of bel-sar with intramural administration, a novel route of administration, for the treatment of patients with intermediate and high-risk NMIBC. This novel route of administration is intended to place high levels of the drug at the base of the tumor where laser activation of bel-sar can cause necrosis and prevent residual tumor cells from further growth and recurrence. We have generated nonclinical in vivo data that supports that our dual mechanism of action can lead to cytotoxicity and long-term antitumor immunity which may further reduce the risk of metastases and it is highly synergistic with checkpoint inhibitors. We believe this immune response can play an important role in bladder cancer, given that bladder cancer has a well-documented response to immune activation. We initiated enrollment in a Phase 1 trial and plan to present initial data from this trial in 2023.</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7" w:name="page8"/>
    <w:bookmarkEnd w:id="7"/>
    <w:p>
      <w:pPr>
        <w:ind w:left="520"/>
        <w:spacing w:after="0"/>
        <w:rPr>
          <w:sz w:val="20"/>
          <w:szCs w:val="20"/>
          <w:color w:val="auto"/>
        </w:rPr>
      </w:pPr>
      <w:r>
        <w:rPr>
          <w:rFonts w:ascii="Arial" w:cs="Arial" w:eastAsia="Arial" w:hAnsi="Arial"/>
          <w:sz w:val="18"/>
          <w:szCs w:val="18"/>
          <w:b w:val="1"/>
          <w:bCs w:val="1"/>
          <w:i w:val="1"/>
          <w:iCs w:val="1"/>
          <w:color w:val="auto"/>
        </w:rPr>
        <w:t>Our team</w:t>
      </w:r>
    </w:p>
    <w:p>
      <w:pPr>
        <w:spacing w:after="0" w:line="8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Our team consists of biopharmaceutical experts who have extensive experience in the development of drugs in oncology and ophthalmology. Our CEO and founder, Elisabet de los Pinos, PhD, MBA, was previously part of the marketing team that led the European commercialization of Alimta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for the treatment of lung cancer at Eli Lilly. Cadmus Rich, MD, MBA, CPE, our Chief Medical Officer, an ophthalmologist, has extensive experience in leading research and development at companies including Inotek, IQVIA and Alcon/Novartis. He has led or participated in over 75 development programs including the submission and approval of over ten devices and pharmaceutical products in the United States, Europe, China, Japan and Latin America. Julie Feder, our CFO, previously served as CFO at Verastem Oncology, the Clinton Health Access Initiative and was instrumental in the integration of Genzyme and Sanofi. Mark De Rosch, PhD, our COO, was previously the Chief Regulatory Officer at Epizyme during which time Epizyme received FDA accelerated approval of its first product in two oncology indications. Dr. De Rosch also led Regulatory Affairs at Nightstar Therapeutics, a gene therapy company developing treatments for inherited retinal diseases prior to Nightstar’s acquisition by Biogen in 2019. The Chairman of our Board of Directors, or the Board, is David Johnson, a biopharmaceutical business leader with more than 25 years of experience in drug development and the former Chief Executive Officer at VelosBio Inc., a clinical-stage oncology company developing novel ADCs and bispecific antibodies that was acquired by Merck in 2020 for $2.75 billion. Prior to founding VelosBio Inc. he was the Chief Executive Officer at Acerta Pharma B.V. leading to its acquisition by AstraZeneca plc for $7 billion.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goal is to leverage our proprietary platform to develop a new class of targeted therapies that deliver meaningful therapeutic benefit to a range of cancer indications with high unmet need in which we believe we can establish a new standard of care. The key elements of our strategy include:</w:t>
      </w:r>
    </w:p>
    <w:p>
      <w:pPr>
        <w:spacing w:after="0" w:line="2" w:lineRule="exact"/>
        <w:rPr>
          <w:sz w:val="20"/>
          <w:szCs w:val="20"/>
          <w:color w:val="auto"/>
        </w:rPr>
      </w:pPr>
    </w:p>
    <w:p>
      <w:pPr>
        <w:jc w:val="both"/>
        <w:ind w:left="1020" w:hanging="369"/>
        <w:spacing w:after="0" w:line="23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Advance bel-sar through Phase 3 clinical development and, if approved, commercialization for the first line treatment of early-stage choroidal melanoma. </w:t>
      </w:r>
      <w:r>
        <w:rPr>
          <w:rFonts w:ascii="Arial" w:cs="Arial" w:eastAsia="Arial" w:hAnsi="Arial"/>
          <w:sz w:val="18"/>
          <w:szCs w:val="18"/>
          <w:color w:val="auto"/>
        </w:rPr>
        <w:t>We have completed a Phase 1b/2 trial using intravitreal administration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clinical proof of concept, assessed using endpoints in alignment with feedback from the FDA. We are currently evaluating SC administration of bel-sar in a Phase 2 trial in patients with choroidal melanoma and we presented average nine-month interim safety and efficacy data from this trial in February 2023 at Macula Society’s Annual Meeting. Based on the positive data from the Phase 2 SC study, we are proceeding with the SC route of administration and have started activities for the initiation of a global Phase 3 trial in early-stage CM in the first half of 2023. We have received orphan drug designation for treatment of uveal melanoma from FDA and EMA, and fast track designation from the FDA for the treatment of choroidal melanoma and have aligned with FDA, EMA and the United Kingdom, or UK, MHRA on the design and endpoints of the global Phase 3 trial. If approved, this would represent the first therapy for primary choroidal melanoma as a first-line treatment option for early-stage disease, reserving radiotherapy for a second-line treatment option. If approved, we intend to independently commercialize bel-sar in ocular cancers using a limited sales force to target the approximately 50 ocular oncologists in the United States and approximately 50 ocular oncologists in Europe, who are a focused call point that treat most patients.</w:t>
      </w:r>
    </w:p>
    <w:p>
      <w:pPr>
        <w:spacing w:after="0" w:line="11" w:lineRule="exact"/>
        <w:rPr>
          <w:rFonts w:ascii="Arial" w:cs="Arial" w:eastAsia="Arial" w:hAnsi="Arial"/>
          <w:sz w:val="18"/>
          <w:szCs w:val="18"/>
          <w:color w:val="auto"/>
        </w:rPr>
      </w:pPr>
    </w:p>
    <w:p>
      <w:pPr>
        <w:jc w:val="both"/>
        <w:ind w:left="1020" w:hanging="369"/>
        <w:spacing w:after="0"/>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Continue developing bel-sar for additional ocular oncology indications, starting with choroidal metastasis</w:t>
      </w:r>
      <w:r>
        <w:rPr>
          <w:rFonts w:ascii="Arial" w:cs="Arial" w:eastAsia="Arial" w:hAnsi="Arial"/>
          <w:sz w:val="18"/>
          <w:szCs w:val="18"/>
          <w:color w:val="auto"/>
        </w:rPr>
        <w:t>. We intend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at the forefront of ocular oncology innovation and believe we can apply bel-sar's mechanism of action, which has shown the potential to treat tumors while preserving key ocular structures, to other cancers. Beyond early-stage choroidal melanoma, we intend to develop bel-sar in choroidal metastasis and multiple other ocular oncology indications. We plan to initiate a clinical trial in this indication in the second half of 2023. In addition, we plan to develop bel-sar for tumors of the ocular surface, including both melanomas and squamous cell carcinomas. We plan to leverage the sales force infrastructure we intend to build for primary choroidal melanoma for these additional ocular oncology indications.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8" w:name="page9"/>
    <w:bookmarkEnd w:id="8"/>
    <w:p>
      <w:pPr>
        <w:jc w:val="both"/>
        <w:ind w:left="1020" w:hanging="369"/>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Pursue development of bel-sar for our first non-ophthalmic solid tumor indication in NMIBC. </w:t>
      </w:r>
      <w:r>
        <w:rPr>
          <w:rFonts w:ascii="Arial" w:cs="Arial" w:eastAsia="Arial" w:hAnsi="Arial"/>
          <w:sz w:val="18"/>
          <w:szCs w:val="18"/>
          <w:color w:val="auto"/>
        </w:rPr>
        <w:t>Our novel approach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 benefit of treating early-stage local tumors, particularly NMIBC, while generating long-term antitumor immunity to prevent metastasis. We believe that local administration into the bladder, and the ability to use a focused laser to activate bel-sar, provides the opportunity to apply our technology platform to this area of high unmet medical need. Bladder cancer represents an attractive indication given its sensitivity to immune response and high unmet medical need. Bel-sar’s pro-immunogenic mechanism of action has shown robust activity in nonclinical models as a single agent and synergy with checkpoint inhibitors in this indication. We have received fast track designation from the FDA’s Division of Oncology and we are currently enrolling patients in an ongoing Phase 1 study in NMIBC. We plan to present early data from this study in the second half of 2023.</w:t>
      </w:r>
    </w:p>
    <w:p>
      <w:pPr>
        <w:ind w:left="1020" w:right="20" w:hanging="369"/>
        <w:spacing w:after="0" w:line="23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Broaden the application of our proprietary technology platform to expand our pipeline of product candidates. </w:t>
      </w:r>
      <w:r>
        <w:rPr>
          <w:rFonts w:ascii="Arial" w:cs="Arial" w:eastAsia="Arial" w:hAnsi="Arial"/>
          <w:sz w:val="18"/>
          <w:szCs w:val="18"/>
          <w:color w:val="auto"/>
        </w:rPr>
        <w:t>Due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expression of tumor–modified HSPGs across a wide range of solid tumors, we plan to broadly evaluate our technology platform in other oncology indications. In addition, we plan to explore the possibility of delivering other therapeutic agents, including nucleic acid therapies and non-light activated molecules, to expand the potential of our technology platform across multiple solid tumors.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Targeting a broad range of solid tumors with our proprietary technology platform</w:t>
      </w:r>
    </w:p>
    <w:p>
      <w:pPr>
        <w:spacing w:after="0" w:line="98"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Our technology platform represents a novel approach of targeting a broad range of solid tumors using VLPs that can be loaded or conjugated with drugs creating a new class of targeted therapies.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key finding that launched our technology development efforts was the observation that human papilloma virus, or HPV, binds to modified tumor associated GAGs that are part of the heparan sulphate chain of HSPGs on the tumor cell membrane. GAGs are a large family of molecules found in the extracellular matrix and on the membranes of cells. Tumor cells specifically-modify GAGs that are part of the heparan sulphate chain of HSPGs with key sulfation modifications that provide high binding specificity to a number of ligands. Tumor-modified HSPGs regulate many aspects of tumor progression, including proliferation, invasion, angiogenesis and metastases. Our scientific founder, John Schiller, PhD, and his colleagues at the National Institutes of Health, or NIH, identified that these specific modifications enable the selective binding of HPV on tumor cells,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121920</wp:posOffset>
            </wp:positionV>
            <wp:extent cx="5182870" cy="3155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8287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40"/>
        <w:spacing w:after="0" w:line="270" w:lineRule="auto"/>
        <w:rPr>
          <w:sz w:val="20"/>
          <w:szCs w:val="20"/>
          <w:color w:val="auto"/>
        </w:rPr>
      </w:pPr>
      <w:r>
        <w:rPr>
          <w:rFonts w:ascii="Arial" w:cs="Arial" w:eastAsia="Arial" w:hAnsi="Arial"/>
          <w:sz w:val="18"/>
          <w:szCs w:val="18"/>
          <w:b w:val="1"/>
          <w:bCs w:val="1"/>
          <w:color w:val="auto"/>
        </w:rPr>
        <w:t>Figure 2. VDCs bind to modified tumor associated GAGs that are part of the heparan sulphate chain of HSPGs on the tumor cell surface with multivalent binding and do not bind to normal healthy cells.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p>
      <w:pPr>
        <w:jc w:val="both"/>
        <w:ind w:firstLine="509"/>
        <w:spacing w:after="0" w:line="236" w:lineRule="auto"/>
        <w:rPr>
          <w:sz w:val="20"/>
          <w:szCs w:val="20"/>
          <w:color w:val="auto"/>
        </w:rPr>
      </w:pPr>
      <w:r>
        <w:rPr>
          <w:rFonts w:ascii="Arial" w:cs="Arial" w:eastAsia="Arial" w:hAnsi="Arial"/>
          <w:sz w:val="18"/>
          <w:szCs w:val="18"/>
          <w:color w:val="auto"/>
        </w:rPr>
        <w:t>This NIH team discovered that selective binding of HPV was determined by the properties of the proteins that make up the viral capsid, or shell, not by the nucleic acids contained within the shell. Dr. Schiller pioneered the development of VLPs into a highly effective HPV vaccine to prevent cancer, work for which he received the Lasker-DeBakey Clinical Medical Research Award. He discovered that these capsid proteins could be recombinantly manufactured and could self-assemble into empty VLPs without any viral genome. Our technology platform is based on HPV-derived VLPs that were further engineered to reduce cross-reactivity with pre-existing immunity against HPV, enabling the use of VLPs as oncology therapeutics. This platform leverages the tumor-specific targeting mechanism of HPV VLPs to enable their use to deliver cytotoxic payloads directly to a wide range of solid tumors. VLPs have also demonstrated the ability to deliver nucleic acids, potentially expanding our platform on which to base a novel class of oncology therapies.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Choroidal melanoma overview</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Choroidal melanoma is the most common primary intraocular cancer in adults, with an incidence of 11,000 patients/year in the United States and Europe. This comprises approximately 90% of all cases of uveal melanoma, consisting of melanomas in the choroid, ciliary body and iris, which are collectively referred to as the uvea. It is estimated that 96% of patients are diagnosed without clinical evidence of metastatic disease. There are approximately 2,000 new cases treated each year in the United States and 1,600 new cases treated each year in Europe. However, despite the current treatments with radiotherapy, the long-term prognosis is poor with death occurring in more than 50% cases and irreversible vision loss within 5 to 10 years in approximately 70% of cases. We intend to develop bel-sar as a first line therapy to treat early-stage disease which includes small melanomas and indeterminate lesions representing approximately 9,000 patients in the United States and Europe. Most cases are found in adults with a median age of 55, light eye color and fair skin. It is often discovered in patients who are asymptomatic, although some patients report decreased vision or non-specific visual symptoms such as flashes, floaters, blurry or distorted vision or visual field defects. Most choroidal melanomas result from transformation of a benign choroidal nevus. In early-stage lesions, most of the tumor is composed of benign nevi cells with a small cluster of malignant melanoma cells. Benign choroidal nevi are found in approximately 5% of adults in the United States 40 years or older. There are 3,900 patients every year in the United States who are diagnosed with indeterminate melanocytic lesions that have risk factors and that are referred to the ocular oncologist.</w:t>
      </w:r>
    </w:p>
    <w:p>
      <w:pPr>
        <w:spacing w:after="0" w:line="2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goal is to develop bel-sar as a first line treatment option that can enable early-stage treatment of choroidal melanoma while preserving vision and reserving radiotherapy for a second line treatment option. Earlier diagnosis and early treatment intervention of lesions in the eye before the onset of metastatic disease may dramatically change outcomes for patients.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Current treatment options for primary choroidal melanoma</w:t>
      </w:r>
    </w:p>
    <w:p>
      <w:pPr>
        <w:spacing w:after="0" w:line="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There are no FDA-approved therapies for primary choroidal melanoma. There are three common treatments that are routinely used for local control of choroidal melanoma: plaque brachytherapy; proton beam irradiation; and enucleation, or removal of the affected eye, each of which represent invasive surgical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121285</wp:posOffset>
            </wp:positionV>
            <wp:extent cx="5217160" cy="1830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7160" cy="183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3. Three primary treatments for choroidal melanoma.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 w:name="page11"/>
    <w:bookmarkEnd w:id="10"/>
    <w:p>
      <w:pPr>
        <w:jc w:val="both"/>
        <w:ind w:firstLine="509"/>
        <w:spacing w:after="0" w:line="237" w:lineRule="auto"/>
        <w:rPr>
          <w:sz w:val="20"/>
          <w:szCs w:val="20"/>
          <w:color w:val="auto"/>
        </w:rPr>
      </w:pPr>
      <w:r>
        <w:rPr>
          <w:rFonts w:ascii="Arial" w:cs="Arial" w:eastAsia="Arial" w:hAnsi="Arial"/>
          <w:sz w:val="18"/>
          <w:szCs w:val="18"/>
          <w:color w:val="auto"/>
        </w:rPr>
        <w:t>The limited options available to treat patients with choroidal melanoma pose challenges to clinicians and patients. The existing treatments are far from innocuous: all of them are invasive procedures that are associated with irreversible loss of visual acuity and other deleterious side effects. Because choroidal melanoma tends to metastasize early, even with radical treatments such as enucleation, metastatic disease still occurs, which results in a high degree of mortality. We believe that there is an urgent unmet medical need for an effective vision preserving therapy and that the availability of such a therapy may encourage treatment of early-stage CMs and increase the awareness of the importance of early diagnosis for this life-threatening disease.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solution bel-sar</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Bel-sar is a VDC consisting of an HPV-derived VLP and a phthalocyanine dye, a laser activated cytotoxic payload. Our VLP was created using the capsid proteins of HPV that have been genetically modified to avoid cross-reactivity with pre-existing immunity against the virus and bind with high affinity to modified tumor associated GAGs that are part of the heparan sulphate chain of HSPGs surface of tumors cells, including ocular melanoma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1159510</wp:posOffset>
            </wp:positionH>
            <wp:positionV relativeFrom="paragraph">
              <wp:posOffset>120650</wp:posOffset>
            </wp:positionV>
            <wp:extent cx="4789170" cy="19672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89170" cy="196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60" w:right="100" w:hanging="400"/>
        <w:spacing w:after="0" w:line="300" w:lineRule="auto"/>
        <w:rPr>
          <w:sz w:val="20"/>
          <w:szCs w:val="20"/>
          <w:color w:val="auto"/>
        </w:rPr>
      </w:pPr>
      <w:r>
        <w:rPr>
          <w:rFonts w:ascii="Arial" w:cs="Arial" w:eastAsia="Arial" w:hAnsi="Arial"/>
          <w:sz w:val="17"/>
          <w:szCs w:val="17"/>
          <w:b w:val="1"/>
          <w:bCs w:val="1"/>
          <w:color w:val="auto"/>
        </w:rPr>
        <w:t>Figure 4. Bel-sar, administered by intraocular injection, binds to tumor cells. Activation using an ophthalmic laser leads to rupture of the tumor cell membrane, acute necrosis and a secondary immune activation leading to long term antitumor immunity.</w:t>
      </w:r>
    </w:p>
    <w:p>
      <w:pPr>
        <w:spacing w:after="0" w:line="135" w:lineRule="exact"/>
        <w:rPr>
          <w:sz w:val="20"/>
          <w:szCs w:val="20"/>
          <w:color w:val="auto"/>
        </w:rPr>
      </w:pPr>
    </w:p>
    <w:p>
      <w:pPr>
        <w:ind w:left="1020"/>
        <w:spacing w:after="0"/>
        <w:rPr>
          <w:sz w:val="20"/>
          <w:szCs w:val="20"/>
          <w:color w:val="auto"/>
        </w:rPr>
      </w:pPr>
      <w:r>
        <w:rPr>
          <w:rFonts w:ascii="Arial" w:cs="Arial" w:eastAsia="Arial" w:hAnsi="Arial"/>
          <w:sz w:val="18"/>
          <w:szCs w:val="18"/>
          <w:i w:val="1"/>
          <w:iCs w:val="1"/>
          <w:u w:val="single" w:color="auto"/>
          <w:color w:val="auto"/>
        </w:rPr>
        <w:t>Goal of Treatment with Bel-sar</w:t>
      </w:r>
    </w:p>
    <w:p>
      <w:pPr>
        <w:spacing w:after="0" w:line="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ocular oncology, the goal of early-stage local treatment is to achieve a local cure and prevent the tumor from growing further which is defined as tumor control while preserving the delicate ocular structures such as the retina. We believe that treatment early in the disease course can also limit the risk of metastasis for patients. After treatment, if tumors do not have an increase in thickness by ultrasound or an increase in diameter as evaluated with digital photography, it is believed that the malignant cells have been killed, tumor control has been achieved and the treatment is considered successful or equivalent to a local cure. Ocular oncologists measure the antitumor activity after plaque brachytherapy by evaluating tumor control as well as systemic disease to detect the presence of metastasis.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1268730</wp:posOffset>
            </wp:positionH>
            <wp:positionV relativeFrom="page">
              <wp:posOffset>345440</wp:posOffset>
            </wp:positionV>
            <wp:extent cx="4977765" cy="1958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977765" cy="1958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5. Goal of treatment with bel-sar is local tumor control with targeted killing of melanoma cells.</w:t>
      </w:r>
    </w:p>
    <w:p>
      <w:pPr>
        <w:spacing w:after="0" w:line="23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believe that patients with early-stage choroidal melanoma stand to derive the most benefit from bel-sar. These tumors are not only the most likely to respond to our therapy but, based on historic data, these patients also have the highest likelihood of not having already developed life-threatening metastatic disease, and as such, bel-sar has the potential to confer the greatest long-term benefit.</w:t>
      </w:r>
    </w:p>
    <w:p>
      <w:pPr>
        <w:spacing w:after="0" w:line="185" w:lineRule="exact"/>
        <w:rPr>
          <w:sz w:val="20"/>
          <w:szCs w:val="20"/>
          <w:color w:val="auto"/>
        </w:rPr>
      </w:pPr>
    </w:p>
    <w:p>
      <w:pPr>
        <w:ind w:left="1020"/>
        <w:spacing w:after="0" w:line="266" w:lineRule="auto"/>
        <w:rPr>
          <w:sz w:val="20"/>
          <w:szCs w:val="20"/>
          <w:color w:val="auto"/>
        </w:rPr>
      </w:pPr>
      <w:r>
        <w:rPr>
          <w:rFonts w:ascii="Arial" w:cs="Arial" w:eastAsia="Arial" w:hAnsi="Arial"/>
          <w:sz w:val="18"/>
          <w:szCs w:val="18"/>
          <w:i w:val="1"/>
          <w:iCs w:val="1"/>
          <w:color w:val="auto"/>
        </w:rPr>
        <w:t>Phase 1b/2 demonstrated proof of concept as assessed by meaningful clinical endpoints: tumor control and visual acuity preservation</w:t>
      </w:r>
    </w:p>
    <w:p>
      <w:pPr>
        <w:spacing w:after="0" w:line="3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 total of 56 patients enrolled with a clinical diagnosis of primary choroidal melanoma were treated with bel-sar using an intravitreal route of administration.</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The data at 12 months demonstrated a clear dose response between patients treated at sub-therapeutic doses/regimens with a tumor control rate of 44% and those treated at the therapeutic regimen with two cycles of therapy at the highest dose which achieved a tumor control rate of 70%. In addition, this robust tumor control was accompanied by a high rate of visual acuity preservation of &gt;70% including a high percentage of patients with tumors close to the fovea or optic disk considered at high risk for vision loss. Treatment with bel-sar was generally reported to be well-tolerated at all doses including the highest treatment regimen with two cycles of therapy. Adverse events were generally mild or moderate, transient and manageable with standard of care treatments in most patients. Expected AEs of vitreous inflammation, anterior chamber inflammation and increased intraocular pressure were manageable with steroid treatment and ocular antihypertensives. There were only </w:t>
      </w:r>
      <w:r>
        <w:rPr>
          <w:rFonts w:ascii="Arial" w:cs="Arial" w:eastAsia="Arial" w:hAnsi="Arial"/>
          <w:sz w:val="17"/>
          <w:szCs w:val="17"/>
          <w:color w:val="auto"/>
        </w:rPr>
        <w:t>two drug-related SAEs of vision loss</w:t>
      </w:r>
      <w:r>
        <w:rPr>
          <w:rFonts w:ascii="Arial" w:cs="Arial" w:eastAsia="Arial" w:hAnsi="Arial"/>
          <w:sz w:val="18"/>
          <w:szCs w:val="18"/>
          <w:color w:val="auto"/>
        </w:rPr>
        <w:t xml:space="preserve"> related to pigmentary changes around the edge of the tumor.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ind w:left="1080"/>
        <w:spacing w:after="0"/>
        <w:rPr>
          <w:sz w:val="20"/>
          <w:szCs w:val="20"/>
          <w:color w:val="auto"/>
        </w:rPr>
      </w:pPr>
      <w:r>
        <w:rPr>
          <w:rFonts w:ascii="Arial" w:cs="Arial" w:eastAsia="Arial" w:hAnsi="Arial"/>
          <w:sz w:val="18"/>
          <w:szCs w:val="18"/>
          <w:i w:val="1"/>
          <w:iCs w:val="1"/>
          <w:color w:val="auto"/>
        </w:rPr>
        <w:t>Suprachoroidal delivery</w:t>
      </w:r>
    </w:p>
    <w:p>
      <w:pPr>
        <w:spacing w:after="0" w:line="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part of our overall development strategy, we are evaluating and developing the SC route of administration to optimize the delivery of bel-sar to the choroid where the tumor is located. The suprachoroidal space, or SCS, is a potential space bound between the external surface of the choroid and the internal surface of the sclera and encompasses the full circumference of the posterior segment of the eye.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121285</wp:posOffset>
            </wp:positionV>
            <wp:extent cx="1992630" cy="2437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92630" cy="243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6. Suprachoroidal administration with SCS Microinjector</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our nonclinical data, we believe SC administration of bel-sar can result in a better target product profile with reduced inflammation because of significantly lower exposure of the drug to the vitreous and potentially higher clinical activity than intravitreal administration because of increased drug exposure to the tumor in the choroid.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 w:name="page14"/>
    <w:bookmarkEnd w:id="13"/>
    <w:p>
      <w:pPr>
        <w:ind w:left="1020"/>
        <w:spacing w:after="0"/>
        <w:rPr>
          <w:sz w:val="20"/>
          <w:szCs w:val="20"/>
          <w:color w:val="auto"/>
        </w:rPr>
      </w:pPr>
      <w:r>
        <w:rPr>
          <w:rFonts w:ascii="Arial" w:cs="Arial" w:eastAsia="Arial" w:hAnsi="Arial"/>
          <w:sz w:val="18"/>
          <w:szCs w:val="18"/>
          <w:i w:val="1"/>
          <w:iCs w:val="1"/>
          <w:color w:val="auto"/>
        </w:rPr>
        <w:t>Phase 2 suprachoroidal administration trial</w:t>
      </w:r>
    </w:p>
    <w:p>
      <w:pPr>
        <w:spacing w:after="0" w:line="8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are currently conducting a Phase 2 dose-escalation trial of bel-sar with SC administration in up to 22 patients with choroidal melanoma. The primary objective of this trial is to determine the maximum tolerated dose and treatment regimen. The safety and tolerability data as of the January 10, 2023 data cutoff (n=20) demonstrated that SC administration was generally well tolerated. In addition, the tolerability profile was substantially improved versus the safety profile observed in the phase 1b/2 study using IVT administration, with no dose limiting toxicities or serious treatment related adverse events reported. No deaths have been reported in any of the trials to date. As summarized in Figure 7 below, drug and laser related adverse events have been mild and only five patients had anterior chamber cells and/or inflammation, which resolved spontaneously or with standard of care treatment. Four moderate adverse events are not listed in the table and were related to the injection procedure, with one each of anterior scleritis, subconjunctival hemorrhage, conjunctival edema and eye irritation. Of note, no inflammation in the vitreous has been observed in this trial with up to three cycles of the highest tested dose (80 µg with 2 laser applications). A total of 6 SAEs unrelated to treatment have been reported in 3 patients: 1 unrelated SAE of retinal detachment in 1 patient, 1 unrelated SAE of retinal vein occlusion in 1 patient and 4 unrelated SAEs of sarcoma, seizure, brain abscess and deep vein thrombosis in 1 patient. Given the generally favorable tolerability profile we increased the treatment regimen to three cycles of treatment which was one cycle more than the highest regimen in the IVT trial. The preliminary safety and tolerability of 3 cycles has been evaluated, and based on the data observed to date, additional patients in this cohort may be enrolled. We plan to present an average of 12-month safety and efficacy data from this trial in the second half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122555</wp:posOffset>
            </wp:positionV>
            <wp:extent cx="3831590" cy="31388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31590" cy="313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7. Adverse events among the 20 patients enrolled in the Phase 2 suprachoroidal trial to date.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4" w:name="page15"/>
    <w:bookmarkEnd w:id="14"/>
    <w:p>
      <w:pPr>
        <w:jc w:val="both"/>
        <w:ind w:firstLine="509"/>
        <w:spacing w:after="0" w:line="236" w:lineRule="auto"/>
        <w:rPr>
          <w:sz w:val="20"/>
          <w:szCs w:val="20"/>
          <w:color w:val="auto"/>
        </w:rPr>
      </w:pPr>
      <w:r>
        <w:rPr>
          <w:rFonts w:ascii="Arial" w:cs="Arial" w:eastAsia="Arial" w:hAnsi="Arial"/>
          <w:sz w:val="18"/>
          <w:szCs w:val="18"/>
          <w:color w:val="auto"/>
        </w:rPr>
        <w:t>The data from the ongoing Phase 2 study using suprachoroidal administration was presented at Macula Society’s 46th Annual Meeting in February 2023 and continued to demonstrate a robust dose response between the subtherapeutic dose regimens (20% tumor control) and the therapeutic dose regimens with three cycles of therapy (89% tumor control) (Figure 8). In addition, the safety profile to date has been favorable with no treatment related SAEs or significant AEs, which is encouraging given that the majority of these patients had tumors close to the fovea or optic disk. The longer follow up (average of nine months) and the consistency of response in the planned Phase 3 patient population with 100% tumor control and 90% visual acuity preservation strongly support the assumptions for the success of the global Phase 3 trial which is on track to enroll the first patient in the first half of 2023. The vision preservation rates were 88% or better in all subgroups, including patients assigned to the highest dose regimens. Seven of the 8 patients assigned to the highest dose regimens were at high risk for vision loss if treated with radiotherapy (tumors ≤3 mm from the fovea or optic disc) (Figure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954405</wp:posOffset>
            </wp:positionH>
            <wp:positionV relativeFrom="paragraph">
              <wp:posOffset>120015</wp:posOffset>
            </wp:positionV>
            <wp:extent cx="5208270" cy="18815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08270" cy="1881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8. Dose Response and Interim Tumor Control Rates Demonstrate Meaningful Clinical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165100</wp:posOffset>
            </wp:positionV>
            <wp:extent cx="5217160" cy="2291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7160" cy="2291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Figure 9. High Vision Preservation Rates with 8-9 Months of Follow Up.</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5" w:name="page16"/>
    <w:bookmarkEnd w:id="15"/>
    <w:p>
      <w:pPr>
        <w:ind w:left="1020"/>
        <w:spacing w:after="0"/>
        <w:rPr>
          <w:sz w:val="20"/>
          <w:szCs w:val="20"/>
          <w:color w:val="auto"/>
        </w:rPr>
      </w:pPr>
      <w:r>
        <w:rPr>
          <w:rFonts w:ascii="Arial" w:cs="Arial" w:eastAsia="Arial" w:hAnsi="Arial"/>
          <w:sz w:val="18"/>
          <w:szCs w:val="18"/>
          <w:i w:val="1"/>
          <w:iCs w:val="1"/>
          <w:color w:val="auto"/>
        </w:rPr>
        <w:t>Global Phase 3 trial plan in choroidal melanoma</w:t>
      </w:r>
    </w:p>
    <w:p>
      <w:pPr>
        <w:spacing w:after="0" w:line="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alignment with the FDA, EMA and MHRA, we initiated activities of our Phase 3 trial AU-011-301. This is a randomized, adaptive, sham-controlled, patient, assessor, and sponsor-masked trial to evaluate the efficacy and safety of bel-sar treatment via SC administration in patients with early-stage choroidal melanoma to support potential marketing authorization (Figure 10). We intend to randomize a minimum of 85 patients in this trial to three arms 2:1:2 to receive therapeutic regimen bel-sar, low dose regimen bel-sar or a sham control. We will use an enrichment strategy and plan to enroll patients based on having a small amount of active growth within two years prior to trial enrollment. This will ensure that patients have actively growing lesions allowing for a reduction in the variability of timing and event rates of selected endpoints being used to establish the efficacy of bel-sar treatment.</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trial will utilize an adaptive design with the ability to perform a sample size re-estimation. With this adaptive design, there will be an interim analysis approximately one month before the last patient is enrolled and the sample size could be increased from 85 patients up to 105 patients if either (1) the overall observed event rate is lower than assumed or (2) if the estimated ratio of events between the arms is slightly different than the current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120650</wp:posOffset>
            </wp:positionV>
            <wp:extent cx="4396105" cy="1590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96105" cy="159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Figure 10. Phase 3 Adaptive Design Showing Interim Analysis and Potential Sample Size</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Re-estimation from 85 Patients to 105 Patients.</w:t>
      </w:r>
    </w:p>
    <w:p>
      <w:pPr>
        <w:spacing w:after="0" w:line="21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regimen of three cycles in the 80 µg bel-sar arm is based on preliminary safety data observed with this regimen, which was the highest tested in the Phase 2 AU-011-202 trial with no dose-limiting toxicities, treatment related severe AEs, or treatment related SAEs reported, as well as supportive preliminary efficacy data observed with this regimen. The principal objective of the inclusion of the 40 µg bel-sar treatment arm is to minimize bias and improve masking of the 80 µg bel-sar treatment arm as requested by the FDA and is not powered for statistical comparison. However, summary statistics will be reported for the 40 µg bel-sar treatment arm using the primary, key secondary, and selected additional endpoints. A dose of 40 µg and 2 laser applications with the same regimen of 3 cycles was chosen for the second bel-sar treatment arm as this was the second highest dose/regimen tested in the Phase 2 SC trial (Cohort 5) and we believe it may have a therapeutic potential.</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trial will be patient, assessor (VA examiners and IRC readers) and sponsor-masked. Masked readers at the IRC will assess the imaging data-based efficacy assessments including tumor thickness and largest basal, diameter, or LBD, during the trial. Best corrected visual acuity will be assessed using the ETDRS protocol by masked, certified, VA examiners. All measures will be taken to mask the patients during their trial participation period including the use of sham SC injections and sham laser on assigned treatment days.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Any patient in the trial who meets the tumor progression definition will be treated with SoC therapies as rescue treatment per Investigator judgment. SoC therapies will include, but are not limited to, brachytherapy and proton beam therapy. This will ensure that no patient has a delayed treatment if the tumor is progressing, and importantly, that all of the sham patients receive their SoC treatment in a timely manner and no later than in the regular clinical practice. The primary endpoint for the Phase 3 trial will be a composite time to event analysis that will evaluate the number of events of tumor progression or visual acuity failure between the high dose bel -sar group and the sham group using a log rank test. The first key secondary endpoint will be the time to tumor progression. And we will also evaluate the tumor thickness growth rate over 52 weeks and visual acuity failure up to 52 weeks There will be a minimum follow up for all patients of 12 months.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6" w:name="page17"/>
    <w:bookmarkEnd w:id="16"/>
    <w:p>
      <w:pPr>
        <w:jc w:val="both"/>
        <w:ind w:firstLine="509"/>
        <w:spacing w:after="0" w:line="239" w:lineRule="auto"/>
        <w:rPr>
          <w:sz w:val="20"/>
          <w:szCs w:val="20"/>
          <w:color w:val="auto"/>
        </w:rPr>
      </w:pPr>
      <w:r>
        <w:rPr>
          <w:rFonts w:ascii="Arial" w:cs="Arial" w:eastAsia="Arial" w:hAnsi="Arial"/>
          <w:sz w:val="18"/>
          <w:szCs w:val="18"/>
          <w:color w:val="auto"/>
        </w:rPr>
        <w:t>The trial has a power of &gt;90% to meet the primary endpoint. Since there is no drug approved for the treatment of choroidal melanoma, we have aligned with FDA that a statistically significant difference on the primary endpoint will provide support from a regulatory perspective to meet the requirement of clinical effectiveness.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warranted by the data, we plan to submit the results of the Phase 3 trial to support approval of bel-sar for the treatment of primary indeterminate lesions and small choroidal melanoma. Based on the results of the Phase 3 trial, if positive, and the fact that there are no therapies approved for the treatment of this rare disease and that the standard of care with radiotherapy leaves patients with irreversible vision loss, the FDA and EMA may agree to grant approval based on a single Phase 3 trial. However, the FDA and/or EMA may require two Phase 3 trials for approval, which will be addressed subsequent to reviewing the data from the Phase 3 trial with the regulators.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Registry Study</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agreement with the FDA, EMA, and MHRA that we will monitor all patients for a total of five years after start of dosing to evaluate the metastatic and mortality risks as well as the long-term tumor response, visual acuity preservation and safety, which we are doing in a Phase 4 Registry study.</w:t>
      </w:r>
    </w:p>
    <w:p>
      <w:pPr>
        <w:spacing w:after="0" w:line="203" w:lineRule="exact"/>
        <w:rPr>
          <w:sz w:val="20"/>
          <w:szCs w:val="20"/>
          <w:color w:val="auto"/>
        </w:rPr>
      </w:pPr>
    </w:p>
    <w:p>
      <w:pPr>
        <w:jc w:val="both"/>
        <w:ind w:firstLine="509"/>
        <w:spacing w:after="0" w:line="223" w:lineRule="auto"/>
        <w:rPr>
          <w:sz w:val="20"/>
          <w:szCs w:val="20"/>
          <w:color w:val="auto"/>
        </w:rPr>
      </w:pPr>
      <w:r>
        <w:rPr>
          <w:rFonts w:ascii="Arial" w:cs="Arial" w:eastAsia="Arial" w:hAnsi="Arial"/>
          <w:sz w:val="18"/>
          <w:szCs w:val="18"/>
          <w:color w:val="auto"/>
        </w:rPr>
        <w:t>As of January 11</w:t>
      </w:r>
      <w:r>
        <w:rPr>
          <w:rFonts w:ascii="Arial" w:cs="Arial" w:eastAsia="Arial" w:hAnsi="Arial"/>
          <w:sz w:val="24"/>
          <w:szCs w:val="24"/>
          <w:color w:val="auto"/>
          <w:vertAlign w:val="superscript"/>
        </w:rPr>
        <w:t>th</w:t>
      </w:r>
      <w:r>
        <w:rPr>
          <w:rFonts w:ascii="Arial" w:cs="Arial" w:eastAsia="Arial" w:hAnsi="Arial"/>
          <w:sz w:val="18"/>
          <w:szCs w:val="18"/>
          <w:color w:val="auto"/>
        </w:rPr>
        <w:t>, 2023, all 57 patients in the Phase 1b/2 trial (AU-011-101) with intravitreal administration have completed the trial and 45/57 have entered the Registry study. In addition, 14/20 patients from the ongoing Phase 2 trial (AU-011-202) with SC administration have also entered the Registry study. The data collected in the Registry is intended to assess the long-term (5 total years) safety, rate of metastatic disease, mortality, tumor control, and visual acuity preservation from bel-sar treatment.</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Matched case control studies</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ability to demonstrate tumor control with long-term visual acuity preservation supports the potential of bel-sar to become the standard of care for the first-line treatment of patients with early-stage choroidal melanoma compared to an invasive radiotherapy procedure that leaves most patients with irreversible vision loss and other long-term comorbidities. To demonstrate the long-term value of visual acuity preservation for patients treated with bel-sar, we are conducting two retrospective Matched Case Control, or MCC, studies that will provide data comparing bel-sar to brachytherapy. The first retrospective MCC study has been performed to provide an estimate of the vision benefit of bel-sar, with IVT administration versus brachytherapy and a second retrospective MCC study with SC administration to support the overall visual results is planned once the AU-011-301 trial is completed. These studies are discussed below.</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Retrospective matched case control study with intravitreal administration</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To assess the vision preservation benefit of bel-sar compared to brachytherapy we are conducting a retrospective MCC analysis comparing the group of patients in our Phase 1b/2 trial who had tumors at high risk for vision loss due to its location close to the fovea or optic disk and were treated with bel-sar (n=43) to patients with tumors of similar size and location previously treated with brachytherapy at the Wills Eye Hospital Ocular Oncology Service led by Dr. Carol Shields. This study matched patients up to 5:1 using the key baseline characteristics that impact long-term visual acuity – tumor location, tumor size and baseline visual acuity – and we are comparing the visual acuity after treatment with each therapy in terms of a change from baseline in vision and absolute vision every year for up to 5 years. As shown in Figure 11, the initial trial results showed a statistically significant vision preservation benefit for bel-sar compared to brachytherapy at year 2. Importantly, the data showed that vision after treatment with bel-sar remained stable through the first and second year demonstrating the long-term visual acuity benefit of the treatment with bel-sar. In the current analysis the vision results from year 2 with bel-sar were extrapolated to compare against the vision data with brachytherapy through year 5 (Figure 11). By year 5 there was over an 8-line benefit (&gt;0.8 logMAR difference) of vision preservation comparing bel-sar (orange bar) to brachytherapy (blue 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132715</wp:posOffset>
            </wp:positionV>
            <wp:extent cx="3284220" cy="23691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84220" cy="236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11. Comparison of visual acuity outcomes (logMAR Vision) after treatment with bel-sar versus treatment with Brachytherapy</w:t>
      </w:r>
    </w:p>
    <w:p>
      <w:pPr>
        <w:spacing w:after="0" w:line="23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believe that the results of this retrospective study validate and strengthen our data supporting that the treatment with bel-sar results in durable preservation of visual acuity which provides an important advantage to brachytherapy as a first line treatment option for early-stage disease. We look forward to publishing these results with Dr. Carol Shields/Wills Eye Hospital in the second half of 2023 and to continue to analyze the data up to year five.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Retrospective matched case control study with suprachoroidal administration</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positive results from the IVT rMCC study we are going to conduct a second retrospective MCC study in lieu of a prospective study. We will compare the visual acuity of patients treated with bel -sar with SC administration from both the Phase 2 and Phase 3 studies versus the visual acuity of patients treated with plaque brachytherapy.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Choroidal metastasis from other tumors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can apply our mechanism of action for bel-sar, which we believe has the ability to preserve key ocular structures, in multiple other ocular oncology indications. Beyond primary choroidal melanoma, we are developing bel-sar in additional ocular oncology indications, starting with choroidal metastasis. Choroidal metastasis is a common intraocular malignancy that is caused by multiple primary cancers in the body that metastasize to the eye due to the high blood flow and perfusion that provides an environment in the choroid receptive to metastases and tumor growth. Approximately 22,000 patients have choroidal metastasis globally every year and approximately half (~47%) of the patients with choroidal metastasis have primary breast tumors. Other common primary cancers include lung (approximately 21%), gastrointestinal (4%), kidney (2%), cutaneous melanoma (2%) and prostate cancer (2%), and approximately 17% of cases with an unknown primary tumor type. The majority of these malignancies are solitary small tumors in the choroid associated with subretinal fluid and as opposed to choroidal melanoma, they can occur in and adversely affect vision in both eyes. These lesions are typically treated with radiation, which has the same comorbidities as previously described for the treatment of choroidal melanoma. Given their poor prognosis, the quality of life and, in particular, maintenance of vision, for patients with metastatic cancer is critical and as such there is a significant unmet need for an effective vision sparing ocular treatment that enables patients to avoid additional surgical interventions.</w:t>
      </w:r>
    </w:p>
    <w:p>
      <w:pPr>
        <w:spacing w:after="0" w:line="20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IND has been opened with the FDA, where we received fast track designation, and we plan to initiate a Phase 2 clinical trial in choroidal metastasis in the second half 2023.</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Non-muscle-invasive bladder cancer</w:t>
      </w:r>
    </w:p>
    <w:p>
      <w:pPr>
        <w:spacing w:after="0" w:line="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developing bel-sar for the treatment of NMIBC utilizing an intramural route of administration for the treatment of patients with intermediate and high-risk bladder cancer. This novel route of administration is based on the direct administration of bel-sar into the lamina propria of the bladder wall at the tumor edge. It is intended to place high levels of bel-sar at the base of the tumor where laser activation can cause localized necrosis preventing residual tumor cells from further growth and potentially solving tumor recurrence, which is one of the highest unmet medical needs in this disease. We began a Phase 1 trial in late 2022 and the trial is currently enrolling.</w:t>
      </w:r>
    </w:p>
    <w:p>
      <w:pPr>
        <w:spacing w:after="0" w:line="18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Bladder cancer disease background</w:t>
      </w:r>
    </w:p>
    <w:p>
      <w:pPr>
        <w:spacing w:after="0" w:line="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Bladder cancer is the most common malignancy involving the urinary system and is the eighth most common cause of cancer death in men in the United States. Estimates are that there will be 81,000 new cases of bladder cancer and 17,000 deaths in 2021 in the United States. Globally, bladder cancer accounts for approximately 570,000 cases, with 422,000 cases comprised of NMIBC, and 165,000 deaths each year. Patients with bladder cancer classically present with painless blood in the urine, however, because this symptom is like those of benign disorders such as urinary tract infections, cystitis, prostatitis and the passage of kidney stones, the diagnosis of bladder cancer is often delayed while these other, more common, conditions are ruled out. Furthermore, symptoms are often intermittent. Delays in diagnosis can lead to a worsened prognosis due to the presence of more advanced stage disease by the time a confirmation of bladder cancer is made.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solution bel-sar</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currently developing bel-sar for the treatment of NMIBC and have initiated a Phase 1 trial to evaluate the feasibility of intramural administration and to assess distribution, safety and proof-of-mechanism with evaluation of local acute cellular necrosis after laser activation. We believe bel-sar represents a potential targeted therapy that can be activated using a similar laser as that currently utilized in our choroidal melanoma program, following a well-characterized approach with commercially available devices used by urologists.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9" w:name="page20"/>
    <w:bookmarkEnd w:id="19"/>
    <w:p>
      <w:pPr>
        <w:jc w:val="both"/>
        <w:ind w:firstLine="509"/>
        <w:spacing w:after="0" w:line="235" w:lineRule="auto"/>
        <w:rPr>
          <w:sz w:val="20"/>
          <w:szCs w:val="20"/>
          <w:color w:val="auto"/>
        </w:rPr>
      </w:pPr>
      <w:r>
        <w:rPr>
          <w:rFonts w:ascii="Arial" w:cs="Arial" w:eastAsia="Arial" w:hAnsi="Arial"/>
          <w:sz w:val="18"/>
          <w:szCs w:val="18"/>
          <w:color w:val="auto"/>
        </w:rPr>
        <w:t>Bel-sar has been observed to be highly selective, through both its specific binding to a subset of modified GAGs that are part of the heparan sulphate chain of HSPGs on cancer cells, combined with focused laser activation leading to cytotoxicity and subsequent immune activation. We believe the immune response could play an even larger role in bladder cancer, given that bladder cancer has a well-documented response to immune activation. This immune sensitivity is substantiated by the effectiveness of immune modulatory agents like Bacillus Calmette-Guérin, or BCG. We have observed in nonclinical experiments that bel-sar was able to target bladder cancer cells in both in vitro and in vivo tumor models. Laser activation of bel -sar resulted in cell killing of bladder tumor cells while sparing other normal surrounding cells as a single agent. This cell killing induced a pro-immunogenic antitumor response that resulted in complete and durable tumor regressions in mouse xenograft models as well as the prevention of tumor re-implantation. This highlights the value of bel-sar to generate antitumor immunity and prevent tumor recurrence. Based on our nonclinical data, bel-sar was also observed to be highly synergistic with checkpoint inhibitors that have already been approved and are in development for the treatment of NMIBC and metastatic bladder cancer patients.</w:t>
      </w:r>
    </w:p>
    <w:p>
      <w:pPr>
        <w:spacing w:after="0" w:line="196" w:lineRule="exact"/>
        <w:rPr>
          <w:sz w:val="20"/>
          <w:szCs w:val="20"/>
          <w:color w:val="auto"/>
        </w:rPr>
      </w:pPr>
    </w:p>
    <w:p>
      <w:pPr>
        <w:ind w:left="2900"/>
        <w:spacing w:after="0"/>
        <w:rPr>
          <w:sz w:val="20"/>
          <w:szCs w:val="20"/>
          <w:color w:val="auto"/>
        </w:rPr>
      </w:pPr>
      <w:r>
        <w:rPr>
          <w:sz w:val="1"/>
          <w:szCs w:val="1"/>
          <w:color w:val="auto"/>
        </w:rPr>
        <w:drawing>
          <wp:inline distT="0" distB="0" distL="0" distR="0">
            <wp:extent cx="4122420" cy="23260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22420" cy="2326005"/>
                    </a:xfrm>
                    <a:prstGeom prst="rect">
                      <a:avLst/>
                    </a:prstGeom>
                    <a:noFill/>
                    <a:ln>
                      <a:noFill/>
                    </a:ln>
                  </pic:spPr>
                </pic:pic>
              </a:graphicData>
            </a:graphic>
          </wp:inline>
        </w:drawing>
      </w:r>
      <w:r>
        <w:rPr>
          <w:rFonts w:ascii="Arial" w:cs="Arial" w:eastAsia="Arial" w:hAnsi="Arial"/>
          <w:sz w:val="18"/>
          <w:szCs w:val="18"/>
          <w:color w:val="auto"/>
        </w:rPr>
        <w:t>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Figure 12. Overview of bel-sar’s dual mechanism of action with acute tumor cell necrosis and secondary antitumor immunity.</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0" w:name="page21"/>
    <w:bookmarkEnd w:id="20"/>
    <w:p>
      <w:pPr>
        <w:ind w:left="1020"/>
        <w:spacing w:after="0"/>
        <w:rPr>
          <w:sz w:val="20"/>
          <w:szCs w:val="20"/>
          <w:color w:val="auto"/>
        </w:rPr>
      </w:pPr>
      <w:r>
        <w:rPr>
          <w:rFonts w:ascii="Arial" w:cs="Arial" w:eastAsia="Arial" w:hAnsi="Arial"/>
          <w:sz w:val="18"/>
          <w:szCs w:val="18"/>
          <w:i w:val="1"/>
          <w:iCs w:val="1"/>
          <w:color w:val="auto"/>
        </w:rPr>
        <w:t>Clinical plans in NMIBC</w:t>
      </w:r>
    </w:p>
    <w:p>
      <w:pPr>
        <w:spacing w:after="0" w:line="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are currently enrolling a Phase 1 trial in intermediate and high-risk NMIBC patients that are either candidates for transurethral resection of the bladder tumor, or TURBT, or cystectomy. The trial design is presented in Figure 13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125730</wp:posOffset>
            </wp:positionV>
            <wp:extent cx="4780915" cy="30873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80915"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Figure 13. Phase 1 window of opportunity trial to establish route of administration and tumor necrosis.</w:t>
      </w:r>
    </w:p>
    <w:p>
      <w:pPr>
        <w:spacing w:after="0" w:line="23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this Phase 1 trial, we intend to evaluate the tumor distribution of bel-sar after intramural administration in intermediate to high-risk patients with NMIBC undergoing TURBT or cystectomy. In cohorts 1a and 1b, we are assessing bel-sar local and systemic exposure without laser activation. In cohorts 2, 3 and 4 we are assessing bel-sar plus laser activation in patients with intermediate risk that are planned to receive TURBT and high-risk patients that are unresponsive to BCG and that are planned to receive cystectomy. In these cohorts, we plan to administer bel-sar followed by laser activation, and one week later the tumor will be removed by TURBT (cohorts 2 and 4) or the entire bladder will be removed by cystectomy (cohort 3), and we will assess tumor response in the form of necrosis and the immune response by pathology and immunohistochemistry. This Phase 1 trial is being conducted at approximately 10 sites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HSPG-Expressing Tumors</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HPV-derived VLPs have a unique tropism towards cancer cells based on their multivalent binding to modified HSPGs that are specifically found in tumor cells. In vitro, we have observed our VLPs bind to multiple cancer cell lines. In vivo</w:t>
      </w:r>
      <w:r>
        <w:rPr>
          <w:rFonts w:ascii="Arial" w:cs="Arial" w:eastAsia="Arial" w:hAnsi="Arial"/>
          <w:sz w:val="18"/>
          <w:szCs w:val="18"/>
          <w:i w:val="1"/>
          <w:iCs w:val="1"/>
          <w:color w:val="auto"/>
        </w:rPr>
        <w:t>,</w:t>
      </w:r>
      <w:r>
        <w:rPr>
          <w:rFonts w:ascii="Arial" w:cs="Arial" w:eastAsia="Arial" w:hAnsi="Arial"/>
          <w:sz w:val="18"/>
          <w:szCs w:val="18"/>
          <w:color w:val="auto"/>
        </w:rPr>
        <w:t xml:space="preserve"> we have also observed binding using our HPV-derived VLPs using xenografts of human tumor cell lines and allografts of murine tumor cell lines, like lung, ovarian, bladder, melanoma and colon. These results help to corroborate the thesis that multiple tumors appear to consistently express and specifically modify HSPGs. Accordingly, we believe we may be able treat a broad spectrum of solid tumors. We plan to select our next solid tumor indication for clinical development with bel-sar based on its status as a tumor type with high HSPG expression, such as cutaneous melanoma and head and neck cancer.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biotechnology and pharmaceutical industries are characterized by rapid innovation of new technologies, fierce competition and strong defense of intellectual property. While we believe that bel-sar and our knowledge, experience and scientific resources provide us with competitive advantages, we may face competition from major pharmaceutical and biotechnology companies, academic institutions, governmental agencies and public and private research institutions, among others.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1" w:name="page22"/>
    <w:bookmarkEnd w:id="21"/>
    <w:p>
      <w:pPr>
        <w:jc w:val="both"/>
        <w:ind w:firstLine="509"/>
        <w:spacing w:after="0" w:line="237" w:lineRule="auto"/>
        <w:rPr>
          <w:sz w:val="20"/>
          <w:szCs w:val="20"/>
          <w:color w:val="auto"/>
        </w:rPr>
      </w:pPr>
      <w:r>
        <w:rPr>
          <w:rFonts w:ascii="Arial" w:cs="Arial" w:eastAsia="Arial" w:hAnsi="Arial"/>
          <w:sz w:val="18"/>
          <w:szCs w:val="18"/>
          <w:color w:val="auto"/>
        </w:rPr>
        <w:t>We compete in the segments of the pharmaceutical, biotechnology, and companies focusing on developing therapies in the oncology field.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oncology therapeutics. Key product features that would affect our ability to effectively compete with other therapeutics include the efficacy, safety and convenience of our products.</w:t>
      </w:r>
    </w:p>
    <w:p>
      <w:pPr>
        <w:spacing w:after="0" w:line="2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bel-sar and any future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Ocular oncology</w:t>
      </w:r>
    </w:p>
    <w:p>
      <w:pPr>
        <w:spacing w:after="0" w:line="8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Currently we are not aware of any other company that has a drug in clinical development for the treatment of early-stage disease, which includes indeterminate lesions and small choroidal melanomas, or for the treatment of choroidal metastasis, which are our first two planned ocular oncology indications. The standard of care as a first line treatment for patients is plaque brachytherapy or proton beam therapy. Verteporfin (Visudyne) is currently used off label in some cases of early-stage disease alone or in combination with transpupillary thermotherapy. It is possible that there may be other companies with compounds in preclinical development but we are not aware of any data that has been published or presented at any conference. Given our stage of development, we believe we are the furthest along in development. Our focus in ocular oncology is the early treatment of the primary cancer in the eye before it metastasizes. Immunocore Holdings PLC, or Immunocore, recently received FDA approval for KIMMTRAK® (tebentafusp-tebn) injection for metastatic uveal melanoma. Immunocore’s drug is indicated for the treatment of HLA-A*02:01-positive adult patients with unresectable or metastatic uveal melanoma and has not been developed to treat the early-stage disease in the eye. Ideaya Biosciences is in Phase 2 clinical development to treat metastatic uveal melanoma. In addition, they have initiated a study with neoadjuvant treatment in patients that are selected to receive enucleation or radiotherapy with the goal of either preserving the eye or reducing the dose of radiotherapy.</w:t>
      </w:r>
    </w:p>
    <w:p>
      <w:pPr>
        <w:spacing w:after="0" w:line="190"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Urologic oncology</w:t>
      </w:r>
    </w:p>
    <w:p>
      <w:pPr>
        <w:spacing w:after="0" w:line="9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There are multiple companies that have drugs in clinical development for the treatment of intermediate and high-risk NMIBC patients that are unresponsive to BCG and several trials ongoing in BCG naïve patients. Ferring Pharmaceuticals has recently obtained FDA approval for ADSTILADRIN for the treatment of adult patients with high-risk BCG-unresponsive NMIBC with carcinoma in situ, or CIS, with or without papillary tumors. ImmunityBio, Inc. has presented Phase 2/3 data for their drug Anktiva in combination with BCG in patients with BCG unresponsive high grade NMIBC and has submitted a BLA with a PDUFA date of May 23, 2023. UroGen Pharma Ltd. has a drug Jelmyto, a gel reformulation of mytomicin that is currently approved to treat low grade upper tract urothelial cancer, which is currently in Phase 3 development for the treatment of NMIBC. CG Oncology’s cretostimogene grenadenorepvec (CG0070) is being investigated in a global Phase 3 clinical trial as a monotherapy for the treatment of BCG-unresponsive NMIBC and in combination with KEYTRUDA in a Phase 2 trial in the same indication. Asieris Pharmaceuticals has APL-1202 in development for NMIBC as a monotherapy and in combination with other therapies. Pembrolizumab has been approved for or the treatment of BCG-unresponsive NMIBC with CIS (with or without papillary tumors) for patients who are unfit or unwilling to undergo radical cystectomy. In addition, there are several additional immune checkpoint inhibitors, or ICIs, in development as a monotherapy and there are a number of combination trials with ICIs in an effort to improve efficacy and durability of response. In addition, there are several early-stage treatments entering the clinic such as Protara Therapeutics, Inc.’s TARA-200.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License Agreements</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NIH Patent License Agreement</w:t>
      </w:r>
    </w:p>
    <w:p>
      <w:pPr>
        <w:spacing w:after="0" w:line="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September 2013, we entered into an exclusive patent license agreement, or the NIH License Agreement, with the NIH for certain intellectual property rights, as amended in September 2015, August 2018 and April 2019. Under the NIH License Agreement, NIH granted us a worldwide, exclusive, sublicensable license to certain patent rights related to VLPs and papilloma pseudovirus for our development and use in combination with our proprietary nanoparticle encapsulation technology both (1) for the treatment, diagnosis and imaging of cancer tumors and metastases as well as their respective pre-cursor dysplasia states and (2) conjugated with light activated drugs for the diagnosis and treatment of cancer tumors and metastases as well as their respective pre-cursor dysplasia states.</w:t>
      </w:r>
    </w:p>
    <w:p>
      <w:pPr>
        <w:spacing w:after="0" w:line="2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the NIH License Agreement, we are required to use commercially reasonable efforts to develop the licensed products using the licensed processes to make the licensed products available to the United States public on reasonable terms, including by adhering to a commercial development plan and meeting specified benchmarks with regards to specified deadlines for regulatory filings, initiation of clinical trials, and gaining regulatory approval for the licensed products.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consideration of the rights granted under the NIH License Agreement, we paid NIH a one-time upfront payment of $0.1 million. We are required to make low single-digit percentage royalty payments based on specified levels of annual net sales of licensed products subject to certain specified reductions. We are required to make development and regulatory milestone payments up to $0.7 million in the aggregate and sales milestone payments up to $0.6 million in the aggregate. We are also required to pay NIH a mid-single to low teen-digit percentage of any sublicensing revenue we receive. Additionally, our payment obligations to NIH are subject to an annual minimum royalty payment of low five figures. We recognized no milestones related to this agreement and related amendments for the years ended December 31, 2022 and 2021. In addition to milestones under the agreement, we reimburse the NIH for any patent prosecution costs incurred.</w:t>
      </w:r>
    </w:p>
    <w:p>
      <w:pPr>
        <w:spacing w:after="0" w:line="205"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NIH License Agreement will terminate upon the last expiration of the patent rights or we may terminate the entirety of the agreement upon written notice thereof to NIH. The expiry of the last to expire patent licensed under the agreement is September 2034.</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LI-COR Exclusive License and Supply Agreement</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January 2014, we entered into an Exclusive License and Supply Agreement, or the LI-COR Exclusive License Agreement, with LI-COR, Inc., or LI-COR, for the license of IRDye 700DX and related licensed patents for the treatment and diagnosis of ocular cancers, ocular pre-cancer and indeterminate lesions in humans, and as amended in January 2016, July 2017, April 2018 and April 2019. The LI-COR Exclusive License Agreement required a one-time upfront license issue fee of $0.1 million and requires aggregate milestone payments of up to $0.2 million upon certain regulatory and development milestones. We are also required to pay LI-COR low-single digit royalties on net sales.</w:t>
      </w:r>
    </w:p>
    <w:p>
      <w:pPr>
        <w:spacing w:after="0" w:line="20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term of the LI-COR Exclusive Agreement expires on a country-by-country basis, until the longer of (i) ten years from the first commercial sale of a licensed product in such country and (ii) the last to expire valid claim in such country. The expiry of the last to expire patent licensed under the agreement is December 2023.</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Clearside License Agreement</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July 2019, we entered into a license agreement, or the Clearside License Agreement, with Clearside Biomedical, Inc., or Clearside, for the license of Clearside’s suprachoroidal microinjector technology. Upon execution of the Clearside License Agreement, we paid Clearside a one-time upfront payment of $0.1 million. Under the Clearside License Agreement, we are required to pay milestones up to $21.0 million in the aggregate to Clearside upon the achievement of specified regulatory and development milestones, and upon the achievement of certain commercial sales milestones. We are also required to pay low to mid-single digit royalties on net sales. If we sublicense a product for which royalties are payable, then we are required to pay the greater of 20% received or low single digit royalties on net sales.</w:t>
      </w:r>
    </w:p>
    <w:p>
      <w:pPr>
        <w:spacing w:after="0" w:line="201"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 The expiry of the last to expire patent licensed under the agreement is August 2034.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Intellectual property</w:t>
      </w:r>
    </w:p>
    <w:p>
      <w:pPr>
        <w:spacing w:after="0" w:line="84"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7"/>
          <w:szCs w:val="17"/>
          <w:color w:val="auto"/>
        </w:rPr>
        <w:t>Our success depends in part on our abilities to (1) obtain and maintain proprietary protection for our lead virus-like drug conjugate product candidate bel-sar, (2) defend and enforce our intellectual property rights, in particular, our patent rights, (3) preserve the confidentiality of our know-how relating to, for example, certain manufacturing steps, material components and characteristics of our formulations, and (4) operate without infringing valid and enforceable intellectual property rights of others. We seek to protect our proprietary position by, among other things, exclusively licensing United States and certain foreign patents and patent applications and filing United States and certain foreign patent applications related to bel-sar, where patent protection is available. We also rely on know-how, continuing technological innovation and confidential information as well as pursue licensing opportunities to develop and maintain our proprietary position and protect aspects of our business that are not amenable to, or that we do not consider appropriate for, patent protection. We seek to protect our proprietary technology,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We also seek to preserve the integrity and confidentiality of our data by maintaining physical security of our premises and physical and electronic security of our information technology systems.</w:t>
      </w:r>
    </w:p>
    <w:p>
      <w:pPr>
        <w:spacing w:after="0" w:line="19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cannot be sure that patents will be granted with respect to any patent applications we have licensed or filed or may license or file in the future, and we cannot be sure that any patents we have licensed or which have been granted to us, or patents that may be licensed or granted to us in the future, will not be challenged, invalidated or circumvented or that such patents will be commercially useful in protecting our technology. For more information regarding the risks related to our intellectual property, see “Risk factors—Risks related to our intellectual property.”</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patent portfolio includes a combination of issued patents and pending patent applications that are owned by us, co-owned by us or licensed by us from third parties. As of February 13, 2023, we have an exclusive license (with regard to ocular cancers) and a non-exclusive license (with regard to solid tumors in humans for a specific indication) from LI-COR under one issued United States patent; an exclusive license from NIH under four issued United States patents and three issued foreign patents; an exclusive license from INSERM-TRANSFERT, or Inserm, under three issued United States patents, and six granted foreign patents; and exclusive rights under a Cooperative Research and Development Agreement, or CRADA, with the United States Department of Health and Human Services, or DHHS, as represented by the National Cancer Institute, and Institute, Center, or Division of the NIH, under three issued United States patents, three pending non-provisional United States patent applications, eight foreign patents, and eleven pending foreign patent applications.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as of February 13, 2023, we solely own four issued United States patents, one pending non-provisional United States patent application, six pending foreign patent applications, and one pending United States international Patent Cooperation Treaty, or PCT, application. We intend to pursue, when possible, additional patent protection, including composition of matter, method of use and process claims related to bel-sar.</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families</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license one patent family from LI-COR and one patent family from the NIH, co-own and license one patent family from Inserm, co-own two patent families with DHHS/NIH and have exclusive rights under a CRADA, and solely own two patent families, all of which are generally directed to the bel-sar product and related methods of use and production.</w:t>
      </w:r>
    </w:p>
    <w:p>
      <w:pPr>
        <w:spacing w:after="0" w:line="203" w:lineRule="exact"/>
        <w:rPr>
          <w:sz w:val="20"/>
          <w:szCs w:val="20"/>
          <w:color w:val="auto"/>
        </w:rPr>
      </w:pPr>
    </w:p>
    <w:p>
      <w:pPr>
        <w:jc w:val="both"/>
        <w:ind w:right="20" w:firstLine="509"/>
        <w:spacing w:after="0" w:line="220" w:lineRule="auto"/>
        <w:rPr>
          <w:sz w:val="20"/>
          <w:szCs w:val="20"/>
          <w:color w:val="auto"/>
        </w:rPr>
      </w:pPr>
      <w:r>
        <w:rPr>
          <w:rFonts w:ascii="Arial" w:cs="Arial" w:eastAsia="Arial" w:hAnsi="Arial"/>
          <w:sz w:val="18"/>
          <w:szCs w:val="18"/>
          <w:color w:val="auto"/>
        </w:rPr>
        <w:t>The first family, licensed from LI-COR, includes one issued United States patent. This patent includes claims directed to (1) fluorescent phthalocyanine dyes and (2) processes for making the dyes (e.g., the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This patent has a standard expiration date of October 23, 2023, subject to potential extensions.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second family, licensed from NIH, includes four issued United States patents, one issued European patent, and one issued patent in each of Australia and Canada. Patents in this family include claims directed to (1) methods for inhibiting the proliferation of and/or killing cancer cells using a therapeutic agent formulated with a papilloma virus-like particle, (2) methods that include administering to a patient (e.g., a patient having a melanoma) a papilloma virus-like particle having a fluorescent dye and exposing the dye to an excitation wavelength of light, and (3) methods for detecting cancer cells using a papilloma virus-like particle having a detectable label. This patent has a standard expiration date of May 1, 2028, subject to potential extensions.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24" w:name="page25"/>
    <w:bookmarkEnd w:id="24"/>
    <w:p>
      <w:pPr>
        <w:jc w:val="both"/>
        <w:ind w:firstLine="509"/>
        <w:spacing w:after="0" w:line="237" w:lineRule="auto"/>
        <w:rPr>
          <w:sz w:val="20"/>
          <w:szCs w:val="20"/>
          <w:color w:val="auto"/>
        </w:rPr>
      </w:pPr>
      <w:r>
        <w:rPr>
          <w:rFonts w:ascii="Arial" w:cs="Arial" w:eastAsia="Arial" w:hAnsi="Arial"/>
          <w:sz w:val="18"/>
          <w:szCs w:val="18"/>
          <w:color w:val="auto"/>
        </w:rPr>
        <w:t>The third family, which we co-own with and license from Inserm, includes three issued United States patents, two issued European patents, an issued patent in each of Canada, Hong Kong, India and Japan. Patents in this family include claims directed to (1) a modified papillomavirus (HPV16) L1 protein having reduced immunogenicity relative to wild-type HPV16 L1 protein and an FG loop having the specific amino acid sequence that is present in bel-sar, (2) nanoparticles comprising the modified L1 protein, (3) methods of using the modified L1 protein to deliver therapeutic agents, and/or (4) methods of producing nanoparticles comprising the modified L1 protein. This patent has a standard expiration date of July 24, 2029, subject to potential extensions.</w:t>
      </w:r>
    </w:p>
    <w:p>
      <w:pPr>
        <w:spacing w:after="0" w:line="20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fourth patent family, which we own, includes four issued United States patents. Patents in this family include claims directed to (1) codon-optimized nucleic acids having the particular nucleotide sequence that encodes the modified papillomavirus (HPV16) L1 protein present in bel-sar, (2) methods of producing nanoparticles that include the modified HPV16 L1 protein encoded by the codon-optimized nucleic acids, and (3) methods of using the nanoparticles that include the modified HPV16 L1 protein encoded by the codon-optimized nucleic acids to deliver a therapeutic agent to a patient having cancer. This patent has a standard expiration date of February 7, 2033, subject to potential extensions.</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fifth patent family, which we co-own with DHHS/NIH and have exclusive rights under a CRADA, includes three issued United States patents, two issued patents in each of Europe, Australia, and Japan, an issued patent in each of Canada, Hong Kong, Republic of Korea and Mexico, two pending patent applications in the United States, and one pending patent application in each of Australia, Brazil, China and Europe. Patents in this family include claims directed to (1) tumor-targeting papilloma virus-like particles containing near infrared phthalocyanine dye molecules that become toxic or produce a toxic molecule upon light activation, (2) methods that include delivering the papilloma virus-like particles to an ocular tumor, and/or (3) methods of producing tumor-targeting bioconjugates that include the papilloma virus-like particles and near infrared phthalocyanine dye molecules. This patent has a standard expiration date of September 18, 2034, subject to potential extensions.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sixth patent family, which we own, includes a pending patent application in each of the United States, Australia, Canada, China, Europe, Japan and Korea with claims directed to an ophthalmic composition that includes a near-isotonic solution of virus-like particle drug conjugates in suspension. Patents issuing from national stage applications based on this international application would have a standard expiration date of March 25, 2040, subject to potential extensions.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seventh patent family, which we co-own with DHHS/NIH and have exclusive rights under a CRADA, includes a pending patent application in each of the United States, Australia, Brazil, Canada, China, Europe, Israel and Japan. Patent applications in this family include claims to a combination therapy that uses (1) tumor-targeting papillomavirus nanoparticles containing photosensitive molecules and (2) a checkpoint inhibitor. Patents issuing from this family would have a standard expiration date of April 11, 2038, subject to potential extensions.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eighth patent family, which we own, includes a pending international PCT application with claims directed to a method for treating a bladder tumor by administering a therapeutic agent to a region of the lamina propria of the bladder wall that is proximate to the bladder tumor. Patents issuing from applications claiming priority to this international PCT application would have a standard expiration date of September 7, 2042.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our vendors, collaboration partners,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 The process of obtaining regulatory approvals of drugs and ensuring subsequent compliance with appropriate federal, state, local and foreign statutes and regulations requires the expenditure of substantial time and financial resources.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5" w:name="page26"/>
    <w:bookmarkEnd w:id="25"/>
    <w:p>
      <w:pPr>
        <w:jc w:val="both"/>
        <w:ind w:firstLine="509"/>
        <w:spacing w:after="0" w:line="239" w:lineRule="auto"/>
        <w:rPr>
          <w:sz w:val="20"/>
          <w:szCs w:val="20"/>
          <w:color w:val="auto"/>
        </w:rPr>
      </w:pPr>
      <w:r>
        <w:rPr>
          <w:rFonts w:ascii="Arial" w:cs="Arial" w:eastAsia="Arial" w:hAnsi="Arial"/>
          <w:sz w:val="18"/>
          <w:szCs w:val="18"/>
          <w:color w:val="auto"/>
        </w:rPr>
        <w:t>In the United States, where we initially focused our product development, the FDA regulates biologics under the FDCA and the Public Health Service Act, or PHSA, and their implementing regulations. Biologics are also subject to other federal, state and local statutes and regulations. Our product candidate, bel-sar, has not been approved by the FDA for marketing in the United States.</w:t>
      </w:r>
    </w:p>
    <w:p>
      <w:pPr>
        <w:spacing w:after="0" w:line="20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process required by the FDA before any product candidates we develop are approved for therapeutic indications and may be marketed in the United States generally involves the following:</w:t>
      </w:r>
    </w:p>
    <w:p>
      <w:pPr>
        <w:spacing w:after="0" w:line="22" w:lineRule="exact"/>
        <w:rPr>
          <w:sz w:val="20"/>
          <w:szCs w:val="20"/>
          <w:color w:val="auto"/>
        </w:rPr>
      </w:pPr>
    </w:p>
    <w:p>
      <w:pPr>
        <w:ind w:left="1020" w:hanging="369"/>
        <w:spacing w:after="0" w:line="24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21"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w:t>
      </w:r>
    </w:p>
    <w:p>
      <w:pPr>
        <w:spacing w:after="0" w:line="21"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Good Clinical Practice, or GCP, requirements and other clinical trial-related regulations to establish the safety, purity and potency of the proposed biological product candidate for its intended purpose;</w:t>
      </w:r>
    </w:p>
    <w:p>
      <w:pPr>
        <w:spacing w:after="0" w:line="14" w:lineRule="exact"/>
        <w:rPr>
          <w:rFonts w:ascii="Arial" w:cs="Arial" w:eastAsia="Arial" w:hAnsi="Arial"/>
          <w:sz w:val="18"/>
          <w:szCs w:val="18"/>
          <w:color w:val="auto"/>
        </w:rPr>
      </w:pPr>
    </w:p>
    <w:p>
      <w:pPr>
        <w:ind w:left="1020" w:hanging="369"/>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preparation and submission to the FDA of a BLA after completion of all pivotal trials, accompanied by payment of FDA user fees;</w:t>
      </w:r>
    </w:p>
    <w:p>
      <w:pPr>
        <w:spacing w:after="0" w:line="60" w:lineRule="exact"/>
        <w:rPr>
          <w:rFonts w:ascii="Arial" w:cs="Arial" w:eastAsia="Arial" w:hAnsi="Arial"/>
          <w:sz w:val="17"/>
          <w:szCs w:val="17"/>
          <w:color w:val="auto"/>
        </w:rPr>
      </w:pPr>
    </w:p>
    <w:p>
      <w:pPr>
        <w:ind w:left="1020" w:hanging="369"/>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48"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product will be produced to assess compliance with current Good Manufacturing Practice requirements, or cGMPs, to assure that the facilities, methods and controls are adequate to preserve the biological product’s continued safety, purity and potency;</w:t>
      </w:r>
    </w:p>
    <w:p>
      <w:pPr>
        <w:spacing w:after="0" w:line="14" w:lineRule="exact"/>
        <w:rPr>
          <w:rFonts w:ascii="Arial" w:cs="Arial" w:eastAsia="Arial" w:hAnsi="Arial"/>
          <w:sz w:val="18"/>
          <w:szCs w:val="18"/>
          <w:color w:val="auto"/>
        </w:rPr>
      </w:pPr>
    </w:p>
    <w:p>
      <w:pPr>
        <w:ind w:left="1020" w:hanging="369"/>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FDA audit of the clinical trial sites that generated the data in support of the BLA; and</w:t>
      </w:r>
    </w:p>
    <w:p>
      <w:pPr>
        <w:spacing w:after="0" w:line="48"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FDA review and approval of the BLA, including consideration of the views of any FDA advisory committee, prior to any commercial marketing or sale of the biologic in the United States.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Nonclinical studies and clinical trials for biologics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Before testing any drug or biologic in humans, the product candidate must undergo rigorous nonclinical testing. Nonclinical studies include laboratory evaluations of chemistry, formulation and stability, as well as in vitro and animal studies to assess safety and in some cases to establish the rationale for therapeutic use. The conduct of nonclinical studies is subject to federal and state regulations and requirements, including GLP requirements for safety and toxicology studies. The results of the nonclinical studies, together with manufacturing information and analytical data must be submitted to the FDA as part of an IND. An IND is a request for authorization from the FDA to administer an investigational product to humans, and it must become effective before clinical trials may begin. The central focus of an IND submission is on the protocol(s) for the initial clinical trial and the general investigational plan.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clinical hold. In such a case, the IND sponsor and the FDA must resolve any outstanding concerns before the clinical trial can begin. Some long-term preclinical testing may continue after the IND is submitted. Accordingly, submission of an IND may or may not result in FDA authorization to begin a trial. A separate protocol submission to an existing IND must also be made for each successive clinical trial conducted in the United States, each of which may begin following a 30 day period unless the FDA issues a clinical hold on the clinical trial.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6" w:name="page27"/>
    <w:bookmarkEnd w:id="26"/>
    <w:p>
      <w:pPr>
        <w:jc w:val="both"/>
        <w:ind w:firstLine="509"/>
        <w:spacing w:after="0" w:line="235" w:lineRule="auto"/>
        <w:rPr>
          <w:sz w:val="20"/>
          <w:szCs w:val="20"/>
          <w:color w:val="auto"/>
        </w:rPr>
      </w:pPr>
      <w:r>
        <w:rPr>
          <w:rFonts w:ascii="Arial" w:cs="Arial" w:eastAsia="Arial" w:hAnsi="Arial"/>
          <w:sz w:val="18"/>
          <w:szCs w:val="18"/>
          <w:color w:val="auto"/>
        </w:rPr>
        <w:t>The clinical stage of development involves the administration of the product candidate to healthy volunteers or patients under the supervision of qualified investigators, generally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to be conducted in the United States, and any subsequent amendments to the protocol, must be submitted to the FDA as an amendment to the IND. Furthermore, each clinical trial must be reviewed and approved by an IRB for each institution at which the clinical trial will be conducted, or by a central IRB,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trials results, must be submitted within specific timeframes for publication on the www.clinicaltrials.gov website.</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sponsor who wishes to conduct a clinical trial outside of the United States under its IND may need to obtain waivers for certain regulatory compliance requirements such as those requiring IRB review and approval. However, the FDA does not require that all foreign clinical trials be conducted under United States INDs.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20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Clinical trials to evaluate therapeutic indications to support BLAs for marketing approval are typically conducted in three sequential phases, which phases may overlap or be conducted in combination.</w:t>
      </w:r>
    </w:p>
    <w:p>
      <w:pPr>
        <w:spacing w:after="0" w:line="22" w:lineRule="exact"/>
        <w:rPr>
          <w:sz w:val="20"/>
          <w:szCs w:val="20"/>
          <w:color w:val="auto"/>
        </w:rPr>
      </w:pPr>
    </w:p>
    <w:p>
      <w:pPr>
        <w:jc w:val="both"/>
        <w:ind w:left="1020" w:hanging="369"/>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1—Phase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evaluate the side effects associated with increasing doses, and, if possible, to gain early evidence of effectiveness.</w:t>
      </w:r>
    </w:p>
    <w:p>
      <w:pPr>
        <w:spacing w:after="0" w:line="13" w:lineRule="exact"/>
        <w:rPr>
          <w:rFonts w:ascii="Arial" w:cs="Arial" w:eastAsia="Arial" w:hAnsi="Arial"/>
          <w:sz w:val="18"/>
          <w:szCs w:val="18"/>
          <w:color w:val="auto"/>
        </w:rPr>
      </w:pPr>
    </w:p>
    <w:p>
      <w:pPr>
        <w:jc w:val="both"/>
        <w:ind w:left="1020" w:hanging="369"/>
        <w:spacing w:after="0" w:line="238"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2—Phase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27"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Phase 3—Phase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Generally, two adequate and well-controlled Phase 3 clinical trials are required by the FDA for approval of a BLA.</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 BLA.</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7" w:name="page28"/>
    <w:bookmarkEnd w:id="27"/>
    <w:p>
      <w:pPr>
        <w:jc w:val="both"/>
        <w:ind w:firstLine="509"/>
        <w:spacing w:after="0" w:line="236" w:lineRule="auto"/>
        <w:rPr>
          <w:sz w:val="20"/>
          <w:szCs w:val="20"/>
          <w:color w:val="auto"/>
        </w:rPr>
      </w:pPr>
      <w:r>
        <w:rPr>
          <w:rFonts w:ascii="Arial" w:cs="Arial" w:eastAsia="Arial" w:hAnsi="Arial"/>
          <w:sz w:val="18"/>
          <w:szCs w:val="18"/>
          <w:color w:val="auto"/>
        </w:rPr>
        <w:t xml:space="preserve">Progress reports detailing the results of the clinical trials, among other information, must be submitted at least annually to the FDA and written IND safety reports must be submitted to the FDA and the investigators fifteen days after the trial sponsor determines the information qualifies for reporting for serious and unexpected suspected adverse events,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for human participants exposed to the biologic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biological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 and to identify appropriate storage conditions for the product candidate.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Expanded Access</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Expanded access, sometimes called “compassionate use,” is the use of investigational products outside of intended clinical development to treat patients with serious or immediately life-threatening diseases or conditions when there are no comparable or satisfactory alternative treatment options. FDA regulations allow access to investigational products under an IND by the company or the treating physician for treatment purposes for the following expanded access requests: individual patients (single-patient IND applications for treatment in emergency settings and non-emergency settings); intermediate-size patient populations; and larger populations for use of the investigational product under a treatment protocol or treatment IND application. There is no requirement for a company to provide expanded access to its investigational product.</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9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intend to seek data exclusivity or market exclusivity for our product candidates. 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 biologics license application, or BLA. A BLA is a request for approval to market a new biologic for one or more specified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purity and potency of the investigational product to the satisfaction of the FDA. FDA approval of a BLA must be obtained before a biologic may be marketed in the United States.</w:t>
      </w:r>
    </w:p>
    <w:p>
      <w:pPr>
        <w:spacing w:after="0" w:line="20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under the Pediatric Research Equity Act, or PREA, a BLA or supplement to a BLA must contain data to assess the safety and effectiveness of the biological product candidate for the claimed indications in all relevant pediatric subpopulations and to support dosing and administration for each pediatric subpopulation for which the product is safe and effective. A sponsor who is planning to submit a marketing application for a biological product that includes a new clinically active component, new indication, new dosage form, new dosing regimen or new route of administration submit an initial Pediatric Study Plan, or PSP, within sixty days after an end-of-Phase 2 meeting or as may be agreed between the sponsor and FDA. Unless otherwise required by regulation, PREA does not apply to any biological product for an indication for which orphan designation has been granted.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8" w:name="page29"/>
    <w:bookmarkEnd w:id="28"/>
    <w:p>
      <w:pPr>
        <w:jc w:val="both"/>
        <w:ind w:firstLine="509"/>
        <w:spacing w:after="0" w:line="236" w:lineRule="auto"/>
        <w:rPr>
          <w:sz w:val="20"/>
          <w:szCs w:val="20"/>
          <w:color w:val="auto"/>
        </w:rPr>
      </w:pPr>
      <w:r>
        <w:rPr>
          <w:rFonts w:ascii="Arial" w:cs="Arial" w:eastAsia="Arial" w:hAnsi="Arial"/>
          <w:sz w:val="18"/>
          <w:szCs w:val="18"/>
          <w:color w:val="auto"/>
        </w:rPr>
        <w:t>The FDA reviews all submitted BLAs before it accepts them for filing, and may request additional information rather than accepting the BLA for filing. The FDA must make a decision on accepting a BLA for filing within 60 days of receipt, and such decision could include a refusal to file by the FDA. Once the submission is accepted for filing, the FDA begins an in-depth substantive review of the BLA. The FDA reviews a BLA to determine, among other things, whether the product is safe, pure and potent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an original BLA and respond to the applicant, and six months from the filing date of an original BLA filed for priority review. The FDA does not always meet its PDUFA goal dates for standard or priority BLAs, and the review process is often extended by FDA requests for additional information or clarification.</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under PDUFA, as amended, each BLA must be accompanied by a user fee, and the sponsor of an approved BLA is also subject to an annual program fee. FDA adjusts the PDUFA user fees on an annual basis. Fee waivers or reductions may be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2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7"/>
          <w:szCs w:val="17"/>
          <w:color w:val="auto"/>
        </w:rPr>
        <w:t>The FDA may refer an application for a biologic to an advisory committee. An advisory committee is a panel of independent experts, including clinicians and other scientific experts, which reviews, evaluates and provides a recommendation, for example, as to whether the biologic is sufficiently safe and efficacious in a given indication for a given population and under what conditions. The FDA is not bound by the recommendations of an advisory committee, but it considers such recommendations carefully when making marketing approval decisions.</w:t>
      </w:r>
    </w:p>
    <w:p>
      <w:pPr>
        <w:spacing w:after="0" w:line="19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Before approving a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may inspect one or more clinical trial sites to assure compliance with GCP and other requirements and the integrity of the clinical data submitted to the FDA.</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 also may require submission of a Risk Evaluation and Mitigation Strategy, or REMS, as a condition for approving the BLA to ensure that the benefits of the product outweigh its risks. The REMS could include medication guides, physician communication plans, assessment plans, and/or elements to assure safe use, such as restricted distribution methods, patient registries, or other risk-minimization tools.</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After evaluating the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will usually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29" w:name="page30"/>
    <w:bookmarkEnd w:id="29"/>
    <w:p>
      <w:pPr>
        <w:jc w:val="both"/>
        <w:ind w:firstLine="509"/>
        <w:spacing w:after="0" w:line="236" w:lineRule="auto"/>
        <w:rPr>
          <w:sz w:val="20"/>
          <w:szCs w:val="20"/>
          <w:color w:val="auto"/>
        </w:rPr>
      </w:pPr>
      <w:r>
        <w:rPr>
          <w:rFonts w:ascii="Arial" w:cs="Arial" w:eastAsia="Arial" w:hAnsi="Arial"/>
          <w:sz w:val="18"/>
          <w:szCs w:val="18"/>
          <w:color w:val="auto"/>
        </w:rPr>
        <w:t>Even if the FDA approves a product, depending on the specific risk(s) to be addressed, the FDA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Expedited development and review programs for biologics</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and biologics to address unmet medical needs in the treatment of serious or life-threatening diseases or conditions. These programs include fast track designation, breakthrough therapy designation, priority review and accelerated approval.</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 new biologic is eligible for fast track designation if it is intended to treat a serious or life-threatening disease or condition and demonstrates the potential to address unmet medical needs for such disease or condition. Fast track designation applies to the combination of the product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a new drug or biological product may be eligible for breakthrough therapy designation if it is intended to treat a serious or life-threatening disease or condition and preliminary clinical evidence indicates that the biologic, alone or in combination with or more other drugs or biologics,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staff in a cross-disciplinary review, where appropriate.</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and accelerated approval. A product is eligible for priority review if it is intended to treat a serious or life-threatening disease or condition, and if approved, would provide a significant improvement in safety or effectiveness. For original BLAs, priority review designation means the FDA’s goal is to take action on the marketing application within six months of the 60-day filing date (compared with ten months under standard review).</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 product intended to treat serious or life-threatening diseases or conditions may receive accelerated approval upon a determination that the product has an effect on a surrogate endpoint that is reasonably likely to predict clinical benefit, or on a clinical endpoint that can be measured earlier than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0" w:name="page31"/>
    <w:bookmarkEnd w:id="30"/>
    <w:p>
      <w:pPr>
        <w:jc w:val="both"/>
        <w:ind w:firstLine="509"/>
        <w:spacing w:after="0" w:line="235" w:lineRule="auto"/>
        <w:rPr>
          <w:sz w:val="20"/>
          <w:szCs w:val="20"/>
          <w:color w:val="auto"/>
        </w:rPr>
      </w:pPr>
      <w:r>
        <w:rPr>
          <w:rFonts w:ascii="Arial" w:cs="Arial" w:eastAsia="Arial" w:hAnsi="Arial"/>
          <w:sz w:val="18"/>
          <w:szCs w:val="18"/>
          <w:color w:val="auto"/>
        </w:rPr>
        <w:t>Accelerated approval is usually contingent on a sponsor’s agreement to conduct additional post-approval studies to verify and describe the product’s clinical benefit. Under the Food and Drug Omnibus Reform Act of 2022, or FDORA, the FDA is now permitted to require, as appropriate, that such trials be underway prior to approval or within a specific time period after the date of approval for a product granted accelerated approval. Sponsors are also required to send updates to the FDA every 180 days on the status of such studies, including progress toward enrollment targets, and the FDA must promptly post this information publicly. Under FDORA, the FDA has increased authority for expedited procedures to withdraw approval of a drug or indication approved under accelerated approval if, for example, the sponsor fails to conduct such studies in a timely manner and send the necessary updates to the FDA, or if a confirmatory trial fails to verify the predicted clinical benefit of the product. In addition, unless otherwise informed by the FDA, the FDA currently requires, as a condition for accelerated approval,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2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Post-approval requirements for biologics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Drugs and biologics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 including liabilities under the False Claims Act where products carry reimbursement under federal health care programs. Promotional materials for approved biologics must be submitted to the FDA in conjunction with their first use or first publication. Further, if there are any modifications to the product, including changes in indications, labeling or manufacturing processes or facilities, the applicant may be required to submit and obtain FDA approval of a new BLA or BLA supplement, which may require the development of additional data or preclinical studies and clinical trials.</w:t>
      </w:r>
    </w:p>
    <w:p>
      <w:pPr>
        <w:spacing w:after="0" w:line="20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may impose a number of post-approval requirements as a condition of approval of a BLA. For example, the FDA may require post-market testing, including Phase 4 clinical trials, and surveillance to further assess and monitor the product’s safety and effectiveness after commercialization.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1" w:name="page32"/>
    <w:bookmarkEnd w:id="31"/>
    <w:p>
      <w:pPr>
        <w:jc w:val="both"/>
        <w:ind w:firstLine="509"/>
        <w:spacing w:after="0" w:line="235" w:lineRule="auto"/>
        <w:rPr>
          <w:sz w:val="20"/>
          <w:szCs w:val="20"/>
          <w:color w:val="auto"/>
        </w:rPr>
      </w:pPr>
      <w:r>
        <w:rPr>
          <w:rFonts w:ascii="Arial" w:cs="Arial" w:eastAsia="Arial" w:hAnsi="Arial"/>
          <w:sz w:val="18"/>
          <w:szCs w:val="18"/>
          <w:color w:val="auto"/>
        </w:rPr>
        <w:t>In addition, drug and biologics manufacturers and their subcontractors involved in the manufacture and distribution of approved products, including those supplying products, ingredients, and components of such products,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program fee for any marketed product.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29" w:lineRule="exact"/>
        <w:rPr>
          <w:sz w:val="20"/>
          <w:szCs w:val="20"/>
          <w:color w:val="auto"/>
        </w:rPr>
      </w:pPr>
    </w:p>
    <w:p>
      <w:pPr>
        <w:ind w:left="1020" w:right="20" w:hanging="369"/>
        <w:spacing w:after="0" w:line="242"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safety alerts, Dear Healthcare Provider letters, press releases or other communications containing warnings or other safety information about the product;</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issuance of corrective information;</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holds on clinical trials;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refusal of the FDA to approve applications or supplements to approved applications, or suspension or revocation of product approvals;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 BLA. After the FDA grants ODD, the generic identity of the therapeutic agent and its potential orphan use are disclosed publicly by the FDA.</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clinically active component for the disease for which it has such designation, the product is entitled to orphan drug exclusivity, which means that the FDA may not approve any other applications, including a full BLA, to market the same biologic for the same indication for seven years from the approval of the BLA,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2" w:name="page33"/>
    <w:bookmarkEnd w:id="32"/>
    <w:p>
      <w:pPr>
        <w:jc w:val="both"/>
        <w:ind w:firstLine="509"/>
        <w:spacing w:after="0" w:line="23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Patent Protection and Affordable Care Act, as amended by the Health Care and Education Reconciliation Act, or collectively, the ACA, signed into law in 2010, includes a subtitle called the Biologics Price Competition and Innovation Act, or BPCIA, which created an abbreviated approval pathway for biological products that are biosimilar to or interchangeable with an FDA-licensed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20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9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regulatory interpretation of the BPCIA remain subject to significant uncertainty.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98"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by different centers at the FDA. These products are known as combination products. Specifically, under regulations issued by the FDA, a combination product may be:</w:t>
      </w:r>
    </w:p>
    <w:p>
      <w:pPr>
        <w:spacing w:after="0" w:line="15" w:lineRule="exact"/>
        <w:rPr>
          <w:sz w:val="20"/>
          <w:szCs w:val="20"/>
          <w:color w:val="auto"/>
        </w:rPr>
      </w:pPr>
    </w:p>
    <w:p>
      <w:pPr>
        <w:ind w:left="1020" w:right="20" w:hanging="369"/>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21"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21"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drug, or device, or biological product packaged separately that according to its investigational plan or proposed labeling is intended for use only with an approved individually specified drug,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33" w:name="page34"/>
    <w:bookmarkEnd w:id="33"/>
    <w:p>
      <w:pPr>
        <w:jc w:val="both"/>
        <w:ind w:left="1020" w:hanging="369"/>
        <w:spacing w:after="0" w:line="239"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investigational drug,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product, the FDA center responsible for premarket review of the biologic product would have primary jurisdiction for the combination product. The FDA has also established an Office of Combination Products to address issues surrounding combination products and provide more certainty to the regulatory review process. That office is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 combination product with a biologic primary mode of action generally would be reviewed and approved pursuant to FDA’s biologic approval processes. In reviewing the BLA application for such a product, however, FDA reviewers in the biologics center could consult with their counterparts in the device center to ensure that the device component of the combination product met applicable requirements regarding safety, effectiveness, durability and performance. In addition, under FDA’s regulations, combination products are subject to applicable current GMP requirements for drugs, biologics and devices, including the Quality System regulations applicable to medical devices.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Department of Health and Human Services, or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the DHHS. CMS decides whether and to what extent a new medicine will be covered and reimbursed under Medicare and private payors tend to follow CMS to a substantial degree.</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35" w:lineRule="exact"/>
        <w:rPr>
          <w:sz w:val="20"/>
          <w:szCs w:val="20"/>
          <w:color w:val="auto"/>
        </w:rPr>
      </w:pPr>
    </w:p>
    <w:p>
      <w:pPr>
        <w:ind w:left="1020" w:hanging="3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34" w:name="page35"/>
    <w:bookmarkEnd w:id="34"/>
    <w:p>
      <w:pPr>
        <w:ind w:left="1020" w:hanging="36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addition, in some foreign countries, the proposed pricing for a drug must be approved before it may be lawfully marketed. The requirements governing drug pricing vary widely from country to country. For example, the European Union, or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Health Care Laws and Regulations</w:t>
      </w:r>
    </w:p>
    <w:p>
      <w:pPr>
        <w:spacing w:after="0" w:line="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14" w:lineRule="exact"/>
        <w:rPr>
          <w:sz w:val="20"/>
          <w:szCs w:val="20"/>
          <w:color w:val="auto"/>
        </w:rPr>
      </w:pPr>
    </w:p>
    <w:p>
      <w:pPr>
        <w:jc w:val="both"/>
        <w:ind w:left="1020" w:hanging="369"/>
        <w:spacing w:after="0" w:line="23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26" w:lineRule="exact"/>
        <w:rPr>
          <w:rFonts w:ascii="Arial" w:cs="Arial" w:eastAsia="Arial" w:hAnsi="Arial"/>
          <w:sz w:val="18"/>
          <w:szCs w:val="18"/>
          <w:color w:val="auto"/>
        </w:rPr>
      </w:pPr>
    </w:p>
    <w:p>
      <w:pPr>
        <w:jc w:val="both"/>
        <w:ind w:left="1020" w:hanging="369"/>
        <w:spacing w:after="0" w:line="23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False Claims Act, prohibit individuals or entities from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35" w:name="page36"/>
    <w:bookmarkEnd w:id="35"/>
    <w:p>
      <w:pPr>
        <w:jc w:val="both"/>
        <w:ind w:left="1020" w:hanging="369"/>
        <w:spacing w:after="0" w:line="23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among other things,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federal physician payment transparency requirements, sometimes referred to as the “Sunshine Act” under the ACA require certain manufacturers of drugs, devices, biologics and medical supplies that are reimbursable under Medicare, Medicaid or the Children’s Health Insurance Program to report to HHS information related to payments and other transfers of value made to physician (defined to include doctors, dentists, optometrists, podiatrists and chiropractors), certain other licensed health care practitioners and teaching hospitals; as well as the ownership and investment interests of such physicians and their immediate family members;</w:t>
      </w:r>
    </w:p>
    <w:p>
      <w:pPr>
        <w:spacing w:after="0" w:line="26" w:lineRule="exact"/>
        <w:rPr>
          <w:rFonts w:ascii="Arial" w:cs="Arial" w:eastAsia="Arial" w:hAnsi="Arial"/>
          <w:sz w:val="18"/>
          <w:szCs w:val="18"/>
          <w:color w:val="auto"/>
        </w:rPr>
      </w:pPr>
    </w:p>
    <w:p>
      <w:pPr>
        <w:jc w:val="both"/>
        <w:ind w:left="1020" w:hanging="369"/>
        <w:spacing w:after="0" w:line="235"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as well as their covered subcontractors,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33"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may be broader in scope than their federal equivalents;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w:t>
      </w:r>
    </w:p>
    <w:p>
      <w:pPr>
        <w:spacing w:after="0" w:line="12"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state laws governing the privacy and security of health information in certain circumstances, many of which differ from each other in significant ways and often are not preempted by HIPAA, thus complicating compliance efforts, and analogous foreign laws and regulations.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our operations are found to be in violation of any of such laws or any other governmental regulations that apply, we may be subject to significant penalties, including, without limitation, administrative, civil and criminal penalties, damages, fines, disgorgement, the curtailment or restructuring of operations, integrity oversight and reporting obligations and exclusion from participation in federal and state healthcare programs, and responsible individuals may be subject to imprisonment.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36" w:name="page37"/>
    <w:bookmarkEnd w:id="36"/>
    <w:p>
      <w:pPr>
        <w:ind w:left="520"/>
        <w:spacing w:after="0"/>
        <w:rPr>
          <w:sz w:val="20"/>
          <w:szCs w:val="20"/>
          <w:color w:val="auto"/>
        </w:rPr>
      </w:pPr>
      <w:r>
        <w:rPr>
          <w:rFonts w:ascii="Arial" w:cs="Arial" w:eastAsia="Arial" w:hAnsi="Arial"/>
          <w:sz w:val="18"/>
          <w:szCs w:val="18"/>
          <w:b w:val="1"/>
          <w:bCs w:val="1"/>
          <w:i w:val="1"/>
          <w:iCs w:val="1"/>
          <w:color w:val="auto"/>
        </w:rPr>
        <w:t>Health Care Legislative Updates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In particular, in 2010, the ACA was enacted, which, among other things, subjected 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In August 2011, the Budget Control Act of 2011, among other things, created measures for spending reductions by Congress. This includes aggregate reductions of Medicare payments to providers up to 2% per fiscal year. Subsequent legislation extended the 2% payment reduction which remains in effect through 2031. Under current legislation the actual reduction in Medicare payments will vary from 1% in 2022 to up to 4% in the final fiscal year of this sequester. Due to the Statutory Pay-As-You-Go Act of 2010, estimated budget deficit increases resulting from the American Rescue Plan Act of 2021, and subsequent legislation, Medicare payments to providers will be further reduced starting in 2025 absent further legislation. The U.S. American Taxpayer Relief Act of 2012 further reduced Medicare payments to several types of providers and increased the statute of limitations period for the government to recover overpayments to providers from three to five years.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President Biden has issued multiple executive orders that have sought to reduce prescription drug costs.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Inflation Reduction Act of 2022, or IRA includes several provisions that may impact our business to varying degrees, including provisions that reduce the out-of-pocket cap for Medicare Part D beneficiaries to $2,000 starting in 2025;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the rebate rule that would limit the fees that pharmacy benefit managers can charge. Further, under the IRA, orphan drugs are exempted from the Medicare drug price negotiation program, but only if they have one rare disease designation and for which the only approved indication is for that disease or condition. If a product receives multiple rare disease designations or has multiple approved indications, it may not qualify for the orphan drug exemption. The effects of the IRA on our business and the healthcare industry in general is not yet known.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Regulation in the EU</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Drug Development</w:t>
      </w:r>
    </w:p>
    <w:p>
      <w:pPr>
        <w:spacing w:after="0" w:line="9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the EU our product candidates may be subject to extensive regulatory requirements. As in the United States, medicinal products can be marketed only if a marketing authorization, or MA, from the competent regulatory agencies has been obtained.</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Similar to the United States, the various phases of preclinical and clinical research in the EU are subject to significant regulatory controls. In April 2014, the EU adopted a new Clinical Trials Regulation (EU) No 536/2014, which replaced the Clinical Trials Directive 2001/20/EC on January 31, 2022. The Clinical Trials Regulation is directly applicable in all Member States (and so does not require national implementing legislation in each Member State), and aims at simplifying and streamlining the approval of clinical studies in the EU. For example, a single application is now made through the Clinical Trials Information System, or CTIS, for clinical trial authorization in up to 30 EU or additional Member States of the European Economic Area (Iceland, Liechtenstein and Norway), or EEA, countries at the same time and with a single set of documentation.</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concerned EU Member State, however overall related timelines are defined by the Clinical Trials Regulation. The new Clinical Trials Regulation also provides for simplified reporting procedures for clinical trial sponsors.</w:t>
      </w:r>
    </w:p>
    <w:p>
      <w:pPr>
        <w:spacing w:after="0" w:line="20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We have a SME status with the EMA as a small and medium-sized enterprise. This enables us to continue to have access to administrative, regulatory and financial support, including fee reductions for scientific advice and regulatory procedures.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usually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Drug Review and Approval</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EU, medicinal products can only be commercialized after obtaining an MA. There are two types of MAs.</w:t>
      </w:r>
    </w:p>
    <w:p>
      <w:pPr>
        <w:spacing w:after="0" w:line="35" w:lineRule="exact"/>
        <w:rPr>
          <w:sz w:val="20"/>
          <w:szCs w:val="20"/>
          <w:color w:val="auto"/>
        </w:rPr>
      </w:pPr>
    </w:p>
    <w:p>
      <w:pPr>
        <w:jc w:val="both"/>
        <w:ind w:left="1020" w:hanging="369"/>
        <w:spacing w:after="0" w:line="23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centralized MA is issued by the European Commission through the centralized procedure, based on the opinion of the Committee for Medicinal Products for Human Use, or CHMP, of the EMA, and is valid throughout the entire territory of the EU, and the EEA. The centralized procedure is mandatory for certain types of products, such as biotechnology medicinal products, orphan medicinal products, advanced therapy medicinal products (gene-therapy, somatic cell-therapy or tissue-engineered medicines) and medicinal products containing a new active substance indicated for the treatment of HIV, AIDS, cancer, neurodegenerative disorders, diabetes, auto-immune and other immune dysfunctions and viral diseases. We therefore consider our product candidates would fall within the mandatory scope of the centralized procedure. The centralized procedure is optional for products containing a new active substance not yet authorized in the EU, or for products that constitute a significant therapeutic, scientific or technical innovation or which are in the interest of public health in the EU. Under the centralized procedure, the maximum timeframe for the evaluation of an MA application by the EMA is 210 days, excluding clock stops, when additional written or oral information is to be provided by the applicant in response to questions asked by the CHMP. Clock stops may extend the timeframe of evaluation of an MA application considerably beyond 210 days. Where the CHMP gives a positive opinion, the EMA provides the opinion together with supporting documentation to the European Commission, who makes the final decision to grant an MA, which is issued within 67 days of receipt of the EMA’s recommendation. Accelerated assessment might be granted by the CHMP in exceptional cases, when a medicinal product is expected to be of a major public health interest, particularly from the point of view of therapeutic innovation. The timeframe for the evaluation of an MA application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28" w:lineRule="exact"/>
        <w:rPr>
          <w:rFonts w:ascii="Arial" w:cs="Arial" w:eastAsia="Arial" w:hAnsi="Arial"/>
          <w:sz w:val="18"/>
          <w:szCs w:val="18"/>
          <w:color w:val="auto"/>
        </w:rPr>
      </w:pPr>
    </w:p>
    <w:p>
      <w:pPr>
        <w:jc w:val="both"/>
        <w:ind w:left="1020" w:hanging="369"/>
        <w:spacing w:after="0" w:line="23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2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part of its marketing authorization process, the EMA may grant MAs for certain categories of medicinal products on the basis of less complete data than is normally required, where the benefit of immediate availability of the medicine outweighs the risk inherent in the fact that additional data are still required or in the interests of public health. In such cases, it is possible for the CHMP to recommend the granting of an MA, subject to certain specific obligations to be reviewed annually, which is referred to as a conditional MA. This may apply to medicinal products for human use that fall under the jurisdiction of the EMA, including those that are aimed at the treatment, the prevention, or the medical diagnosis of seriously debilitating or life-threatening diseases.</w:t>
      </w:r>
    </w:p>
    <w:p>
      <w:pPr>
        <w:spacing w:after="0" w:line="20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 conditional MA may be granted when the CHMP finds that, although comprehensive clinical data referring to the safety and efficacy of the medicinal product have not been supplied, all the following requirements are met:</w:t>
      </w:r>
    </w:p>
    <w:p>
      <w:pPr>
        <w:spacing w:after="0" w:line="14" w:lineRule="exact"/>
        <w:rPr>
          <w:sz w:val="20"/>
          <w:szCs w:val="20"/>
          <w:color w:val="auto"/>
        </w:rPr>
      </w:pPr>
    </w:p>
    <w:p>
      <w:pPr>
        <w:ind w:left="1020" w:hanging="369"/>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 post-authorization;</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medicinal products fulfils an unmet medical need; and</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39" w:name="page40"/>
    <w:bookmarkEnd w:id="39"/>
    <w:p>
      <w:pPr>
        <w:jc w:val="both"/>
        <w:ind w:firstLine="509"/>
        <w:spacing w:after="0" w:line="237" w:lineRule="auto"/>
        <w:rPr>
          <w:sz w:val="20"/>
          <w:szCs w:val="20"/>
          <w:color w:val="auto"/>
        </w:rPr>
      </w:pPr>
      <w:r>
        <w:rPr>
          <w:rFonts w:ascii="Arial" w:cs="Arial" w:eastAsia="Arial" w:hAnsi="Arial"/>
          <w:sz w:val="18"/>
          <w:szCs w:val="18"/>
          <w:color w:val="auto"/>
        </w:rPr>
        <w:t>The granting of a conditional MA is restricted to situations in which only the clinical part of the application is not yet fully complete. Incomplete preclinical or quality data may only be accepted if duly justified and only in the case of a product intended to be used in emergency situations in response to public health threats. Conditional MAs are valid for one year, on a renewable basis. The MA holder will be required to complete ongoing trials or to conduct new trials with a view to confirming that the benefit-risk balance is positive. In addition, specific obligations may be imposed in relation to the collection of pharmacovigilance data.</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Compassionate Use</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Compassionate use programs allow for the use of unauthorized medicines for a specific group of patients under strict conditions. The EMA provides recommendations on how a medicine should be used in a compassionate use program and the type of patient who may benefit from treatment, however the individual Member States implement their own rules in respect of the administration of such programs. Competent authorities of the Member States can also ask the EMA for an opinion on how to administer, distribute and use certain medicines for compassionate use.</w:t>
      </w:r>
    </w:p>
    <w:p>
      <w:pPr>
        <w:spacing w:after="0" w:line="2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Compassionate use programs are only available for a group of patients with a chronically or seriously debilitating disease or whose disease is considered to be life-threatening, and who cannot be treated satisfactorily by an authorized medicinal product. The medicinal product provided through a compassionate use program must either be the subject of an MA application or must be undergoing clinical trials.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Chemical Entity Exclusivity</w:t>
      </w:r>
    </w:p>
    <w:p>
      <w:pPr>
        <w:spacing w:after="0" w:line="9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the EU, innovative medicinal products approved on the basis of a complete and independent data package qualify for eight years of data exclusivity upon the grant of an MA and an additional two years of market exclusivity. The data exclusivity, if granted, prevents generic or biosimilar applicants from referencing the innovator’s pre-clinical and clinical trial data contained in the dossier of the reference product when applying for a generic or biosimilar MA, for a period of eight years from the date on which the reference product was first authorized in the EU. During the additional two-year period of market exclusivity, a generic or biosimilar MA can be submitted and authorized, and the innovator’s data may be referenced, but no generic or biosimilar product can be placed on the EU market until the expiration of the market exclusivity period. The overall ten-year period will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currently approved therapies. Even if an innovative medicinal product gains the prescribed period of data exclusivity, another company may market another version of the product if such company obtained an MA based on an application with a complete and independent data package of pharmaceutical tests, preclinical tests and clinical trials.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 and Exclusivity</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EU, the European Commission grants an orphan designation in respect of a product if its sponsor can establish that the product is intended for the diagnosis, prevention or treatment of a life-threatening or chronically debilitating condition and either (i) such condition affects no more than 5 in 10,000 persons in the EU when the application is made, or (ii) without incentives, it is unlikely that the marketing of the medicine would generate sufficient return in the EU to justify the necessary investment in its development. In each case, there must be no satisfactory method of diagnosis, prevention or treatment of the condition which has been authorized (or, if such a method exists, the product in question would be of significant benefit to those affected by the applicable condition).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0" w:name="page41"/>
    <w:bookmarkEnd w:id="40"/>
    <w:p>
      <w:pPr>
        <w:jc w:val="both"/>
        <w:ind w:firstLine="509"/>
        <w:spacing w:after="0" w:line="235" w:lineRule="auto"/>
        <w:rPr>
          <w:sz w:val="20"/>
          <w:szCs w:val="20"/>
          <w:color w:val="auto"/>
        </w:rPr>
      </w:pPr>
      <w:r>
        <w:rPr>
          <w:rFonts w:ascii="Arial" w:cs="Arial" w:eastAsia="Arial" w:hAnsi="Arial"/>
          <w:sz w:val="18"/>
          <w:szCs w:val="18"/>
          <w:color w:val="auto"/>
        </w:rPr>
        <w:t>In the EU, orphan designation entitles a party to financial incentives such as reduction of fees or fee waivers and ten years of market exclusivity is granted following the grant of an MA for the orphan product. This period may be reduced to six years if, at the end of the fifth year, it is established that the orphan designation criteria are no longer met, including where it is shown that the product is sufficiently profitable not to justify maintenance of market exclusivity. During the period of market exclusivity, an MA may only be granted to a “similar medicinal product” for the same therapeutic indication if: (i) a second applicant can establish that its product, although similar to the authorized product, is safer, more effective or otherwise clinically superior; (ii) the MA holder for the authorized product consents to a second orphan medicinal product application; or (iii) the MA holder for the authorized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Orphan designation must be requested before submitting an application for an MA. Orphan designation does not convey any advantage in, or shorten the duration of, the regulatory review and approval process.</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Pediatric Investigation Plan</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the EU, companies developing a new medicinal product must agree upon a pediatric investigation plan, or PIP, with the EMA’s Pediatric Committee, or PDCO, and must conduct pediatric clinical trials in accordance with that PIP,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an MA with the results of the pediatric clinical trials conducted in accordance with the PIP (even where such results are negative) are eligible for six months’ supplementary protection certificate, or SPC, extension, provided an application for such extension is made at the same time as filing the SPC application for the product, or at any point up to two years before the SPC expires.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PRIME Designation</w:t>
      </w:r>
    </w:p>
    <w:p>
      <w:pPr>
        <w:spacing w:after="0" w:line="9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March 2016, the EMA launched an initiative to facilitate development of product candidates in indications, often rare, for which few or no therapies currently exist. The PRIority MEdicines, or PRIME, scheme is intended to encourage product development in areas of unmet medical need and provides accelerated assessment of products representing substantial innovation, where the MA application will be made through the centralized procedure. Eligible products must target conditions for which where is an unmet medical need (there is no satisfactory method of diagnosis, prevention or treatment in the EU or, if there is, the new medicine will bring a major therapeutic advantage) and they 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 application assessment once a dossier has been submitted. Importantly, a dedicated contact and rapporteur from the EMA’s CHMP or Committee for Advanced Therapies are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1" w:name="page42"/>
    <w:bookmarkEnd w:id="41"/>
    <w:p>
      <w:pPr>
        <w:ind w:left="5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to the United States, both MA holders and manufacturers of medicinal products are subject to comprehensive regulatory oversight by the EMA, the European Commission and/or the competent regulatory authorities of the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All new MA applications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conducting of additional clinical trials or post-authorization safety studies.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aforementioned EU rules are generally applicable in the EEA.</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Pricing and Reimbursement</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the EU, pricing and reimbursement schemes vary widely from country to country.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Some countries provide that products may be marketed only after a reimbursement price has been agreed. Some countries may require the completion of additional studies that compare the cost-effectiveness of a particular product candidate to currently available therapies (so-called health technology assessments) in order to obtain reimbursement or pricing approval.</w:t>
      </w:r>
    </w:p>
    <w:p>
      <w:pPr>
        <w:spacing w:after="0" w:line="20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EU provides options for its Member States to restrict the range of products for which their national health insurance systems provide reimbursement and to control the prices of medicinal products for human use. EU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(arbitrage between low-priced and high-priced Member States) can further reduce prices. Special pricing and reimbursement rules may apply to orphan medicinal products. Inclusion of orphan medicinal products in reimbursement systems tend to focus on the medical usefulness, need, quality and economic benefits to patients and the healthcare system as for any medicinal product. Acceptance of any medicinal product for reimbursement may come with cost, use and often volume restrictions, which again can vary by country. In addition, results-based rules of reimbursement may apply.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6"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8"/>
          <w:szCs w:val="18"/>
          <w:b w:val="1"/>
          <w:bCs w:val="1"/>
          <w:i w:val="1"/>
          <w:iCs w:val="1"/>
          <w:color w:val="auto"/>
        </w:rPr>
        <w:t>European Data Collection</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collection, use, or other processing of personal data, including clinical trial data, regarding individuals in the EEA is governed by the EU General Data Protection Regulation, or GDPR, and similar processing of personal data regarding individuals in the UK, is governed by the UK General Data Protection Regulation, or UK GDPR, and the UK Data Protection Act 2018. In this document, “GDPR” refers to both the EU GDPR and the UK GDPR, unless specified otherwise. The GDPR applies to any company established in the EEA/UK and to companies established outside the EEA/UK that process personal data in connection with the offering of goods or services to, or the monitoring of the behavior of data subjects in the EEA/UK. The GDPR enhances data protection obligations for companies processing personal data, including stringent requirements relating to the consent of data subjects, expanded disclosures about how personal data is used, requirements to conduct privacy impact assessments for “high risk” processing, limitations on retention of personal data, special provisions for “sensitive information” including health and genetic information of data subjects, mandatory data breach notification and “privacy by design” requirements and direct obligations on service providers acting as data processors. The GDPR also imposes strict rules and restrictions on the transfer of personal data outside of the EEA/UK to countries that do not ensure an adequate level of protection, like the United States. Failure to comply with the requirements of the GDPR and the related national data protection laws of the EEA Member States/UK may result in fines up to 20 million euros (£17.5 million under the UK GDPR) or 4% of a company’s global annual revenues for the preceding financial year, whichever is higher. The GDPR also confers a private right of action on data subjects and consumer associations to lodge complaints with supervisory authorities, seek judicial remedies, and obtain compensation for damages resulting from infringement of the GDPR.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in the UK</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Brexit and the Regulatory Framework in the UK</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UK formally left the EU on January 31, 2020, and the UK and the EU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continues to apply in Northern Ireland). Except in respect of the new Clinical Trials Regulation, the regulatory regime in Great Britain therefore aligns with current EU medicines regulations, however it is possible that these regimes will diverge more significantly in future now that Great Britain’s regulatory system is independent from the EU and the TCA does not provide for mutual recognition of UK and EU pharmaceutical legislation. However, notwithstanding that there is no wholesale recognition of EU pharmaceutical legislation under the TCA, under the new framework mentioned below which will be put in place by the MHRA from January 1, 2024, the MHRA has stated that it will take into account decisions on the approval of MAs from the EMA (and certain other regulators) when considering an application for a Great Britain MA.</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UK has implemented the now-repealed Clinical Trials Directive 2001/20/EC into national law through the Medicines for Human Use (Clinical Trials) Regulations 2004 (as amended). The extent to which the regulation of clinical trials in the UK will mirror the new Clinical Trials Regulation now it has come into effect is not yet known, but the MHRA opened a consultation on a set of proposals designed to improve and strengthen the UK clinical trials legislation. Such consultation took place from January 17, 2022 until March 14, 2022, and the MHRA is currently analyzing feedback.</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Great Britain Marketing Authorizations</w:t>
      </w:r>
    </w:p>
    <w:p>
      <w:pPr>
        <w:spacing w:after="0" w:line="9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a result of the Northern Ireland Protocol, centralized MAs continue to be recognized in Northern Ireland. A separate MA is, however, required in order to place medicinal products on the market in Great Britain.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3" w:name="page44"/>
    <w:bookmarkEnd w:id="43"/>
    <w:p>
      <w:pPr>
        <w:jc w:val="both"/>
        <w:ind w:firstLine="509"/>
        <w:spacing w:after="0" w:line="235" w:lineRule="auto"/>
        <w:rPr>
          <w:sz w:val="20"/>
          <w:szCs w:val="20"/>
          <w:color w:val="auto"/>
        </w:rPr>
      </w:pPr>
      <w:r>
        <w:rPr>
          <w:rFonts w:ascii="Arial" w:cs="Arial" w:eastAsia="Arial" w:hAnsi="Arial"/>
          <w:sz w:val="18"/>
          <w:szCs w:val="18"/>
          <w:color w:val="auto"/>
        </w:rPr>
        <w:t>On January 1, 2021, all medicinal products with a centralized MA were automatically converted to Great Britain MAs. For a period of three years from January 1, 2021, the Medicines and Healthcare products Regulatory Agency, or MHRA, the UK medicines regulator, may rely on a decision taken by the European Commission on the approval of a new MA in the centralized procedure, in order to more quickly grant a new Great Britain MA. This is known as the EC Decision Reliance Procedure, or ECDRP. Under the ECDRP, an MA application can be submitted to the MHRA at any time after the approval of an EU MA; however, a delay in submission may affect the delivery of a decision within the specified timelines. Where a submission is made within five days of a positive opinion issued by the CHMP, the MHRA will aim to determine the Great Britain MA as soon as possible after European Commission approval, and by day 67 at the latest, provided that the European Commission decision has been received.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MHRA also offers a 150-day assessment timeline for all high quality applications for a UK, Great Britain or Northern Ireland MA. The 150-day timeline does not include a “clock-off” period which may occur if issues arise or points require clarification following an initial assessment of the application. Such issues should be addressed within a 60-day period, although extensions may be granted in exceptional cases.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Early Access to Medicines Scheme</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early access to medicines scheme, or EAMS, applies in relation to patients with life threatening or seriously debilitating conditions and aims to give such patients access to unauthorized medicines, when there is a clear unmet medical need. Under EAMS, the MHRA will undertake a two-step evaluation process of a medicine, which includes a promising innovative medicine designation (an indication that a product may be eligible for EAMS based on early clinical data) and a scientific opinion on the risks and benefits of the medicine based on data gathered from the patients who will benefit from the medicine. A positive EAMS scientific opinion is valid for one year (which can be renewed) and regular updates must be provided to the MHRA following such positive opinion.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Orphan Designation</w:t>
      </w:r>
    </w:p>
    <w:p>
      <w:pPr>
        <w:spacing w:after="0" w:line="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January 1, 2021, a separate process for orphan designation to the EU process has applied in Great Britain. There is now no pre-MA orphan designation (as there is in the EU) in Great Britain and the application for orphan designation will be reviewed by the MHRA at the time of an application for a UK or Great Britain MA. The criteria for orphan designation are the same as in the EU, save that they apply to Great Britain only (e.g. there must be no satisfactory method of diagnosis, prevention or treatment of the condition concerned in Great Britain, as opposed to the EU, and the prevalence of the condition must be no more than 5 in 10,000 persons in Great Britain).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Data Privacy and Security Laws and Regulations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collect, store, transmit and process sensitive and confidential data and information, including health information, and personal data. As we seek to expand our business, we are, and will increasingly become, subject to numerous state, federal and foreign laws, regulations, rules and government and industry standards relating to the collection, use, retention, security, disclosure, transfer and other processing of sensitive and personal information in the jurisdictions in which we operate. The regulatory framework for data privacy, data security and data transfers worldwide is rapidly evolving, and there has been an increasing focus on privacy and data protection issues.</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There are numerous U.S. federal and state laws and regulations related to the privacy and security of health information. HIPAA, as amended by the Health Information Technology for Economic and Clinical Health Act (HITECH Act), and their implementing regulations impose obligations on covered entities, such as health plans, healthcare clearinghouses and certain healthcare providers, as well as business associates that provide services involving the use or disclosure of personal health information to or on behalf of covered entities. These obligations, such as mandatory contractual terms, relate to safeguarding the privacy and security of protected health information. Many states also have laws governing the privacy and security of health information in certain circumstances, many of which differ from each other in significant ways and often are not preempted by HIPAA. In addition, many states and foreign countries in which we operate have laws that protect the privacy and security of sensitive and personal information. Certain of these laws may be more stringent or broader in scope, or offer greater individual rights, with respect to sensitive and personal information than federal, international or other state laws, and such laws may differ from each other.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Human capital</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of February 28, 2023, we had 70 full-time employees and 2 part-time employees, of which 13 have M.D. (or its equivalent) Ph.D. or J.D. degrees. Within our workforce, 55 employees are engaged in research and development and 17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6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stockholder value and the success of our company by motivating such individuals to perform to the best of their abilities and achieve our objectives.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4"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Our Internet address is www.aurabiosciences.com.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w:t>
      </w:r>
    </w:p>
    <w:p>
      <w:pPr>
        <w:spacing w:after="0" w:line="1" w:lineRule="exact"/>
        <w:rPr>
          <w:sz w:val="20"/>
          <w:szCs w:val="20"/>
          <w:color w:val="auto"/>
        </w:rPr>
      </w:pPr>
    </w:p>
    <w:p>
      <w:pPr>
        <w:jc w:val="both"/>
        <w:ind w:firstLine="8"/>
        <w:spacing w:after="0" w:line="237" w:lineRule="auto"/>
        <w:tabs>
          <w:tab w:leader="none" w:pos="17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Media” portion of our website free of charge as soon as reasonably practicable after we electronically file such material with, or furnish it to, the SEC. Information on our website is not part of this Annual Report or any of our other securities filings unless specifically incorporated herein by reference. We have included our website address in this Annual Report solely as an inactive textual reference. Our filings with the SEC may be accessed through the SEC’s website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1A. Risk Factors.</w:t>
      </w:r>
    </w:p>
    <w:p>
      <w:pPr>
        <w:spacing w:after="0" w:line="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Annual Report on Form 10-K, including our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7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$58.8 million and $35.3 million for the years ended December 31, 2022 and 2021, respectively. As of December 31, 2022, we had an accumulated deficit of $210.9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We have no products approved for commercial sale and, therefore, have never generated any revenue from product sales, and we do not expect to in the foreseeable future. Even if we do become profitable, we may not be able to sustain or increase our profitability on a quarterly or annual basis.</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product sales. We have no products approved for commercial sale, and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27" w:lineRule="exact"/>
        <w:rPr>
          <w:sz w:val="20"/>
          <w:szCs w:val="20"/>
          <w:color w:val="auto"/>
        </w:rPr>
      </w:pPr>
    </w:p>
    <w:p>
      <w:pPr>
        <w:jc w:val="both"/>
        <w:ind w:left="1020" w:hanging="369"/>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NMIBC, other research programs from our VDC technology platform and any future product candidates;</w:t>
      </w:r>
    </w:p>
    <w:p>
      <w:pPr>
        <w:spacing w:after="0" w:line="14"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48"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contract development and manufacturing organization for bel-sar and any future product candidates, including establishing and maintaining commercially viable supply and manufacturing relationships with third parties;</w:t>
      </w:r>
    </w:p>
    <w:p>
      <w:pPr>
        <w:spacing w:after="0" w:line="2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48"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46" w:name="page47"/>
    <w:bookmarkEnd w:id="46"/>
    <w:p>
      <w:pPr>
        <w:jc w:val="both"/>
        <w:ind w:firstLine="509"/>
        <w:spacing w:after="0" w:line="238"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Based on our current operating plan, we believe that our existing cash and cash equivalents, will be sufficient to fund our operating expenses and capital expenditures into 2025.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of and commercialize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7" w:name="page48"/>
    <w:bookmarkEnd w:id="47"/>
    <w:p>
      <w:pPr>
        <w:jc w:val="both"/>
        <w:ind w:firstLine="509"/>
        <w:spacing w:after="0" w:line="235"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the ongoing COVID-19 pandemic or more recently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20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81" w:lineRule="exact"/>
        <w:rPr>
          <w:sz w:val="20"/>
          <w:szCs w:val="20"/>
          <w:color w:val="auto"/>
        </w:rPr>
      </w:pPr>
    </w:p>
    <w:p>
      <w:pPr>
        <w:jc w:val="both"/>
        <w:ind w:firstLine="65"/>
        <w:spacing w:after="0" w:line="270"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29" w:lineRule="exact"/>
        <w:rPr>
          <w:sz w:val="20"/>
          <w:szCs w:val="20"/>
          <w:color w:val="auto"/>
        </w:rPr>
      </w:pPr>
    </w:p>
    <w:p>
      <w:pPr>
        <w:ind w:left="1020" w:hanging="369"/>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48" w:name="page49"/>
    <w:bookmarkEnd w:id="48"/>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20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and commercialization of our product candidates.</w:t>
      </w:r>
    </w:p>
    <w:p>
      <w:pPr>
        <w:spacing w:after="0" w:line="4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5" w:lineRule="exact"/>
        <w:rPr>
          <w:sz w:val="20"/>
          <w:szCs w:val="20"/>
          <w:color w:val="auto"/>
        </w:rPr>
      </w:pPr>
    </w:p>
    <w:p>
      <w:pPr>
        <w:jc w:val="both"/>
        <w:ind w:left="1020" w:hanging="369"/>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bel-sar in indeterminate lesions and primary choroidal melanoma and additional oncology indications, other research programs from our VDC technology platform, and any other future programs;</w:t>
      </w:r>
    </w:p>
    <w:p>
      <w:pPr>
        <w:spacing w:after="0" w:line="2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bel-sar, other research programs from our VDC technology platform, and any other future programs;</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transferring our manufacturing process to a commercial CDMO, including obtaining finished products that are appropriately packaged for sale;</w:t>
      </w:r>
    </w:p>
    <w:p>
      <w:pPr>
        <w:spacing w:after="0" w:line="21"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49" w:name="page50"/>
    <w:bookmarkEnd w:id="49"/>
    <w:p>
      <w:pPr>
        <w:ind w:left="1020" w:hanging="369"/>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50" w:name="page51"/>
    <w:bookmarkEnd w:id="50"/>
    <w:p>
      <w:pPr>
        <w:jc w:val="both"/>
        <w:ind w:firstLine="509"/>
        <w:spacing w:after="0" w:line="235"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Investigational New Drug application, or IND, Premarket Approval, or PMA,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33" w:lineRule="exact"/>
        <w:rPr>
          <w:sz w:val="20"/>
          <w:szCs w:val="20"/>
          <w:color w:val="auto"/>
        </w:rPr>
      </w:pPr>
    </w:p>
    <w:p>
      <w:pPr>
        <w:ind w:left="1020" w:hanging="369"/>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21"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21"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spacing w:after="0" w:line="21" w:lineRule="exact"/>
        <w:rPr>
          <w:rFonts w:ascii="Arial" w:cs="Arial" w:eastAsia="Arial" w:hAnsi="Arial"/>
          <w:sz w:val="18"/>
          <w:szCs w:val="18"/>
          <w:color w:val="auto"/>
        </w:rPr>
      </w:pPr>
    </w:p>
    <w:p>
      <w:pPr>
        <w:ind w:left="1020" w:right="20" w:hanging="369"/>
        <w:spacing w:after="0" w:line="242"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9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due to the ongoing COVID-19 pandemic, the conduct of Advisory Committee meetings may be disrupted or delayed and the impact that may have on the overall timing of regulatory approvals is uncertain.</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1" w:name="page52"/>
    <w:bookmarkEnd w:id="51"/>
    <w:p>
      <w:pPr>
        <w:jc w:val="both"/>
        <w:ind w:firstLine="509"/>
        <w:spacing w:after="0" w:line="245"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have not yet successfully initiated or completed any pivotal clinical trials nor commercialized any pharmaceutical products, which may make it difficult to evaluate our future prospects.</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indeterminate lesions and primary choroidal melanoma. We have not yet demonstrated an ability to successfully initiate or complete pivotal clinical trials, obtain marketing approvals, manufacture a commercial-scale product or arrange for a third party to do so on our behalf, or conduct sales and marketing activities necessary for successful product commercialization. In order to complete later stage or pivotal trials, we will need to expand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our first pivotal trial based on an adaptive design, which could increase the time spent on or costs associated with this trial. We are in the process of transferring our intended commercial manufacturing process to our intended external contract development and manufacturing organization, or CDMO, commercial manufacturing site. During this transfer process, some modifications may be needed to ensure manufacturability and ability to scale -up the process to commercial batch sizes. We intend to perform an analytical comparability assessment between the current clinical process and the intended commercial process, however, if this analytical process comparability assessment is unsuccessful, clinical comparability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develop additional product candidates, our commercial opportunity could be limited.</w:t>
      </w:r>
    </w:p>
    <w:p>
      <w:pPr>
        <w:spacing w:after="0" w:line="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and activation by a laser. For ocular oncology indications, we use Clearside Biomedical’s SCS Microinjector®, or the SCS Microinjector, to deliver bel-sar into the suprachoroidal space. In the United States, we plan to submit a single BLA for the review and approval of this combination of bel-sar with the SCS Microinjector and the laser(s) in our initial target indication of indeterminate lesions and small choroidal melanoma, but subsequent indications and delivery systems may require different or additional applications for marketing authorization. The SCS Microinjector was approved by FDA in October 2021 as a constituent of the drug/device combination product XIPERETM.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28"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Furthermore, our ability to enroll patients may be significantly delayed by the effects of the COVID-19 pandemic, and we cannot accurately predict the extent and scope of such delays at this point.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primary choroidal melanoma is a rare disease and as such clinical trial recruitment estimates may be inaccurate and such recruitment may take longer than expected.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5" w:lineRule="exact"/>
        <w:rPr>
          <w:sz w:val="20"/>
          <w:szCs w:val="20"/>
          <w:color w:val="auto"/>
        </w:rPr>
      </w:pPr>
    </w:p>
    <w:p>
      <w:pPr>
        <w:ind w:left="1020" w:hanging="369"/>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53" w:name="page54"/>
    <w:bookmarkEnd w:id="53"/>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ongoing COVID-19 pandemic, that may limit patients, principal investigators or staff or clinical site availability.</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w:t>
      </w:r>
    </w:p>
    <w:p>
      <w:pPr>
        <w:spacing w:after="0" w:line="28"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We may in the future choose to conduct one or more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w:t>
      </w:r>
    </w:p>
    <w:p>
      <w:pPr>
        <w:spacing w:after="0" w:line="1" w:lineRule="exact"/>
        <w:rPr>
          <w:sz w:val="20"/>
          <w:szCs w:val="20"/>
          <w:color w:val="auto"/>
        </w:rPr>
      </w:pPr>
    </w:p>
    <w:p>
      <w:pPr>
        <w:jc w:val="both"/>
        <w:ind w:firstLine="8"/>
        <w:spacing w:after="0" w:line="235" w:lineRule="auto"/>
        <w:tabs>
          <w:tab w:leader="none" w:pos="23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2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any other product candidates then under development and/or cause the FDA or other regulatory authorities to require additional testing before approving any other product candidates.</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20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55" w:name="page56"/>
    <w:bookmarkEnd w:id="55"/>
    <w:p>
      <w:pPr>
        <w:jc w:val="both"/>
        <w:ind w:firstLine="509"/>
        <w:spacing w:after="0" w:line="235"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when studied in a controlled environment with a placebo or active control.</w:t>
      </w:r>
    </w:p>
    <w:p>
      <w:pPr>
        <w:spacing w:after="0" w:line="18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4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205"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28" w:lineRule="exact"/>
        <w:rPr>
          <w:sz w:val="20"/>
          <w:szCs w:val="20"/>
          <w:color w:val="auto"/>
        </w:rPr>
      </w:pPr>
    </w:p>
    <w:p>
      <w:pPr>
        <w:ind w:left="1020" w:hanging="369"/>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21"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spacing w:after="0" w:line="28" w:lineRule="exact"/>
        <w:rPr>
          <w:rFonts w:ascii="Arial" w:cs="Arial" w:eastAsia="Arial" w:hAnsi="Arial"/>
          <w:sz w:val="18"/>
          <w:szCs w:val="18"/>
          <w:color w:val="auto"/>
        </w:rPr>
      </w:pPr>
    </w:p>
    <w:p>
      <w:pPr>
        <w:ind w:left="1020" w:hanging="369"/>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6" w:name="page57"/>
    <w:bookmarkEnd w:id="56"/>
    <w:p>
      <w:pPr>
        <w:jc w:val="both"/>
        <w:ind w:firstLine="509"/>
        <w:spacing w:after="0" w:line="24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29" w:lineRule="exact"/>
        <w:rPr>
          <w:sz w:val="20"/>
          <w:szCs w:val="20"/>
          <w:color w:val="auto"/>
        </w:rPr>
      </w:pPr>
    </w:p>
    <w:p>
      <w:pPr>
        <w:ind w:left="1020" w:hanging="369"/>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21" w:lineRule="exact"/>
        <w:rPr>
          <w:rFonts w:ascii="Arial" w:cs="Arial" w:eastAsia="Arial" w:hAnsi="Arial"/>
          <w:sz w:val="18"/>
          <w:szCs w:val="18"/>
          <w:color w:val="auto"/>
        </w:rPr>
      </w:pPr>
    </w:p>
    <w:p>
      <w:pPr>
        <w:ind w:left="1020" w:right="20" w:hanging="369"/>
        <w:spacing w:after="0" w:line="242"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28"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2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28" w:lineRule="exact"/>
        <w:rPr>
          <w:rFonts w:ascii="Arial" w:cs="Arial" w:eastAsia="Arial" w:hAnsi="Arial"/>
          <w:sz w:val="18"/>
          <w:szCs w:val="18"/>
          <w:color w:val="auto"/>
        </w:rPr>
      </w:pPr>
    </w:p>
    <w:p>
      <w:pPr>
        <w:jc w:val="both"/>
        <w:ind w:left="1020" w:hanging="369"/>
        <w:spacing w:after="0" w:line="23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27"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4" w:lineRule="exact"/>
        <w:rPr>
          <w:rFonts w:ascii="Arial" w:cs="Arial" w:eastAsia="Arial" w:hAnsi="Arial"/>
          <w:sz w:val="18"/>
          <w:szCs w:val="18"/>
          <w:color w:val="auto"/>
        </w:rPr>
      </w:pPr>
    </w:p>
    <w:p>
      <w:pPr>
        <w:ind w:left="1020" w:hanging="369"/>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clinical trials of our product candidates may be delayed due to complications associated with the continuing effects of the COVID-19 pandemic;</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3" w:lineRule="exact"/>
        <w:rPr>
          <w:rFonts w:ascii="Arial" w:cs="Arial" w:eastAsia="Arial" w:hAnsi="Arial"/>
          <w:sz w:val="18"/>
          <w:szCs w:val="18"/>
          <w:color w:val="auto"/>
        </w:rPr>
      </w:pPr>
    </w:p>
    <w:p>
      <w:pPr>
        <w:jc w:val="both"/>
        <w:ind w:left="1020" w:right="20" w:hanging="369"/>
        <w:spacing w:after="0" w:line="239"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28" w:lineRule="exact"/>
        <w:rPr>
          <w:rFonts w:ascii="Arial" w:cs="Arial" w:eastAsia="Arial" w:hAnsi="Arial"/>
          <w:sz w:val="18"/>
          <w:szCs w:val="18"/>
          <w:color w:val="auto"/>
        </w:rPr>
      </w:pPr>
    </w:p>
    <w:p>
      <w:pPr>
        <w:ind w:left="1020" w:hanging="369"/>
        <w:spacing w:after="0"/>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7" w:name="page58"/>
    <w:bookmarkEnd w:id="57"/>
    <w:p>
      <w:pPr>
        <w:jc w:val="both"/>
        <w:ind w:firstLine="509"/>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202"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5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31" w:lineRule="exact"/>
        <w:rPr>
          <w:sz w:val="20"/>
          <w:szCs w:val="20"/>
          <w:color w:val="auto"/>
        </w:rPr>
      </w:pPr>
    </w:p>
    <w:p>
      <w:pPr>
        <w:ind w:left="1020" w:right="20" w:hanging="369"/>
        <w:spacing w:after="0" w:line="245"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58" w:name="page59"/>
    <w:bookmarkEnd w:id="58"/>
    <w:p>
      <w:pPr>
        <w:ind w:left="1020" w:hanging="369"/>
        <w:spacing w:after="0" w:line="242"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20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be unable to obtain orphan drug designations or to maintain the benefits associated with orphan drug status, including market exclusivity, which may cause our revenue, if any, to be reduced.</w:t>
      </w:r>
    </w:p>
    <w:p>
      <w:pPr>
        <w:spacing w:after="0" w:line="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59" w:name="page60"/>
    <w:bookmarkEnd w:id="59"/>
    <w:p>
      <w:pPr>
        <w:jc w:val="both"/>
        <w:ind w:firstLine="509"/>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orphan drug designations for some or all of our current or future product candidates in orphan indications in which there is a medically plausible basis for the use of these products. Even if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0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(1) 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 application for the same product and indication for that time period, except in limited circumstances. The EU exclusivity period can be reduced to six years if a drug no longer meets the criteria for orphan designation or if the product is sufficiently profitable such that market exclusivity is no longer justified.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0" w:name="page61"/>
    <w:bookmarkEnd w:id="60"/>
    <w:p>
      <w:pPr>
        <w:jc w:val="both"/>
        <w:spacing w:after="0" w:line="252"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06"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choroidal metastasis and for the treatment of non-muscle invasive bladder cancer,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expect to rely on third parties to conduct some of our clinical trials and some aspects of our research and preclinical testing, and those third parties may not perform satisfactorily, including failing to meet deadlines for the completion of such trials, research or testing.</w:t>
      </w:r>
    </w:p>
    <w:p>
      <w:pPr>
        <w:spacing w:after="0" w:line="5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plan to use a clinical CRO for the pivotal trial for bel-sar for the treatment of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20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20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5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62" w:name="page63"/>
    <w:bookmarkEnd w:id="62"/>
    <w:p>
      <w:pPr>
        <w:jc w:val="both"/>
        <w:ind w:firstLine="509"/>
        <w:spacing w:after="0" w:line="236"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20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0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2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7"/>
          <w:szCs w:val="17"/>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jc w:val="both"/>
        <w:spacing w:after="0" w:line="245"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spacing w:after="0" w:line="22" w:lineRule="exact"/>
        <w:rPr>
          <w:sz w:val="20"/>
          <w:szCs w:val="20"/>
          <w:color w:val="auto"/>
        </w:rPr>
      </w:pPr>
    </w:p>
    <w:p>
      <w:pPr>
        <w:ind w:left="1020" w:hanging="369"/>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3" w:name="page64"/>
    <w:bookmarkEnd w:id="63"/>
    <w:p>
      <w:pPr>
        <w:ind w:left="1020" w:hanging="369"/>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manufacture our product according to our schedule or at all;</w:t>
      </w:r>
    </w:p>
    <w:p>
      <w:pPr>
        <w:spacing w:after="0" w:line="35"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 including as a result of the COVID-19 pandemic;</w:t>
      </w:r>
    </w:p>
    <w:p>
      <w:pPr>
        <w:spacing w:after="0" w:line="28" w:lineRule="exact"/>
        <w:rPr>
          <w:rFonts w:ascii="Arial" w:cs="Arial" w:eastAsia="Arial" w:hAnsi="Arial"/>
          <w:sz w:val="18"/>
          <w:szCs w:val="18"/>
          <w:color w:val="auto"/>
        </w:rPr>
      </w:pPr>
    </w:p>
    <w:p>
      <w:pPr>
        <w:ind w:left="1020" w:hanging="369"/>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supply or service disruptions or increased costs that are beyond our control;</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virus-like drug conjugates, or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7" w:lineRule="exact"/>
        <w:rPr>
          <w:sz w:val="20"/>
          <w:szCs w:val="20"/>
          <w:color w:val="auto"/>
        </w:rPr>
      </w:pPr>
    </w:p>
    <w:p>
      <w:pPr>
        <w:ind w:left="1020" w:hanging="369"/>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of bel-sar and our virus-like particle, or VLP, technology, and any future product candidates;</w:t>
      </w:r>
    </w:p>
    <w:p>
      <w:pPr>
        <w:spacing w:after="0" w:line="35"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64" w:name="page65"/>
    <w:bookmarkEnd w:id="64"/>
    <w:p>
      <w:pPr>
        <w:jc w:val="both"/>
        <w:ind w:left="1020" w:hanging="369"/>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spacing w:after="0" w:line="14"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bel-sar and any future product candidates, which could reduce the marketing impact of any claims that we could make following FDA approval or approval by comparable foreign regulatory authorities, if obtained;</w:t>
      </w:r>
    </w:p>
    <w:p>
      <w:pPr>
        <w:spacing w:after="0" w:line="2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5"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publicity concerning our bel-sar or competing products and treatments;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65" w:name="page66"/>
    <w:bookmarkEnd w:id="65"/>
    <w:p>
      <w:pPr>
        <w:jc w:val="both"/>
        <w:ind w:firstLine="509"/>
        <w:spacing w:after="0" w:line="236" w:lineRule="auto"/>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20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28"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7"/>
          <w:szCs w:val="17"/>
          <w:color w:val="auto"/>
        </w:rPr>
        <w:t>The biopharmaceutical industry is characterized by intense competition and rapid innovation. While we are not aware of anyone currently developing a treatment for choroidal melanoma, in the future our competitors may be able to develop other compounds or drugs that are able to achieve similar or better results than us. There are multiple companies that have drugs in clinical development for the treatment of NMIBC that are unresponsive to Bacillus Calmette-Guerin,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20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“Business—Competition.”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6" w:name="page67"/>
    <w:bookmarkEnd w:id="66"/>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w:t>
      </w:r>
      <w:r>
        <w:rPr>
          <w:rFonts w:ascii="Arial" w:cs="Arial" w:eastAsia="Arial" w:hAnsi="Arial"/>
          <w:sz w:val="18"/>
          <w:szCs w:val="18"/>
          <w:i w:val="1"/>
          <w:iCs w:val="1"/>
          <w:color w:val="auto"/>
        </w:rPr>
        <w:t>“Business – Government Regulation – Coverage and Reimbursement.”</w:t>
      </w:r>
      <w:r>
        <w:rPr>
          <w:rFonts w:ascii="Arial" w:cs="Arial" w:eastAsia="Arial" w:hAnsi="Arial"/>
          <w:sz w:val="18"/>
          <w:szCs w:val="18"/>
          <w:color w:val="auto"/>
        </w:rPr>
        <w:t>.</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4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virus-like drug conjugate product candidate being developed for the first line treatment of primary choroidal melanoma. Our projections of both the number of people who have choroidal melanoma, as well as additional ocular oncology and bladder cancer indications, are based on our estimates.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choroidal metastasis, and NMIBC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w:t>
      </w:r>
      <w:r>
        <w:rPr>
          <w:rFonts w:ascii="Arial" w:cs="Arial" w:eastAsia="Arial" w:hAnsi="Arial"/>
          <w:sz w:val="18"/>
          <w:szCs w:val="18"/>
          <w:i w:val="1"/>
          <w:iCs w:val="1"/>
          <w:color w:val="auto"/>
        </w:rPr>
        <w:t>Business –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Health Care Laws and Regulations.”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67" w:name="page68"/>
    <w:bookmarkEnd w:id="67"/>
    <w:p>
      <w:pPr>
        <w:jc w:val="both"/>
        <w:ind w:firstLine="509"/>
        <w:spacing w:after="0" w:line="235"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GDPR, which became effective May 2018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206"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 xml:space="preserve">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w:t>
      </w:r>
      <w:r>
        <w:rPr>
          <w:rFonts w:ascii="Arial" w:cs="Arial" w:eastAsia="Arial" w:hAnsi="Arial"/>
          <w:sz w:val="18"/>
          <w:szCs w:val="18"/>
          <w:i w:val="1"/>
          <w:iCs w:val="1"/>
          <w:color w:val="auto"/>
        </w:rPr>
        <w:t>“Business – Government Regulation – Health Care Legislative Updates.”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68" w:name="page69"/>
    <w:bookmarkEnd w:id="68"/>
    <w:p>
      <w:pPr>
        <w:jc w:val="both"/>
        <w:ind w:firstLine="509"/>
        <w:spacing w:after="0" w:line="236" w:lineRule="auto"/>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29" w:lineRule="exact"/>
        <w:rPr>
          <w:sz w:val="20"/>
          <w:szCs w:val="20"/>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virus-like particles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26" w:lineRule="exact"/>
        <w:rPr>
          <w:sz w:val="20"/>
          <w:szCs w:val="20"/>
          <w:color w:val="auto"/>
        </w:rPr>
      </w:pPr>
    </w:p>
    <w:p>
      <w:pPr>
        <w:ind w:left="1020" w:hanging="369"/>
        <w:spacing w:after="0" w:line="242"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08" w:right="339" w:bottom="1440" w:gutter="0" w:footer="0" w:header="0"/>
        </w:sectPr>
      </w:pPr>
    </w:p>
    <w:bookmarkStart w:id="69" w:name="page70"/>
    <w:bookmarkEnd w:id="69"/>
    <w:p>
      <w:pPr>
        <w:jc w:val="both"/>
        <w:ind w:firstLine="509"/>
        <w:spacing w:after="0" w:line="237"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20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20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0" w:name="page71"/>
    <w:bookmarkEnd w:id="70"/>
    <w:p>
      <w:pPr>
        <w:jc w:val="both"/>
        <w:spacing w:after="0" w:line="246"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5" w:lineRule="exact"/>
        <w:rPr>
          <w:sz w:val="20"/>
          <w:szCs w:val="20"/>
          <w:color w:val="auto"/>
        </w:rPr>
      </w:pPr>
    </w:p>
    <w:p>
      <w:pPr>
        <w:ind w:left="1020" w:hanging="369"/>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48" w:lineRule="exact"/>
        <w:rPr>
          <w:rFonts w:ascii="Arial" w:cs="Arial" w:eastAsia="Arial" w:hAnsi="Arial"/>
          <w:sz w:val="18"/>
          <w:szCs w:val="18"/>
          <w:color w:val="auto"/>
        </w:rPr>
      </w:pPr>
    </w:p>
    <w:p>
      <w:pPr>
        <w:ind w:left="1020" w:right="20" w:hanging="369"/>
        <w:spacing w:after="0" w:line="242"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1" w:name="page72"/>
    <w:bookmarkEnd w:id="71"/>
    <w:p>
      <w:pPr>
        <w:jc w:val="both"/>
        <w:spacing w:after="0" w:line="252"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our bel-sar or a future product candidate, thereby potentially extending the term of marketing exclusivity for such product, our business may be harmed.</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20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2" w:name="page73"/>
    <w:bookmarkEnd w:id="72"/>
    <w:p>
      <w:pPr>
        <w:jc w:val="both"/>
        <w:spacing w:after="0" w:line="246"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49"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20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3" w:name="page74"/>
    <w:bookmarkEnd w:id="73"/>
    <w:p>
      <w:pPr>
        <w:jc w:val="both"/>
        <w:spacing w:after="0" w:line="270"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20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1" w:lineRule="exact"/>
        <w:rPr>
          <w:sz w:val="20"/>
          <w:szCs w:val="20"/>
          <w:color w:val="auto"/>
        </w:rPr>
      </w:pPr>
    </w:p>
    <w:p>
      <w:pPr>
        <w:jc w:val="both"/>
        <w:ind w:firstLine="509"/>
        <w:spacing w:after="0" w:line="230"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LI-COR maintains its manufacture of IRDye 700DX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4" w:name="page75"/>
    <w:bookmarkEnd w:id="74"/>
    <w:p>
      <w:pPr>
        <w:jc w:val="both"/>
        <w:ind w:firstLine="509"/>
        <w:spacing w:after="0" w:line="236" w:lineRule="auto"/>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2"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5" w:name="page76"/>
    <w:bookmarkEnd w:id="75"/>
    <w:p>
      <w:pPr>
        <w:jc w:val="both"/>
        <w:ind w:firstLine="509"/>
        <w:spacing w:after="0" w:line="235"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2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Public health crises such as pandemics or similar outbreaks could adversely impact our business. The ongoing COVID-19 pandemic continues to evolve, and has led to the implementation of various responses, including government-imposed quarantines, travel restrictions and other public health safety measures. Additionally, timely enrollment in planned clinical trials is dependent upon clinical trial sites which could be adversely affected by global health matters, such as pandemics.</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cannot precisely predict the scope and severity of the planned and potential shutdowns or disruptions of businesses and government agencies, such as the SEC, or the FDA. Since March 2020 when foreign and domestic inspections of facilities were largely placed on hold, the FDA has been working to resume pre-pandemic levels of inspection activities, including routine surveillance, bioresearch monitoring and pre-approval inspections on a prioritized basis.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 During the COVID-19 public health emergency, a number of companies announced receipt of complete response letters due to the FDA’s inability to complete required inspections for their applications. Regulatory authorities outside the U.S. may adopt similar restrictions or other policy measures in response to the ongoing COVID-19 pandemic and may experience delays in their regulatory activities.</w:t>
      </w:r>
    </w:p>
    <w:p>
      <w:pPr>
        <w:spacing w:after="0" w:line="209"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These and other factors arising from COVID-19, or future pandemics, and other factors related to any such disruptions that are unforeseen,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1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6" w:name="page77"/>
    <w:bookmarkEnd w:id="76"/>
    <w:p>
      <w:pPr>
        <w:jc w:val="both"/>
        <w:ind w:firstLine="509"/>
        <w:spacing w:after="0" w:line="237"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7" w:name="page78"/>
    <w:bookmarkEnd w:id="77"/>
    <w:p>
      <w:pPr>
        <w:jc w:val="both"/>
        <w:spacing w:after="0" w:line="243"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security incidents,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52"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It is critical that we do so in a secure manner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those of our CROs and other third parties on which we rely, are vulnerable to damage from computer viruses, unauthorized access,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security incidents from inadvertent or intentional actions (such as error or theft) by our employees, contractors, consultants, business partners, and/or other third parties, phishing attacks, ransomware, denial-of-service attacks, social engineering schemes and other means that affect service reliability and threaten the confidentiality, integrity and availability of information), which may compromise our system infrastructure as well as lead to unauthorized access, disclosure or acquisition of information. Cyberattacks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security incidents in all instances. The recovery systems, security protocols, network protection mechanisms and other security measures that we have integrated into our information technology systems, which are designed to protect against, detect and minimize security breaches, may not be adequate to prevent or detect service interruption, system failure or data loss.</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Significant disruptions of our information technology systems or 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the COVID-19 pandemic has resulted in a significant number of our employees and partners working remotely, which increases the risk of a data breach or issues with data and cybersecurity. To the extent that any disruption or security incident results in a loss of, or damage to, our data or applications, or inappropriate disclosure of confidential or proprietary information, we could incur liability and the further development of our future product candidates could be delayed.</w:t>
      </w:r>
    </w:p>
    <w:p>
      <w:pPr>
        <w:spacing w:after="0" w:line="209"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security incidents. Failure to prevent or mitigate cyberattacks could result in unauthorized access to data, including personal data. Most jurisdictions have enacted laws requiring companies to notify individuals, regulatory authorities, and others of security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security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breach. In addition, our efforts to contain or remediate a 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78" w:name="page79"/>
    <w:bookmarkEnd w:id="78"/>
    <w:p>
      <w:pPr>
        <w:jc w:val="both"/>
        <w:ind w:firstLine="509"/>
        <w:spacing w:after="0" w:line="236" w:lineRule="auto"/>
        <w:rPr>
          <w:sz w:val="20"/>
          <w:szCs w:val="20"/>
          <w:color w:val="auto"/>
        </w:rPr>
      </w:pPr>
      <w:r>
        <w:rPr>
          <w:rFonts w:ascii="Arial" w:cs="Arial" w:eastAsia="Arial" w:hAnsi="Arial"/>
          <w:sz w:val="18"/>
          <w:szCs w:val="18"/>
          <w:color w:val="auto"/>
        </w:rPr>
        <w:t>In addition, litigation resulting from security breaches may adversely affect our business. Unauthorized access to our information technology systems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security breach were to occur and the confidentiality, integrity or availability of our data or the data of our collaborators were disrupted, we could incur significant liability, which could negatively affect our business and damage our reputation.</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5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20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the Health Insurance Portability and Accountability Act, or HIPAA, as amended by the Health Information Technology for Economic and Clinical Health Act, or HITECH.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79" w:name="page80"/>
    <w:bookmarkEnd w:id="79"/>
    <w:p>
      <w:pPr>
        <w:jc w:val="both"/>
        <w:ind w:firstLine="509"/>
        <w:spacing w:after="0" w:line="235" w:lineRule="auto"/>
        <w:rPr>
          <w:sz w:val="20"/>
          <w:szCs w:val="20"/>
          <w:color w:val="auto"/>
        </w:rPr>
      </w:pPr>
      <w:r>
        <w:rPr>
          <w:rFonts w:ascii="Arial" w:cs="Arial" w:eastAsia="Arial" w:hAnsi="Arial"/>
          <w:sz w:val="18"/>
          <w:szCs w:val="18"/>
          <w:color w:val="auto"/>
        </w:rPr>
        <w:t>The CCPA became effective on January 1, 2020, and gives California residents expanded rights to access and delete their personal data, opt out of certain personal data sharing and receive detailed information about how their personal data is used. The CCPA requires covered businesses to provide new disclosures to California residents. The CCPA provides for civil penalties for violations, as well as a private right of action for data breaches that is expected to increase data breach litigation. Although there are limited exemptions for clinical trial data and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CPRA, becomes operative. The CPRA will, among other things, give California residents the ability to limit use of certain sensitive information, establish restrictions on the retention of personal data, expand the types of data breaches subject to the CCPA’s private right of action and establish a new California Privacy Protection Agency to implement and enforce the new law. In addition, other states have enacted or proposed data privacy laws. For example, Virginia recently passed its Consumer Data Protection Act and Colorado recently passed the Colorado Privacy Act, both of which differ from the CPRA and go into effect in 2023. These laws demonstrate our vulnerability to the evolving regulatory environment related to personal data. As we expand our operations, these and similar laws may increase our compliance costs and potential liability.</w:t>
      </w:r>
    </w:p>
    <w:p>
      <w:pPr>
        <w:spacing w:after="0" w:line="20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obtaining the consent of the individuals to whom the personal data relates in certain circumstances, limitations on the retention of personal data, increased requirements pertaining to health data, establishing a legal basis for processing,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209"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GDPR prohibits the transfer of personal data to countries outside the EEA/UK which are not considered by the European Commission and UK government as providing “adequate” protection of personal data, including the United States, unless a valid GDPR transfer mechanism (for example, the European Commission approved Standard Contractual Clauses, or SCCs, and the UK International Data Transfer Agreement/Addendum, or UK 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Although the UK is regarded as a third country under the EU GDPR, the European Commission has issued a decision recognizing the UK as providing adequate protection under the EU GDPR, or Adequacy Decision, and, therefore, transfers of personal data originating in the EEA to the UK remain unrestricted. The UK government has confirmed that personal data transfers from the UK to the EEA remain free flowing. The UK Government has also now introduced a Data Protection and Digital Information Bill, or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80" w:name="page81"/>
    <w:bookmarkEnd w:id="80"/>
    <w:p>
      <w:pPr>
        <w:jc w:val="both"/>
        <w:ind w:firstLine="509"/>
        <w:spacing w:after="0" w:line="236" w:lineRule="auto"/>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20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9"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4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5" w:lineRule="exact"/>
        <w:rPr>
          <w:sz w:val="20"/>
          <w:szCs w:val="20"/>
          <w:color w:val="auto"/>
        </w:rPr>
      </w:pPr>
    </w:p>
    <w:p>
      <w:pPr>
        <w:ind w:left="1020" w:hanging="369"/>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81" w:name="page82"/>
    <w:bookmarkEnd w:id="81"/>
    <w:p>
      <w:pPr>
        <w:ind w:left="1020" w:hanging="369"/>
        <w:spacing w:after="0" w:line="242"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9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7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4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4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2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29" w:lineRule="exact"/>
        <w:rPr>
          <w:sz w:val="20"/>
          <w:szCs w:val="20"/>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2" w:name="page83"/>
    <w:bookmarkEnd w:id="82"/>
    <w:p>
      <w:pPr>
        <w:ind w:left="1020" w:hanging="369"/>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decline in our stock price;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8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7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3" w:name="page84"/>
    <w:bookmarkEnd w:id="83"/>
    <w:p>
      <w:pPr>
        <w:jc w:val="both"/>
        <w:spacing w:after="0" w:line="270"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Based on the beneficial ownership of our common stock as of December 31, 2022, our executive officers, directors, holders of 5% or more of our capital stock and their respective affiliates beneficially owned approximately 60.1%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9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2022, we had federal gross operating loss carryforwards of approximately $155.1 million, and state gross operating loss carryforwards of $127.5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net operating losses is limited to 80% of our taxable income in such taxable years.</w:t>
      </w:r>
    </w:p>
    <w:p>
      <w:pPr>
        <w:spacing w:after="0" w:line="186"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2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 For a further description of our dividend policy, please refer to the section entitled “Dividend Policy.”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4" w:lineRule="exact"/>
        <w:rPr>
          <w:sz w:val="20"/>
          <w:szCs w:val="20"/>
          <w:color w:val="auto"/>
        </w:rPr>
      </w:pPr>
    </w:p>
    <w:p>
      <w:pPr>
        <w:ind w:left="1020" w:hanging="369"/>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84" w:name="page85"/>
    <w:bookmarkEnd w:id="84"/>
    <w:p>
      <w:pPr>
        <w:ind w:left="1020" w:hanging="369"/>
        <w:spacing w:after="0" w:line="242"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3"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81"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207"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5" w:name="page86"/>
    <w:bookmarkEnd w:id="85"/>
    <w:p>
      <w:pPr>
        <w:jc w:val="both"/>
        <w:ind w:right="20"/>
        <w:spacing w:after="0" w:line="252"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4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Our fourth amended and restated certificate of incorporation and amended and restated bylaws contain provisions that could delay or prevent a change of control of our company or changes in our Board that our stockholders might consider favorable. Some of these provisions include:</w:t>
      </w:r>
    </w:p>
    <w:p>
      <w:pPr>
        <w:spacing w:after="0" w:line="28" w:lineRule="exact"/>
        <w:rPr>
          <w:sz w:val="20"/>
          <w:szCs w:val="20"/>
          <w:color w:val="auto"/>
        </w:rPr>
      </w:pPr>
    </w:p>
    <w:p>
      <w:pPr>
        <w:ind w:left="1020" w:hanging="369"/>
        <w:spacing w:after="0" w:line="245"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28" w:lineRule="exact"/>
        <w:rPr>
          <w:rFonts w:ascii="Arial" w:cs="Arial" w:eastAsia="Arial" w:hAnsi="Arial"/>
          <w:sz w:val="18"/>
          <w:szCs w:val="18"/>
          <w:color w:val="auto"/>
        </w:rPr>
      </w:pPr>
    </w:p>
    <w:p>
      <w:pPr>
        <w:ind w:left="1020" w:hanging="369"/>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8"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4"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2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November 2022, we filed a registration statement on Form S-3 relating to the registration of our common stock, preferred stock, debt securities, warrants and units or any combination thereof. Concurrently with the filing of such registration statement, we entered into an “at-the-market” offering program, or ATM, which provides for the offering, issuance and sale by us of shares of our common stock from time to time for aggregate gross proceeds of up to $75 million in sales deemed to be “at-the-market offerings” as defined by the Securities Act of 1933, as amended.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86" w:name="page87"/>
    <w:bookmarkEnd w:id="86"/>
    <w:p>
      <w:pPr>
        <w:jc w:val="both"/>
        <w:ind w:firstLine="509"/>
        <w:spacing w:after="0" w:line="23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December 31, 2022, we have 37,771,918 shares of common stock outstanding. Significant portions of these shares are held by a small number of stockholders, including persons who were our stockholders prior to our initial public offering.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87" w:name="page88"/>
    <w:bookmarkEnd w:id="87"/>
    <w:p>
      <w:pPr>
        <w:jc w:val="both"/>
        <w:spacing w:after="0" w:line="252"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4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a statement by the Department of the Treasury, the Federal Reserve and the FDIC stated all depositors of SVB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If any of our counterparties to any such instruments were to be placed into receivership, we may be unable to access such funds. In addition, if any of our customers,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the closure of SVB and uncertainty remains over liquidity concerns in the broader financial services industry. Similar impacts have occurred in the past, such as during the 2008-2010 financial crisis. For example, when SVB was placed into receivership, 15% of our cash, cash equivalents, and marketable securities were held at SVB in operating accounts and money market mutual funds. We also have a letter of credit held with SVB related to our operating lease and a deposit for a credit held by SVB classified on our balance sheet as restricted cash, which represents less than 1% of our cash, cash equivalents, restricted cash, and marketable securities.</w:t>
      </w:r>
    </w:p>
    <w:p>
      <w:pPr>
        <w:spacing w:after="0" w:line="6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5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5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28" w:lineRule="exact"/>
        <w:rPr>
          <w:sz w:val="20"/>
          <w:szCs w:val="20"/>
          <w:color w:val="auto"/>
        </w:rPr>
      </w:pPr>
    </w:p>
    <w:p>
      <w:pPr>
        <w:ind w:left="1020" w:hanging="369"/>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or actual breach of contractual obligations that require the Company to maintain letters or credit or other credit support arrangements;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88" w:name="page89"/>
    <w:bookmarkEnd w:id="88"/>
    <w:p>
      <w:pPr>
        <w:ind w:left="1020" w:hanging="369"/>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203"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the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the Company and may material adverse impacts on our business.</w:t>
      </w:r>
    </w:p>
    <w:p>
      <w:pPr>
        <w:spacing w:after="0" w:line="180"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ongoing COVID-19 pandemic has caused significant volatility and uncertainty in the U.S. and international markets. See “Risks Related to our Business and Industry</w:t>
      </w:r>
      <w:r>
        <w:rPr>
          <w:rFonts w:ascii="Arial" w:cs="Arial" w:eastAsia="Arial" w:hAnsi="Arial"/>
          <w:sz w:val="18"/>
          <w:szCs w:val="18"/>
          <w:i w:val="1"/>
          <w:iCs w:val="1"/>
          <w:color w:val="auto"/>
        </w:rPr>
        <w:t>—</w:t>
      </w:r>
      <w:r>
        <w:rPr>
          <w:rFonts w:ascii="Arial" w:cs="Arial" w:eastAsia="Arial" w:hAnsi="Arial"/>
          <w:sz w:val="18"/>
          <w:szCs w:val="18"/>
          <w:color w:val="auto"/>
        </w:rPr>
        <w:t>The COVID-19 pandemic, or a similar pandemic, epidemic, or outbreak of an infectious disease may materially and adversely affect our business and our financial results and could cause a disruption to the development of our product candidates.” In addition, the current military conflict between Russia and Ukraine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89" w:name="page90"/>
    <w:bookmarkEnd w:id="89"/>
    <w:p>
      <w:pPr>
        <w:jc w:val="both"/>
        <w:spacing w:after="0" w:line="270"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2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5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or Section 404, as amended,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$ 1.07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90" w:name="page91"/>
    <w:bookmarkEnd w:id="90"/>
    <w:p>
      <w:pPr>
        <w:jc w:val="both"/>
        <w:ind w:firstLine="509"/>
        <w:spacing w:after="0" w:line="23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205"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$ 100.0 million during the most recently completed fiscal year. We may continue to be a “smaller reporting company” until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their common stock at or above the price you paid for your common stock. The market price for our common stock may be influenced by many factors, including the other risks described in the section of this Annual Report on Form 10-K entitled “Risk Factors” and the following:</w:t>
      </w:r>
    </w:p>
    <w:p>
      <w:pPr>
        <w:spacing w:after="0" w:line="27" w:lineRule="exact"/>
        <w:rPr>
          <w:sz w:val="20"/>
          <w:szCs w:val="20"/>
          <w:color w:val="auto"/>
        </w:rPr>
      </w:pPr>
    </w:p>
    <w:p>
      <w:pPr>
        <w:ind w:left="10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21"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the COVID-19 pandemic on our employees, trials, collaboration partners, suppliers, our results of operations, liquidity and financial condition;</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future competitive products or technologies;</w:t>
      </w:r>
    </w:p>
    <w:p>
      <w:pPr>
        <w:spacing w:after="0" w:line="48" w:lineRule="exact"/>
        <w:rPr>
          <w:rFonts w:ascii="Arial" w:cs="Arial" w:eastAsia="Arial" w:hAnsi="Arial"/>
          <w:sz w:val="18"/>
          <w:szCs w:val="18"/>
          <w:color w:val="auto"/>
        </w:rPr>
      </w:pPr>
    </w:p>
    <w:p>
      <w:pPr>
        <w:ind w:left="1020" w:right="20" w:hanging="369"/>
        <w:spacing w:after="0" w:line="242"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35"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3"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48" w:lineRule="exact"/>
        <w:rPr>
          <w:rFonts w:ascii="Arial" w:cs="Arial" w:eastAsia="Arial" w:hAnsi="Arial"/>
          <w:sz w:val="18"/>
          <w:szCs w:val="18"/>
          <w:color w:val="auto"/>
        </w:rPr>
      </w:pPr>
    </w:p>
    <w:p>
      <w:pPr>
        <w:ind w:left="1020" w:right="20" w:hanging="369"/>
        <w:spacing w:after="0" w:line="245"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1" w:name="page92"/>
    <w:bookmarkEnd w:id="91"/>
    <w:p>
      <w:pPr>
        <w:ind w:left="1020" w:right="20" w:hanging="369"/>
        <w:spacing w:after="0" w:line="242"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natural disasters, pandemics and other calamities;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insubstantial costs and a diversion of management’s attention and our resources, which could harm our business.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4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92" w:name="page93"/>
    <w:bookmarkEnd w:id="92"/>
    <w:p>
      <w:pPr>
        <w:jc w:val="both"/>
        <w:ind w:firstLine="509"/>
        <w:spacing w:after="0" w:line="235"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20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conflict between Russia and Ukraine, could adversely affect our business, financial condition, results of operations or prospects.</w:t>
      </w:r>
    </w:p>
    <w:p>
      <w:pPr>
        <w:spacing w:after="0" w:line="5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conflict,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corporate headquarters are located in Boston, Massachusetts, where we lease and occupy approximately 29,836 square feet of office and laboratory space at 80 Guest Street, Boston, MA 02135. The current term of our Boston lease expires in August 2032.</w:t>
      </w:r>
    </w:p>
    <w:p>
      <w:pPr>
        <w:spacing w:after="0" w:line="19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December 31, 2022,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PART II</w:t>
      </w:r>
    </w:p>
    <w:p>
      <w:pPr>
        <w:spacing w:after="0" w:line="318" w:lineRule="exact"/>
        <w:rPr>
          <w:sz w:val="20"/>
          <w:szCs w:val="20"/>
          <w:color w:val="auto"/>
        </w:rPr>
      </w:pPr>
    </w:p>
    <w:p>
      <w:pPr>
        <w:ind w:right="1040"/>
        <w:spacing w:after="0" w:line="489" w:lineRule="auto"/>
        <w:rPr>
          <w:sz w:val="20"/>
          <w:szCs w:val="20"/>
          <w:color w:val="auto"/>
        </w:rPr>
      </w:pPr>
      <w:r>
        <w:rPr>
          <w:rFonts w:ascii="Arial" w:cs="Arial" w:eastAsia="Arial" w:hAnsi="Arial"/>
          <w:sz w:val="18"/>
          <w:szCs w:val="18"/>
          <w:b w:val="1"/>
          <w:bCs w:val="1"/>
          <w:color w:val="auto"/>
        </w:rPr>
        <w:t xml:space="preserve">Item 5. Market for Registrant’s Common Equity, Related Stockholder Matters and Issuer Purchases of Equity Securities. </w:t>
      </w:r>
      <w:r>
        <w:rPr>
          <w:rFonts w:ascii="Arial" w:cs="Arial" w:eastAsia="Arial" w:hAnsi="Arial"/>
          <w:sz w:val="18"/>
          <w:szCs w:val="18"/>
          <w:b w:val="1"/>
          <w:bCs w:val="1"/>
          <w:i w:val="1"/>
          <w:iCs w:val="1"/>
          <w:color w:val="auto"/>
        </w:rPr>
        <w:t>Market Information</w:t>
      </w:r>
    </w:p>
    <w:p>
      <w:pPr>
        <w:jc w:val="both"/>
        <w:ind w:firstLine="299"/>
        <w:spacing w:after="0" w:line="245" w:lineRule="auto"/>
        <w:rPr>
          <w:sz w:val="20"/>
          <w:szCs w:val="20"/>
          <w:color w:val="auto"/>
        </w:rPr>
      </w:pPr>
      <w:r>
        <w:rPr>
          <w:rFonts w:ascii="Arial" w:cs="Arial" w:eastAsia="Arial" w:hAnsi="Arial"/>
          <w:sz w:val="18"/>
          <w:szCs w:val="18"/>
          <w:color w:val="auto"/>
        </w:rPr>
        <w:t>Our common stock has been listed on the Nasdaq Global Market since November 3, 2021. Our common stock trades under the symbol “AURA”. Prior to this time, there was no public market for our common stock.</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219" w:lineRule="exact"/>
        <w:rPr>
          <w:sz w:val="20"/>
          <w:szCs w:val="20"/>
          <w:color w:val="auto"/>
        </w:rPr>
      </w:pPr>
    </w:p>
    <w:p>
      <w:pPr>
        <w:jc w:val="both"/>
        <w:ind w:firstLine="307"/>
        <w:spacing w:after="0" w:line="239" w:lineRule="auto"/>
        <w:rPr>
          <w:sz w:val="20"/>
          <w:szCs w:val="20"/>
          <w:color w:val="auto"/>
        </w:rPr>
      </w:pPr>
      <w:r>
        <w:rPr>
          <w:rFonts w:ascii="Arial" w:cs="Arial" w:eastAsia="Arial" w:hAnsi="Arial"/>
          <w:sz w:val="18"/>
          <w:szCs w:val="18"/>
          <w:color w:val="auto"/>
        </w:rPr>
        <w:t>As of March 10, 2023, we had approximately 59 stockholders of record for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19" w:lineRule="exact"/>
        <w:rPr>
          <w:sz w:val="20"/>
          <w:szCs w:val="20"/>
          <w:color w:val="auto"/>
        </w:rPr>
      </w:pPr>
    </w:p>
    <w:p>
      <w:pPr>
        <w:jc w:val="both"/>
        <w:ind w:right="20" w:firstLine="305"/>
        <w:spacing w:after="0" w:line="245" w:lineRule="auto"/>
        <w:rPr>
          <w:sz w:val="20"/>
          <w:szCs w:val="20"/>
          <w:color w:val="auto"/>
        </w:rPr>
      </w:pPr>
      <w:r>
        <w:rPr>
          <w:rFonts w:ascii="Arial" w:cs="Arial" w:eastAsia="Arial" w:hAnsi="Arial"/>
          <w:sz w:val="18"/>
          <w:szCs w:val="18"/>
          <w:color w:val="auto"/>
        </w:rPr>
        <w:t>We have never declared or paid cash dividends on our capital stock. We anticipate that we will retain all available funds and any future earnings, if any, for use in the operation of our business and do not anticipate paying cash dividends in the foreseeable future.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Authorized for Issuance Under Equity Compensation Plans</w:t>
      </w:r>
    </w:p>
    <w:p>
      <w:pPr>
        <w:spacing w:after="0" w:line="17" w:lineRule="exact"/>
        <w:rPr>
          <w:sz w:val="20"/>
          <w:szCs w:val="20"/>
          <w:color w:val="auto"/>
        </w:rPr>
      </w:pPr>
    </w:p>
    <w:p>
      <w:pPr>
        <w:jc w:val="both"/>
        <w:ind w:firstLine="304"/>
        <w:spacing w:after="0" w:line="245" w:lineRule="auto"/>
        <w:rPr>
          <w:sz w:val="20"/>
          <w:szCs w:val="20"/>
          <w:color w:val="auto"/>
        </w:rPr>
      </w:pPr>
      <w:r>
        <w:rPr>
          <w:rFonts w:ascii="Arial" w:cs="Arial" w:eastAsia="Arial" w:hAnsi="Arial"/>
          <w:sz w:val="18"/>
          <w:szCs w:val="18"/>
          <w:color w:val="auto"/>
        </w:rPr>
        <w:t>The information required by Item 5 of Form 10-K regarding equity compensation plans is incorporated herein by reference to Item 12 of Part III of this Annual Report.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are a smaller reporting company, as defined by Rule 12b-2 of the Exchange act, and are not required to provide a performance graph.</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19" w:lineRule="exact"/>
        <w:rPr>
          <w:sz w:val="20"/>
          <w:szCs w:val="20"/>
          <w:color w:val="auto"/>
        </w:rPr>
      </w:pPr>
    </w:p>
    <w:p>
      <w:pPr>
        <w:jc w:val="both"/>
        <w:ind w:firstLine="276"/>
        <w:spacing w:after="0" w:line="237" w:lineRule="auto"/>
        <w:rPr>
          <w:sz w:val="20"/>
          <w:szCs w:val="20"/>
          <w:color w:val="auto"/>
        </w:rPr>
      </w:pPr>
      <w:r>
        <w:rPr>
          <w:rFonts w:ascii="Arial" w:cs="Arial" w:eastAsia="Arial" w:hAnsi="Arial"/>
          <w:sz w:val="18"/>
          <w:szCs w:val="18"/>
          <w:color w:val="auto"/>
        </w:rPr>
        <w:t>On November 2, 2021, we completed our initial public offering, or the IPO, in which we issued and sold 5,400,000 shares of our common stock at a public offering price of $14.00 per share. We received net proceeds from the IPO of $67.8 million, after deducting underwriters’ discounts, commissions and offering-related costs. In connection with the IPO, we granted the underwriters a 30-day option to purchase an additional 810,000 shares. On November 8, 2021, the underwriters exercised the option in full and we issued 810,000 shares of common stock for aggregate net proceeds of $10.5 million after deducting underwriter discounts and commissions of $0.8 million.</w:t>
      </w:r>
    </w:p>
    <w:p>
      <w:pPr>
        <w:spacing w:after="0" w:line="204" w:lineRule="exact"/>
        <w:rPr>
          <w:sz w:val="20"/>
          <w:szCs w:val="20"/>
          <w:color w:val="auto"/>
        </w:rPr>
      </w:pPr>
    </w:p>
    <w:p>
      <w:pPr>
        <w:jc w:val="both"/>
        <w:ind w:right="20" w:firstLine="320"/>
        <w:spacing w:after="0" w:line="239" w:lineRule="auto"/>
        <w:rPr>
          <w:sz w:val="20"/>
          <w:szCs w:val="20"/>
          <w:color w:val="auto"/>
        </w:rPr>
      </w:pPr>
      <w:r>
        <w:rPr>
          <w:rFonts w:ascii="Arial" w:cs="Arial" w:eastAsia="Arial" w:hAnsi="Arial"/>
          <w:sz w:val="18"/>
          <w:szCs w:val="18"/>
          <w:color w:val="auto"/>
        </w:rPr>
        <w:t>The offer and sale of all of the shares of our common stock in our IPO were registered under the Securities Act pursuant to a registration statement on Form S-1, as amended (File No. 333- 260156), which was declared effective by the SEC on October 28, 2021. Cowen and Company, LLC, SVB Leerink LLC, Evercore Group L.L.C. and BTIG, LLC acted as underwriters for the IPO.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95" w:name="page96"/>
    <w:bookmarkEnd w:id="95"/>
    <w:p>
      <w:pPr>
        <w:jc w:val="both"/>
        <w:ind w:firstLine="498"/>
        <w:spacing w:after="0" w:line="239" w:lineRule="auto"/>
        <w:rPr>
          <w:sz w:val="20"/>
          <w:szCs w:val="20"/>
          <w:color w:val="auto"/>
        </w:rPr>
      </w:pPr>
      <w:r>
        <w:rPr>
          <w:rFonts w:ascii="Arial" w:cs="Arial" w:eastAsia="Arial" w:hAnsi="Arial"/>
          <w:sz w:val="18"/>
          <w:szCs w:val="18"/>
          <w:color w:val="auto"/>
        </w:rPr>
        <w:t>No expenses incurred by us in connection with the IPO were paid directly or indirectly to (i) any of our officers or directors or their associates, (ii) any persons owning 10% or more of any class of our equity securities, or (iii) any of our affiliates, other than payments in the ordinary course of business to officers for salaries and to non-employee directors as compensation for Board or Board committee service.</w:t>
      </w:r>
    </w:p>
    <w:p>
      <w:pPr>
        <w:spacing w:after="0" w:line="200" w:lineRule="exact"/>
        <w:rPr>
          <w:sz w:val="20"/>
          <w:szCs w:val="20"/>
          <w:color w:val="auto"/>
        </w:rPr>
      </w:pPr>
    </w:p>
    <w:p>
      <w:pPr>
        <w:spacing w:after="0" w:line="205"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There has been no material change in the planned use of proceeds from the IPO from those disclosed in the IPO prospectus. We plan to invest the funds received in cash equivalents and other marketable securities in accordance with our investment policy.</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purchaser of equity securities</w:t>
      </w:r>
    </w:p>
    <w:p>
      <w:pPr>
        <w:spacing w:after="0" w:line="21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did not purchase any of our registered equity securities during the period covered by this Annual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6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i w:val="1"/>
          <w:iCs w:val="1"/>
          <w:color w:val="auto"/>
        </w:rPr>
        <w:t>The following discussion and analysis should be read in conjunction with the audited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 Item 1A,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are a clinical-stage biotechnology company envisioning a new way to treat cancer. Leveraging our novel targeted oncology platform, we have the goal to develop a new standard of care across multiple cancer indications. Our initial focus is on ocular and urologic oncology where the disease is diagnosed early and there is a high unmet medical need for targeted local therapies. Our proprietary platform enables the targeting of a broad range of solid tumors using Virus-like Particles, or VLPs, that can be conjugated with drugs or loaded with nucleic acids to create Virus-like Drug Conjugates, or VDCs. Our VDCs are largely agnostic to tumor type and can recognize a subset of modified tumor associated glycosaminoglycans, or GAGs, that are part of the heparan sulphate chain of HSPGs expressed on the cell surface of many tumor cells and in the tumor microenvironment.</w:t>
      </w:r>
    </w:p>
    <w:p>
      <w:pPr>
        <w:spacing w:after="0" w:line="205"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Bel-sar, our first VDC candidate, is being developed for the first-line treatment of early-stage choroidal melanoma, a rare disease with no drugs approved where the standard of care leaves many patients with blindness. We have received orphan drug designation for the treatment of uveal melanoma from the U.S Food and Drug Administration, or FDA, and the European Medicines Agency, or EMA, and fast track designation from the FDA for the treatment of choroidal melanoma. We have completed a Phase 1b/2 trial using intravitreal administration that has demonstrated clinical proof of concept, assessed using endpoints in alignment with the feedback from the FDA. We are currently evaluating suprachoroidal, or SC, administration of bel-sar in a Phase 2 study. In February 2023 we presented average nine-month interim safety and efficacy data from this ongoing trial at Macula Society’s Annual Meeting which demonstrated a favorable safety profile with no posterior inflammation and no treatment-related serious adverse events, or SAEs, reported as of January 10, 2023. The results, with an average of nine months of follow up in patients who received a therapeutic regimen with three cycles of therapy, and who match the criteria for the planned global Phase 3 trial (n=8), showed a statistically significant reduction in the tumor growth rate (-0.289 mm/yr, p = &lt;0.0001) compared to each patient’s documented growth rate at study entry, and a 100% (8/8) tumor control. In addition, the visual acuity preservation in the group of patients was 88% (7/8), with the majority of patients being at high-risk for vision loss with tumors close to fovea or optic disk. We have selected the SC route to conduct our global Phase 3 trial in alignment with regulatory agencies. We are currently conducting start up activities for the global Phase 3 study with the goal to dose our first patient in the first half of 2023. We are also developing bel-sar for additional ocular oncology indications and have an open IND in the United States for choroidal metastasis, supporting the potential of bel-sar to provide a novel treatment option that preserves vision for these patients. Choroidal metastasis is a high unmet medical need and the most common intraocular malignancy that is caused by multiple primary cancers in the body that metastasize to the eye (e.g., breast and lung cancer). These patients are treated by the same ocular oncologists that treat choroidal melanoma and there are no drugs approved that can treat the lesion in the eye and preserve vision. We received fast track designation from the FDA’s Division of Oncology and plan to initiate a Phase 2 study in this indication in the second half of 2023.</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addition to our ocular oncology franchise, we are leveraging our targeted oncology platform to develop bel-sar in the field of urologic oncology with an initial indication for the treatment of non-muscle invasive bladder cancer, or NMIBC, where we received fast track designation by the FDA’s Division of Oncology. We initiated enrollment in a Phase 1 trial and we plan to present initial data from this trial in the second half of 2023.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97" w:name="page98"/>
    <w:bookmarkEnd w:id="97"/>
    <w:p>
      <w:pPr>
        <w:jc w:val="both"/>
        <w:ind w:firstLine="509"/>
        <w:spacing w:after="0" w:line="245" w:lineRule="auto"/>
        <w:rPr>
          <w:sz w:val="20"/>
          <w:szCs w:val="20"/>
          <w:color w:val="auto"/>
        </w:rPr>
      </w:pPr>
      <w:r>
        <w:rPr>
          <w:rFonts w:ascii="Arial" w:cs="Arial" w:eastAsia="Arial" w:hAnsi="Arial"/>
          <w:sz w:val="17"/>
          <w:szCs w:val="17"/>
          <w:color w:val="auto"/>
        </w:rPr>
        <w:t>We were incorporated as a Delaware corporation in 2009 and, as of August 1, 2022,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December 31, 2022, we have raised an aggregate of approximately $320.6 million of gross proceeds primarily from private placements of our equity and convertible preferred stock as well as through the issuance of our common stock. On December 5, 2022, we issued and sold 7,705,000 shares of common stock, including the full exercise of the underwriters’ option to purchase additional shares at a price to the public of $12.00 per share, for aggregate gross proceeds of $ 92.5 million, or the Follow-On Offering. We received approximately $86.7 million in net proceeds from the Follow-On Offering after deducting underwriting discounts, commissions and offering expenses. On November 1, 2022, we filed a shelf registration statement on Form S-3, or the 2022 Shelf, with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3"/>
          <w:szCs w:val="23"/>
          <w:color w:val="auto"/>
          <w:vertAlign w:val="superscript"/>
        </w:rPr>
        <w:t>SM</w:t>
      </w:r>
      <w:r>
        <w:rPr>
          <w:rFonts w:ascii="Arial" w:cs="Arial" w:eastAsia="Arial" w:hAnsi="Arial"/>
          <w:sz w:val="17"/>
          <w:szCs w:val="17"/>
          <w:color w:val="auto"/>
        </w:rPr>
        <w:t>, or the Sales Agreement, with Jefferies LLC, or the Sales Agent, to provide for the offering, issuance and sale by us of up to an aggregate of $75.0 million of its common stock from time to time in “at-the-market” offerings, or the ATM, under the 2022 Shelf and subject to the limitations thereof. We issued 732,189 shares of our common stock at an average price of $12.51 for aggregate gross proceeds of $9.2 million as of December 31, 2022 under the Sales Agreement. In November 2021, we issued and sold 6,210,000 shares of our common stock, including the full exercise of the underwriters’ option to purchase additional shares at a price to the public of $14.00 per share for aggregate gross proceeds of $86.9 million in our initial public offering, or IPO. We received approximately $78.3 million in net proceeds from the IPO after deducting underwriting discounts, commissions and offering expenses.</w:t>
      </w:r>
    </w:p>
    <w:p>
      <w:pPr>
        <w:spacing w:after="0" w:line="200" w:lineRule="exact"/>
        <w:rPr>
          <w:sz w:val="20"/>
          <w:szCs w:val="20"/>
          <w:color w:val="auto"/>
        </w:rPr>
      </w:pPr>
    </w:p>
    <w:p>
      <w:pPr>
        <w:spacing w:after="0" w:line="20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$58.8 million and $ 35.3 million for the years ended December 31, 2022 and 2021, respectively. As of December 31, 2022, we had an accumulated deficit of $ 210.9 million. In addition, our losses from operations may fluctuate significantly from quarter-to-quarter and year-to-year, depending on the timing of our clinical trials and our expenditures on other research and development activities.</w:t>
      </w:r>
    </w:p>
    <w:p>
      <w:pPr>
        <w:spacing w:after="0" w:line="20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14" w:lineRule="exact"/>
        <w:rPr>
          <w:sz w:val="20"/>
          <w:szCs w:val="20"/>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progress the preclinical and clinical development of new indications;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identify and develop additional product candidates;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8" w:name="page99"/>
    <w:bookmarkEnd w:id="98"/>
    <w:p>
      <w:pPr>
        <w:jc w:val="both"/>
        <w:ind w:firstLine="509"/>
        <w:spacing w:after="0" w:line="237"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20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of December 31, 2022, we had cash and cash equivalents and marketable securities of $188.8 million. We believe that our existing cash and cash equivalents and marketable securities will enable us to fund our operating expenses and capital expenditure requirements into 2025. We have based this estimate on assumptions that may prove to be wrong, and we could exhaust our available capital resources sooner than we expect. See “—Liquidity and Capital Resources” below.</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Impact of the ongoing COVID-19 Pandemic</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continue to closely monitor the impact of the COVID-19 pandemic on all aspects of our business, including how it may continue to impact our operations and the operations of our suppliers, vendors and business partners. In addition, we have taken steps to minimize the current environment’s impact on our business and strategy, including devising contingency plans and securing additional resources from third-party service providers. To date, we’ve only encountered minor delays in our manufacturing process due to a supply chain constraints.</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 xml:space="preserve">Beyond the impact on our pipeline, the extent to which COVID-19 ultimately impacts our business, results of operations and financial condition will depend on future developments, which remain highly uncertain and cannot be predicted with confidence, such as the duration of the outbreak, the emergence of new variants, new information that may emerge concerning the severity of COVID-19 or the effectiveness of actions taken to contain COVID-19 or treat its impact, including vaccination and booster shot campaigns, among others. If we or any of the third parties with whom we engage, however, were to experience any additional shutdowns or other prolonged business disruptions, our ability to conduct our business in the manner and on the timelines presently planned could be materially or negatively affected, which could have a material adverse impact on our business, results of operations and financial condition. Although to date, our business has not been materially impacted by COVID-19, it is possible that our clinical development timelines could be negatively affected by COVID-19, which could materially and adversely affect our business, financial condition and results of operations. See </w:t>
      </w:r>
      <w:r>
        <w:rPr>
          <w:rFonts w:ascii="Arial" w:cs="Arial" w:eastAsia="Arial" w:hAnsi="Arial"/>
          <w:sz w:val="18"/>
          <w:szCs w:val="18"/>
          <w:i w:val="1"/>
          <w:iCs w:val="1"/>
          <w:color w:val="auto"/>
        </w:rPr>
        <w:t>Item 1A “Risk Factors” of this Annual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 on Form 10-K </w:t>
      </w:r>
      <w:r>
        <w:rPr>
          <w:rFonts w:ascii="Arial" w:cs="Arial" w:eastAsia="Arial" w:hAnsi="Arial"/>
          <w:sz w:val="18"/>
          <w:szCs w:val="18"/>
          <w:color w:val="auto"/>
        </w:rPr>
        <w:t>for a discussion of the potential adverse impact of the COVID-19 pandemic on our business, financial condition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99" w:name="page100"/>
    <w:bookmarkEnd w:id="99"/>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94"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spacing w:after="0" w:line="14" w:lineRule="exact"/>
        <w:rPr>
          <w:sz w:val="20"/>
          <w:szCs w:val="20"/>
          <w:color w:val="auto"/>
        </w:rPr>
      </w:pPr>
    </w:p>
    <w:p>
      <w:pPr>
        <w:ind w:left="1020" w:hanging="369"/>
        <w:spacing w:after="0" w:line="245"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related-benefits and stock-based compensation expense for employees engaged in research and development functions;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associated with conducting preclinical studies performed by ourselves, outside vendors or academic collaborators;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21" w:lineRule="exact"/>
        <w:rPr>
          <w:rFonts w:ascii="Arial" w:cs="Arial" w:eastAsia="Arial" w:hAnsi="Arial"/>
          <w:sz w:val="18"/>
          <w:szCs w:val="18"/>
          <w:color w:val="auto"/>
        </w:rPr>
      </w:pPr>
    </w:p>
    <w:p>
      <w:pPr>
        <w:ind w:left="1020" w:hanging="369"/>
        <w:spacing w:after="0" w:line="264" w:lineRule="auto"/>
        <w:tabs>
          <w:tab w:leader="none" w:pos="10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cost of manufacturing bel-sar, including the potential cost of CMOs that manufacture product for use in our preclinical studies and clinical trials and perform analytical testing, scale-up and other services in connection with our development activities;</w:t>
      </w:r>
    </w:p>
    <w:p>
      <w:pPr>
        <w:spacing w:after="0" w:line="14" w:lineRule="exact"/>
        <w:rPr>
          <w:rFonts w:ascii="Arial" w:cs="Arial" w:eastAsia="Arial" w:hAnsi="Arial"/>
          <w:sz w:val="17"/>
          <w:szCs w:val="17"/>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associated with preclinical activities and development activities;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administrative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being a public company, including costs of accounting, audit, legal, regulatory and tax compliance services; director and officer insurance costs; and investor and public relations costs.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loss on disposal of fixed assets, and interest income on our invested cash balances.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00" w:name="page101"/>
    <w:bookmarkEnd w:id="100"/>
    <w:p>
      <w:pPr>
        <w:ind w:left="1020"/>
        <w:spacing w:after="0"/>
        <w:rPr>
          <w:sz w:val="20"/>
          <w:szCs w:val="20"/>
          <w:color w:val="auto"/>
        </w:rPr>
      </w:pPr>
      <w:r>
        <w:rPr>
          <w:rFonts w:ascii="Arial" w:cs="Arial" w:eastAsia="Arial" w:hAnsi="Arial"/>
          <w:sz w:val="18"/>
          <w:szCs w:val="18"/>
          <w:i w:val="1"/>
          <w:iCs w:val="1"/>
          <w:color w:val="auto"/>
        </w:rPr>
        <w:t>Income Taxes</w:t>
      </w:r>
    </w:p>
    <w:p>
      <w:pPr>
        <w:spacing w:after="0" w:line="80"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any year or for our earned research and development tax credits, due to the uncertainty of realizing a benefit from those items. As of December 31, 2022, we had federal gross operating loss carryforwards of approximately $155.1 million which may be available to offset future taxable income, of which $44.2 million begin to expire in 2029 and go through 2037 and $110.9 million do not expire. The state gross operating loss carryforwards of $127.5 million, which may be available to offset future taxable income and which would begin to expire in 2030, except for $0.7 million of state NOLs that do not expire. As of December 31, 2022, we had federal and state research and experimentation credit carryforwards of $6.4 million and $1.9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2022 and 2021:</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2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r>
      <w:tr>
        <w:trPr>
          <w:trHeight w:val="182"/>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42,238</w:t>
            </w:r>
          </w:p>
        </w:tc>
        <w:tc>
          <w:tcPr>
            <w:tcW w:w="26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25,161</w:t>
            </w:r>
          </w:p>
        </w:tc>
        <w:tc>
          <w:tcPr>
            <w:tcW w:w="2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tcPr>
          <w:p>
            <w:pPr>
              <w:spacing w:after="0"/>
              <w:rPr>
                <w:sz w:val="19"/>
                <w:szCs w:val="19"/>
                <w:color w:val="auto"/>
              </w:rPr>
            </w:pPr>
          </w:p>
        </w:tc>
      </w:tr>
      <w:tr>
        <w:trPr>
          <w:trHeight w:val="22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2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662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100" w:type="dxa"/>
            <w:vAlign w:val="bottom"/>
          </w:tcPr>
          <w:p>
            <w:pPr>
              <w:spacing w:after="0"/>
              <w:rPr>
                <w:sz w:val="19"/>
                <w:szCs w:val="19"/>
                <w:color w:val="auto"/>
              </w:rPr>
            </w:pPr>
          </w:p>
        </w:tc>
      </w:tr>
      <w:tr>
        <w:trPr>
          <w:trHeight w:val="22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(60,295 )</w:t>
            </w:r>
          </w:p>
        </w:tc>
        <w:tc>
          <w:tcPr>
            <w:tcW w:w="4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(35,250 )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(25,045 )</w:t>
            </w:r>
          </w:p>
        </w:tc>
      </w:tr>
      <w:tr>
        <w:trPr>
          <w:trHeight w:val="222"/>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w:t>
            </w:r>
          </w:p>
        </w:tc>
        <w:tc>
          <w:tcPr>
            <w:tcW w:w="100" w:type="dxa"/>
            <w:vAlign w:val="bottom"/>
            <w:shd w:val="clear" w:color="auto" w:fill="CFF0FC"/>
          </w:tcPr>
          <w:p>
            <w:pPr>
              <w:spacing w:after="0"/>
              <w:rPr>
                <w:sz w:val="19"/>
                <w:szCs w:val="19"/>
                <w:color w:val="auto"/>
              </w:rPr>
            </w:pP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Realized loss on marketable securities</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(9 )</w:t>
            </w:r>
          </w:p>
        </w:tc>
        <w:tc>
          <w:tcPr>
            <w:tcW w:w="4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(9 )</w:t>
            </w:r>
          </w:p>
        </w:tc>
      </w:tr>
      <w:tr>
        <w:trPr>
          <w:trHeight w:val="229"/>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disposal of assets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(318 )</w:t>
            </w:r>
          </w:p>
        </w:tc>
        <w:tc>
          <w:tcPr>
            <w:tcW w:w="4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(315 )</w:t>
            </w:r>
          </w:p>
        </w:tc>
      </w:tr>
      <w:tr>
        <w:trPr>
          <w:trHeight w:val="229"/>
        </w:trPr>
        <w:tc>
          <w:tcPr>
            <w:tcW w:w="662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(5 )</w:t>
            </w:r>
          </w:p>
        </w:tc>
        <w:tc>
          <w:tcPr>
            <w:tcW w:w="4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6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(58,763 )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(35,251 )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(23,512 )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-1376045</wp:posOffset>
            </wp:positionV>
            <wp:extent cx="76835"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-1376045</wp:posOffset>
            </wp:positionV>
            <wp:extent cx="68580" cy="162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-1376045</wp:posOffset>
            </wp:positionV>
            <wp:extent cx="68580" cy="1625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-1068705</wp:posOffset>
            </wp:positionV>
            <wp:extent cx="76835" cy="1536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-1068705</wp:posOffset>
            </wp:positionV>
            <wp:extent cx="68580" cy="153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-1068705</wp:posOffset>
            </wp:positionV>
            <wp:extent cx="68580" cy="153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5059045</wp:posOffset>
            </wp:positionH>
            <wp:positionV relativeFrom="paragraph">
              <wp:posOffset>-179070</wp:posOffset>
            </wp:positionV>
            <wp:extent cx="76835" cy="1797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-179070</wp:posOffset>
            </wp:positionV>
            <wp:extent cx="68580" cy="1797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years ended December 31, 2022 and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6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5"/>
                <w:szCs w:val="15"/>
                <w:color w:val="auto"/>
              </w:rPr>
            </w:pPr>
          </w:p>
        </w:tc>
      </w:tr>
      <w:tr>
        <w:trPr>
          <w:trHeight w:val="182"/>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7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r>
      <w:tr>
        <w:trPr>
          <w:trHeight w:val="229"/>
        </w:trPr>
        <w:tc>
          <w:tcPr>
            <w:tcW w:w="66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FF0FC"/>
          </w:tcPr>
          <w:p>
            <w:pPr>
              <w:spacing w:after="0"/>
              <w:rPr>
                <w:sz w:val="19"/>
                <w:szCs w:val="19"/>
                <w:color w:val="auto"/>
              </w:rPr>
            </w:pPr>
          </w:p>
        </w:tc>
      </w:tr>
      <w:tr>
        <w:trPr>
          <w:trHeight w:val="229"/>
        </w:trPr>
        <w:tc>
          <w:tcPr>
            <w:tcW w:w="664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23,914</w:t>
            </w: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11,788</w:t>
            </w:r>
          </w:p>
        </w:tc>
        <w:tc>
          <w:tcPr>
            <w:tcW w:w="100" w:type="dxa"/>
            <w:vAlign w:val="bottom"/>
          </w:tcPr>
          <w:p>
            <w:pPr>
              <w:spacing w:after="0"/>
              <w:rPr>
                <w:sz w:val="19"/>
                <w:szCs w:val="19"/>
                <w:color w:val="auto"/>
              </w:rPr>
            </w:pPr>
          </w:p>
        </w:tc>
      </w:tr>
      <w:tr>
        <w:trPr>
          <w:trHeight w:val="262"/>
        </w:trPr>
        <w:tc>
          <w:tcPr>
            <w:tcW w:w="664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42,238</w:t>
            </w:r>
          </w:p>
        </w:tc>
        <w:tc>
          <w:tcPr>
            <w:tcW w:w="26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25,161</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5050790</wp:posOffset>
            </wp:positionH>
            <wp:positionV relativeFrom="paragraph">
              <wp:posOffset>-24765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-7620</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6068695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Research and development expenses increased to $42.2 million for the year ended December 31, 2022, from $25.2 million for the year ended December 31, 2021, primarily due to ongoing clinical costs associated with the progression of our phase 2 study and CRO costs associated with the start of our phase 3 global trial, manufacturing and development costs for bel-sar, and higher personnel expenses from growing headcount.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General and administrative expenses increased to $18.1 million for the year ended December 31, 2022, from $10.1 million for the year ended December 31, 2021, primarily driven by personnel expenses, as well as increases in general corporate expenses related to a full year of operating as a public company.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common stock. Through December 31, 2022, we have raised an aggregate of approximately $320.6 million of gross proceeds primarily from private placements of our equity and convertible preferred stock and warrants, as well as through the issuance of our common stock. On December 5, 2022, we issued and sold 7,705,000 shares of common stock, including the full exercise of the underwriters’ option to purchase additional shares at a price to the public of $12.00 per share for aggregate gross proceeds of $92.5 million in the Follow-On Offering. We received approximately $86.7 million in net proceeds from the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$75.0 million of our common stock from time to time in the ATM under the 2022 Shelf and subject to the limitations thereof. We issued 732,189 shares of our common stock at an average price of $ 12.51 for aggregate gross proceeds of $9.2 million as of December 31, 2022. In November 2021, we issued and sold a total of 6,210,000 shares in our IPO of our common stock, including the full exercise of the underwriters’ option to purchase additional shares, at a price to the public of $14.00 per share for aggregate gross proceeds of $86.9 million. We received approximately $78.3 million in net proceeds from the IPO after deducting underwriting discounts, commissions and offering expenses.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35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72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2"/>
        </w:trPr>
        <w:tc>
          <w:tcPr>
            <w:tcW w:w="7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4"/>
              </w:rPr>
              <w:t>(54,601 )</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(32,410 )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(67,869 )</w:t>
            </w:r>
          </w:p>
        </w:tc>
        <w:tc>
          <w:tcPr>
            <w:tcW w:w="4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(2,125 )</w:t>
            </w:r>
          </w:p>
        </w:tc>
      </w:tr>
      <w:tr>
        <w:trPr>
          <w:trHeight w:val="22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95,629</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166,259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72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(26,841 )</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131,724</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-179070</wp:posOffset>
            </wp:positionV>
            <wp:extent cx="68580" cy="1797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22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During the year ended December 31, 2022, net cash used in operating activities was $54.6 million, primarily due to our net loss of $58.8 million and an increase in prepaid expenses and other assets related to clinical and CRO prepayments for bel-sar, partially offset by an increase in stock compensation expense.</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During the year ended December 31, 2021, net cash used in operating activities was $32.4 million, primarily due to our net loss of $35.3 million and increase in prepaid expenses and other assets related to clinical trials, partially offset by the non-cash charge related to stock compensation expense, an increase in accrued expenses and other liabilities related to personnel expenses, and clinical trials and increase in accounts payable related to the timing of vendor invoicing and payments.</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Net cash used in investing activities for the year ended December 31, 2022 was $67.9 million, primarily due to purchases of marketable securities and property and equipment, partially offset by proceeds from sale and maturities of marketable securities.</w:t>
      </w:r>
    </w:p>
    <w:p>
      <w:pPr>
        <w:spacing w:after="0" w:line="19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Net cash used in investing activities for the year ended December 31, 2021 was $2.1 million, primarily due to purchases of property and equipment.</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8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During the year ended December 31, 2022, net cash provided by financing activities was $95.6 million from the net proceeds from the follow-on offering, ATM draw-downs, and proceeds from stock option exercises.</w:t>
      </w:r>
    </w:p>
    <w:p>
      <w:pPr>
        <w:spacing w:after="0" w:line="19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During the year ended December 31, 2021, net cash provided by financing activities was $166.3 million from the net proceeds from the IPO, the sale of Series E convertible preferred stock, the second tranche of the Series D-2 convertible preferred stock, and proceeds from stock options exercises.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02" w:name="page103"/>
    <w:bookmarkEnd w:id="102"/>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28" w:lineRule="exact"/>
        <w:rPr>
          <w:sz w:val="20"/>
          <w:szCs w:val="20"/>
          <w:color w:val="auto"/>
        </w:rPr>
      </w:pPr>
    </w:p>
    <w:p>
      <w:pPr>
        <w:ind w:left="1020" w:hanging="369"/>
        <w:spacing w:after="0" w:line="245"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3"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28"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addressing any potential interruptions or delays resulting from factors related to the ongoing COVID-19 pandemic;</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35" w:lineRule="exact"/>
        <w:rPr>
          <w:rFonts w:ascii="Arial" w:cs="Arial" w:eastAsia="Arial" w:hAnsi="Arial"/>
          <w:sz w:val="18"/>
          <w:szCs w:val="18"/>
          <w:color w:val="auto"/>
        </w:rPr>
      </w:pPr>
    </w:p>
    <w:p>
      <w:pPr>
        <w:ind w:left="1020" w:hanging="369"/>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December 31, 2022, we had cash and cash equivalents and marketable securities of $188.8 million. Based on our research and development plans, we believe that our existing cash and cash equivalents, will be sufficient to fund our operations into 2025. We have based this estimate on assumptions that may prove to be wrong, and we could exhaust our available capital resources sooner than we expect.</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03" w:name="page104"/>
    <w:bookmarkEnd w:id="103"/>
    <w:p>
      <w:pPr>
        <w:jc w:val="both"/>
        <w:ind w:firstLine="509"/>
        <w:spacing w:after="0" w:line="237"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rPr>
              <w:t>Payments Due by Period</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5"/>
        </w:trPr>
        <w:tc>
          <w:tcPr>
            <w:tcW w:w="3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jc w:val="right"/>
              <w:ind w:right="99"/>
              <w:spacing w:after="0" w:line="155" w:lineRule="exact"/>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3"/>
                <w:szCs w:val="13"/>
                <w:color w:val="auto"/>
              </w:rPr>
            </w:pPr>
          </w:p>
        </w:tc>
        <w:tc>
          <w:tcPr>
            <w:tcW w:w="1160" w:type="dxa"/>
            <w:vAlign w:val="bottom"/>
            <w:gridSpan w:val="2"/>
          </w:tcPr>
          <w:p>
            <w:pPr>
              <w:ind w:left="320"/>
              <w:spacing w:after="0" w:line="155" w:lineRule="exact"/>
              <w:rPr>
                <w:sz w:val="20"/>
                <w:szCs w:val="20"/>
                <w:color w:val="auto"/>
              </w:rPr>
            </w:pPr>
            <w:r>
              <w:rPr>
                <w:rFonts w:ascii="Arial" w:cs="Arial" w:eastAsia="Arial" w:hAnsi="Arial"/>
                <w:sz w:val="14"/>
                <w:szCs w:val="14"/>
                <w:b w:val="1"/>
                <w:bCs w:val="1"/>
                <w:color w:val="auto"/>
              </w:rPr>
              <w:t>1 to 3</w:t>
            </w:r>
          </w:p>
        </w:tc>
        <w:tc>
          <w:tcPr>
            <w:tcW w:w="200" w:type="dxa"/>
            <w:vAlign w:val="bottom"/>
          </w:tcPr>
          <w:p>
            <w:pPr>
              <w:spacing w:after="0"/>
              <w:rPr>
                <w:sz w:val="13"/>
                <w:szCs w:val="13"/>
                <w:color w:val="auto"/>
              </w:rPr>
            </w:pPr>
          </w:p>
        </w:tc>
        <w:tc>
          <w:tcPr>
            <w:tcW w:w="1100" w:type="dxa"/>
            <w:vAlign w:val="bottom"/>
          </w:tcPr>
          <w:p>
            <w:pPr>
              <w:jc w:val="right"/>
              <w:ind w:right="279"/>
              <w:spacing w:after="0" w:line="155" w:lineRule="exact"/>
              <w:rPr>
                <w:sz w:val="20"/>
                <w:szCs w:val="20"/>
                <w:color w:val="auto"/>
              </w:rPr>
            </w:pPr>
            <w:r>
              <w:rPr>
                <w:rFonts w:ascii="Arial" w:cs="Arial" w:eastAsia="Arial" w:hAnsi="Arial"/>
                <w:sz w:val="14"/>
                <w:szCs w:val="14"/>
                <w:b w:val="1"/>
                <w:bCs w:val="1"/>
                <w:color w:val="auto"/>
              </w:rPr>
              <w:t>3 to 5</w:t>
            </w:r>
          </w:p>
        </w:tc>
        <w:tc>
          <w:tcPr>
            <w:tcW w:w="340" w:type="dxa"/>
            <w:vAlign w:val="bottom"/>
          </w:tcPr>
          <w:p>
            <w:pPr>
              <w:spacing w:after="0"/>
              <w:rPr>
                <w:sz w:val="13"/>
                <w:szCs w:val="13"/>
                <w:color w:val="auto"/>
              </w:rPr>
            </w:pPr>
          </w:p>
        </w:tc>
        <w:tc>
          <w:tcPr>
            <w:tcW w:w="1160" w:type="dxa"/>
            <w:vAlign w:val="bottom"/>
          </w:tcPr>
          <w:p>
            <w:pPr>
              <w:jc w:val="right"/>
              <w:ind w:right="159"/>
              <w:spacing w:after="0" w:line="155" w:lineRule="exact"/>
              <w:rPr>
                <w:sz w:val="20"/>
                <w:szCs w:val="20"/>
                <w:color w:val="auto"/>
              </w:rPr>
            </w:pPr>
            <w:r>
              <w:rPr>
                <w:rFonts w:ascii="Arial" w:cs="Arial" w:eastAsia="Arial" w:hAnsi="Arial"/>
                <w:sz w:val="14"/>
                <w:szCs w:val="14"/>
                <w:b w:val="1"/>
                <w:bCs w:val="1"/>
                <w:color w:val="auto"/>
              </w:rPr>
              <w:t>More than</w:t>
            </w:r>
          </w:p>
        </w:tc>
        <w:tc>
          <w:tcPr>
            <w:tcW w:w="100" w:type="dxa"/>
            <w:vAlign w:val="bottom"/>
          </w:tcPr>
          <w:p>
            <w:pPr>
              <w:spacing w:after="0"/>
              <w:rPr>
                <w:sz w:val="13"/>
                <w:szCs w:val="13"/>
                <w:color w:val="auto"/>
              </w:rPr>
            </w:pPr>
          </w:p>
        </w:tc>
      </w:tr>
      <w:tr>
        <w:trPr>
          <w:trHeight w:val="188"/>
        </w:trPr>
        <w:tc>
          <w:tcPr>
            <w:tcW w:w="3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6"/>
                <w:szCs w:val="16"/>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1 Year</w:t>
            </w:r>
          </w:p>
        </w:tc>
        <w:tc>
          <w:tcPr>
            <w:tcW w:w="340" w:type="dxa"/>
            <w:vAlign w:val="bottom"/>
          </w:tcPr>
          <w:p>
            <w:pPr>
              <w:spacing w:after="0"/>
              <w:rPr>
                <w:sz w:val="16"/>
                <w:szCs w:val="16"/>
                <w:color w:val="auto"/>
              </w:rPr>
            </w:pPr>
          </w:p>
        </w:tc>
        <w:tc>
          <w:tcPr>
            <w:tcW w:w="10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6"/>
                <w:szCs w:val="16"/>
                <w:color w:val="auto"/>
              </w:rPr>
            </w:pPr>
          </w:p>
        </w:tc>
        <w:tc>
          <w:tcPr>
            <w:tcW w:w="11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r>
      <w:tr>
        <w:trPr>
          <w:trHeight w:val="222"/>
        </w:trPr>
        <w:tc>
          <w:tcPr>
            <w:tcW w:w="3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commitments(1)</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33,949</w:t>
            </w: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6,902</w:t>
            </w:r>
          </w:p>
        </w:tc>
        <w:tc>
          <w:tcPr>
            <w:tcW w:w="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33,949</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6,506</w:t>
            </w:r>
          </w:p>
        </w:tc>
        <w:tc>
          <w:tcPr>
            <w:tcW w:w="14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-179070</wp:posOffset>
            </wp:positionV>
            <wp:extent cx="76835" cy="1797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4340860</wp:posOffset>
            </wp:positionH>
            <wp:positionV relativeFrom="paragraph">
              <wp:posOffset>-179070</wp:posOffset>
            </wp:positionV>
            <wp:extent cx="68580" cy="1797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-179070</wp:posOffset>
            </wp:positionV>
            <wp:extent cx="68580" cy="1797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-179070</wp:posOffset>
            </wp:positionV>
            <wp:extent cx="68580" cy="1797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8553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5345" cy="8255"/>
                    </a:xfrm>
                    <a:prstGeom prst="rect">
                      <a:avLst/>
                    </a:prstGeom>
                    <a:noFill/>
                  </pic:spPr>
                </pic:pic>
              </a:graphicData>
            </a:graphic>
          </wp:anchor>
        </w:drawing>
      </w:r>
    </w:p>
    <w:p>
      <w:pPr>
        <w:spacing w:after="0" w:line="208" w:lineRule="exact"/>
        <w:rPr>
          <w:sz w:val="20"/>
          <w:szCs w:val="20"/>
          <w:color w:val="auto"/>
        </w:rPr>
      </w:pPr>
    </w:p>
    <w:p>
      <w:pPr>
        <w:ind w:left="380" w:hanging="372"/>
        <w:spacing w:after="0" w:line="245" w:lineRule="auto"/>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19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On May 16, 2022, we entered into an office and laboratory lease in Boston, MA with an initial 10-year term and one renewal option to extend the lease for an additional seven years. The lease commenced on August 1, 2022.</w:t>
      </w:r>
    </w:p>
    <w:p>
      <w:pPr>
        <w:spacing w:after="0" w:line="197"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or U.S. GAAP.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While our significant accounting policies are described in greater detail in Note 2 to our consolidated financial statements appearing elsewhere in this Annual Report on Form 10-K, we believe that the following accounting policies are those most critical to the judgments and estimates used in the preparation of our consolidated financial statements.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04" w:name="page105"/>
    <w:bookmarkEnd w:id="104"/>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expense all costs in performing research and development activities in the periods in which they are incurred.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spacing w:after="0" w:line="201"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We make estimates of our accrued expenses as of each balance sheet date in the consolidated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8"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We account for our stock-based compensation as expense in the consolidated statements of operations and comprehensive loss based on the awards’ grant date fair values. We account for forfeitures as they occur by reversing any expense recognized for unvested awards.</w:t>
      </w:r>
    </w:p>
    <w:p>
      <w:pPr>
        <w:spacing w:after="0" w:line="20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 xml:space="preserve">For grants of restricted stock units, we base the fair value on the stock price as of the date of grant. We estimate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Securities and Exchange Commission, or SEC, Staff Accounting Bulletin, or SAB,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 The fair value of stock-based payments is recognized as expense over the requisite service period which is generally the vesting period. Prior to our IPO, there was no public market for our common stock, and consequently, the estimated fair value of our common stock was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In the periods following the IPO, the fair value of our common stock is determined based on the quoted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See Note 2 in our consolidated financial statements included elsewhere in this Annual Report on Form 10-K for a description of recent accounting pronouncements applicable to our consolidated financial statements. Other than as disclosed in our consolidated financial statements, we do not expect that any recently issued accounting standards will have a material impact on our consolidated financial statements or will otherwise apply to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However, we did early adopt ASU No. 2016-02, Leases (</w:t>
      </w:r>
      <w:r>
        <w:rPr>
          <w:rFonts w:ascii="Arial" w:cs="Arial" w:eastAsia="Arial" w:hAnsi="Arial"/>
          <w:sz w:val="18"/>
          <w:szCs w:val="18"/>
          <w:i w:val="1"/>
          <w:iCs w:val="1"/>
          <w:color w:val="auto"/>
        </w:rPr>
        <w:t>Topic 842</w:t>
      </w:r>
      <w:r>
        <w:rPr>
          <w:rFonts w:ascii="Arial" w:cs="Arial" w:eastAsia="Arial" w:hAnsi="Arial"/>
          <w:sz w:val="18"/>
          <w:szCs w:val="18"/>
          <w:color w:val="auto"/>
        </w:rPr>
        <w:t>) effective January 1, 2021 as disclosed in Note 2 to our consolidated financial statements appearing elsewhere in this Annual Report on Form 10-K.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20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$1.07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IPO.</w:t>
      </w:r>
    </w:p>
    <w:p>
      <w:pPr>
        <w:spacing w:after="0" w:line="203"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39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EGCs, smaller reporting companies have reduced disclosure obligations regarding executive compensation.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95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 item.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9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Our consolidated financial statements, together with the report of our independent registered public accounting firm, appear beginning on page F-1 of this Annual Report for the year ended December 31, 2022.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i w:val="1"/>
          <w:iCs w:val="1"/>
          <w:color w:val="auto"/>
        </w:rPr>
        <w:t>.</w:t>
      </w:r>
    </w:p>
    <w:p>
      <w:pPr>
        <w:spacing w:after="0" w:line="219" w:lineRule="exact"/>
        <w:rPr>
          <w:sz w:val="20"/>
          <w:szCs w:val="20"/>
          <w:color w:val="auto"/>
        </w:rPr>
      </w:pPr>
    </w:p>
    <w:p>
      <w:pPr>
        <w:jc w:val="both"/>
        <w:ind w:firstLine="561"/>
        <w:spacing w:after="0" w:line="23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90" w:lineRule="exact"/>
        <w:rPr>
          <w:sz w:val="20"/>
          <w:szCs w:val="20"/>
          <w:color w:val="auto"/>
        </w:rPr>
      </w:pPr>
    </w:p>
    <w:p>
      <w:pPr>
        <w:jc w:val="both"/>
        <w:ind w:firstLine="561"/>
        <w:spacing w:after="0" w:line="238" w:lineRule="auto"/>
        <w:rPr>
          <w:sz w:val="20"/>
          <w:szCs w:val="20"/>
          <w:color w:val="auto"/>
        </w:rPr>
      </w:pPr>
      <w:r>
        <w:rPr>
          <w:rFonts w:ascii="Arial" w:cs="Arial" w:eastAsia="Arial" w:hAnsi="Arial"/>
          <w:sz w:val="18"/>
          <w:szCs w:val="18"/>
          <w:color w:val="auto"/>
        </w:rPr>
        <w:t>As of December 31, 2022, our management, under the supervision of our Chief Executive Officer and Chief Financial Officer, performed an evaluation of the effectiveness of our disclosure controls and procedures. Based on this evaluation, our Chief Executive Officer and Chief Financial Officer concluded that our disclosure controls and procedures were effective at the reasonable assurance level as of December 31, 2022.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19" w:lineRule="exact"/>
        <w:rPr>
          <w:sz w:val="20"/>
          <w:szCs w:val="20"/>
          <w:color w:val="auto"/>
        </w:rPr>
      </w:pPr>
    </w:p>
    <w:p>
      <w:pPr>
        <w:jc w:val="both"/>
        <w:ind w:firstLine="561"/>
        <w:spacing w:after="0" w:line="237" w:lineRule="auto"/>
        <w:rPr>
          <w:sz w:val="20"/>
          <w:szCs w:val="20"/>
          <w:color w:val="auto"/>
        </w:rPr>
      </w:pPr>
      <w:r>
        <w:rPr>
          <w:rFonts w:ascii="Arial" w:cs="Arial" w:eastAsia="Arial" w:hAnsi="Arial"/>
          <w:sz w:val="18"/>
          <w:szCs w:val="18"/>
          <w:color w:val="auto"/>
        </w:rPr>
        <w:t>Our management is responsible for establishing and maintaining an adequate system of internal control over financial reporting, as defined in the Exchange Act Rule 13a-15(f). Management conducted an assessment of our internal control over financial reporting based on the framework established in 2013 by the Committee of Sponsoring Organizations of the Treadway Commission in Internal Control— Integrated Framework. Based on the assessment, management concluded that, as of December 31, 2022, our internal control over financial reporting was effective.</w:t>
      </w:r>
    </w:p>
    <w:p>
      <w:pPr>
        <w:spacing w:after="0" w:line="190" w:lineRule="exact"/>
        <w:rPr>
          <w:sz w:val="20"/>
          <w:szCs w:val="20"/>
          <w:color w:val="auto"/>
        </w:rPr>
      </w:pPr>
    </w:p>
    <w:p>
      <w:pPr>
        <w:jc w:val="both"/>
        <w:ind w:firstLine="561"/>
        <w:spacing w:after="0" w:line="239"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as required by Section 404(c) of the Sarbanes Oxley Act of 2002. Because we qualify as an emerging growth company under the JOBS Act, management's report was not subject to attestation by our independent registered public accounting firm.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9" w:lineRule="exact"/>
        <w:rPr>
          <w:sz w:val="20"/>
          <w:szCs w:val="20"/>
          <w:color w:val="auto"/>
        </w:rPr>
      </w:pPr>
    </w:p>
    <w:p>
      <w:pPr>
        <w:jc w:val="both"/>
        <w:ind w:firstLine="569"/>
        <w:spacing w:after="0" w:line="236" w:lineRule="auto"/>
        <w:rPr>
          <w:sz w:val="20"/>
          <w:szCs w:val="20"/>
          <w:color w:val="auto"/>
        </w:rPr>
      </w:pPr>
      <w:r>
        <w:rPr>
          <w:rFonts w:ascii="Arial" w:cs="Arial" w:eastAsia="Arial" w:hAnsi="Arial"/>
          <w:sz w:val="18"/>
          <w:szCs w:val="18"/>
          <w:color w:val="auto"/>
        </w:rPr>
        <w:t>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07" w:name="page108"/>
    <w:bookmarkEnd w:id="107"/>
    <w:p>
      <w:pPr>
        <w:jc w:val="both"/>
        <w:ind w:firstLine="569"/>
        <w:spacing w:after="0" w:line="236"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2022, our disclosure controls and procedures were effective to provide reasonable assurance that the information required to be disclosed by us in this Annual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9" w:lineRule="exact"/>
        <w:rPr>
          <w:sz w:val="20"/>
          <w:szCs w:val="20"/>
          <w:color w:val="auto"/>
        </w:rPr>
      </w:pPr>
    </w:p>
    <w:p>
      <w:pPr>
        <w:jc w:val="both"/>
        <w:ind w:firstLine="561"/>
        <w:spacing w:after="0" w:line="239" w:lineRule="auto"/>
        <w:rPr>
          <w:sz w:val="20"/>
          <w:szCs w:val="20"/>
          <w:color w:val="auto"/>
        </w:rPr>
      </w:pPr>
      <w:r>
        <w:rPr>
          <w:rFonts w:ascii="Arial" w:cs="Arial" w:eastAsia="Arial" w:hAnsi="Arial"/>
          <w:sz w:val="18"/>
          <w:szCs w:val="18"/>
          <w:color w:val="auto"/>
        </w:rPr>
        <w:t>There was no changes in our internal control over financial reporting identified in connection with the evaluation required by Rule 13a-15(d) and 15d-15(d) of the Exchange Act that occurred during the year ended December 31, 2022, that have materially affected, or is reasonably likely to materially affect, our internal controls over financial reporting.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219" w:lineRule="exact"/>
        <w:rPr>
          <w:sz w:val="20"/>
          <w:szCs w:val="20"/>
          <w:color w:val="auto"/>
        </w:rPr>
      </w:pPr>
    </w:p>
    <w:p>
      <w:pPr>
        <w:jc w:val="both"/>
        <w:ind w:firstLine="561"/>
        <w:spacing w:after="0" w:line="239"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due to a transition period established by rules of the SEC for newly public companies. Additionally, our independent registered public accounting firm will not be required to opine on our internal control over financial reporting until we are no longer an emerging growth company.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PART III</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642"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PART IV</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84" w:lineRule="exact"/>
        <w:rPr>
          <w:sz w:val="20"/>
          <w:szCs w:val="20"/>
          <w:color w:val="auto"/>
        </w:rPr>
      </w:pPr>
    </w:p>
    <w:p>
      <w:pPr>
        <w:ind w:left="1020" w:hanging="503"/>
        <w:spacing w:after="0" w:line="24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For a list of the consolidated financial statements included herein, see Index to the Consolidated Financial Statements on page F-1 of this Annual Report on Form 10-K, incorporated into this Item by reference.</w:t>
      </w:r>
    </w:p>
    <w:p>
      <w:pPr>
        <w:spacing w:after="0" w:line="62"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they are either not required or not applicable or the information is included in the financial statements or the notes thereto.</w:t>
      </w:r>
    </w:p>
    <w:p>
      <w:pPr>
        <w:spacing w:after="0" w:line="48"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tcPr>
          <w:p>
            <w:pPr>
              <w:ind w:left="380"/>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8"/>
        </w:trPr>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gridSpan w:val="11"/>
          </w:tcPr>
          <w:p>
            <w:pPr>
              <w:ind w:left="980"/>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124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20" w:type="dxa"/>
            <w:vAlign w:val="bottom"/>
            <w:gridSpan w:val="16"/>
          </w:tcPr>
          <w:p>
            <w:pPr>
              <w:spacing w:after="0" w:line="169" w:lineRule="exact"/>
              <w:rPr>
                <w:rFonts w:ascii="Arial" w:cs="Arial" w:eastAsia="Arial" w:hAnsi="Arial"/>
                <w:sz w:val="18"/>
                <w:szCs w:val="18"/>
                <w:color w:val="0000FF"/>
                <w:w w:val="99"/>
              </w:rPr>
            </w:pPr>
            <w:hyperlink r:id="rId164">
              <w:r>
                <w:rPr>
                  <w:rFonts w:ascii="Arial" w:cs="Arial" w:eastAsia="Arial" w:hAnsi="Arial"/>
                  <w:sz w:val="18"/>
                  <w:szCs w:val="18"/>
                  <w:color w:val="0000FF"/>
                  <w:w w:val="99"/>
                </w:rPr>
                <w:t>Tenth Amended and Restated Certificate of Incorporation of Registrant, as currently in effect (incorporated by reference to</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4">
              <w:r>
                <w:rPr>
                  <w:rFonts w:ascii="Arial" w:cs="Arial" w:eastAsia="Arial" w:hAnsi="Arial"/>
                  <w:sz w:val="18"/>
                  <w:szCs w:val="18"/>
                  <w:color w:val="0000FF"/>
                </w:rPr>
                <w:t>Exhibit 3.1 of the Registrants’ Annual Report on Form 10-K (File No. 001-40971))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65">
              <w:r>
                <w:rPr>
                  <w:rFonts w:ascii="Arial" w:cs="Arial" w:eastAsia="Arial" w:hAnsi="Arial"/>
                  <w:sz w:val="18"/>
                  <w:szCs w:val="18"/>
                  <w:color w:val="0000FF"/>
                </w:rPr>
                <w:t>Amended and Restated Bylaws of Registrant, as currently in effect (incorporated by reference to Exhibit 3.2 of the</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5">
              <w:r>
                <w:rPr>
                  <w:rFonts w:ascii="Arial" w:cs="Arial" w:eastAsia="Arial" w:hAnsi="Arial"/>
                  <w:sz w:val="18"/>
                  <w:szCs w:val="18"/>
                  <w:color w:val="0000FF"/>
                </w:rPr>
                <w:t>Registrants’ Annual Report on Form 10-K (File No. 001-40971))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sz w:val="20"/>
                <w:szCs w:val="20"/>
                <w:color w:val="auto"/>
              </w:rPr>
            </w:pPr>
            <w:r>
              <w:rPr>
                <w:rFonts w:ascii="Arial" w:cs="Arial" w:eastAsia="Arial" w:hAnsi="Arial"/>
                <w:sz w:val="18"/>
                <w:szCs w:val="18"/>
                <w:color w:val="0000FF"/>
              </w:rPr>
              <w:t>Description of Securities</w:t>
            </w: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4.2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66">
              <w:r>
                <w:rPr>
                  <w:rFonts w:ascii="Arial" w:cs="Arial" w:eastAsia="Arial" w:hAnsi="Arial"/>
                  <w:sz w:val="18"/>
                  <w:szCs w:val="18"/>
                  <w:color w:val="0000FF"/>
                </w:rPr>
                <w:t>Fifth Amended and Restated Investors’ Rights Agreement (incorporated by reference to Exhibit 4.2 of the Registrant’s</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6">
              <w:r>
                <w:rPr>
                  <w:rFonts w:ascii="Arial" w:cs="Arial" w:eastAsia="Arial" w:hAnsi="Arial"/>
                  <w:sz w:val="18"/>
                  <w:szCs w:val="18"/>
                  <w:color w:val="0000FF"/>
                </w:rPr>
                <w:t>Registration Statement on Form S-1 (File No. 333-260156) filed on October 8,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67">
              <w:r>
                <w:rPr>
                  <w:rFonts w:ascii="Arial" w:cs="Arial" w:eastAsia="Arial" w:hAnsi="Arial"/>
                  <w:sz w:val="18"/>
                  <w:szCs w:val="18"/>
                  <w:color w:val="0000FF"/>
                </w:rPr>
                <w:t>2009 Amended and Restated Stock Option and Restricted Stock Plan, and form of award agreements thereunder</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(incorporated by reference to Exhibit 10.1 of the Registrant’s Registration Statement on Form S-8 (File No. 333-260589)</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7">
              <w:r>
                <w:rPr>
                  <w:rFonts w:ascii="Arial" w:cs="Arial" w:eastAsia="Arial" w:hAnsi="Arial"/>
                  <w:sz w:val="18"/>
                  <w:szCs w:val="18"/>
                  <w:color w:val="0000FF"/>
                </w:rPr>
                <w:t>filed on October 29,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10.2#</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68">
              <w:r>
                <w:rPr>
                  <w:rFonts w:ascii="Arial" w:cs="Arial" w:eastAsia="Arial" w:hAnsi="Arial"/>
                  <w:sz w:val="18"/>
                  <w:szCs w:val="18"/>
                  <w:color w:val="0000FF"/>
                </w:rPr>
                <w:t>2018 Equity Incentive Plan, and form of award agreements thereunder (incorporated by reference to Exhibit 10.2 of the</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tcBorders>
              <w:right w:val="single" w:sz="8" w:color="0000FF"/>
            </w:tcBorders>
            <w:gridSpan w:val="3"/>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Registrant’s Registration Statement 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00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10.3#</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69">
              <w:r>
                <w:rPr>
                  <w:rFonts w:ascii="Arial" w:cs="Arial" w:eastAsia="Arial" w:hAnsi="Arial"/>
                  <w:sz w:val="18"/>
                  <w:szCs w:val="18"/>
                  <w:color w:val="0000FF"/>
                </w:rPr>
                <w:t>2021 Stock Option and Incentive Plan, and form of award agreements thereunder (incorporated by reference to Exhibit</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900" w:type="dxa"/>
            <w:vAlign w:val="bottom"/>
            <w:tcBorders>
              <w:right w:val="single" w:sz="8" w:color="0000FF"/>
            </w:tcBorders>
            <w:gridSpan w:val="4"/>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3</w:t>
              </w:r>
              <w:r>
                <w:rPr>
                  <w:rFonts w:ascii="Arial" w:cs="Arial" w:eastAsia="Arial" w:hAnsi="Arial"/>
                  <w:sz w:val="18"/>
                  <w:szCs w:val="18"/>
                  <w:color w:val="0000FF"/>
                </w:rPr>
                <w:t xml:space="preserve"> of the Registrant’s Registration Statement 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2900" w:type="dxa"/>
            <w:vAlign w:val="bottom"/>
            <w:tcBorders>
              <w:right w:val="single" w:sz="8" w:color="0000EE"/>
            </w:tcBorders>
            <w:gridSpan w:val="4"/>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w w:val="99"/>
              </w:rPr>
            </w:pPr>
            <w:hyperlink r:id="rId170">
              <w:r>
                <w:rPr>
                  <w:rFonts w:ascii="Arial" w:cs="Arial" w:eastAsia="Arial" w:hAnsi="Arial"/>
                  <w:sz w:val="18"/>
                  <w:szCs w:val="18"/>
                  <w:color w:val="0000FF"/>
                  <w:w w:val="99"/>
                </w:rPr>
                <w:t>2021 Employee Stock Purchase Plan (incorporated by reference to Exhibit 10.4 of the Registrant’s Registration Statement</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34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0">
              <w:r>
                <w:rPr>
                  <w:rFonts w:ascii="Arial" w:cs="Arial" w:eastAsia="Arial" w:hAnsi="Arial"/>
                  <w:sz w:val="18"/>
                  <w:szCs w:val="18"/>
                  <w:color w:val="0000FF"/>
                </w:rPr>
                <w:t>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10.5#</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71">
              <w:r>
                <w:rPr>
                  <w:rFonts w:ascii="Arial" w:cs="Arial" w:eastAsia="Arial" w:hAnsi="Arial"/>
                  <w:sz w:val="18"/>
                  <w:szCs w:val="18"/>
                  <w:color w:val="0000FF"/>
                </w:rPr>
                <w:t>Non-Employee Director Compensation Policy (incorporated by reference to Exhibit 10.5 of the Registrant’s Registration</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2320" w:type="dxa"/>
            <w:vAlign w:val="bottom"/>
            <w:tcBorders>
              <w:right w:val="single" w:sz="8" w:color="0000FF"/>
            </w:tcBorders>
            <w:gridSpan w:val="3"/>
            <w:shd w:val="clear" w:color="auto" w:fill="0000FF"/>
          </w:tcPr>
          <w:p>
            <w:pPr>
              <w:spacing w:after="0" w:line="20" w:lineRule="exact"/>
              <w:rPr>
                <w:sz w:val="1"/>
                <w:szCs w:val="1"/>
                <w:color w:val="auto"/>
              </w:rPr>
            </w:pPr>
          </w:p>
        </w:tc>
        <w:tc>
          <w:tcPr>
            <w:tcW w:w="348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1">
              <w:r>
                <w:rPr>
                  <w:rFonts w:ascii="Arial" w:cs="Arial" w:eastAsia="Arial" w:hAnsi="Arial"/>
                  <w:sz w:val="18"/>
                  <w:szCs w:val="18"/>
                  <w:color w:val="0000FF"/>
                </w:rPr>
                <w:t>Statement 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2320" w:type="dxa"/>
            <w:vAlign w:val="bottom"/>
            <w:tcBorders>
              <w:right w:val="single" w:sz="8" w:color="0000EE"/>
            </w:tcBorders>
            <w:gridSpan w:val="3"/>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72">
              <w:r>
                <w:rPr>
                  <w:rFonts w:ascii="Arial" w:cs="Arial" w:eastAsia="Arial" w:hAnsi="Arial"/>
                  <w:sz w:val="18"/>
                  <w:szCs w:val="18"/>
                  <w:color w:val="0000FF"/>
                </w:rPr>
                <w:t>Senior Executive Cash Bonus Plan (incorporated by reference to Exhibit 10.6 of the Registrant’s Registration Statement</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8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2">
              <w:r>
                <w:rPr>
                  <w:rFonts w:ascii="Arial" w:cs="Arial" w:eastAsia="Arial" w:hAnsi="Arial"/>
                  <w:sz w:val="18"/>
                  <w:szCs w:val="18"/>
                  <w:color w:val="0000FF"/>
                </w:rPr>
                <w:t>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240" w:type="dxa"/>
            <w:vAlign w:val="bottom"/>
          </w:tcPr>
          <w:p>
            <w:pPr>
              <w:ind w:left="20"/>
              <w:spacing w:after="0" w:line="195" w:lineRule="exact"/>
              <w:rPr>
                <w:sz w:val="20"/>
                <w:szCs w:val="20"/>
                <w:color w:val="auto"/>
              </w:rPr>
            </w:pPr>
            <w:r>
              <w:rPr>
                <w:rFonts w:ascii="Arial" w:cs="Arial" w:eastAsia="Arial" w:hAnsi="Arial"/>
                <w:sz w:val="18"/>
                <w:szCs w:val="18"/>
                <w:color w:val="auto"/>
              </w:rPr>
              <w:t>10.7#</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720" w:type="dxa"/>
            <w:vAlign w:val="bottom"/>
            <w:gridSpan w:val="16"/>
          </w:tcPr>
          <w:p>
            <w:pPr>
              <w:spacing w:after="0" w:line="195" w:lineRule="exact"/>
              <w:rPr>
                <w:rFonts w:ascii="Arial" w:cs="Arial" w:eastAsia="Arial" w:hAnsi="Arial"/>
                <w:sz w:val="18"/>
                <w:szCs w:val="18"/>
                <w:color w:val="0000FF"/>
              </w:rPr>
            </w:pPr>
            <w:hyperlink r:id="rId173">
              <w:r>
                <w:rPr>
                  <w:rFonts w:ascii="Arial" w:cs="Arial" w:eastAsia="Arial" w:hAnsi="Arial"/>
                  <w:sz w:val="18"/>
                  <w:szCs w:val="18"/>
                  <w:color w:val="0000FF"/>
                </w:rPr>
                <w:t>Form of Indemnification Agreement between the Registrant and each of its directors and executive officers (incorporated</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8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w w:val="99"/>
              </w:rPr>
            </w:pPr>
            <w:hyperlink r:id="rId173">
              <w:r>
                <w:rPr>
                  <w:rFonts w:ascii="Arial" w:cs="Arial" w:eastAsia="Arial" w:hAnsi="Arial"/>
                  <w:sz w:val="18"/>
                  <w:szCs w:val="18"/>
                  <w:color w:val="0000FF"/>
                  <w:w w:val="99"/>
                </w:rPr>
                <w:t>by reference to Exhibit 10.7 of the Registrant’s Registration Statement on Form S-1 (File No. 333-260156) filed on October</w:t>
              </w:r>
            </w:hyperlink>
          </w:p>
        </w:tc>
      </w:tr>
      <w:tr>
        <w:trPr>
          <w:trHeight w:val="20"/>
        </w:trPr>
        <w:tc>
          <w:tcPr>
            <w:tcW w:w="1240" w:type="dxa"/>
            <w:vAlign w:val="bottom"/>
          </w:tcPr>
          <w:p>
            <w:pPr>
              <w:spacing w:after="0" w:line="20" w:lineRule="exact"/>
              <w:rPr>
                <w:sz w:val="1"/>
                <w:szCs w:val="1"/>
                <w:color w:val="auto"/>
              </w:rPr>
            </w:pPr>
          </w:p>
        </w:tc>
        <w:tc>
          <w:tcPr>
            <w:tcW w:w="280" w:type="dxa"/>
            <w:vAlign w:val="bottom"/>
            <w:tcBorders>
              <w:right w:val="single" w:sz="8" w:color="0000EE"/>
            </w:tcBorders>
            <w:gridSpan w:val="2"/>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1020" w:type="dxa"/>
            <w:vAlign w:val="bottom"/>
            <w:gridSpan w:val="3"/>
          </w:tcPr>
          <w:p>
            <w:pPr>
              <w:ind w:left="240"/>
              <w:spacing w:after="0" w:line="182" w:lineRule="exact"/>
              <w:rPr>
                <w:rFonts w:ascii="Arial" w:cs="Arial" w:eastAsia="Arial" w:hAnsi="Arial"/>
                <w:sz w:val="18"/>
                <w:szCs w:val="18"/>
                <w:color w:val="0000FF"/>
                <w:w w:val="97"/>
              </w:rPr>
            </w:pPr>
            <w:hyperlink r:id="rId173">
              <w:r>
                <w:rPr>
                  <w:rFonts w:ascii="Arial" w:cs="Arial" w:eastAsia="Arial" w:hAnsi="Arial"/>
                  <w:sz w:val="18"/>
                  <w:szCs w:val="18"/>
                  <w:color w:val="0000FF"/>
                  <w:w w:val="97"/>
                </w:rPr>
                <w:t>25, 2021)</w:t>
              </w:r>
            </w:hyperlink>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FF"/>
              </w:rPr>
            </w:pPr>
            <w:hyperlink r:id="rId174">
              <w:r>
                <w:rPr>
                  <w:rFonts w:ascii="Arial" w:cs="Arial" w:eastAsia="Arial" w:hAnsi="Arial"/>
                  <w:sz w:val="18"/>
                  <w:szCs w:val="18"/>
                  <w:color w:val="0000FF"/>
                </w:rPr>
                <w:t>Employment Agreement between the Registrant and Elisabet de los Pinos, dated January 1, 2015, as amended on</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8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October 13, 2017 (incorporated by reference to Exhibit 10.8 of the Registrant’s Registration Statement on Form S-1 (File</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FF"/>
            </w:tcBorders>
            <w:gridSpan w:val="2"/>
            <w:shd w:val="clear" w:color="auto" w:fill="0000FF"/>
          </w:tcPr>
          <w:p>
            <w:pPr>
              <w:spacing w:after="0" w:line="20" w:lineRule="exact"/>
              <w:rPr>
                <w:sz w:val="1"/>
                <w:szCs w:val="1"/>
                <w:color w:val="auto"/>
              </w:rPr>
            </w:pPr>
          </w:p>
        </w:tc>
        <w:tc>
          <w:tcPr>
            <w:tcW w:w="580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4">
              <w:r>
                <w:rPr>
                  <w:rFonts w:ascii="Arial" w:cs="Arial" w:eastAsia="Arial" w:hAnsi="Arial"/>
                  <w:sz w:val="18"/>
                  <w:szCs w:val="18"/>
                  <w:color w:val="0000FF"/>
                </w:rPr>
                <w:t>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520" w:type="dxa"/>
            <w:vAlign w:val="bottom"/>
            <w:tcBorders>
              <w:right w:val="single" w:sz="8" w:color="0000EE"/>
            </w:tcBorders>
            <w:gridSpan w:val="2"/>
            <w:shd w:val="clear" w:color="auto" w:fill="0000FF"/>
          </w:tcPr>
          <w:p>
            <w:pPr>
              <w:spacing w:after="0" w:line="20" w:lineRule="exact"/>
              <w:rPr>
                <w:sz w:val="1"/>
                <w:szCs w:val="1"/>
                <w:color w:val="auto"/>
              </w:rPr>
            </w:pPr>
          </w:p>
        </w:tc>
        <w:tc>
          <w:tcPr>
            <w:tcW w:w="58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FF"/>
              </w:rPr>
            </w:pPr>
            <w:hyperlink r:id="rId175">
              <w:r>
                <w:rPr>
                  <w:rFonts w:ascii="Arial" w:cs="Arial" w:eastAsia="Arial" w:hAnsi="Arial"/>
                  <w:sz w:val="18"/>
                  <w:szCs w:val="18"/>
                  <w:color w:val="0000FF"/>
                </w:rPr>
                <w:t>Employment Offer Letter between the Registrant and Julie Feder, dated August 10, 2018 (incorporated by reference to</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320" w:type="dxa"/>
            <w:vAlign w:val="bottom"/>
            <w:tcBorders>
              <w:right w:val="single" w:sz="8" w:color="0000FF"/>
            </w:tcBorders>
            <w:gridSpan w:val="10"/>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5">
              <w:r>
                <w:rPr>
                  <w:rFonts w:ascii="Arial" w:cs="Arial" w:eastAsia="Arial" w:hAnsi="Arial"/>
                  <w:sz w:val="18"/>
                  <w:szCs w:val="18"/>
                  <w:color w:val="0000FF"/>
                </w:rPr>
                <w:t>Exhibit 10.9 of the Registrant’s Registration Statement 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320" w:type="dxa"/>
            <w:vAlign w:val="bottom"/>
            <w:tcBorders>
              <w:right w:val="single" w:sz="8" w:color="0000EE"/>
            </w:tcBorders>
            <w:gridSpan w:val="10"/>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FF"/>
              </w:rPr>
            </w:pPr>
            <w:hyperlink r:id="rId176">
              <w:r>
                <w:rPr>
                  <w:rFonts w:ascii="Arial" w:cs="Arial" w:eastAsia="Arial" w:hAnsi="Arial"/>
                  <w:sz w:val="18"/>
                  <w:szCs w:val="18"/>
                  <w:color w:val="0000FF"/>
                </w:rPr>
                <w:t>Employment Offer Letter between the Registrant and Cadmus Rich, dated October 14, 2017 (incorporated by reference to</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420" w:type="dxa"/>
            <w:vAlign w:val="bottom"/>
            <w:tcBorders>
              <w:right w:val="single" w:sz="8" w:color="0000FF"/>
            </w:tcBorders>
            <w:gridSpan w:val="11"/>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6">
              <w:r>
                <w:rPr>
                  <w:rFonts w:ascii="Arial" w:cs="Arial" w:eastAsia="Arial" w:hAnsi="Arial"/>
                  <w:sz w:val="18"/>
                  <w:szCs w:val="18"/>
                  <w:color w:val="0000FF"/>
                </w:rPr>
                <w:t>Exhibit 10.10 of the Registrant’s Registration Statement on Form S-1 (File No. 333-260156) filed on October 25, 2021)</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420" w:type="dxa"/>
            <w:vAlign w:val="bottom"/>
            <w:tcBorders>
              <w:right w:val="single" w:sz="8" w:color="0000EE"/>
            </w:tcBorders>
            <w:gridSpan w:val="11"/>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240" w:type="dxa"/>
            <w:vAlign w:val="bottom"/>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16"/>
          </w:tcPr>
          <w:p>
            <w:pPr>
              <w:spacing w:after="0"/>
              <w:rPr>
                <w:rFonts w:ascii="Arial" w:cs="Arial" w:eastAsia="Arial" w:hAnsi="Arial"/>
                <w:sz w:val="18"/>
                <w:szCs w:val="18"/>
                <w:color w:val="0000FF"/>
              </w:rPr>
            </w:pPr>
            <w:hyperlink r:id="rId177">
              <w:r>
                <w:rPr>
                  <w:rFonts w:ascii="Arial" w:cs="Arial" w:eastAsia="Arial" w:hAnsi="Arial"/>
                  <w:sz w:val="18"/>
                  <w:szCs w:val="18"/>
                  <w:color w:val="0000FF"/>
                </w:rPr>
                <w:t>Exclusive Patent License Agreement with the National Institutes of Health, dated September 3, 2013 as amended</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760" w:type="dxa"/>
            <w:vAlign w:val="bottom"/>
            <w:gridSpan w:val="1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(incorporated by reference to Exhibit 10.11 of the Registrant’s Registration Statement on Form S-1 (File No. 333-260156)</w:t>
              </w:r>
            </w:hyperlink>
          </w:p>
        </w:tc>
      </w:tr>
      <w:tr>
        <w:trPr>
          <w:trHeight w:val="20"/>
        </w:trPr>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7760" w:type="dxa"/>
            <w:vAlign w:val="bottom"/>
            <w:gridSpan w:val="1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720" w:type="dxa"/>
            <w:vAlign w:val="bottom"/>
            <w:gridSpan w:val="16"/>
          </w:tcPr>
          <w:p>
            <w:pPr>
              <w:spacing w:after="0" w:line="182" w:lineRule="exact"/>
              <w:rPr>
                <w:rFonts w:ascii="Arial" w:cs="Arial" w:eastAsia="Arial" w:hAnsi="Arial"/>
                <w:sz w:val="18"/>
                <w:szCs w:val="18"/>
                <w:color w:val="0000FF"/>
              </w:rPr>
            </w:pPr>
            <w:hyperlink r:id="rId177">
              <w:r>
                <w:rPr>
                  <w:rFonts w:ascii="Arial" w:cs="Arial" w:eastAsia="Arial" w:hAnsi="Arial"/>
                  <w:sz w:val="18"/>
                  <w:szCs w:val="18"/>
                  <w:color w:val="0000FF"/>
                </w:rPr>
                <w:t>filed on October 8, 2021)</w:t>
              </w:r>
            </w:hyperlink>
          </w:p>
        </w:tc>
      </w:tr>
      <w:tr>
        <w:trPr>
          <w:trHeight w:val="667"/>
        </w:trPr>
        <w:tc>
          <w:tcPr>
            <w:tcW w:w="124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940" w:type="dxa"/>
            <w:vAlign w:val="bottom"/>
            <w:tcBorders>
              <w:top w:val="single" w:sz="8" w:color="0000FF"/>
            </w:tcBorders>
            <w:gridSpan w:val="3"/>
          </w:tcPr>
          <w:p>
            <w:pPr>
              <w:spacing w:after="0"/>
              <w:rPr>
                <w:sz w:val="24"/>
                <w:szCs w:val="24"/>
                <w:color w:val="auto"/>
              </w:rPr>
            </w:pPr>
          </w:p>
        </w:tc>
        <w:tc>
          <w:tcPr>
            <w:tcW w:w="2960" w:type="dxa"/>
            <w:vAlign w:val="bottom"/>
            <w:gridSpan w:val="3"/>
          </w:tcPr>
          <w:p>
            <w:pPr>
              <w:jc w:val="right"/>
              <w:ind w:right="568"/>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0" w:name="page111"/>
    <w:bookmarkEnd w:id="110"/>
    <w:tbl>
      <w:tblPr>
        <w:tblLayout w:type="fixed"/>
        <w:tblInd w:w="20" w:type="dxa"/>
        <w:tblCellMar>
          <w:top w:w="0" w:type="dxa"/>
          <w:left w:w="0" w:type="dxa"/>
          <w:bottom w:w="0" w:type="dxa"/>
          <w:right w:w="0" w:type="dxa"/>
        </w:tblCellMar>
      </w:tblPr>
      <w:tr>
        <w:trPr>
          <w:trHeight w:val="207"/>
        </w:trPr>
        <w:tc>
          <w:tcPr>
            <w:tcW w:w="1480" w:type="dxa"/>
            <w:vAlign w:val="bottom"/>
          </w:tcPr>
          <w:p>
            <w:pPr>
              <w:spacing w:after="0"/>
              <w:rPr>
                <w:sz w:val="20"/>
                <w:szCs w:val="20"/>
                <w:color w:val="auto"/>
              </w:rPr>
            </w:pPr>
            <w:r>
              <w:rPr>
                <w:rFonts w:ascii="Arial" w:cs="Arial" w:eastAsia="Arial" w:hAnsi="Arial"/>
                <w:sz w:val="18"/>
                <w:szCs w:val="18"/>
                <w:color w:val="auto"/>
              </w:rPr>
              <w:t>10.12†</w:t>
            </w:r>
          </w:p>
        </w:tc>
        <w:tc>
          <w:tcPr>
            <w:tcW w:w="9740" w:type="dxa"/>
            <w:vAlign w:val="bottom"/>
            <w:gridSpan w:val="11"/>
          </w:tcPr>
          <w:p>
            <w:pPr>
              <w:spacing w:after="0"/>
              <w:rPr>
                <w:rFonts w:ascii="Arial" w:cs="Arial" w:eastAsia="Arial" w:hAnsi="Arial"/>
                <w:sz w:val="18"/>
                <w:szCs w:val="18"/>
                <w:color w:val="0000FF"/>
              </w:rPr>
            </w:pPr>
            <w:hyperlink r:id="rId180">
              <w:r>
                <w:rPr>
                  <w:rFonts w:ascii="Arial" w:cs="Arial" w:eastAsia="Arial" w:hAnsi="Arial"/>
                  <w:sz w:val="18"/>
                  <w:szCs w:val="18"/>
                  <w:color w:val="0000FF"/>
                </w:rPr>
                <w:t>Exclusive License and Supply Agreement with LI-COR, Inc., dated January 31, 2014, as amended (incorporated by</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reference to Exhibit 10.12 of the Registrant’s Registration Statement on Form S-1 (File No. 333-260156) filed on October</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2580" w:type="dxa"/>
            <w:vAlign w:val="bottom"/>
            <w:gridSpan w:val="2"/>
          </w:tcPr>
          <w:p>
            <w:pPr>
              <w:spacing w:after="0" w:line="182" w:lineRule="exact"/>
              <w:rPr>
                <w:rFonts w:ascii="Arial" w:cs="Arial" w:eastAsia="Arial" w:hAnsi="Arial"/>
                <w:sz w:val="18"/>
                <w:szCs w:val="18"/>
                <w:color w:val="0000FF"/>
              </w:rPr>
            </w:pPr>
            <w:hyperlink r:id="rId180">
              <w:r>
                <w:rPr>
                  <w:rFonts w:ascii="Arial" w:cs="Arial" w:eastAsia="Arial" w:hAnsi="Arial"/>
                  <w:sz w:val="18"/>
                  <w:szCs w:val="18"/>
                  <w:color w:val="0000FF"/>
                </w:rPr>
                <w:t>8, 2021)</w:t>
              </w:r>
            </w:hyperlink>
          </w:p>
        </w:tc>
        <w:tc>
          <w:tcPr>
            <w:tcW w:w="2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10.13†</w:t>
            </w:r>
          </w:p>
        </w:tc>
        <w:tc>
          <w:tcPr>
            <w:tcW w:w="9740" w:type="dxa"/>
            <w:vAlign w:val="bottom"/>
            <w:gridSpan w:val="11"/>
          </w:tcPr>
          <w:p>
            <w:pPr>
              <w:spacing w:after="0"/>
              <w:rPr>
                <w:rFonts w:ascii="Arial" w:cs="Arial" w:eastAsia="Arial" w:hAnsi="Arial"/>
                <w:sz w:val="18"/>
                <w:szCs w:val="18"/>
                <w:color w:val="0000FF"/>
              </w:rPr>
            </w:pPr>
            <w:hyperlink r:id="rId181">
              <w:r>
                <w:rPr>
                  <w:rFonts w:ascii="Arial" w:cs="Arial" w:eastAsia="Arial" w:hAnsi="Arial"/>
                  <w:sz w:val="18"/>
                  <w:szCs w:val="18"/>
                  <w:color w:val="0000FF"/>
                </w:rPr>
                <w:t>License Agreement with Clearside Biomedical, Inc., dated July 3, 2019 (incorporated by reference to Exhibit 10.13 of the</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181">
              <w:r>
                <w:rPr>
                  <w:rFonts w:ascii="Arial" w:cs="Arial" w:eastAsia="Arial" w:hAnsi="Arial"/>
                  <w:sz w:val="18"/>
                  <w:szCs w:val="18"/>
                  <w:color w:val="0000FF"/>
                </w:rPr>
                <w:t>Registrant’s Registration Statement on Form S-1 (File No. 333-260156) filed on October 8, 2021)</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10.14</w:t>
            </w:r>
          </w:p>
        </w:tc>
        <w:tc>
          <w:tcPr>
            <w:tcW w:w="9740" w:type="dxa"/>
            <w:vAlign w:val="bottom"/>
            <w:gridSpan w:val="11"/>
          </w:tcPr>
          <w:p>
            <w:pPr>
              <w:spacing w:after="0"/>
              <w:rPr>
                <w:rFonts w:ascii="Arial" w:cs="Arial" w:eastAsia="Arial" w:hAnsi="Arial"/>
                <w:sz w:val="18"/>
                <w:szCs w:val="18"/>
                <w:color w:val="0000FF"/>
                <w:w w:val="99"/>
              </w:rPr>
            </w:pPr>
            <w:hyperlink r:id="rId182">
              <w:r>
                <w:rPr>
                  <w:rFonts w:ascii="Arial" w:cs="Arial" w:eastAsia="Arial" w:hAnsi="Arial"/>
                  <w:sz w:val="18"/>
                  <w:szCs w:val="18"/>
                  <w:color w:val="0000FF"/>
                  <w:w w:val="99"/>
                </w:rPr>
                <w:t>Lease Agreement with Bolton Street Partners, LLC, dated June 9, 2011, as amended (incorporated by reference to Exhibit</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14</w:t>
              </w:r>
              <w:r>
                <w:rPr>
                  <w:rFonts w:ascii="Arial" w:cs="Arial" w:eastAsia="Arial" w:hAnsi="Arial"/>
                  <w:sz w:val="18"/>
                  <w:szCs w:val="18"/>
                  <w:color w:val="0000FF"/>
                </w:rPr>
                <w:t xml:space="preserve"> of the Registrant’s Registration Statement on Form S-1 (File No. 333-260156) filed on October 8, 2021)</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480" w:type="dxa"/>
            <w:vAlign w:val="bottom"/>
          </w:tcPr>
          <w:p>
            <w:pPr>
              <w:spacing w:after="0" w:line="195" w:lineRule="exact"/>
              <w:rPr>
                <w:sz w:val="20"/>
                <w:szCs w:val="20"/>
                <w:color w:val="auto"/>
              </w:rPr>
            </w:pPr>
            <w:r>
              <w:rPr>
                <w:rFonts w:ascii="Arial" w:cs="Arial" w:eastAsia="Arial" w:hAnsi="Arial"/>
                <w:sz w:val="18"/>
                <w:szCs w:val="18"/>
                <w:color w:val="auto"/>
              </w:rPr>
              <w:t>10.15</w:t>
            </w:r>
          </w:p>
        </w:tc>
        <w:tc>
          <w:tcPr>
            <w:tcW w:w="9740" w:type="dxa"/>
            <w:vAlign w:val="bottom"/>
            <w:gridSpan w:val="11"/>
          </w:tcPr>
          <w:p>
            <w:pPr>
              <w:spacing w:after="0" w:line="195" w:lineRule="exact"/>
              <w:rPr>
                <w:rFonts w:ascii="Arial" w:cs="Arial" w:eastAsia="Arial" w:hAnsi="Arial"/>
                <w:sz w:val="18"/>
                <w:szCs w:val="18"/>
                <w:color w:val="0000FF"/>
              </w:rPr>
            </w:pPr>
            <w:hyperlink r:id="rId183">
              <w:r>
                <w:rPr>
                  <w:rFonts w:ascii="Arial" w:cs="Arial" w:eastAsia="Arial" w:hAnsi="Arial"/>
                  <w:sz w:val="18"/>
                  <w:szCs w:val="18"/>
                  <w:color w:val="0000FF"/>
                </w:rPr>
                <w:t>Lease Agreement, between Registrant and Ice Box, LLC, dated as of May 16, 2022 (incorporated by reference to Exhibit</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of the Registrant’s Quarterly Report on Form 10-Q (File No. 001-40971) filed on August 11, 2022)</w:t>
              </w:r>
            </w:hyperlink>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FF"/>
            </w:tcBorders>
            <w:gridSpan w:val="2"/>
            <w:shd w:val="clear" w:color="auto" w:fill="0000FF"/>
          </w:tcPr>
          <w:p>
            <w:pPr>
              <w:spacing w:after="0" w:line="20" w:lineRule="exact"/>
              <w:rPr>
                <w:sz w:val="1"/>
                <w:szCs w:val="1"/>
                <w:color w:val="auto"/>
              </w:rPr>
            </w:pPr>
          </w:p>
        </w:tc>
        <w:tc>
          <w:tcPr>
            <w:tcW w:w="21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21.1*</w:t>
            </w:r>
          </w:p>
        </w:tc>
        <w:tc>
          <w:tcPr>
            <w:tcW w:w="9740" w:type="dxa"/>
            <w:vAlign w:val="bottom"/>
            <w:gridSpan w:val="11"/>
          </w:tcPr>
          <w:p>
            <w:pPr>
              <w:spacing w:after="0"/>
              <w:rPr>
                <w:sz w:val="20"/>
                <w:szCs w:val="20"/>
                <w:color w:val="auto"/>
              </w:rPr>
            </w:pPr>
            <w:r>
              <w:rPr>
                <w:rFonts w:ascii="Arial" w:cs="Arial" w:eastAsia="Arial" w:hAnsi="Arial"/>
                <w:sz w:val="18"/>
                <w:szCs w:val="18"/>
                <w:color w:val="0000FF"/>
              </w:rPr>
              <w:t>List of Subsidiaries of Registrant</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2580" w:type="dxa"/>
            <w:vAlign w:val="bottom"/>
            <w:tcBorders>
              <w:right w:val="single" w:sz="8" w:color="0000EE"/>
            </w:tcBorders>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23.1*</w:t>
            </w:r>
          </w:p>
        </w:tc>
        <w:tc>
          <w:tcPr>
            <w:tcW w:w="9740" w:type="dxa"/>
            <w:vAlign w:val="bottom"/>
            <w:gridSpan w:val="11"/>
          </w:tcPr>
          <w:p>
            <w:pPr>
              <w:spacing w:after="0"/>
              <w:rPr>
                <w:sz w:val="20"/>
                <w:szCs w:val="20"/>
                <w:color w:val="auto"/>
              </w:rPr>
            </w:pPr>
            <w:r>
              <w:rPr>
                <w:rFonts w:ascii="Arial" w:cs="Arial" w:eastAsia="Arial" w:hAnsi="Arial"/>
                <w:sz w:val="18"/>
                <w:szCs w:val="18"/>
                <w:color w:val="0000FF"/>
              </w:rPr>
              <w:t>Consent of Ernst &amp; Young, independent registered public accounting firm.</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31.1*</w:t>
            </w:r>
          </w:p>
        </w:tc>
        <w:tc>
          <w:tcPr>
            <w:tcW w:w="97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sz w:val="20"/>
                <w:szCs w:val="20"/>
                <w:color w:val="auto"/>
              </w:rPr>
            </w:pPr>
            <w:r>
              <w:rPr>
                <w:rFonts w:ascii="Arial" w:cs="Arial" w:eastAsia="Arial" w:hAnsi="Arial"/>
                <w:sz w:val="18"/>
                <w:szCs w:val="18"/>
                <w:color w:val="0000FF"/>
              </w:rPr>
              <w:t>of 1934, as Adopted Pursuant to Section 302 of the Sarbanes-Oxley Act of 2002.</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31.2*</w:t>
            </w:r>
          </w:p>
        </w:tc>
        <w:tc>
          <w:tcPr>
            <w:tcW w:w="9740" w:type="dxa"/>
            <w:vAlign w:val="bottom"/>
            <w:gridSpan w:val="11"/>
          </w:tcPr>
          <w:p>
            <w:pPr>
              <w:spacing w:after="0"/>
              <w:rPr>
                <w:sz w:val="20"/>
                <w:szCs w:val="20"/>
                <w:color w:val="auto"/>
              </w:rPr>
            </w:pPr>
            <w:r>
              <w:rPr>
                <w:rFonts w:ascii="Arial" w:cs="Arial" w:eastAsia="Arial" w:hAnsi="Arial"/>
                <w:sz w:val="18"/>
                <w:szCs w:val="18"/>
                <w:color w:val="0000FF"/>
                <w:w w:val="99"/>
              </w:rPr>
              <w:t>Certification of Principal Financial Officer Pursuant to Rules 13a-14(a) and 15d-14(a) under the Securities Exchange Act of</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FF"/>
            </w:tcBorders>
            <w:gridSpan w:val="2"/>
            <w:shd w:val="clear" w:color="auto" w:fill="0000FF"/>
          </w:tcPr>
          <w:p>
            <w:pPr>
              <w:spacing w:after="0" w:line="20" w:lineRule="exact"/>
              <w:rPr>
                <w:sz w:val="1"/>
                <w:szCs w:val="1"/>
                <w:color w:val="auto"/>
              </w:rPr>
            </w:pPr>
          </w:p>
        </w:tc>
        <w:tc>
          <w:tcPr>
            <w:tcW w:w="35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sz w:val="20"/>
                <w:szCs w:val="20"/>
                <w:color w:val="auto"/>
              </w:rPr>
            </w:pPr>
            <w:r>
              <w:rPr>
                <w:rFonts w:ascii="Arial" w:cs="Arial" w:eastAsia="Arial" w:hAnsi="Arial"/>
                <w:sz w:val="18"/>
                <w:szCs w:val="18"/>
                <w:color w:val="0000FF"/>
              </w:rPr>
              <w:t>1934, as Adopted Pursuant to Section 302 of the Sarbanes-Oxley Act of 2002.</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1460" w:type="dxa"/>
            <w:vAlign w:val="bottom"/>
            <w:tcBorders>
              <w:right w:val="single" w:sz="8" w:color="0000EE"/>
            </w:tcBorders>
            <w:gridSpan w:val="2"/>
            <w:shd w:val="clear" w:color="auto" w:fill="0000FF"/>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1"/>
        </w:trPr>
        <w:tc>
          <w:tcPr>
            <w:tcW w:w="1480" w:type="dxa"/>
            <w:vAlign w:val="bottom"/>
          </w:tcPr>
          <w:p>
            <w:pPr>
              <w:spacing w:after="0"/>
              <w:rPr>
                <w:sz w:val="20"/>
                <w:szCs w:val="20"/>
                <w:color w:val="auto"/>
              </w:rPr>
            </w:pPr>
            <w:r>
              <w:rPr>
                <w:rFonts w:ascii="Arial" w:cs="Arial" w:eastAsia="Arial" w:hAnsi="Arial"/>
                <w:sz w:val="18"/>
                <w:szCs w:val="18"/>
                <w:color w:val="auto"/>
              </w:rPr>
              <w:t>32.1**</w:t>
            </w:r>
          </w:p>
        </w:tc>
        <w:tc>
          <w:tcPr>
            <w:tcW w:w="9740" w:type="dxa"/>
            <w:vAlign w:val="bottom"/>
            <w:gridSpan w:val="11"/>
          </w:tcPr>
          <w:p>
            <w:pPr>
              <w:spacing w:after="0"/>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FF"/>
            </w:tcBorders>
            <w:gridSpan w:val="3"/>
            <w:shd w:val="clear" w:color="auto" w:fill="0000FF"/>
          </w:tcPr>
          <w:p>
            <w:pPr>
              <w:spacing w:after="0" w:line="20" w:lineRule="exact"/>
              <w:rPr>
                <w:sz w:val="1"/>
                <w:szCs w:val="1"/>
                <w:color w:val="auto"/>
              </w:rPr>
            </w:pPr>
          </w:p>
        </w:tc>
        <w:tc>
          <w:tcPr>
            <w:tcW w:w="496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82"/>
        </w:trPr>
        <w:tc>
          <w:tcPr>
            <w:tcW w:w="1480" w:type="dxa"/>
            <w:vAlign w:val="bottom"/>
          </w:tcPr>
          <w:p>
            <w:pPr>
              <w:spacing w:after="0"/>
              <w:rPr>
                <w:sz w:val="15"/>
                <w:szCs w:val="15"/>
                <w:color w:val="auto"/>
              </w:rPr>
            </w:pPr>
          </w:p>
        </w:tc>
        <w:tc>
          <w:tcPr>
            <w:tcW w:w="9740" w:type="dxa"/>
            <w:vAlign w:val="bottom"/>
            <w:gridSpan w:val="11"/>
          </w:tcPr>
          <w:p>
            <w:pPr>
              <w:spacing w:after="0" w:line="182" w:lineRule="exact"/>
              <w:rPr>
                <w:sz w:val="20"/>
                <w:szCs w:val="20"/>
                <w:color w:val="auto"/>
              </w:rPr>
            </w:pPr>
            <w:r>
              <w:rPr>
                <w:rFonts w:ascii="Arial" w:cs="Arial" w:eastAsia="Arial" w:hAnsi="Arial"/>
                <w:sz w:val="18"/>
                <w:szCs w:val="18"/>
                <w:color w:val="0000FF"/>
              </w:rPr>
              <w:t>Pursuant to Section 906 of the Sarbanes-Oxley Act of 2002.</w:t>
            </w:r>
          </w:p>
        </w:tc>
      </w:tr>
      <w:tr>
        <w:trPr>
          <w:trHeight w:val="20"/>
        </w:trPr>
        <w:tc>
          <w:tcPr>
            <w:tcW w:w="1480" w:type="dxa"/>
            <w:vAlign w:val="bottom"/>
            <w:tcBorders>
              <w:right w:val="single" w:sz="8" w:color="0000EE"/>
            </w:tcBorders>
          </w:tcPr>
          <w:p>
            <w:pPr>
              <w:spacing w:after="0" w:line="20" w:lineRule="exact"/>
              <w:rPr>
                <w:sz w:val="1"/>
                <w:szCs w:val="1"/>
                <w:color w:val="auto"/>
              </w:rPr>
            </w:pPr>
          </w:p>
        </w:tc>
        <w:tc>
          <w:tcPr>
            <w:tcW w:w="4760" w:type="dxa"/>
            <w:vAlign w:val="bottom"/>
            <w:tcBorders>
              <w:right w:val="single" w:sz="8" w:color="0000EE"/>
            </w:tcBorders>
            <w:gridSpan w:val="3"/>
            <w:shd w:val="clear" w:color="auto" w:fill="0000FF"/>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r>
      <w:tr>
        <w:trPr>
          <w:trHeight w:val="437"/>
        </w:trPr>
        <w:tc>
          <w:tcPr>
            <w:tcW w:w="1480" w:type="dxa"/>
            <w:vAlign w:val="bottom"/>
          </w:tcPr>
          <w:p>
            <w:pPr>
              <w:spacing w:after="0"/>
              <w:rPr>
                <w:sz w:val="20"/>
                <w:szCs w:val="20"/>
                <w:color w:val="auto"/>
              </w:rPr>
            </w:pPr>
            <w:r>
              <w:rPr>
                <w:rFonts w:ascii="Arial" w:cs="Arial" w:eastAsia="Arial" w:hAnsi="Arial"/>
                <w:sz w:val="18"/>
                <w:szCs w:val="18"/>
                <w:color w:val="auto"/>
              </w:rPr>
              <w:t>101.INS</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XBRL tags</w:t>
            </w:r>
          </w:p>
        </w:tc>
      </w:tr>
      <w:tr>
        <w:trPr>
          <w:trHeight w:val="216"/>
        </w:trPr>
        <w:tc>
          <w:tcPr>
            <w:tcW w:w="1480" w:type="dxa"/>
            <w:vAlign w:val="bottom"/>
          </w:tcPr>
          <w:p>
            <w:pPr>
              <w:spacing w:after="0"/>
              <w:rPr>
                <w:sz w:val="18"/>
                <w:szCs w:val="18"/>
                <w:color w:val="auto"/>
              </w:rPr>
            </w:pPr>
          </w:p>
        </w:tc>
        <w:tc>
          <w:tcPr>
            <w:tcW w:w="9740" w:type="dxa"/>
            <w:vAlign w:val="bottom"/>
            <w:gridSpan w:val="11"/>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101.SCH</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101.CAL</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101.DEF</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101.LAB</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1"/>
        </w:trPr>
        <w:tc>
          <w:tcPr>
            <w:tcW w:w="1480" w:type="dxa"/>
            <w:vAlign w:val="bottom"/>
          </w:tcPr>
          <w:p>
            <w:pPr>
              <w:spacing w:after="0"/>
              <w:rPr>
                <w:sz w:val="20"/>
                <w:szCs w:val="20"/>
                <w:color w:val="auto"/>
              </w:rPr>
            </w:pPr>
            <w:r>
              <w:rPr>
                <w:rFonts w:ascii="Arial" w:cs="Arial" w:eastAsia="Arial" w:hAnsi="Arial"/>
                <w:sz w:val="18"/>
                <w:szCs w:val="18"/>
                <w:color w:val="auto"/>
              </w:rPr>
              <w:t>101.PRE</w:t>
            </w:r>
          </w:p>
        </w:tc>
        <w:tc>
          <w:tcPr>
            <w:tcW w:w="9740" w:type="dxa"/>
            <w:vAlign w:val="bottom"/>
            <w:gridSpan w:val="1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15" w:lineRule="exact"/>
        <w:rPr>
          <w:sz w:val="20"/>
          <w:szCs w:val="20"/>
          <w:color w:val="auto"/>
        </w:rPr>
      </w:pPr>
    </w:p>
    <w:p>
      <w:pPr>
        <w:ind w:left="1480" w:hanging="1459"/>
        <w:spacing w:after="0"/>
        <w:tabs>
          <w:tab w:leader="none" w:pos="14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0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297" w:lineRule="exact"/>
        <w:rPr>
          <w:sz w:val="20"/>
          <w:szCs w:val="20"/>
          <w:color w:val="auto"/>
        </w:rPr>
      </w:pPr>
    </w:p>
    <w:p>
      <w:pPr>
        <w:ind w:left="5480" w:right="4240" w:hanging="5472"/>
        <w:spacing w:after="0" w:line="729" w:lineRule="auto"/>
        <w:tabs>
          <w:tab w:leader="none" w:pos="163"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83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bookmarkStart w:id="111" w:name="page112"/>
    <w:bookmarkEnd w:id="111"/>
    <w:p>
      <w:pPr>
        <w:ind w:firstLine="8"/>
        <w:spacing w:after="0" w:line="245" w:lineRule="auto"/>
        <w:tabs>
          <w:tab w:leader="none" w:pos="163"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Confidential treatment has been granted for portions of this Exhibit pursuant to Rule 406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448"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Page</w:t>
            </w:r>
          </w:p>
        </w:tc>
      </w:tr>
      <w:tr>
        <w:trPr>
          <w:trHeight w:val="195"/>
        </w:trPr>
        <w:tc>
          <w:tcPr>
            <w:tcW w:w="20" w:type="dxa"/>
            <w:vAlign w:val="bottom"/>
          </w:tcPr>
          <w:p>
            <w:pPr>
              <w:spacing w:after="0"/>
              <w:rPr>
                <w:sz w:val="17"/>
                <w:szCs w:val="17"/>
                <w:color w:val="auto"/>
              </w:rPr>
            </w:pPr>
          </w:p>
        </w:tc>
        <w:tc>
          <w:tcPr>
            <w:tcW w:w="10600" w:type="dxa"/>
            <w:vAlign w:val="bottom"/>
            <w:gridSpan w:val="9"/>
          </w:tcPr>
          <w:p>
            <w:pPr>
              <w:spacing w:after="0" w:line="195" w:lineRule="exact"/>
              <w:rPr>
                <w:sz w:val="20"/>
                <w:szCs w:val="20"/>
                <w:color w:val="auto"/>
              </w:rPr>
            </w:pPr>
            <w:r>
              <w:rPr>
                <w:rFonts w:ascii="Arial" w:cs="Arial" w:eastAsia="Arial" w:hAnsi="Arial"/>
                <w:sz w:val="18"/>
                <w:szCs w:val="18"/>
                <w:color w:val="0000FF"/>
              </w:rPr>
              <w:t>Report of Independent Registered Public Accounting Firm (PCAOB ID 42)</w:t>
            </w:r>
          </w:p>
        </w:tc>
        <w:tc>
          <w:tcPr>
            <w:tcW w:w="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F-2</w:t>
            </w:r>
          </w:p>
        </w:tc>
        <w:tc>
          <w:tcPr>
            <w:tcW w:w="280" w:type="dxa"/>
            <w:vAlign w:val="bottom"/>
          </w:tcPr>
          <w:p>
            <w:pPr>
              <w:spacing w:after="0"/>
              <w:rPr>
                <w:sz w:val="17"/>
                <w:szCs w:val="17"/>
                <w:color w:val="auto"/>
              </w:rPr>
            </w:pPr>
          </w:p>
        </w:tc>
      </w:tr>
      <w:tr>
        <w:trPr>
          <w:trHeight w:val="209"/>
        </w:trPr>
        <w:tc>
          <w:tcPr>
            <w:tcW w:w="20" w:type="dxa"/>
            <w:vAlign w:val="bottom"/>
            <w:tcBorders>
              <w:bottom w:val="single" w:sz="8" w:color="0000EE"/>
            </w:tcBorders>
          </w:tcPr>
          <w:p>
            <w:pPr>
              <w:spacing w:after="0"/>
              <w:rPr>
                <w:sz w:val="18"/>
                <w:szCs w:val="18"/>
                <w:color w:val="auto"/>
              </w:rPr>
            </w:pPr>
          </w:p>
        </w:tc>
        <w:tc>
          <w:tcPr>
            <w:tcW w:w="23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480" w:type="dxa"/>
            <w:vAlign w:val="bottom"/>
            <w:tcBorders>
              <w:top w:val="single" w:sz="8" w:color="0000FF"/>
            </w:tcBorders>
            <w:gridSpan w:val="5"/>
          </w:tcPr>
          <w:p>
            <w:pPr>
              <w:spacing w:after="0"/>
              <w:rPr>
                <w:sz w:val="18"/>
                <w:szCs w:val="18"/>
                <w:color w:val="auto"/>
              </w:rPr>
            </w:pPr>
          </w:p>
        </w:tc>
        <w:tc>
          <w:tcPr>
            <w:tcW w:w="4740" w:type="dxa"/>
            <w:vAlign w:val="bottom"/>
            <w:gridSpan w:val="2"/>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F-3</w:t>
            </w:r>
          </w:p>
        </w:tc>
      </w:tr>
      <w:tr>
        <w:trPr>
          <w:trHeight w:val="209"/>
        </w:trPr>
        <w:tc>
          <w:tcPr>
            <w:tcW w:w="20" w:type="dxa"/>
            <w:vAlign w:val="bottom"/>
            <w:tcBorders>
              <w:bottom w:val="single" w:sz="8" w:color="0000EE"/>
            </w:tcBorders>
          </w:tcPr>
          <w:p>
            <w:pPr>
              <w:spacing w:after="0"/>
              <w:rPr>
                <w:sz w:val="18"/>
                <w:szCs w:val="18"/>
                <w:color w:val="auto"/>
              </w:rPr>
            </w:pPr>
          </w:p>
        </w:tc>
        <w:tc>
          <w:tcPr>
            <w:tcW w:w="522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9"/>
              </w:rPr>
              <w:t>Consolidated Statements of Operations and Comprehensive Loss</w:t>
            </w:r>
          </w:p>
        </w:tc>
        <w:tc>
          <w:tcPr>
            <w:tcW w:w="20" w:type="dxa"/>
            <w:vAlign w:val="bottom"/>
            <w:tcBorders>
              <w:bottom w:val="single" w:sz="8" w:color="0000EE"/>
            </w:tcBorders>
          </w:tcPr>
          <w:p>
            <w:pPr>
              <w:spacing w:after="0"/>
              <w:rPr>
                <w:sz w:val="18"/>
                <w:szCs w:val="18"/>
                <w:color w:val="auto"/>
              </w:rPr>
            </w:pPr>
          </w:p>
        </w:tc>
        <w:tc>
          <w:tcPr>
            <w:tcW w:w="5360" w:type="dxa"/>
            <w:vAlign w:val="bottom"/>
            <w:gridSpan w:val="3"/>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F-4</w:t>
            </w:r>
          </w:p>
        </w:tc>
      </w:tr>
      <w:tr>
        <w:trPr>
          <w:trHeight w:val="209"/>
        </w:trPr>
        <w:tc>
          <w:tcPr>
            <w:tcW w:w="20" w:type="dxa"/>
            <w:vAlign w:val="bottom"/>
          </w:tcPr>
          <w:p>
            <w:pPr>
              <w:spacing w:after="0"/>
              <w:rPr>
                <w:sz w:val="18"/>
                <w:szCs w:val="18"/>
                <w:color w:val="auto"/>
              </w:rPr>
            </w:pPr>
          </w:p>
        </w:tc>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Statements of Convertible Preferred Stock and Stockholders’ Equity</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F-5</w:t>
            </w:r>
          </w:p>
        </w:tc>
      </w:tr>
      <w:tr>
        <w:trPr>
          <w:trHeight w:val="209"/>
        </w:trPr>
        <w:tc>
          <w:tcPr>
            <w:tcW w:w="20" w:type="dxa"/>
            <w:vAlign w:val="bottom"/>
            <w:tcBorders>
              <w:top w:val="single" w:sz="8" w:color="0000EE"/>
              <w:bottom w:val="single" w:sz="8" w:color="0000EE"/>
            </w:tcBorders>
          </w:tcPr>
          <w:p>
            <w:pPr>
              <w:spacing w:after="0"/>
              <w:rPr>
                <w:sz w:val="18"/>
                <w:szCs w:val="18"/>
                <w:color w:val="auto"/>
              </w:rPr>
            </w:pPr>
          </w:p>
        </w:tc>
        <w:tc>
          <w:tcPr>
            <w:tcW w:w="32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Consolidated Statements of Cash Flows</w:t>
            </w:r>
          </w:p>
        </w:tc>
        <w:tc>
          <w:tcPr>
            <w:tcW w:w="3280" w:type="dxa"/>
            <w:vAlign w:val="bottom"/>
            <w:tcBorders>
              <w:top w:val="single" w:sz="8" w:color="0000FF"/>
            </w:tcBorders>
            <w:gridSpan w:val="5"/>
          </w:tcPr>
          <w:p>
            <w:pPr>
              <w:spacing w:after="0"/>
              <w:rPr>
                <w:sz w:val="18"/>
                <w:szCs w:val="18"/>
                <w:color w:val="auto"/>
              </w:rPr>
            </w:pPr>
          </w:p>
        </w:tc>
        <w:tc>
          <w:tcPr>
            <w:tcW w:w="4120" w:type="dxa"/>
            <w:vAlign w:val="bottom"/>
          </w:tcPr>
          <w:p>
            <w:pPr>
              <w:spacing w:after="0"/>
              <w:rPr>
                <w:sz w:val="18"/>
                <w:szCs w:val="18"/>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F-6</w:t>
            </w:r>
          </w:p>
        </w:tc>
      </w:tr>
      <w:tr>
        <w:trPr>
          <w:trHeight w:val="209"/>
        </w:trPr>
        <w:tc>
          <w:tcPr>
            <w:tcW w:w="20" w:type="dxa"/>
            <w:vAlign w:val="bottom"/>
          </w:tcPr>
          <w:p>
            <w:pPr>
              <w:spacing w:after="0"/>
              <w:rPr>
                <w:sz w:val="18"/>
                <w:szCs w:val="18"/>
                <w:color w:val="auto"/>
              </w:rPr>
            </w:pPr>
          </w:p>
        </w:tc>
        <w:tc>
          <w:tcPr>
            <w:tcW w:w="1060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6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F-7</w:t>
            </w:r>
          </w:p>
        </w:tc>
      </w:tr>
      <w:tr>
        <w:trPr>
          <w:trHeight w:val="667"/>
        </w:trPr>
        <w:tc>
          <w:tcPr>
            <w:tcW w:w="20" w:type="dxa"/>
            <w:vAlign w:val="bottom"/>
          </w:tcPr>
          <w:p>
            <w:pPr>
              <w:spacing w:after="0"/>
              <w:rPr>
                <w:sz w:val="24"/>
                <w:szCs w:val="24"/>
                <w:color w:val="auto"/>
              </w:rPr>
            </w:pPr>
          </w:p>
        </w:tc>
        <w:tc>
          <w:tcPr>
            <w:tcW w:w="2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60" w:type="dxa"/>
            <w:vAlign w:val="bottom"/>
            <w:gridSpan w:val="3"/>
          </w:tcPr>
          <w:p>
            <w:pPr>
              <w:ind w:left="220"/>
              <w:spacing w:after="0"/>
              <w:rPr>
                <w:sz w:val="20"/>
                <w:szCs w:val="20"/>
                <w:color w:val="auto"/>
              </w:rPr>
            </w:pPr>
            <w:r>
              <w:rPr>
                <w:rFonts w:ascii="Arial" w:cs="Arial" w:eastAsia="Arial" w:hAnsi="Arial"/>
                <w:sz w:val="18"/>
                <w:szCs w:val="18"/>
                <w:color w:val="auto"/>
              </w:rPr>
              <w:t>F-1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3" w:name="page114"/>
    <w:bookmarkEnd w:id="113"/>
    <w:p>
      <w:pPr>
        <w:ind w:left="3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Aura Biosciences, Inc.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Aura Biosciences, Inc. (the Company) as of December 31, 2022 and 2021, the related consolidated statements of operations and comprehensive loss, convertible preferred stock and stockholders’ equity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U.S. generally accepted accounting principles.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34" w:lineRule="auto"/>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March 15,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4" w:name="page115"/>
    <w:bookmarkEnd w:id="114"/>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80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82"/>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121,582</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149,063</w:t>
            </w:r>
          </w:p>
        </w:tc>
        <w:tc>
          <w:tcPr>
            <w:tcW w:w="100" w:type="dxa"/>
            <w:vAlign w:val="bottom"/>
            <w:shd w:val="clear" w:color="auto" w:fill="CFF0FC"/>
          </w:tcPr>
          <w:p>
            <w:pPr>
              <w:spacing w:after="0"/>
              <w:rPr>
                <w:sz w:val="16"/>
                <w:szCs w:val="16"/>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67,229</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Restricted cash and deposits</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FF0FC"/>
          </w:tcPr>
          <w:p>
            <w:pPr>
              <w:spacing w:after="0"/>
              <w:rPr>
                <w:sz w:val="16"/>
                <w:szCs w:val="16"/>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7,871</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4,618</w:t>
            </w:r>
          </w:p>
        </w:tc>
        <w:tc>
          <w:tcPr>
            <w:tcW w:w="100" w:type="dxa"/>
            <w:vAlign w:val="bottom"/>
          </w:tcPr>
          <w:p>
            <w:pPr>
              <w:spacing w:after="0"/>
              <w:rPr>
                <w:sz w:val="16"/>
                <w:szCs w:val="16"/>
                <w:color w:val="auto"/>
              </w:rPr>
            </w:pPr>
          </w:p>
        </w:tc>
      </w:tr>
      <w:tr>
        <w:trPr>
          <w:trHeight w:val="182"/>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196,702</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153,704</w:t>
            </w:r>
          </w:p>
        </w:tc>
        <w:tc>
          <w:tcPr>
            <w:tcW w:w="100" w:type="dxa"/>
            <w:vAlign w:val="bottom"/>
            <w:shd w:val="clear" w:color="auto" w:fill="CFF0FC"/>
          </w:tcPr>
          <w:p>
            <w:pPr>
              <w:spacing w:after="0"/>
              <w:rPr>
                <w:sz w:val="15"/>
                <w:szCs w:val="15"/>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Restricted cash and deposits, net of current portion</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768</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r>
      <w:tr>
        <w:trPr>
          <w:trHeight w:val="18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Right of use assets - operating lease</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20,671</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FF0FC"/>
          </w:tcPr>
          <w:p>
            <w:pPr>
              <w:spacing w:after="0"/>
              <w:rPr>
                <w:sz w:val="16"/>
                <w:szCs w:val="16"/>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423</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5,371</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5,251</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8040" w:type="dxa"/>
            <w:vAlign w:val="bottom"/>
          </w:tcPr>
          <w:p>
            <w:pPr>
              <w:ind w:left="200"/>
              <w:spacing w:after="0"/>
              <w:rPr>
                <w:sz w:val="20"/>
                <w:szCs w:val="20"/>
                <w:color w:val="auto"/>
              </w:rPr>
            </w:pPr>
            <w:r>
              <w:rPr>
                <w:rFonts w:ascii="Arial" w:cs="Arial" w:eastAsia="Arial" w:hAnsi="Arial"/>
                <w:sz w:val="14"/>
                <w:szCs w:val="14"/>
                <w:b w:val="1"/>
                <w:bCs w:val="1"/>
                <w:color w:val="auto"/>
              </w:rPr>
              <w:t>Total Assets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223,935</w:t>
            </w:r>
          </w:p>
        </w:tc>
        <w:tc>
          <w:tcPr>
            <w:tcW w:w="28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Pr>
          <w:p>
            <w:pPr>
              <w:spacing w:after="0"/>
              <w:rPr>
                <w:sz w:val="15"/>
                <w:szCs w:val="15"/>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2,921</w:t>
            </w:r>
          </w:p>
        </w:tc>
        <w:tc>
          <w:tcPr>
            <w:tcW w:w="28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2,401</w:t>
            </w:r>
          </w:p>
        </w:tc>
        <w:tc>
          <w:tcPr>
            <w:tcW w:w="100" w:type="dxa"/>
            <w:vAlign w:val="bottom"/>
            <w:shd w:val="clear" w:color="auto" w:fill="CFF0FC"/>
          </w:tcPr>
          <w:p>
            <w:pPr>
              <w:spacing w:after="0"/>
              <w:rPr>
                <w:sz w:val="16"/>
                <w:szCs w:val="16"/>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Short-term operating lease liability</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2,963</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r>
      <w:tr>
        <w:trPr>
          <w:trHeight w:val="189"/>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4,573</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4,339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8040" w:type="dxa"/>
            <w:vAlign w:val="bottom"/>
          </w:tcPr>
          <w:p>
            <w:pPr>
              <w:ind w:left="2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10,457</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7,355</w:t>
            </w:r>
          </w:p>
        </w:tc>
        <w:tc>
          <w:tcPr>
            <w:tcW w:w="100" w:type="dxa"/>
            <w:vAlign w:val="bottom"/>
          </w:tcPr>
          <w:p>
            <w:pPr>
              <w:spacing w:after="0"/>
              <w:rPr>
                <w:sz w:val="15"/>
                <w:szCs w:val="15"/>
                <w:color w:val="auto"/>
              </w:rPr>
            </w:pPr>
          </w:p>
        </w:tc>
      </w:tr>
      <w:tr>
        <w:trPr>
          <w:trHeight w:val="189"/>
        </w:trPr>
        <w:tc>
          <w:tcPr>
            <w:tcW w:w="8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Long-term operating lease liability</w:t>
            </w:r>
          </w:p>
        </w:tc>
        <w:tc>
          <w:tcPr>
            <w:tcW w:w="3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17,895</w:t>
            </w:r>
          </w:p>
        </w:tc>
        <w:tc>
          <w:tcPr>
            <w:tcW w:w="28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8040" w:type="dxa"/>
            <w:vAlign w:val="bottom"/>
          </w:tcPr>
          <w:p>
            <w:pPr>
              <w:ind w:left="200"/>
              <w:spacing w:after="0"/>
              <w:rPr>
                <w:sz w:val="20"/>
                <w:szCs w:val="20"/>
                <w:color w:val="auto"/>
              </w:rPr>
            </w:pPr>
            <w:r>
              <w:rPr>
                <w:rFonts w:ascii="Arial" w:cs="Arial" w:eastAsia="Arial" w:hAnsi="Arial"/>
                <w:sz w:val="14"/>
                <w:szCs w:val="14"/>
                <w:b w:val="1"/>
                <w:bCs w:val="1"/>
                <w:color w:val="auto"/>
              </w:rPr>
              <w:t>Total Liabilities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28,352</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7,715</w:t>
            </w:r>
          </w:p>
        </w:tc>
        <w:tc>
          <w:tcPr>
            <w:tcW w:w="100" w:type="dxa"/>
            <w:vAlign w:val="bottom"/>
          </w:tcPr>
          <w:p>
            <w:pPr>
              <w:spacing w:after="0"/>
              <w:rPr>
                <w:sz w:val="15"/>
                <w:szCs w:val="15"/>
                <w:color w:val="auto"/>
              </w:rPr>
            </w:pPr>
          </w:p>
        </w:tc>
      </w:tr>
      <w:tr>
        <w:trPr>
          <w:trHeight w:val="182"/>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Commitments and Contingencies (Note 12)</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0"/>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Common stock, $0.00001 par value, 150,000,000 authorized at December 31, 2022 and December 31, 2021, and</w:t>
            </w: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0"/>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37,771,918 and 29,211,643 shares issued and outstanding at December 31, 2022 and December 31, 2021, respectively</w:t>
            </w:r>
          </w:p>
        </w:tc>
        <w:tc>
          <w:tcPr>
            <w:tcW w:w="320" w:type="dxa"/>
            <w:vAlign w:val="bottom"/>
            <w:shd w:val="clear" w:color="auto" w:fill="CFF0FC"/>
          </w:tcPr>
          <w:p>
            <w:pPr>
              <w:spacing w:after="0"/>
              <w:rPr>
                <w:sz w:val="14"/>
                <w:szCs w:val="14"/>
                <w:color w:val="auto"/>
              </w:rPr>
            </w:pP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406,555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304,452</w:t>
            </w:r>
          </w:p>
        </w:tc>
        <w:tc>
          <w:tcPr>
            <w:tcW w:w="100" w:type="dxa"/>
            <w:vAlign w:val="bottom"/>
          </w:tcPr>
          <w:p>
            <w:pPr>
              <w:spacing w:after="0"/>
              <w:rPr>
                <w:sz w:val="16"/>
                <w:szCs w:val="16"/>
                <w:color w:val="auto"/>
              </w:rPr>
            </w:pPr>
          </w:p>
        </w:tc>
      </w:tr>
      <w:tr>
        <w:trPr>
          <w:trHeight w:val="189"/>
        </w:trPr>
        <w:tc>
          <w:tcPr>
            <w:tcW w:w="80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Accumulated deficit</w:t>
            </w:r>
          </w:p>
        </w:tc>
        <w:tc>
          <w:tcPr>
            <w:tcW w:w="32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(210,900 )</w:t>
            </w:r>
          </w:p>
        </w:tc>
        <w:tc>
          <w:tcPr>
            <w:tcW w:w="4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(152,137 )</w:t>
            </w:r>
          </w:p>
        </w:tc>
      </w:tr>
      <w:tr>
        <w:trPr>
          <w:trHeight w:val="189"/>
        </w:trPr>
        <w:tc>
          <w:tcPr>
            <w:tcW w:w="804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(72 )</w:t>
            </w:r>
          </w:p>
        </w:tc>
        <w:tc>
          <w:tcPr>
            <w:tcW w:w="4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2"/>
        </w:trPr>
        <w:tc>
          <w:tcPr>
            <w:tcW w:w="80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195,583</w:t>
            </w:r>
          </w:p>
        </w:tc>
        <w:tc>
          <w:tcPr>
            <w:tcW w:w="28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152,315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2"/>
        </w:trPr>
        <w:tc>
          <w:tcPr>
            <w:tcW w:w="8040" w:type="dxa"/>
            <w:vAlign w:val="bottom"/>
          </w:tcPr>
          <w:p>
            <w:pPr>
              <w:ind w:left="380"/>
              <w:spacing w:after="0"/>
              <w:rPr>
                <w:sz w:val="20"/>
                <w:szCs w:val="20"/>
                <w:color w:val="auto"/>
              </w:rPr>
            </w:pPr>
            <w:r>
              <w:rPr>
                <w:rFonts w:ascii="Arial" w:cs="Arial" w:eastAsia="Arial" w:hAnsi="Arial"/>
                <w:sz w:val="14"/>
                <w:szCs w:val="14"/>
                <w:b w:val="1"/>
                <w:bCs w:val="1"/>
                <w:color w:val="auto"/>
              </w:rPr>
              <w:t>Total Liabilities and Stockholders’ Equity</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223,935</w:t>
            </w:r>
          </w:p>
        </w:tc>
        <w:tc>
          <w:tcPr>
            <w:tcW w:w="28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160,030</w:t>
            </w:r>
          </w:p>
        </w:tc>
        <w:tc>
          <w:tcPr>
            <w:tcW w:w="100" w:type="dxa"/>
            <w:vAlign w:val="bottom"/>
          </w:tcPr>
          <w:p>
            <w:pPr>
              <w:spacing w:after="0"/>
              <w:rPr>
                <w:sz w:val="15"/>
                <w:szCs w:val="15"/>
                <w:color w:val="auto"/>
              </w:rPr>
            </w:pPr>
          </w:p>
        </w:tc>
      </w:tr>
      <w:tr>
        <w:trPr>
          <w:trHeight w:val="20"/>
        </w:trPr>
        <w:tc>
          <w:tcPr>
            <w:tcW w:w="8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6000115</wp:posOffset>
            </wp:positionH>
            <wp:positionV relativeFrom="paragraph">
              <wp:posOffset>-2240280</wp:posOffset>
            </wp:positionV>
            <wp:extent cx="68580" cy="1536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-2240280</wp:posOffset>
            </wp:positionV>
            <wp:extent cx="68580" cy="1536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-1487170</wp:posOffset>
            </wp:positionV>
            <wp:extent cx="68580" cy="128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-1487170</wp:posOffset>
            </wp:positionV>
            <wp:extent cx="68580" cy="1282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-1239520</wp:posOffset>
            </wp:positionV>
            <wp:extent cx="68580" cy="1365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-1239520</wp:posOffset>
            </wp:positionV>
            <wp:extent cx="68580" cy="1365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68580" cy="136525"/>
                    </a:xfrm>
                    <a:prstGeom prst="rect">
                      <a:avLst/>
                    </a:prstGeom>
                    <a:noFill/>
                  </pic:spPr>
                </pic:pic>
              </a:graphicData>
            </a:graphic>
          </wp:anchor>
        </w:drawing>
        <w:drawing>
          <wp:anchor simplePos="0" relativeHeight="251657728" behindDoc="1" locked="0" layoutInCell="0" allowOverlap="1">
            <wp:simplePos x="0" y="0"/>
            <wp:positionH relativeFrom="column">
              <wp:posOffset>6000115</wp:posOffset>
            </wp:positionH>
            <wp:positionV relativeFrom="paragraph">
              <wp:posOffset>-153035</wp:posOffset>
            </wp:positionV>
            <wp:extent cx="68580" cy="1536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-153035</wp:posOffset>
            </wp:positionV>
            <wp:extent cx="68580" cy="1536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68580" cy="153670"/>
                    </a:xfrm>
                    <a:prstGeom prst="rect">
                      <a:avLst/>
                    </a:prstGeom>
                    <a:noFill/>
                  </pic:spPr>
                </pic:pic>
              </a:graphicData>
            </a:graphic>
          </wp:anchor>
        </w:drawing>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5" w:name="page116"/>
    <w:bookmarkEnd w:id="115"/>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left="7600"/>
        <w:spacing w:after="0"/>
        <w:rPr>
          <w:sz w:val="20"/>
          <w:szCs w:val="20"/>
          <w:color w:val="auto"/>
        </w:rPr>
      </w:pPr>
      <w:r>
        <w:rPr>
          <w:rFonts w:ascii="Arial" w:cs="Arial" w:eastAsia="Arial" w:hAnsi="Arial"/>
          <w:sz w:val="14"/>
          <w:szCs w:val="14"/>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42,238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25,161</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18,057</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10,089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72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60,295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w:t>
            </w:r>
          </w:p>
        </w:tc>
        <w:tc>
          <w:tcPr>
            <w:tcW w:w="100" w:type="dxa"/>
            <w:vAlign w:val="bottom"/>
          </w:tcPr>
          <w:p>
            <w:pPr>
              <w:spacing w:after="0"/>
              <w:rPr>
                <w:sz w:val="19"/>
                <w:szCs w:val="19"/>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(60,295 )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(35,250 )</w:t>
            </w:r>
          </w:p>
        </w:tc>
      </w:tr>
      <w:tr>
        <w:trPr>
          <w:trHeight w:val="222"/>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Realized loss on marketable securities</w:t>
            </w: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(9 )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Loss on disposal of assets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(318 )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(3 )</w:t>
            </w: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other income (expense)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(58,763 )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(35,251 )</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stockholders—basic and diluted (Note 13)</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(58,763 )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(46,193 )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(1.96 )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(8.95 )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stock outstanding—basic and diluted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29,937,228</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5,159,973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(58,763 )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(35,251 )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Other comprehensive items: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Unrealized loss on marketable securities</w:t>
            </w:r>
          </w:p>
        </w:tc>
        <w:tc>
          <w:tcPr>
            <w:tcW w:w="3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7720" w:type="dxa"/>
            <w:vAlign w:val="bottom"/>
          </w:tcPr>
          <w:p>
            <w:pPr>
              <w:ind w:left="20"/>
              <w:spacing w:after="0"/>
              <w:rPr>
                <w:sz w:val="20"/>
                <w:szCs w:val="20"/>
                <w:color w:val="auto"/>
              </w:rPr>
            </w:pPr>
            <w:r>
              <w:rPr>
                <w:rFonts w:ascii="Arial" w:cs="Arial" w:eastAsia="Arial" w:hAnsi="Arial"/>
                <w:sz w:val="18"/>
                <w:szCs w:val="18"/>
                <w:color w:val="auto"/>
              </w:rPr>
              <w:t>Total other comprehensive loss</w:t>
            </w:r>
          </w:p>
        </w:tc>
        <w:tc>
          <w:tcPr>
            <w:tcW w:w="3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(72 )</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comprehensive loss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(58,835 )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(35,251 )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-2761615</wp:posOffset>
            </wp:positionV>
            <wp:extent cx="685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-2761615</wp:posOffset>
            </wp:positionV>
            <wp:extent cx="685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-2453640</wp:posOffset>
            </wp:positionV>
            <wp:extent cx="68580" cy="1536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-2453640</wp:posOffset>
            </wp:positionV>
            <wp:extent cx="68580" cy="1536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-1564640</wp:posOffset>
            </wp:positionV>
            <wp:extent cx="685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-1564640</wp:posOffset>
            </wp:positionV>
            <wp:extent cx="6858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-940435</wp:posOffset>
            </wp:positionV>
            <wp:extent cx="1231265" cy="1708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1231265" cy="1708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-332740</wp:posOffset>
            </wp:positionV>
            <wp:extent cx="6858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-332740</wp:posOffset>
            </wp:positionV>
            <wp:extent cx="6858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6" w:name="page117"/>
    <w:bookmarkEnd w:id="116"/>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3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gridSpan w:val="3"/>
            <w:vMerge w:val="restart"/>
          </w:tcPr>
          <w:p>
            <w:pPr>
              <w:jc w:val="right"/>
              <w:ind w:right="23"/>
              <w:spacing w:after="0"/>
              <w:rPr>
                <w:sz w:val="20"/>
                <w:szCs w:val="20"/>
                <w:color w:val="auto"/>
              </w:rPr>
            </w:pPr>
            <w:r>
              <w:rPr>
                <w:rFonts w:ascii="Arial" w:cs="Arial" w:eastAsia="Arial" w:hAnsi="Arial"/>
                <w:sz w:val="10"/>
                <w:szCs w:val="10"/>
                <w:b w:val="1"/>
                <w:bCs w:val="1"/>
                <w:color w:val="auto"/>
              </w:rPr>
              <w:t>Convertible Preferred Stock</w:t>
            </w: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3"/>
              </w:rPr>
              <w:t>Addition</w:t>
            </w:r>
          </w:p>
        </w:tc>
        <w:tc>
          <w:tcPr>
            <w:tcW w:w="54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3"/>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20" w:type="dxa"/>
            <w:vAlign w:val="bottom"/>
            <w:tcBorders>
              <w:bottom w:val="single" w:sz="8" w:color="auto"/>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al</w:t>
            </w:r>
          </w:p>
        </w:tc>
        <w:tc>
          <w:tcPr>
            <w:tcW w:w="5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00" w:type="dxa"/>
            <w:vAlign w:val="bottom"/>
            <w:gridSpan w:val="2"/>
            <w:vMerge w:val="restart"/>
          </w:tcPr>
          <w:p>
            <w:pPr>
              <w:jc w:val="right"/>
              <w:ind w:right="263"/>
              <w:spacing w:after="0"/>
              <w:rPr>
                <w:sz w:val="20"/>
                <w:szCs w:val="20"/>
                <w:color w:val="auto"/>
              </w:rPr>
            </w:pPr>
            <w:r>
              <w:rPr>
                <w:rFonts w:ascii="Arial" w:cs="Arial" w:eastAsia="Arial" w:hAnsi="Arial"/>
                <w:sz w:val="10"/>
                <w:szCs w:val="10"/>
                <w:b w:val="1"/>
                <w:bCs w:val="1"/>
                <w:color w:val="auto"/>
              </w:rPr>
              <w:t>Series A</w:t>
            </w:r>
          </w:p>
        </w:tc>
        <w:tc>
          <w:tcPr>
            <w:tcW w:w="1060" w:type="dxa"/>
            <w:vAlign w:val="bottom"/>
            <w:gridSpan w:val="2"/>
            <w:vMerge w:val="restart"/>
          </w:tcPr>
          <w:p>
            <w:pPr>
              <w:jc w:val="right"/>
              <w:ind w:right="264"/>
              <w:spacing w:after="0"/>
              <w:rPr>
                <w:sz w:val="20"/>
                <w:szCs w:val="20"/>
                <w:color w:val="auto"/>
              </w:rPr>
            </w:pPr>
            <w:r>
              <w:rPr>
                <w:rFonts w:ascii="Arial" w:cs="Arial" w:eastAsia="Arial" w:hAnsi="Arial"/>
                <w:sz w:val="10"/>
                <w:szCs w:val="10"/>
                <w:b w:val="1"/>
                <w:bCs w:val="1"/>
                <w:color w:val="auto"/>
              </w:rPr>
              <w:t>Series A-1</w:t>
            </w:r>
          </w:p>
        </w:tc>
        <w:tc>
          <w:tcPr>
            <w:tcW w:w="1240" w:type="dxa"/>
            <w:vAlign w:val="bottom"/>
            <w:gridSpan w:val="2"/>
            <w:vMerge w:val="restart"/>
          </w:tcPr>
          <w:p>
            <w:pPr>
              <w:jc w:val="right"/>
              <w:ind w:right="344"/>
              <w:spacing w:after="0"/>
              <w:rPr>
                <w:sz w:val="20"/>
                <w:szCs w:val="20"/>
                <w:color w:val="auto"/>
              </w:rPr>
            </w:pPr>
            <w:r>
              <w:rPr>
                <w:rFonts w:ascii="Arial" w:cs="Arial" w:eastAsia="Arial" w:hAnsi="Arial"/>
                <w:sz w:val="10"/>
                <w:szCs w:val="10"/>
                <w:b w:val="1"/>
                <w:bCs w:val="1"/>
                <w:color w:val="auto"/>
              </w:rPr>
              <w:t>Series A-2</w:t>
            </w:r>
          </w:p>
        </w:tc>
        <w:tc>
          <w:tcPr>
            <w:tcW w:w="1040" w:type="dxa"/>
            <w:vAlign w:val="bottom"/>
            <w:gridSpan w:val="2"/>
            <w:vMerge w:val="restart"/>
          </w:tcPr>
          <w:p>
            <w:pPr>
              <w:jc w:val="right"/>
              <w:ind w:right="302"/>
              <w:spacing w:after="0"/>
              <w:rPr>
                <w:sz w:val="20"/>
                <w:szCs w:val="20"/>
                <w:color w:val="auto"/>
              </w:rPr>
            </w:pPr>
            <w:r>
              <w:rPr>
                <w:rFonts w:ascii="Arial" w:cs="Arial" w:eastAsia="Arial" w:hAnsi="Arial"/>
                <w:sz w:val="10"/>
                <w:szCs w:val="10"/>
                <w:b w:val="1"/>
                <w:bCs w:val="1"/>
                <w:color w:val="auto"/>
              </w:rPr>
              <w:t>Series B</w:t>
            </w:r>
          </w:p>
        </w:tc>
        <w:tc>
          <w:tcPr>
            <w:tcW w:w="1040" w:type="dxa"/>
            <w:vAlign w:val="bottom"/>
            <w:gridSpan w:val="2"/>
            <w:vMerge w:val="restart"/>
          </w:tcPr>
          <w:p>
            <w:pPr>
              <w:jc w:val="right"/>
              <w:ind w:right="82"/>
              <w:spacing w:after="0"/>
              <w:rPr>
                <w:sz w:val="20"/>
                <w:szCs w:val="20"/>
                <w:color w:val="auto"/>
              </w:rPr>
            </w:pPr>
            <w:r>
              <w:rPr>
                <w:rFonts w:ascii="Arial" w:cs="Arial" w:eastAsia="Arial" w:hAnsi="Arial"/>
                <w:sz w:val="10"/>
                <w:szCs w:val="10"/>
                <w:b w:val="1"/>
                <w:bCs w:val="1"/>
                <w:color w:val="auto"/>
                <w:w w:val="99"/>
              </w:rPr>
              <w:t>Series C-1 and C-2</w:t>
            </w:r>
          </w:p>
        </w:tc>
        <w:tc>
          <w:tcPr>
            <w:tcW w:w="1040" w:type="dxa"/>
            <w:vAlign w:val="bottom"/>
            <w:gridSpan w:val="2"/>
            <w:vMerge w:val="restart"/>
          </w:tcPr>
          <w:p>
            <w:pPr>
              <w:jc w:val="right"/>
              <w:ind w:right="82"/>
              <w:spacing w:after="0"/>
              <w:rPr>
                <w:sz w:val="20"/>
                <w:szCs w:val="20"/>
                <w:color w:val="auto"/>
              </w:rPr>
            </w:pPr>
            <w:r>
              <w:rPr>
                <w:rFonts w:ascii="Arial" w:cs="Arial" w:eastAsia="Arial" w:hAnsi="Arial"/>
                <w:sz w:val="10"/>
                <w:szCs w:val="10"/>
                <w:b w:val="1"/>
                <w:bCs w:val="1"/>
                <w:color w:val="auto"/>
                <w:w w:val="99"/>
              </w:rPr>
              <w:t>Series D-1 and D-2</w:t>
            </w:r>
          </w:p>
        </w:tc>
        <w:tc>
          <w:tcPr>
            <w:tcW w:w="1060" w:type="dxa"/>
            <w:vAlign w:val="bottom"/>
            <w:tcBorders>
              <w:right w:val="single" w:sz="8" w:color="auto"/>
            </w:tcBorders>
            <w:gridSpan w:val="2"/>
            <w:vMerge w:val="restart"/>
          </w:tcPr>
          <w:p>
            <w:pPr>
              <w:jc w:val="right"/>
              <w:ind w:right="323"/>
              <w:spacing w:after="0"/>
              <w:rPr>
                <w:sz w:val="20"/>
                <w:szCs w:val="20"/>
                <w:color w:val="auto"/>
              </w:rPr>
            </w:pPr>
            <w:r>
              <w:rPr>
                <w:rFonts w:ascii="Arial" w:cs="Arial" w:eastAsia="Arial" w:hAnsi="Arial"/>
                <w:sz w:val="10"/>
                <w:szCs w:val="10"/>
                <w:b w:val="1"/>
                <w:bCs w:val="1"/>
                <w:color w:val="auto"/>
              </w:rPr>
              <w:t>Series E</w:t>
            </w:r>
          </w:p>
        </w:tc>
        <w:tc>
          <w:tcPr>
            <w:tcW w:w="900" w:type="dxa"/>
            <w:vAlign w:val="bottom"/>
            <w:gridSpan w:val="2"/>
            <w:vMerge w:val="restart"/>
          </w:tcPr>
          <w:p>
            <w:pPr>
              <w:jc w:val="right"/>
              <w:ind w:right="63"/>
              <w:spacing w:after="0"/>
              <w:rPr>
                <w:sz w:val="20"/>
                <w:szCs w:val="20"/>
                <w:color w:val="auto"/>
              </w:rPr>
            </w:pPr>
            <w:r>
              <w:rPr>
                <w:rFonts w:ascii="Arial" w:cs="Arial" w:eastAsia="Arial" w:hAnsi="Arial"/>
                <w:sz w:val="10"/>
                <w:szCs w:val="10"/>
                <w:b w:val="1"/>
                <w:bCs w:val="1"/>
                <w:color w:val="auto"/>
              </w:rPr>
              <w:t>Common Stock</w:t>
            </w:r>
          </w:p>
        </w:tc>
        <w:tc>
          <w:tcPr>
            <w:tcW w:w="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Paid-In</w:t>
            </w:r>
          </w:p>
        </w:tc>
        <w:tc>
          <w:tcPr>
            <w:tcW w:w="1100" w:type="dxa"/>
            <w:vAlign w:val="bottom"/>
            <w:gridSpan w:val="2"/>
          </w:tcPr>
          <w:p>
            <w:pPr>
              <w:jc w:val="right"/>
              <w:spacing w:after="0"/>
              <w:rPr>
                <w:sz w:val="20"/>
                <w:szCs w:val="20"/>
                <w:color w:val="auto"/>
              </w:rPr>
            </w:pPr>
            <w:r>
              <w:rPr>
                <w:rFonts w:ascii="Arial" w:cs="Arial" w:eastAsia="Arial" w:hAnsi="Arial"/>
                <w:sz w:val="10"/>
                <w:szCs w:val="10"/>
                <w:b w:val="1"/>
                <w:bCs w:val="1"/>
                <w:color w:val="auto"/>
                <w:w w:val="98"/>
              </w:rPr>
              <w:t>Accumulat Stockholde</w:t>
            </w:r>
          </w:p>
        </w:tc>
        <w:tc>
          <w:tcPr>
            <w:tcW w:w="0" w:type="dxa"/>
            <w:vAlign w:val="bottom"/>
          </w:tcPr>
          <w:p>
            <w:pPr>
              <w:spacing w:after="0"/>
              <w:rPr>
                <w:sz w:val="1"/>
                <w:szCs w:val="1"/>
                <w:color w:val="auto"/>
              </w:rPr>
            </w:pPr>
          </w:p>
        </w:tc>
      </w:tr>
      <w:tr>
        <w:trPr>
          <w:trHeight w:val="133"/>
        </w:trPr>
        <w:tc>
          <w:tcPr>
            <w:tcW w:w="1320" w:type="dxa"/>
            <w:vAlign w:val="bottom"/>
          </w:tcPr>
          <w:p>
            <w:pPr>
              <w:spacing w:after="0"/>
              <w:rPr>
                <w:sz w:val="11"/>
                <w:szCs w:val="11"/>
                <w:color w:val="auto"/>
              </w:rPr>
            </w:pPr>
          </w:p>
        </w:tc>
        <w:tc>
          <w:tcPr>
            <w:tcW w:w="1000" w:type="dxa"/>
            <w:vAlign w:val="bottom"/>
            <w:tcBorders>
              <w:bottom w:val="single" w:sz="8" w:color="auto"/>
            </w:tcBorders>
            <w:gridSpan w:val="2"/>
            <w:vMerge w:val="continue"/>
          </w:tcPr>
          <w:p>
            <w:pPr>
              <w:spacing w:after="0"/>
              <w:rPr>
                <w:sz w:val="11"/>
                <w:szCs w:val="11"/>
                <w:color w:val="auto"/>
              </w:rPr>
            </w:pPr>
          </w:p>
        </w:tc>
        <w:tc>
          <w:tcPr>
            <w:tcW w:w="1060" w:type="dxa"/>
            <w:vAlign w:val="bottom"/>
            <w:tcBorders>
              <w:bottom w:val="single" w:sz="8" w:color="auto"/>
            </w:tcBorders>
            <w:gridSpan w:val="2"/>
            <w:vMerge w:val="continue"/>
          </w:tcPr>
          <w:p>
            <w:pPr>
              <w:spacing w:after="0"/>
              <w:rPr>
                <w:sz w:val="11"/>
                <w:szCs w:val="11"/>
                <w:color w:val="auto"/>
              </w:rPr>
            </w:pPr>
          </w:p>
        </w:tc>
        <w:tc>
          <w:tcPr>
            <w:tcW w:w="1240" w:type="dxa"/>
            <w:vAlign w:val="bottom"/>
            <w:tcBorders>
              <w:bottom w:val="single" w:sz="8" w:color="auto"/>
            </w:tcBorders>
            <w:gridSpan w:val="2"/>
            <w:vMerge w:val="continue"/>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040" w:type="dxa"/>
            <w:vAlign w:val="bottom"/>
            <w:tcBorders>
              <w:bottom w:val="single" w:sz="8" w:color="auto"/>
            </w:tcBorders>
            <w:gridSpan w:val="2"/>
            <w:vMerge w:val="continue"/>
          </w:tcPr>
          <w:p>
            <w:pPr>
              <w:spacing w:after="0"/>
              <w:rPr>
                <w:sz w:val="11"/>
                <w:szCs w:val="11"/>
                <w:color w:val="auto"/>
              </w:rPr>
            </w:pPr>
          </w:p>
        </w:tc>
        <w:tc>
          <w:tcPr>
            <w:tcW w:w="1060" w:type="dxa"/>
            <w:vAlign w:val="bottom"/>
            <w:tcBorders>
              <w:bottom w:val="single" w:sz="8" w:color="auto"/>
              <w:right w:val="single" w:sz="8" w:color="auto"/>
            </w:tcBorders>
            <w:gridSpan w:val="2"/>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540" w:type="dxa"/>
            <w:vAlign w:val="bottom"/>
          </w:tcPr>
          <w:p>
            <w:pPr>
              <w:jc w:val="right"/>
              <w:ind w:right="164"/>
              <w:spacing w:after="0"/>
              <w:rPr>
                <w:sz w:val="20"/>
                <w:szCs w:val="20"/>
                <w:color w:val="auto"/>
              </w:rPr>
            </w:pPr>
            <w:r>
              <w:rPr>
                <w:rFonts w:ascii="Arial" w:cs="Arial" w:eastAsia="Arial" w:hAnsi="Arial"/>
                <w:sz w:val="10"/>
                <w:szCs w:val="10"/>
                <w:b w:val="1"/>
                <w:bCs w:val="1"/>
                <w:color w:val="auto"/>
              </w:rPr>
              <w:t>ed</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w w:val="97"/>
              </w:rPr>
              <w:t>rs’</w:t>
            </w: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vMerge w:val="restart"/>
          </w:tcPr>
          <w:p>
            <w:pPr>
              <w:jc w:val="right"/>
              <w:ind w:right="64"/>
              <w:spacing w:after="0"/>
              <w:rPr>
                <w:sz w:val="20"/>
                <w:szCs w:val="20"/>
                <w:color w:val="auto"/>
              </w:rPr>
            </w:pPr>
            <w:r>
              <w:rPr>
                <w:rFonts w:ascii="Arial" w:cs="Arial" w:eastAsia="Arial" w:hAnsi="Arial"/>
                <w:sz w:val="10"/>
                <w:szCs w:val="10"/>
                <w:b w:val="1"/>
                <w:bCs w:val="1"/>
                <w:color w:val="auto"/>
              </w:rPr>
              <w:t>Deficit</w:t>
            </w:r>
          </w:p>
        </w:tc>
        <w:tc>
          <w:tcPr>
            <w:tcW w:w="560" w:type="dxa"/>
            <w:vAlign w:val="bottom"/>
          </w:tcPr>
          <w:p>
            <w:pPr>
              <w:jc w:val="center"/>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62"/>
        </w:trPr>
        <w:tc>
          <w:tcPr>
            <w:tcW w:w="1320" w:type="dxa"/>
            <w:vAlign w:val="bottom"/>
          </w:tcPr>
          <w:p>
            <w:pPr>
              <w:spacing w:after="0"/>
              <w:rPr>
                <w:sz w:val="5"/>
                <w:szCs w:val="5"/>
                <w:color w:val="auto"/>
              </w:rPr>
            </w:pPr>
          </w:p>
        </w:tc>
        <w:tc>
          <w:tcPr>
            <w:tcW w:w="560" w:type="dxa"/>
            <w:vAlign w:val="bottom"/>
            <w:vMerge w:val="restart"/>
          </w:tcPr>
          <w:p>
            <w:pPr>
              <w:jc w:val="right"/>
              <w:ind w:right="84"/>
              <w:spacing w:after="0"/>
              <w:rPr>
                <w:sz w:val="20"/>
                <w:szCs w:val="20"/>
                <w:color w:val="auto"/>
              </w:rPr>
            </w:pPr>
            <w:r>
              <w:rPr>
                <w:rFonts w:ascii="Arial" w:cs="Arial" w:eastAsia="Arial" w:hAnsi="Arial"/>
                <w:sz w:val="10"/>
                <w:szCs w:val="10"/>
                <w:b w:val="1"/>
                <w:bCs w:val="1"/>
                <w:color w:val="auto"/>
              </w:rPr>
              <w:t>Shares</w:t>
            </w:r>
          </w:p>
        </w:tc>
        <w:tc>
          <w:tcPr>
            <w:tcW w:w="440" w:type="dxa"/>
            <w:vAlign w:val="bottom"/>
            <w:vMerge w:val="restart"/>
          </w:tcPr>
          <w:p>
            <w:pPr>
              <w:jc w:val="right"/>
              <w:ind w:right="3"/>
              <w:spacing w:after="0"/>
              <w:rPr>
                <w:sz w:val="20"/>
                <w:szCs w:val="20"/>
                <w:color w:val="auto"/>
              </w:rPr>
            </w:pPr>
            <w:r>
              <w:rPr>
                <w:rFonts w:ascii="Arial" w:cs="Arial" w:eastAsia="Arial" w:hAnsi="Arial"/>
                <w:sz w:val="10"/>
                <w:szCs w:val="10"/>
                <w:b w:val="1"/>
                <w:bCs w:val="1"/>
                <w:color w:val="auto"/>
                <w:w w:val="95"/>
              </w:rPr>
              <w:t>Amount</w:t>
            </w: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3"/>
              </w:rPr>
              <w:t>Shares</w:t>
            </w: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Amount</w:t>
            </w: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Shares</w:t>
            </w: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Amount</w:t>
            </w:r>
          </w:p>
        </w:tc>
        <w:tc>
          <w:tcPr>
            <w:tcW w:w="580" w:type="dxa"/>
            <w:vAlign w:val="bottom"/>
            <w:vMerge w:val="restart"/>
          </w:tcPr>
          <w:p>
            <w:pPr>
              <w:jc w:val="right"/>
              <w:ind w:right="103"/>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restart"/>
          </w:tcPr>
          <w:p>
            <w:pPr>
              <w:jc w:val="right"/>
              <w:ind w:right="2"/>
              <w:spacing w:after="0"/>
              <w:rPr>
                <w:sz w:val="20"/>
                <w:szCs w:val="20"/>
                <w:color w:val="auto"/>
              </w:rPr>
            </w:pPr>
            <w:r>
              <w:rPr>
                <w:rFonts w:ascii="Arial" w:cs="Arial" w:eastAsia="Arial" w:hAnsi="Arial"/>
                <w:sz w:val="10"/>
                <w:szCs w:val="10"/>
                <w:b w:val="1"/>
                <w:bCs w:val="1"/>
                <w:color w:val="auto"/>
              </w:rPr>
              <w:t>Amount</w:t>
            </w:r>
          </w:p>
        </w:tc>
        <w:tc>
          <w:tcPr>
            <w:tcW w:w="580" w:type="dxa"/>
            <w:vAlign w:val="bottom"/>
            <w:vMerge w:val="restart"/>
          </w:tcPr>
          <w:p>
            <w:pPr>
              <w:jc w:val="right"/>
              <w:ind w:right="103"/>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restart"/>
          </w:tcPr>
          <w:p>
            <w:pPr>
              <w:jc w:val="right"/>
              <w:ind w:right="2"/>
              <w:spacing w:after="0"/>
              <w:rPr>
                <w:sz w:val="20"/>
                <w:szCs w:val="20"/>
                <w:color w:val="auto"/>
              </w:rPr>
            </w:pPr>
            <w:r>
              <w:rPr>
                <w:rFonts w:ascii="Arial" w:cs="Arial" w:eastAsia="Arial" w:hAnsi="Arial"/>
                <w:sz w:val="10"/>
                <w:szCs w:val="10"/>
                <w:b w:val="1"/>
                <w:bCs w:val="1"/>
                <w:color w:val="auto"/>
              </w:rPr>
              <w:t>Amount</w:t>
            </w:r>
          </w:p>
        </w:tc>
        <w:tc>
          <w:tcPr>
            <w:tcW w:w="580" w:type="dxa"/>
            <w:vAlign w:val="bottom"/>
            <w:vMerge w:val="restart"/>
          </w:tcPr>
          <w:p>
            <w:pPr>
              <w:jc w:val="right"/>
              <w:ind w:right="103"/>
              <w:spacing w:after="0"/>
              <w:rPr>
                <w:sz w:val="20"/>
                <w:szCs w:val="20"/>
                <w:color w:val="auto"/>
              </w:rPr>
            </w:pPr>
            <w:r>
              <w:rPr>
                <w:rFonts w:ascii="Arial" w:cs="Arial" w:eastAsia="Arial" w:hAnsi="Arial"/>
                <w:sz w:val="10"/>
                <w:szCs w:val="10"/>
                <w:b w:val="1"/>
                <w:bCs w:val="1"/>
                <w:color w:val="auto"/>
              </w:rPr>
              <w:t>Shares</w:t>
            </w:r>
          </w:p>
        </w:tc>
        <w:tc>
          <w:tcPr>
            <w:tcW w:w="460" w:type="dxa"/>
            <w:vAlign w:val="bottom"/>
            <w:vMerge w:val="restart"/>
          </w:tcPr>
          <w:p>
            <w:pPr>
              <w:jc w:val="right"/>
              <w:ind w:right="22"/>
              <w:spacing w:after="0"/>
              <w:rPr>
                <w:sz w:val="20"/>
                <w:szCs w:val="20"/>
                <w:color w:val="auto"/>
              </w:rPr>
            </w:pPr>
            <w:r>
              <w:rPr>
                <w:rFonts w:ascii="Arial" w:cs="Arial" w:eastAsia="Arial" w:hAnsi="Arial"/>
                <w:sz w:val="10"/>
                <w:szCs w:val="10"/>
                <w:b w:val="1"/>
                <w:bCs w:val="1"/>
                <w:color w:val="auto"/>
                <w:w w:val="95"/>
              </w:rPr>
              <w:t>Amount</w:t>
            </w:r>
          </w:p>
        </w:tc>
        <w:tc>
          <w:tcPr>
            <w:tcW w:w="640" w:type="dxa"/>
            <w:vAlign w:val="bottom"/>
            <w:vMerge w:val="restart"/>
          </w:tcPr>
          <w:p>
            <w:pPr>
              <w:jc w:val="right"/>
              <w:ind w:right="143"/>
              <w:spacing w:after="0"/>
              <w:rPr>
                <w:sz w:val="20"/>
                <w:szCs w:val="20"/>
                <w:color w:val="auto"/>
              </w:rPr>
            </w:pPr>
            <w:r>
              <w:rPr>
                <w:rFonts w:ascii="Arial" w:cs="Arial" w:eastAsia="Arial" w:hAnsi="Arial"/>
                <w:sz w:val="10"/>
                <w:szCs w:val="10"/>
                <w:b w:val="1"/>
                <w:bCs w:val="1"/>
                <w:color w:val="auto"/>
              </w:rPr>
              <w:t>Shares</w:t>
            </w:r>
          </w:p>
        </w:tc>
        <w:tc>
          <w:tcPr>
            <w:tcW w:w="420" w:type="dxa"/>
            <w:vAlign w:val="bottom"/>
            <w:tcBorders>
              <w:right w:val="single" w:sz="8" w:color="auto"/>
            </w:tcBorders>
            <w:vMerge w:val="restart"/>
          </w:tcPr>
          <w:p>
            <w:pPr>
              <w:jc w:val="right"/>
              <w:ind w:right="3"/>
              <w:spacing w:after="0"/>
              <w:rPr>
                <w:sz w:val="20"/>
                <w:szCs w:val="20"/>
                <w:color w:val="auto"/>
              </w:rPr>
            </w:pPr>
            <w:r>
              <w:rPr>
                <w:rFonts w:ascii="Arial" w:cs="Arial" w:eastAsia="Arial" w:hAnsi="Arial"/>
                <w:sz w:val="10"/>
                <w:szCs w:val="10"/>
                <w:b w:val="1"/>
                <w:bCs w:val="1"/>
                <w:color w:val="auto"/>
                <w:w w:val="89"/>
              </w:rPr>
              <w:t>Amount</w:t>
            </w:r>
          </w:p>
        </w:tc>
        <w:tc>
          <w:tcPr>
            <w:tcW w:w="500" w:type="dxa"/>
            <w:vAlign w:val="bottom"/>
            <w:vMerge w:val="restart"/>
          </w:tcPr>
          <w:p>
            <w:pPr>
              <w:jc w:val="right"/>
              <w:ind w:right="43"/>
              <w:spacing w:after="0"/>
              <w:rPr>
                <w:sz w:val="20"/>
                <w:szCs w:val="20"/>
                <w:color w:val="auto"/>
              </w:rPr>
            </w:pPr>
            <w:r>
              <w:rPr>
                <w:rFonts w:ascii="Arial" w:cs="Arial" w:eastAsia="Arial" w:hAnsi="Arial"/>
                <w:sz w:val="10"/>
                <w:szCs w:val="10"/>
                <w:b w:val="1"/>
                <w:bCs w:val="1"/>
                <w:color w:val="auto"/>
              </w:rPr>
              <w:t>Shares</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89"/>
              </w:rPr>
              <w:t>Amount</w:t>
            </w:r>
          </w:p>
        </w:tc>
        <w:tc>
          <w:tcPr>
            <w:tcW w:w="4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Capital</w:t>
            </w:r>
          </w:p>
        </w:tc>
        <w:tc>
          <w:tcPr>
            <w:tcW w:w="540" w:type="dxa"/>
            <w:vAlign w:val="bottom"/>
            <w:vMerge w:val="continue"/>
          </w:tcPr>
          <w:p>
            <w:pPr>
              <w:spacing w:after="0"/>
              <w:rPr>
                <w:sz w:val="5"/>
                <w:szCs w:val="5"/>
                <w:color w:val="auto"/>
              </w:rPr>
            </w:pPr>
          </w:p>
        </w:tc>
        <w:tc>
          <w:tcPr>
            <w:tcW w:w="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74"/>
        </w:trPr>
        <w:tc>
          <w:tcPr>
            <w:tcW w:w="1320" w:type="dxa"/>
            <w:vAlign w:val="bottom"/>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5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right w:val="single" w:sz="8" w:color="auto"/>
            </w:tcBorders>
            <w:vMerge w:val="continue"/>
          </w:tcPr>
          <w:p>
            <w:pPr>
              <w:spacing w:after="0"/>
              <w:rPr>
                <w:sz w:val="6"/>
                <w:szCs w:val="6"/>
                <w:color w:val="auto"/>
              </w:rPr>
            </w:pPr>
          </w:p>
        </w:tc>
        <w:tc>
          <w:tcPr>
            <w:tcW w:w="50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132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b w:val="1"/>
                <w:bCs w:val="1"/>
                <w:color w:val="auto"/>
                <w:w w:val="97"/>
              </w:rPr>
              <w:t>Balance, December 31,</w:t>
            </w: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1,701,14</w:t>
            </w: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3,298,73</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22,531,81</w:t>
            </w: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91,327,90</w:t>
            </w: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w w:val="97"/>
              </w:rPr>
              <w:t>72,348,45</w:t>
            </w: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$(116,88</w:t>
            </w: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w w:val="96"/>
              </w:rPr>
              <w:t>$(108,713</w:t>
            </w:r>
          </w:p>
        </w:tc>
        <w:tc>
          <w:tcPr>
            <w:tcW w:w="0" w:type="dxa"/>
            <w:vAlign w:val="bottom"/>
          </w:tcPr>
          <w:p>
            <w:pPr>
              <w:spacing w:after="0"/>
              <w:rPr>
                <w:sz w:val="1"/>
                <w:szCs w:val="1"/>
                <w:color w:val="auto"/>
              </w:rPr>
            </w:pPr>
          </w:p>
        </w:tc>
      </w:tr>
      <w:tr>
        <w:trPr>
          <w:trHeight w:val="197"/>
        </w:trPr>
        <w:tc>
          <w:tcPr>
            <w:tcW w:w="1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2020</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$3,368</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$7,837</w:t>
            </w:r>
          </w:p>
        </w:tc>
        <w:tc>
          <w:tcPr>
            <w:tcW w:w="7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2"/>
                <w:szCs w:val="12"/>
                <w:color w:val="auto"/>
              </w:rPr>
              <w:t>4,324,998</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$5,373</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9</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$20,806</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$41,099</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96"/>
              </w:rPr>
              <w:t>$49,593</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381,123</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$8,173</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320" w:type="dxa"/>
            <w:vAlign w:val="bottom"/>
          </w:tcPr>
          <w:p>
            <w:pPr>
              <w:ind w:left="20"/>
              <w:spacing w:after="0" w:line="134" w:lineRule="exact"/>
              <w:rPr>
                <w:sz w:val="20"/>
                <w:szCs w:val="20"/>
                <w:color w:val="auto"/>
              </w:rPr>
            </w:pPr>
            <w:r>
              <w:rPr>
                <w:rFonts w:ascii="Arial" w:cs="Arial" w:eastAsia="Arial" w:hAnsi="Arial"/>
                <w:sz w:val="12"/>
                <w:szCs w:val="12"/>
                <w:color w:val="auto"/>
              </w:rPr>
              <w:t>Issuance of Series D</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2"/>
                <w:szCs w:val="12"/>
                <w:color w:val="auto"/>
              </w:rPr>
              <w:t>Tranche 2, convertible</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2"/>
                <w:szCs w:val="12"/>
                <w:color w:val="auto"/>
              </w:rPr>
              <w:t>preferred stock, net of</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2"/>
                <w:szCs w:val="12"/>
                <w:color w:val="auto"/>
                <w:w w:val="97"/>
              </w:rPr>
              <w:t>10,128,77</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rPr>
                <w:sz w:val="20"/>
                <w:szCs w:val="20"/>
                <w:color w:val="auto"/>
              </w:rPr>
            </w:pPr>
            <w:r>
              <w:rPr>
                <w:rFonts w:ascii="Arial" w:cs="Arial" w:eastAsia="Arial" w:hAnsi="Arial"/>
                <w:sz w:val="12"/>
                <w:szCs w:val="12"/>
                <w:color w:val="auto"/>
              </w:rPr>
              <w:t>issuance costs of $18</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w:t>
            </w:r>
          </w:p>
        </w:tc>
        <w:tc>
          <w:tcPr>
            <w:tcW w:w="460" w:type="dxa"/>
            <w:vAlign w:val="bottom"/>
          </w:tcPr>
          <w:p>
            <w:pPr>
              <w:jc w:val="right"/>
              <w:spacing w:after="0"/>
              <w:rPr>
                <w:sz w:val="20"/>
                <w:szCs w:val="20"/>
                <w:color w:val="auto"/>
              </w:rPr>
            </w:pPr>
            <w:r>
              <w:rPr>
                <w:rFonts w:ascii="Arial" w:cs="Arial" w:eastAsia="Arial" w:hAnsi="Arial"/>
                <w:sz w:val="12"/>
                <w:szCs w:val="12"/>
                <w:color w:val="auto"/>
              </w:rPr>
              <w:t>6,982</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320" w:type="dxa"/>
            <w:vAlign w:val="bottom"/>
            <w:shd w:val="clear" w:color="auto" w:fill="CFF0FC"/>
          </w:tcPr>
          <w:p>
            <w:pPr>
              <w:ind w:left="20"/>
              <w:spacing w:after="0"/>
              <w:rPr>
                <w:sz w:val="20"/>
                <w:szCs w:val="20"/>
                <w:color w:val="auto"/>
              </w:rPr>
            </w:pPr>
            <w:r>
              <w:rPr>
                <w:rFonts w:ascii="Arial" w:cs="Arial" w:eastAsia="Arial" w:hAnsi="Arial"/>
                <w:sz w:val="12"/>
                <w:szCs w:val="12"/>
                <w:color w:val="auto"/>
              </w:rPr>
              <w:t>Issuance of Series E</w:t>
            </w: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tcBorders>
              <w:right w:val="single" w:sz="8" w:color="auto"/>
            </w:tcBorders>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convertible preferred</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stock, net of issuance</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w w:val="96"/>
              </w:rPr>
              <w:t>102,671,04</w:t>
            </w:r>
          </w:p>
        </w:tc>
        <w:tc>
          <w:tcPr>
            <w:tcW w:w="420" w:type="dxa"/>
            <w:vAlign w:val="bottom"/>
            <w:tcBorders>
              <w:right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FF0FC"/>
          </w:tcPr>
          <w:p>
            <w:pPr>
              <w:ind w:left="20"/>
              <w:spacing w:after="0"/>
              <w:rPr>
                <w:sz w:val="20"/>
                <w:szCs w:val="20"/>
                <w:color w:val="auto"/>
              </w:rPr>
            </w:pPr>
            <w:r>
              <w:rPr>
                <w:rFonts w:ascii="Arial" w:cs="Arial" w:eastAsia="Arial" w:hAnsi="Arial"/>
                <w:sz w:val="12"/>
                <w:szCs w:val="12"/>
                <w:color w:val="auto"/>
              </w:rPr>
              <w:t>costs of $237</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4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80,246</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1320" w:type="dxa"/>
            <w:vAlign w:val="bottom"/>
          </w:tcPr>
          <w:p>
            <w:pPr>
              <w:ind w:left="20"/>
              <w:spacing w:after="0"/>
              <w:rPr>
                <w:sz w:val="20"/>
                <w:szCs w:val="20"/>
                <w:color w:val="auto"/>
              </w:rPr>
            </w:pPr>
            <w:r>
              <w:rPr>
                <w:rFonts w:ascii="Arial" w:cs="Arial" w:eastAsia="Arial" w:hAnsi="Arial"/>
                <w:sz w:val="12"/>
                <w:szCs w:val="12"/>
                <w:color w:val="auto"/>
              </w:rPr>
              <w:t>Issuance of common</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2"/>
                <w:szCs w:val="12"/>
                <w:color w:val="auto"/>
              </w:rPr>
              <w:t>stock - as a result of</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tcPr>
          <w:p>
            <w:pPr>
              <w:ind w:left="20"/>
              <w:spacing w:after="0" w:line="135" w:lineRule="exact"/>
              <w:rPr>
                <w:sz w:val="20"/>
                <w:szCs w:val="20"/>
                <w:color w:val="auto"/>
              </w:rPr>
            </w:pPr>
            <w:r>
              <w:rPr>
                <w:rFonts w:ascii="Arial" w:cs="Arial" w:eastAsia="Arial" w:hAnsi="Arial"/>
                <w:sz w:val="12"/>
                <w:szCs w:val="12"/>
                <w:color w:val="auto"/>
              </w:rPr>
              <w:t>IPO, net of issuance</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2"/>
                <w:szCs w:val="12"/>
                <w:color w:val="auto"/>
                <w:w w:val="98"/>
              </w:rPr>
              <w:t>6,210,00</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rPr>
                <w:sz w:val="20"/>
                <w:szCs w:val="20"/>
                <w:color w:val="auto"/>
              </w:rPr>
            </w:pPr>
            <w:r>
              <w:rPr>
                <w:rFonts w:ascii="Arial" w:cs="Arial" w:eastAsia="Arial" w:hAnsi="Arial"/>
                <w:sz w:val="12"/>
                <w:szCs w:val="12"/>
                <w:color w:val="auto"/>
              </w:rPr>
              <w:t>costs $2,247</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  78,320</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78,320</w:t>
            </w:r>
          </w:p>
        </w:tc>
        <w:tc>
          <w:tcPr>
            <w:tcW w:w="0" w:type="dxa"/>
            <w:vAlign w:val="bottom"/>
          </w:tcPr>
          <w:p>
            <w:pPr>
              <w:spacing w:after="0"/>
              <w:rPr>
                <w:sz w:val="1"/>
                <w:szCs w:val="1"/>
                <w:color w:val="auto"/>
              </w:rPr>
            </w:pPr>
          </w:p>
        </w:tc>
      </w:tr>
      <w:tr>
        <w:trPr>
          <w:trHeight w:val="154"/>
        </w:trPr>
        <w:tc>
          <w:tcPr>
            <w:tcW w:w="1320" w:type="dxa"/>
            <w:vAlign w:val="bottom"/>
            <w:shd w:val="clear" w:color="auto" w:fill="CFF0FC"/>
          </w:tcPr>
          <w:p>
            <w:pPr>
              <w:ind w:left="20"/>
              <w:spacing w:after="0"/>
              <w:rPr>
                <w:sz w:val="20"/>
                <w:szCs w:val="20"/>
                <w:color w:val="auto"/>
              </w:rPr>
            </w:pPr>
            <w:r>
              <w:rPr>
                <w:rFonts w:ascii="Arial" w:cs="Arial" w:eastAsia="Arial" w:hAnsi="Arial"/>
                <w:sz w:val="12"/>
                <w:szCs w:val="12"/>
                <w:color w:val="auto"/>
              </w:rPr>
              <w:t>Conversion of</w:t>
            </w:r>
          </w:p>
        </w:tc>
        <w:tc>
          <w:tcPr>
            <w:tcW w:w="5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420" w:type="dxa"/>
            <w:vAlign w:val="bottom"/>
            <w:tcBorders>
              <w:right w:val="single" w:sz="8" w:color="auto"/>
            </w:tcBorders>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convertible preferred</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20" w:type="dxa"/>
            <w:vAlign w:val="bottom"/>
            <w:shd w:val="clear" w:color="auto" w:fill="CFF0FC"/>
          </w:tcPr>
          <w:p>
            <w:pPr>
              <w:ind w:left="20"/>
              <w:spacing w:after="0" w:line="135" w:lineRule="exact"/>
              <w:rPr>
                <w:sz w:val="20"/>
                <w:szCs w:val="20"/>
                <w:color w:val="auto"/>
              </w:rPr>
            </w:pPr>
            <w:r>
              <w:rPr>
                <w:rFonts w:ascii="Arial" w:cs="Arial" w:eastAsia="Arial" w:hAnsi="Arial"/>
                <w:sz w:val="12"/>
                <w:szCs w:val="12"/>
                <w:color w:val="auto"/>
              </w:rPr>
              <w:t>stock to common stock</w:t>
            </w:r>
          </w:p>
        </w:tc>
        <w:tc>
          <w:tcPr>
            <w:tcW w:w="56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w w:val="98"/>
              </w:rPr>
              <w:t>(1,701,14</w:t>
            </w: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w w:val="94"/>
              </w:rPr>
              <w:t>(3,298,73</w:t>
            </w: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(22,531,8</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(20,806</w:t>
            </w:r>
          </w:p>
        </w:tc>
        <w:tc>
          <w:tcPr>
            <w:tcW w:w="5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(91,327,9</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(41,099</w:t>
            </w:r>
          </w:p>
        </w:tc>
        <w:tc>
          <w:tcPr>
            <w:tcW w:w="58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(82,477,2</w:t>
            </w:r>
          </w:p>
        </w:tc>
        <w:tc>
          <w:tcPr>
            <w:tcW w:w="46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(56,575</w:t>
            </w:r>
          </w:p>
        </w:tc>
        <w:tc>
          <w:tcPr>
            <w:tcW w:w="1060" w:type="dxa"/>
            <w:vAlign w:val="bottom"/>
            <w:tcBorders>
              <w:right w:val="single" w:sz="8" w:color="auto"/>
            </w:tcBorders>
            <w:gridSpan w:val="2"/>
            <w:shd w:val="clear" w:color="auto" w:fill="CFF0FC"/>
          </w:tcPr>
          <w:p>
            <w:pPr>
              <w:jc w:val="right"/>
              <w:spacing w:after="0" w:line="135" w:lineRule="exact"/>
              <w:rPr>
                <w:sz w:val="20"/>
                <w:szCs w:val="20"/>
                <w:color w:val="auto"/>
              </w:rPr>
            </w:pPr>
            <w:r>
              <w:rPr>
                <w:rFonts w:ascii="Arial" w:cs="Arial" w:eastAsia="Arial" w:hAnsi="Arial"/>
                <w:sz w:val="12"/>
                <w:szCs w:val="12"/>
                <w:color w:val="auto"/>
              </w:rPr>
              <w:t>(102,671,0 (80,246</w:t>
            </w:r>
          </w:p>
        </w:tc>
        <w:tc>
          <w:tcPr>
            <w:tcW w:w="50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w w:val="98"/>
              </w:rPr>
              <w:t>22,550,5</w:t>
            </w: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5" w:lineRule="exact"/>
              <w:rPr>
                <w:sz w:val="20"/>
                <w:szCs w:val="20"/>
                <w:color w:val="auto"/>
              </w:rPr>
            </w:pPr>
            <w:r>
              <w:rPr>
                <w:rFonts w:ascii="Arial" w:cs="Arial" w:eastAsia="Arial" w:hAnsi="Arial"/>
                <w:sz w:val="12"/>
                <w:szCs w:val="12"/>
                <w:color w:val="auto"/>
              </w:rPr>
              <w:t>215,30</w:t>
            </w:r>
          </w:p>
        </w:tc>
        <w:tc>
          <w:tcPr>
            <w:tcW w:w="54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320" w:type="dxa"/>
            <w:vAlign w:val="bottom"/>
            <w:shd w:val="clear" w:color="auto" w:fill="CFF0FC"/>
          </w:tcPr>
          <w:p>
            <w:pPr>
              <w:ind w:left="20"/>
              <w:spacing w:after="0"/>
              <w:rPr>
                <w:sz w:val="20"/>
                <w:szCs w:val="20"/>
                <w:color w:val="auto"/>
              </w:rPr>
            </w:pPr>
            <w:r>
              <w:rPr>
                <w:rFonts w:ascii="Arial" w:cs="Arial" w:eastAsia="Arial" w:hAnsi="Arial"/>
                <w:sz w:val="12"/>
                <w:szCs w:val="12"/>
                <w:color w:val="auto"/>
              </w:rPr>
              <w:t>upon closing of IPO</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(3,368)</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w:t>
            </w:r>
          </w:p>
        </w:tc>
        <w:tc>
          <w:tcPr>
            <w:tcW w:w="1240" w:type="dxa"/>
            <w:vAlign w:val="bottom"/>
            <w:gridSpan w:val="2"/>
            <w:shd w:val="clear" w:color="auto" w:fill="CFF0FC"/>
          </w:tcPr>
          <w:p>
            <w:pPr>
              <w:jc w:val="right"/>
              <w:ind w:right="6"/>
              <w:spacing w:after="0"/>
              <w:rPr>
                <w:sz w:val="20"/>
                <w:szCs w:val="20"/>
                <w:color w:val="auto"/>
              </w:rPr>
            </w:pPr>
            <w:r>
              <w:rPr>
                <w:rFonts w:ascii="Arial" w:cs="Arial" w:eastAsia="Arial" w:hAnsi="Arial"/>
                <w:sz w:val="12"/>
                <w:szCs w:val="12"/>
                <w:color w:val="auto"/>
              </w:rPr>
              <w:t>(7,837) (4,324,998)</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(5,373)</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19)</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03)</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w:t>
            </w:r>
          </w:p>
        </w:tc>
        <w:tc>
          <w:tcPr>
            <w:tcW w:w="4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61</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215,304</w:t>
            </w:r>
          </w:p>
        </w:tc>
        <w:tc>
          <w:tcPr>
            <w:tcW w:w="0" w:type="dxa"/>
            <w:vAlign w:val="bottom"/>
          </w:tcPr>
          <w:p>
            <w:pPr>
              <w:spacing w:after="0"/>
              <w:rPr>
                <w:sz w:val="1"/>
                <w:szCs w:val="1"/>
                <w:color w:val="auto"/>
              </w:rPr>
            </w:pPr>
          </w:p>
        </w:tc>
      </w:tr>
      <w:tr>
        <w:trPr>
          <w:trHeight w:val="150"/>
        </w:trPr>
        <w:tc>
          <w:tcPr>
            <w:tcW w:w="1320" w:type="dxa"/>
            <w:vAlign w:val="bottom"/>
          </w:tcPr>
          <w:p>
            <w:pPr>
              <w:ind w:left="20"/>
              <w:spacing w:after="0"/>
              <w:rPr>
                <w:sz w:val="20"/>
                <w:szCs w:val="20"/>
                <w:color w:val="auto"/>
              </w:rPr>
            </w:pPr>
            <w:r>
              <w:rPr>
                <w:rFonts w:ascii="Arial" w:cs="Arial" w:eastAsia="Arial" w:hAnsi="Arial"/>
                <w:sz w:val="12"/>
                <w:szCs w:val="12"/>
                <w:color w:val="auto"/>
              </w:rPr>
              <w:t>Stock based</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320" w:type="dxa"/>
            <w:vAlign w:val="bottom"/>
          </w:tcPr>
          <w:p>
            <w:pPr>
              <w:ind w:left="20"/>
              <w:spacing w:after="0"/>
              <w:rPr>
                <w:sz w:val="20"/>
                <w:szCs w:val="20"/>
                <w:color w:val="auto"/>
              </w:rPr>
            </w:pPr>
            <w:r>
              <w:rPr>
                <w:rFonts w:ascii="Arial" w:cs="Arial" w:eastAsia="Arial" w:hAnsi="Arial"/>
                <w:sz w:val="12"/>
                <w:szCs w:val="12"/>
                <w:color w:val="auto"/>
              </w:rPr>
              <w:t>compensation expense</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2,307</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2,307</w:t>
            </w:r>
          </w:p>
        </w:tc>
        <w:tc>
          <w:tcPr>
            <w:tcW w:w="0" w:type="dxa"/>
            <w:vAlign w:val="bottom"/>
          </w:tcPr>
          <w:p>
            <w:pPr>
              <w:spacing w:after="0"/>
              <w:rPr>
                <w:sz w:val="1"/>
                <w:szCs w:val="1"/>
                <w:color w:val="auto"/>
              </w:rPr>
            </w:pPr>
          </w:p>
        </w:tc>
      </w:tr>
      <w:tr>
        <w:trPr>
          <w:trHeight w:val="165"/>
        </w:trPr>
        <w:tc>
          <w:tcPr>
            <w:tcW w:w="1320" w:type="dxa"/>
            <w:vAlign w:val="bottom"/>
            <w:shd w:val="clear" w:color="auto" w:fill="CFF0FC"/>
          </w:tcPr>
          <w:p>
            <w:pPr>
              <w:ind w:left="20"/>
              <w:spacing w:after="0"/>
              <w:rPr>
                <w:sz w:val="20"/>
                <w:szCs w:val="20"/>
                <w:color w:val="auto"/>
              </w:rPr>
            </w:pPr>
            <w:r>
              <w:rPr>
                <w:rFonts w:ascii="Arial" w:cs="Arial" w:eastAsia="Arial" w:hAnsi="Arial"/>
                <w:sz w:val="12"/>
                <w:szCs w:val="12"/>
                <w:color w:val="auto"/>
              </w:rPr>
              <w:t>Stock option exercises</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FF0FC"/>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right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69,959</w:t>
            </w:r>
          </w:p>
        </w:tc>
        <w:tc>
          <w:tcPr>
            <w:tcW w:w="40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w:t>
            </w:r>
          </w:p>
        </w:tc>
        <w:tc>
          <w:tcPr>
            <w:tcW w:w="5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348</w:t>
            </w:r>
          </w:p>
        </w:tc>
        <w:tc>
          <w:tcPr>
            <w:tcW w:w="0" w:type="dxa"/>
            <w:vAlign w:val="bottom"/>
          </w:tcPr>
          <w:p>
            <w:pPr>
              <w:spacing w:after="0"/>
              <w:rPr>
                <w:sz w:val="1"/>
                <w:szCs w:val="1"/>
                <w:color w:val="auto"/>
              </w:rPr>
            </w:pPr>
          </w:p>
        </w:tc>
      </w:tr>
      <w:tr>
        <w:trPr>
          <w:trHeight w:val="158"/>
        </w:trPr>
        <w:tc>
          <w:tcPr>
            <w:tcW w:w="1320" w:type="dxa"/>
            <w:vAlign w:val="bottom"/>
          </w:tcPr>
          <w:p>
            <w:pPr>
              <w:ind w:left="20"/>
              <w:spacing w:after="0"/>
              <w:rPr>
                <w:sz w:val="20"/>
                <w:szCs w:val="20"/>
                <w:color w:val="auto"/>
              </w:rPr>
            </w:pPr>
            <w:r>
              <w:rPr>
                <w:rFonts w:ascii="Arial" w:cs="Arial" w:eastAsia="Arial" w:hAnsi="Arial"/>
                <w:sz w:val="12"/>
                <w:szCs w:val="12"/>
                <w:color w:val="auto"/>
              </w:rPr>
              <w:t>Net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(35,251)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(35,251)</w:t>
            </w:r>
          </w:p>
        </w:tc>
        <w:tc>
          <w:tcPr>
            <w:tcW w:w="0" w:type="dxa"/>
            <w:vAlign w:val="bottom"/>
          </w:tcPr>
          <w:p>
            <w:pPr>
              <w:spacing w:after="0"/>
              <w:rPr>
                <w:sz w:val="1"/>
                <w:szCs w:val="1"/>
                <w:color w:val="auto"/>
              </w:rPr>
            </w:pPr>
          </w:p>
        </w:tc>
      </w:tr>
      <w:tr>
        <w:trPr>
          <w:trHeight w:val="133"/>
        </w:trPr>
        <w:tc>
          <w:tcPr>
            <w:tcW w:w="1320" w:type="dxa"/>
            <w:vAlign w:val="bottom"/>
            <w:shd w:val="clear" w:color="auto" w:fill="CFF0FC"/>
          </w:tcPr>
          <w:p>
            <w:pPr>
              <w:ind w:left="20"/>
              <w:spacing w:after="0" w:line="133" w:lineRule="exact"/>
              <w:rPr>
                <w:sz w:val="20"/>
                <w:szCs w:val="20"/>
                <w:color w:val="auto"/>
              </w:rPr>
            </w:pPr>
            <w:r>
              <w:rPr>
                <w:rFonts w:ascii="Arial" w:cs="Arial" w:eastAsia="Arial" w:hAnsi="Arial"/>
                <w:sz w:val="12"/>
                <w:szCs w:val="12"/>
                <w:b w:val="1"/>
                <w:bCs w:val="1"/>
                <w:color w:val="auto"/>
              </w:rPr>
              <w:t>Balance, December</w:t>
            </w:r>
          </w:p>
        </w:tc>
        <w:tc>
          <w:tcPr>
            <w:tcW w:w="56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tcBorders>
              <w:right w:val="single" w:sz="8" w:color="auto"/>
            </w:tcBorders>
            <w:shd w:val="clear" w:color="auto" w:fill="CFF0FC"/>
          </w:tcPr>
          <w:p>
            <w:pPr>
              <w:spacing w:after="0"/>
              <w:rPr>
                <w:sz w:val="11"/>
                <w:szCs w:val="11"/>
                <w:color w:val="auto"/>
              </w:rPr>
            </w:pPr>
          </w:p>
        </w:tc>
        <w:tc>
          <w:tcPr>
            <w:tcW w:w="500" w:type="dxa"/>
            <w:vAlign w:val="bottom"/>
            <w:shd w:val="clear" w:color="auto" w:fill="CFF0FC"/>
          </w:tcPr>
          <w:p>
            <w:pPr>
              <w:jc w:val="right"/>
              <w:spacing w:after="0" w:line="133" w:lineRule="exact"/>
              <w:rPr>
                <w:sz w:val="20"/>
                <w:szCs w:val="20"/>
                <w:color w:val="auto"/>
              </w:rPr>
            </w:pPr>
            <w:r>
              <w:rPr>
                <w:rFonts w:ascii="Arial" w:cs="Arial" w:eastAsia="Arial" w:hAnsi="Arial"/>
                <w:sz w:val="12"/>
                <w:szCs w:val="12"/>
                <w:color w:val="auto"/>
                <w:w w:val="98"/>
              </w:rPr>
              <w:t>29,211,6</w:t>
            </w:r>
          </w:p>
        </w:tc>
        <w:tc>
          <w:tcPr>
            <w:tcW w:w="4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33" w:lineRule="exact"/>
              <w:rPr>
                <w:sz w:val="20"/>
                <w:szCs w:val="20"/>
                <w:color w:val="auto"/>
              </w:rPr>
            </w:pPr>
            <w:r>
              <w:rPr>
                <w:rFonts w:ascii="Arial" w:cs="Arial" w:eastAsia="Arial" w:hAnsi="Arial"/>
                <w:sz w:val="12"/>
                <w:szCs w:val="12"/>
                <w:color w:val="auto"/>
              </w:rPr>
              <w:t>$304,4</w:t>
            </w:r>
          </w:p>
        </w:tc>
        <w:tc>
          <w:tcPr>
            <w:tcW w:w="540" w:type="dxa"/>
            <w:vAlign w:val="bottom"/>
            <w:shd w:val="clear" w:color="auto" w:fill="CFF0FC"/>
          </w:tcPr>
          <w:p>
            <w:pPr>
              <w:jc w:val="right"/>
              <w:spacing w:after="0" w:line="133" w:lineRule="exact"/>
              <w:rPr>
                <w:sz w:val="20"/>
                <w:szCs w:val="20"/>
                <w:color w:val="auto"/>
              </w:rPr>
            </w:pPr>
            <w:r>
              <w:rPr>
                <w:rFonts w:ascii="Arial" w:cs="Arial" w:eastAsia="Arial" w:hAnsi="Arial"/>
                <w:sz w:val="12"/>
                <w:szCs w:val="12"/>
                <w:color w:val="auto"/>
              </w:rPr>
              <w:t>$(152,13</w:t>
            </w: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13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2"/>
                <w:szCs w:val="12"/>
                <w:b w:val="1"/>
                <w:bCs w:val="1"/>
                <w:color w:val="auto"/>
              </w:rPr>
              <w:t>31, 2021</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70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20" w:type="dxa"/>
            <w:vAlign w:val="bottom"/>
            <w:tcBorders>
              <w:bottom w:val="single" w:sz="8" w:color="auto"/>
              <w:right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43</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52</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$152,315</w:t>
            </w:r>
          </w:p>
        </w:tc>
        <w:tc>
          <w:tcPr>
            <w:tcW w:w="0" w:type="dxa"/>
            <w:vAlign w:val="bottom"/>
          </w:tcPr>
          <w:p>
            <w:pPr>
              <w:spacing w:after="0"/>
              <w:rPr>
                <w:sz w:val="1"/>
                <w:szCs w:val="1"/>
                <w:color w:val="auto"/>
              </w:rPr>
            </w:pPr>
          </w:p>
        </w:tc>
      </w:tr>
      <w:tr>
        <w:trPr>
          <w:trHeight w:val="604"/>
        </w:trPr>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3"/>
              </w:rPr>
              <w:t>Additional</w:t>
            </w:r>
          </w:p>
        </w:tc>
        <w:tc>
          <w:tcPr>
            <w:tcW w:w="5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0"/>
                <w:szCs w:val="10"/>
                <w:b w:val="1"/>
                <w:bCs w:val="1"/>
                <w:color w:val="auto"/>
                <w:w w:val="98"/>
              </w:rPr>
              <w:t>Accumulated</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91"/>
              </w:rPr>
              <w:t>Total</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7"/>
              </w:rPr>
              <w:t>Accumulat</w:t>
            </w:r>
          </w:p>
        </w:tc>
        <w:tc>
          <w:tcPr>
            <w:tcW w:w="700" w:type="dxa"/>
            <w:vAlign w:val="bottom"/>
          </w:tcPr>
          <w:p>
            <w:pPr>
              <w:jc w:val="center"/>
              <w:ind w:right="26"/>
              <w:spacing w:after="0"/>
              <w:rPr>
                <w:sz w:val="20"/>
                <w:szCs w:val="20"/>
                <w:color w:val="auto"/>
              </w:rPr>
            </w:pPr>
            <w:r>
              <w:rPr>
                <w:rFonts w:ascii="Arial" w:cs="Arial" w:eastAsia="Arial" w:hAnsi="Arial"/>
                <w:sz w:val="10"/>
                <w:szCs w:val="10"/>
                <w:b w:val="1"/>
                <w:bCs w:val="1"/>
                <w:color w:val="auto"/>
                <w:w w:val="97"/>
              </w:rPr>
              <w:t>Other</w:t>
            </w: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1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40" w:type="dxa"/>
            <w:vAlign w:val="bottom"/>
            <w:gridSpan w:val="2"/>
          </w:tcPr>
          <w:p>
            <w:pPr>
              <w:jc w:val="right"/>
              <w:spacing w:after="0" w:line="102" w:lineRule="exact"/>
              <w:rPr>
                <w:sz w:val="20"/>
                <w:szCs w:val="20"/>
                <w:color w:val="auto"/>
              </w:rPr>
            </w:pPr>
            <w:r>
              <w:rPr>
                <w:rFonts w:ascii="Arial" w:cs="Arial" w:eastAsia="Arial" w:hAnsi="Arial"/>
                <w:sz w:val="10"/>
                <w:szCs w:val="10"/>
                <w:b w:val="1"/>
                <w:bCs w:val="1"/>
                <w:color w:val="auto"/>
              </w:rPr>
              <w:t>Comprehens Stockholde</w:t>
            </w: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1000" w:type="dxa"/>
            <w:vAlign w:val="bottom"/>
            <w:gridSpan w:val="2"/>
            <w:vMerge w:val="restart"/>
          </w:tcPr>
          <w:p>
            <w:pPr>
              <w:jc w:val="right"/>
              <w:ind w:right="123"/>
              <w:spacing w:after="0"/>
              <w:rPr>
                <w:sz w:val="20"/>
                <w:szCs w:val="20"/>
                <w:color w:val="auto"/>
              </w:rPr>
            </w:pPr>
            <w:r>
              <w:rPr>
                <w:rFonts w:ascii="Arial" w:cs="Arial" w:eastAsia="Arial" w:hAnsi="Arial"/>
                <w:sz w:val="10"/>
                <w:szCs w:val="10"/>
                <w:b w:val="1"/>
                <w:bCs w:val="1"/>
                <w:color w:val="auto"/>
              </w:rPr>
              <w:t>Common Stock</w:t>
            </w: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5"/>
              </w:rPr>
              <w:t>Paid-In</w:t>
            </w:r>
          </w:p>
        </w:tc>
        <w:tc>
          <w:tcPr>
            <w:tcW w:w="540" w:type="dxa"/>
            <w:vAlign w:val="bottom"/>
          </w:tcPr>
          <w:p>
            <w:pPr>
              <w:jc w:val="center"/>
              <w:spacing w:after="0"/>
              <w:rPr>
                <w:sz w:val="20"/>
                <w:szCs w:val="20"/>
                <w:color w:val="auto"/>
              </w:rPr>
            </w:pPr>
            <w:r>
              <w:rPr>
                <w:rFonts w:ascii="Arial" w:cs="Arial" w:eastAsia="Arial" w:hAnsi="Arial"/>
                <w:sz w:val="10"/>
                <w:szCs w:val="10"/>
                <w:b w:val="1"/>
                <w:bCs w:val="1"/>
                <w:color w:val="auto"/>
                <w:w w:val="85"/>
              </w:rPr>
              <w:t>ed</w:t>
            </w: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ive</w:t>
            </w:r>
          </w:p>
        </w:tc>
        <w:tc>
          <w:tcPr>
            <w:tcW w:w="540" w:type="dxa"/>
            <w:vAlign w:val="bottom"/>
            <w:vMerge w:val="restart"/>
          </w:tcPr>
          <w:p>
            <w:pPr>
              <w:jc w:val="center"/>
              <w:ind w:right="4"/>
              <w:spacing w:after="0"/>
              <w:rPr>
                <w:sz w:val="20"/>
                <w:szCs w:val="20"/>
                <w:color w:val="auto"/>
              </w:rPr>
            </w:pPr>
            <w:r>
              <w:rPr>
                <w:rFonts w:ascii="Arial" w:cs="Arial" w:eastAsia="Arial" w:hAnsi="Arial"/>
                <w:sz w:val="10"/>
                <w:szCs w:val="10"/>
                <w:b w:val="1"/>
                <w:bCs w:val="1"/>
                <w:color w:val="auto"/>
                <w:w w:val="97"/>
              </w:rPr>
              <w:t>rs’</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1000" w:type="dxa"/>
            <w:vAlign w:val="bottom"/>
            <w:tcBorders>
              <w:bottom w:val="single" w:sz="8" w:color="auto"/>
            </w:tcBorders>
            <w:gridSpan w:val="2"/>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Deficit</w:t>
            </w:r>
          </w:p>
        </w:tc>
        <w:tc>
          <w:tcPr>
            <w:tcW w:w="700" w:type="dxa"/>
            <w:vAlign w:val="bottom"/>
          </w:tcPr>
          <w:p>
            <w:pPr>
              <w:jc w:val="center"/>
              <w:ind w:right="6"/>
              <w:spacing w:after="0"/>
              <w:rPr>
                <w:sz w:val="20"/>
                <w:szCs w:val="20"/>
                <w:color w:val="auto"/>
              </w:rPr>
            </w:pPr>
            <w:r>
              <w:rPr>
                <w:rFonts w:ascii="Arial" w:cs="Arial" w:eastAsia="Arial" w:hAnsi="Arial"/>
                <w:sz w:val="10"/>
                <w:szCs w:val="10"/>
                <w:b w:val="1"/>
                <w:bCs w:val="1"/>
                <w:color w:val="auto"/>
              </w:rPr>
              <w:t>Loss</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1320" w:type="dxa"/>
            <w:vAlign w:val="bottom"/>
          </w:tcPr>
          <w:p>
            <w:pPr>
              <w:spacing w:after="0"/>
              <w:rPr>
                <w:sz w:val="5"/>
                <w:szCs w:val="5"/>
                <w:color w:val="auto"/>
              </w:rPr>
            </w:pPr>
          </w:p>
        </w:tc>
        <w:tc>
          <w:tcPr>
            <w:tcW w:w="560" w:type="dxa"/>
            <w:vAlign w:val="bottom"/>
            <w:vMerge w:val="restart"/>
          </w:tcPr>
          <w:p>
            <w:pPr>
              <w:jc w:val="right"/>
              <w:ind w:right="84"/>
              <w:spacing w:after="0"/>
              <w:rPr>
                <w:sz w:val="20"/>
                <w:szCs w:val="20"/>
                <w:color w:val="auto"/>
              </w:rPr>
            </w:pPr>
            <w:r>
              <w:rPr>
                <w:rFonts w:ascii="Arial" w:cs="Arial" w:eastAsia="Arial" w:hAnsi="Arial"/>
                <w:sz w:val="10"/>
                <w:szCs w:val="10"/>
                <w:b w:val="1"/>
                <w:bCs w:val="1"/>
                <w:color w:val="auto"/>
              </w:rPr>
              <w:t>Shares</w:t>
            </w:r>
          </w:p>
        </w:tc>
        <w:tc>
          <w:tcPr>
            <w:tcW w:w="440" w:type="dxa"/>
            <w:vAlign w:val="bottom"/>
            <w:vMerge w:val="restart"/>
          </w:tcPr>
          <w:p>
            <w:pPr>
              <w:jc w:val="right"/>
              <w:ind w:right="3"/>
              <w:spacing w:after="0"/>
              <w:rPr>
                <w:sz w:val="20"/>
                <w:szCs w:val="20"/>
                <w:color w:val="auto"/>
              </w:rPr>
            </w:pPr>
            <w:r>
              <w:rPr>
                <w:rFonts w:ascii="Arial" w:cs="Arial" w:eastAsia="Arial" w:hAnsi="Arial"/>
                <w:sz w:val="10"/>
                <w:szCs w:val="10"/>
                <w:b w:val="1"/>
                <w:bCs w:val="1"/>
                <w:color w:val="auto"/>
                <w:w w:val="95"/>
              </w:rPr>
              <w:t>Amount</w:t>
            </w:r>
          </w:p>
        </w:tc>
        <w:tc>
          <w:tcPr>
            <w:tcW w:w="52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Capital</w:t>
            </w: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Arial" w:cs="Arial" w:eastAsia="Arial" w:hAnsi="Arial"/>
                <w:sz w:val="10"/>
                <w:szCs w:val="10"/>
                <w:b w:val="1"/>
                <w:bCs w:val="1"/>
                <w:color w:val="auto"/>
              </w:rPr>
              <w:t>Amount</w:t>
            </w:r>
          </w:p>
        </w:tc>
        <w:tc>
          <w:tcPr>
            <w:tcW w:w="54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8"/>
              </w:rPr>
              <w:t>Equity</w:t>
            </w: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13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19" w:right="339" w:bottom="1440" w:gutter="0" w:footer="0" w:header="0"/>
        </w:sectPr>
      </w:pPr>
    </w:p>
    <w:p>
      <w:pPr>
        <w:spacing w:after="0" w:line="27" w:lineRule="exact"/>
        <w:rPr>
          <w:sz w:val="20"/>
          <w:szCs w:val="20"/>
          <w:color w:val="auto"/>
        </w:rPr>
      </w:pPr>
    </w:p>
    <w:p>
      <w:pPr>
        <w:ind w:left="20"/>
        <w:spacing w:after="0" w:line="261" w:lineRule="auto"/>
        <w:rPr>
          <w:sz w:val="20"/>
          <w:szCs w:val="20"/>
          <w:color w:val="auto"/>
        </w:rPr>
      </w:pPr>
      <w:r>
        <w:rPr>
          <w:rFonts w:ascii="Arial" w:cs="Arial" w:eastAsia="Arial" w:hAnsi="Arial"/>
          <w:sz w:val="12"/>
          <w:szCs w:val="12"/>
          <w:b w:val="1"/>
          <w:bCs w:val="1"/>
          <w:color w:val="auto"/>
        </w:rPr>
        <w:t>Balance, December 31, 2021</w:t>
      </w:r>
    </w:p>
    <w:p>
      <w:pPr>
        <w:spacing w:after="0" w:line="51" w:lineRule="exact"/>
        <w:rPr>
          <w:sz w:val="20"/>
          <w:szCs w:val="20"/>
          <w:color w:val="auto"/>
        </w:rPr>
      </w:pPr>
    </w:p>
    <w:p>
      <w:pPr>
        <w:ind w:left="20" w:right="40"/>
        <w:spacing w:after="0" w:line="236" w:lineRule="auto"/>
        <w:rPr>
          <w:sz w:val="20"/>
          <w:szCs w:val="20"/>
          <w:color w:val="auto"/>
        </w:rPr>
      </w:pPr>
      <w:r>
        <w:rPr>
          <w:rFonts w:ascii="Arial" w:cs="Arial" w:eastAsia="Arial" w:hAnsi="Arial"/>
          <w:sz w:val="12"/>
          <w:szCs w:val="12"/>
          <w:color w:val="auto"/>
        </w:rPr>
        <w:t>Issuance of common stock - follow-on offering, net of issuance costs of $263</w:t>
      </w:r>
    </w:p>
    <w:p>
      <w:pPr>
        <w:spacing w:after="0" w:line="23" w:lineRule="exact"/>
        <w:rPr>
          <w:sz w:val="20"/>
          <w:szCs w:val="20"/>
          <w:color w:val="auto"/>
        </w:rPr>
      </w:pPr>
    </w:p>
    <w:p>
      <w:pPr>
        <w:ind w:left="20" w:right="20"/>
        <w:spacing w:after="0" w:line="236" w:lineRule="auto"/>
        <w:rPr>
          <w:sz w:val="20"/>
          <w:szCs w:val="20"/>
          <w:color w:val="auto"/>
        </w:rPr>
      </w:pPr>
      <w:r>
        <w:rPr>
          <w:rFonts w:ascii="Arial" w:cs="Arial" w:eastAsia="Arial" w:hAnsi="Arial"/>
          <w:sz w:val="12"/>
          <w:szCs w:val="12"/>
          <w:color w:val="auto"/>
        </w:rPr>
        <w:t>Issuance of common stock under ATM facility, net of issuance costs of $336</w:t>
      </w:r>
    </w:p>
    <w:p>
      <w:pPr>
        <w:spacing w:after="0" w:line="23" w:lineRule="exact"/>
        <w:rPr>
          <w:sz w:val="20"/>
          <w:szCs w:val="20"/>
          <w:color w:val="auto"/>
        </w:rPr>
      </w:pPr>
    </w:p>
    <w:p>
      <w:pPr>
        <w:ind w:left="20" w:right="80"/>
        <w:spacing w:after="0" w:line="309" w:lineRule="auto"/>
        <w:rPr>
          <w:sz w:val="20"/>
          <w:szCs w:val="20"/>
          <w:color w:val="auto"/>
        </w:rPr>
      </w:pPr>
      <w:r>
        <w:rPr>
          <w:rFonts w:ascii="Arial" w:cs="Arial" w:eastAsia="Arial" w:hAnsi="Arial"/>
          <w:sz w:val="10"/>
          <w:szCs w:val="10"/>
          <w:color w:val="auto"/>
        </w:rPr>
        <w:t>Stock-based compensation expense</w:t>
      </w:r>
    </w:p>
    <w:p>
      <w:pPr>
        <w:ind w:left="20" w:right="260"/>
        <w:spacing w:after="0" w:line="238" w:lineRule="auto"/>
        <w:rPr>
          <w:sz w:val="20"/>
          <w:szCs w:val="20"/>
          <w:color w:val="auto"/>
        </w:rPr>
      </w:pPr>
      <w:r>
        <w:rPr>
          <w:rFonts w:ascii="Arial" w:cs="Arial" w:eastAsia="Arial" w:hAnsi="Arial"/>
          <w:sz w:val="12"/>
          <w:szCs w:val="12"/>
          <w:color w:val="auto"/>
        </w:rPr>
        <w:t>Vesting of restricted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2"/>
          <w:szCs w:val="12"/>
          <w:color w:val="auto"/>
        </w:rPr>
        <w:t>Stock option exercises</w:t>
      </w:r>
    </w:p>
    <w:p>
      <w:pPr>
        <w:spacing w:after="0" w:line="24" w:lineRule="exact"/>
        <w:rPr>
          <w:sz w:val="20"/>
          <w:szCs w:val="20"/>
          <w:color w:val="auto"/>
        </w:rPr>
      </w:pPr>
    </w:p>
    <w:p>
      <w:pPr>
        <w:ind w:left="20" w:right="180"/>
        <w:spacing w:after="0" w:line="309" w:lineRule="auto"/>
        <w:rPr>
          <w:sz w:val="20"/>
          <w:szCs w:val="20"/>
          <w:color w:val="auto"/>
        </w:rPr>
      </w:pPr>
      <w:r>
        <w:rPr>
          <w:rFonts w:ascii="Arial" w:cs="Arial" w:eastAsia="Arial" w:hAnsi="Arial"/>
          <w:sz w:val="10"/>
          <w:szCs w:val="10"/>
          <w:color w:val="auto"/>
        </w:rPr>
        <w:t>Unrealized loss on marketable securities</w:t>
      </w:r>
    </w:p>
    <w:p>
      <w:pPr>
        <w:ind w:left="20"/>
        <w:spacing w:after="0"/>
        <w:rPr>
          <w:sz w:val="20"/>
          <w:szCs w:val="20"/>
          <w:color w:val="auto"/>
        </w:rPr>
      </w:pPr>
      <w:r>
        <w:rPr>
          <w:rFonts w:ascii="Arial" w:cs="Arial" w:eastAsia="Arial" w:hAnsi="Arial"/>
          <w:sz w:val="12"/>
          <w:szCs w:val="12"/>
          <w:color w:val="auto"/>
        </w:rPr>
        <w:t>Other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60" w:type="dxa"/>
            <w:vAlign w:val="bottom"/>
            <w:tcBorders>
              <w:top w:val="single" w:sz="8" w:color="auto"/>
            </w:tcBorders>
          </w:tcPr>
          <w:p>
            <w:pPr>
              <w:jc w:val="right"/>
              <w:ind w:right="82"/>
              <w:spacing w:after="0"/>
              <w:rPr>
                <w:sz w:val="20"/>
                <w:szCs w:val="20"/>
                <w:color w:val="auto"/>
              </w:rPr>
            </w:pPr>
            <w:r>
              <w:rPr>
                <w:rFonts w:ascii="Arial" w:cs="Arial" w:eastAsia="Arial" w:hAnsi="Arial"/>
                <w:sz w:val="12"/>
                <w:szCs w:val="12"/>
                <w:color w:val="auto"/>
              </w:rPr>
              <w:t>29,211,6</w:t>
            </w:r>
          </w:p>
        </w:tc>
        <w:tc>
          <w:tcPr>
            <w:tcW w:w="4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62"/>
              <w:spacing w:after="0"/>
              <w:rPr>
                <w:sz w:val="20"/>
                <w:szCs w:val="20"/>
                <w:color w:val="auto"/>
              </w:rPr>
            </w:pPr>
            <w:r>
              <w:rPr>
                <w:rFonts w:ascii="Arial" w:cs="Arial" w:eastAsia="Arial" w:hAnsi="Arial"/>
                <w:sz w:val="12"/>
                <w:szCs w:val="12"/>
                <w:color w:val="auto"/>
                <w:w w:val="96"/>
              </w:rPr>
              <w:t>$(152,137</w:t>
            </w:r>
          </w:p>
        </w:tc>
        <w:tc>
          <w:tcPr>
            <w:tcW w:w="4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43"/>
        </w:trPr>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43</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 $304,452</w:t>
            </w: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$152,315</w:t>
            </w: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403"/>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7,705,00</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0"/>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0</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86,650</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86,650</w:t>
            </w:r>
          </w:p>
        </w:tc>
      </w:tr>
      <w:tr>
        <w:trPr>
          <w:trHeight w:val="566"/>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732,189</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8,549</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8,549</w:t>
            </w:r>
          </w:p>
        </w:tc>
      </w:tr>
      <w:tr>
        <w:trPr>
          <w:trHeight w:val="296"/>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6,412</w:t>
            </w: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6,412</w:t>
            </w:r>
          </w:p>
        </w:tc>
      </w:tr>
      <w:tr>
        <w:trPr>
          <w:trHeight w:val="296"/>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51,444</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2"/>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71,642</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430</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430</w:t>
            </w:r>
          </w:p>
        </w:tc>
      </w:tr>
      <w:tr>
        <w:trPr>
          <w:trHeight w:val="296"/>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(72)</w:t>
            </w:r>
          </w:p>
        </w:tc>
        <w:tc>
          <w:tcPr>
            <w:tcW w:w="560" w:type="dxa"/>
            <w:vAlign w:val="bottom"/>
          </w:tcPr>
          <w:p>
            <w:pPr>
              <w:jc w:val="right"/>
              <w:spacing w:after="0"/>
              <w:rPr>
                <w:sz w:val="20"/>
                <w:szCs w:val="20"/>
                <w:color w:val="auto"/>
              </w:rPr>
            </w:pPr>
            <w:r>
              <w:rPr>
                <w:rFonts w:ascii="Arial" w:cs="Arial" w:eastAsia="Arial" w:hAnsi="Arial"/>
                <w:sz w:val="12"/>
                <w:szCs w:val="12"/>
                <w:color w:val="auto"/>
              </w:rPr>
              <w:t>(72)</w:t>
            </w:r>
          </w:p>
        </w:tc>
      </w:tr>
      <w:tr>
        <w:trPr>
          <w:trHeight w:val="162"/>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62</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w:t>
            </w:r>
          </w:p>
        </w:tc>
      </w:tr>
      <w:tr>
        <w:trPr>
          <w:trHeight w:val="162"/>
        </w:trPr>
        <w:tc>
          <w:tcPr>
            <w:tcW w:w="660" w:type="dxa"/>
            <w:vAlign w:val="bottom"/>
          </w:tcPr>
          <w:p>
            <w:pPr>
              <w:jc w:val="right"/>
              <w:ind w:right="82"/>
              <w:spacing w:after="0"/>
              <w:rPr>
                <w:sz w:val="20"/>
                <w:szCs w:val="20"/>
                <w:color w:val="auto"/>
              </w:rPr>
            </w:pPr>
            <w:r>
              <w:rPr>
                <w:rFonts w:ascii="Arial" w:cs="Arial" w:eastAsia="Arial" w:hAnsi="Arial"/>
                <w:sz w:val="12"/>
                <w:szCs w:val="12"/>
                <w:color w:val="auto"/>
              </w:rPr>
              <w:t>—</w:t>
            </w:r>
          </w:p>
        </w:tc>
        <w:tc>
          <w:tcPr>
            <w:tcW w:w="400" w:type="dxa"/>
            <w:vAlign w:val="bottom"/>
          </w:tcPr>
          <w:p>
            <w:pPr>
              <w:ind w:left="200"/>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62"/>
              <w:spacing w:after="0"/>
              <w:rPr>
                <w:sz w:val="20"/>
                <w:szCs w:val="20"/>
                <w:color w:val="auto"/>
              </w:rPr>
            </w:pPr>
            <w:r>
              <w:rPr>
                <w:rFonts w:ascii="Arial" w:cs="Arial" w:eastAsia="Arial" w:hAnsi="Arial"/>
                <w:sz w:val="12"/>
                <w:szCs w:val="12"/>
                <w:color w:val="auto"/>
              </w:rPr>
              <w:t>(58,763)</w:t>
            </w: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(58,763)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-1586230</wp:posOffset>
            </wp:positionV>
            <wp:extent cx="2924810" cy="3594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2924810" cy="35941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-867410</wp:posOffset>
            </wp:positionV>
            <wp:extent cx="2924810" cy="1879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2924810" cy="18796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-491490</wp:posOffset>
            </wp:positionV>
            <wp:extent cx="292481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2924810" cy="102870"/>
                    </a:xfrm>
                    <a:prstGeom prst="rect">
                      <a:avLst/>
                    </a:prstGeom>
                    <a:noFill/>
                  </pic:spPr>
                </pic:pic>
              </a:graphicData>
            </a:graphic>
          </wp:anchor>
        </w:drawing>
        <w:drawing>
          <wp:anchor simplePos="0" relativeHeight="251657728" behindDoc="1" locked="0" layoutInCell="0" allowOverlap="1">
            <wp:simplePos x="0" y="0"/>
            <wp:positionH relativeFrom="column">
              <wp:posOffset>-832485</wp:posOffset>
            </wp:positionH>
            <wp:positionV relativeFrom="paragraph">
              <wp:posOffset>-200660</wp:posOffset>
            </wp:positionV>
            <wp:extent cx="292481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2924810" cy="10287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300" w:space="20"/>
            <w:col w:w="9920"/>
          </w:cols>
          <w:pgMar w:left="320" w:top="319" w:right="33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1320" w:type="dxa"/>
            <w:vAlign w:val="bottom"/>
            <w:shd w:val="clear" w:color="auto" w:fill="CFF0FC"/>
          </w:tcPr>
          <w:p>
            <w:pPr>
              <w:ind w:left="20"/>
              <w:spacing w:after="0" w:line="136" w:lineRule="exact"/>
              <w:rPr>
                <w:sz w:val="20"/>
                <w:szCs w:val="20"/>
                <w:color w:val="auto"/>
              </w:rPr>
            </w:pPr>
            <w:r>
              <w:rPr>
                <w:rFonts w:ascii="Arial" w:cs="Arial" w:eastAsia="Arial" w:hAnsi="Arial"/>
                <w:sz w:val="12"/>
                <w:szCs w:val="12"/>
                <w:b w:val="1"/>
                <w:bCs w:val="1"/>
                <w:color w:val="auto"/>
                <w:w w:val="97"/>
              </w:rPr>
              <w:t>Balance, December 31,</w:t>
            </w:r>
          </w:p>
        </w:tc>
        <w:tc>
          <w:tcPr>
            <w:tcW w:w="660" w:type="dxa"/>
            <w:vAlign w:val="bottom"/>
            <w:tcBorders>
              <w:top w:val="single" w:sz="8" w:color="auto"/>
            </w:tcBorders>
            <w:shd w:val="clear" w:color="auto" w:fill="CFF0FC"/>
          </w:tcPr>
          <w:p>
            <w:pPr>
              <w:jc w:val="right"/>
              <w:ind w:right="82"/>
              <w:spacing w:after="0" w:line="136" w:lineRule="exact"/>
              <w:rPr>
                <w:sz w:val="20"/>
                <w:szCs w:val="20"/>
                <w:color w:val="auto"/>
              </w:rPr>
            </w:pPr>
            <w:r>
              <w:rPr>
                <w:rFonts w:ascii="Arial" w:cs="Arial" w:eastAsia="Arial" w:hAnsi="Arial"/>
                <w:sz w:val="12"/>
                <w:szCs w:val="12"/>
                <w:color w:val="auto"/>
              </w:rPr>
              <w:t>37,771,9</w:t>
            </w:r>
          </w:p>
        </w:tc>
        <w:tc>
          <w:tcPr>
            <w:tcW w:w="860" w:type="dxa"/>
            <w:vAlign w:val="bottom"/>
            <w:tcBorders>
              <w:top w:val="single" w:sz="8" w:color="auto"/>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jc w:val="right"/>
              <w:ind w:right="122"/>
              <w:spacing w:after="0" w:line="136" w:lineRule="exact"/>
              <w:rPr>
                <w:sz w:val="20"/>
                <w:szCs w:val="20"/>
                <w:color w:val="auto"/>
              </w:rPr>
            </w:pPr>
            <w:r>
              <w:rPr>
                <w:rFonts w:ascii="Arial" w:cs="Arial" w:eastAsia="Arial" w:hAnsi="Arial"/>
                <w:sz w:val="12"/>
                <w:szCs w:val="12"/>
                <w:color w:val="auto"/>
                <w:w w:val="96"/>
              </w:rPr>
              <w:t>$(210,900</w:t>
            </w:r>
          </w:p>
        </w:tc>
        <w:tc>
          <w:tcPr>
            <w:tcW w:w="50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r>
      <w:tr>
        <w:trPr>
          <w:trHeight w:val="197"/>
        </w:trPr>
        <w:tc>
          <w:tcPr>
            <w:tcW w:w="1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2"/>
                <w:szCs w:val="12"/>
                <w:b w:val="1"/>
                <w:bCs w:val="1"/>
                <w:color w:val="auto"/>
              </w:rPr>
              <w:t>2022</w:t>
            </w:r>
          </w:p>
        </w:tc>
        <w:tc>
          <w:tcPr>
            <w:tcW w:w="6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rPr>
              <w:t>18</w:t>
            </w:r>
          </w:p>
        </w:tc>
        <w:tc>
          <w:tcPr>
            <w:tcW w:w="86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2"/>
                <w:szCs w:val="12"/>
                <w:color w:val="auto"/>
                <w:w w:val="97"/>
              </w:rPr>
              <w:t>$— $406,555</w:t>
            </w:r>
          </w:p>
        </w:tc>
        <w:tc>
          <w:tcPr>
            <w:tcW w:w="72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$(72)</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$195,583</w:t>
            </w: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these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17" w:name="page118"/>
    <w:bookmarkEnd w:id="117"/>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77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7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rPr>
              <w:t>2022</w:t>
            </w:r>
          </w:p>
        </w:tc>
        <w:tc>
          <w:tcPr>
            <w:tcW w:w="2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60"/>
              <w:spacing w:after="0"/>
              <w:rPr>
                <w:sz w:val="20"/>
                <w:szCs w:val="20"/>
                <w:color w:val="auto"/>
              </w:rPr>
            </w:pPr>
            <w:r>
              <w:rPr>
                <w:rFonts w:ascii="Arial" w:cs="Arial" w:eastAsia="Arial" w:hAnsi="Arial"/>
                <w:sz w:val="13"/>
                <w:szCs w:val="13"/>
                <w:b w:val="1"/>
                <w:bCs w:val="1"/>
                <w:color w:val="auto"/>
                <w:w w:val="96"/>
              </w:rPr>
              <w:t>2021</w:t>
            </w:r>
          </w:p>
        </w:tc>
        <w:tc>
          <w:tcPr>
            <w:tcW w:w="100" w:type="dxa"/>
            <w:vAlign w:val="bottom"/>
          </w:tcPr>
          <w:p>
            <w:pPr>
              <w:spacing w:after="0"/>
              <w:rPr>
                <w:sz w:val="13"/>
                <w:szCs w:val="13"/>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Net loss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(58,763 )</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(35,251 )</w:t>
            </w: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Depreciation expense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1,177</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r>
      <w:tr>
        <w:trPr>
          <w:trHeight w:val="21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6,412</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Accretion on marketable securities</w:t>
            </w:r>
          </w:p>
        </w:tc>
        <w:tc>
          <w:tcPr>
            <w:tcW w:w="3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(527 )</w:t>
            </w: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Gain (loss) on disposal of property and equipment</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(22 )</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224</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r>
      <w:tr>
        <w:trPr>
          <w:trHeight w:val="218"/>
        </w:trPr>
        <w:tc>
          <w:tcPr>
            <w:tcW w:w="7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(3,253 )</w:t>
            </w: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(3,575 )</w:t>
            </w:r>
          </w:p>
        </w:tc>
      </w:tr>
      <w:tr>
        <w:trPr>
          <w:trHeight w:val="218"/>
        </w:trPr>
        <w:tc>
          <w:tcPr>
            <w:tcW w:w="7740" w:type="dxa"/>
            <w:vAlign w:val="bottom"/>
            <w:shd w:val="clear" w:color="auto" w:fill="CFF0FC"/>
          </w:tcPr>
          <w:p>
            <w:pPr>
              <w:ind w:left="560"/>
              <w:spacing w:after="0"/>
              <w:rPr>
                <w:sz w:val="20"/>
                <w:szCs w:val="20"/>
                <w:color w:val="auto"/>
              </w:rPr>
            </w:pPr>
            <w:r>
              <w:rPr>
                <w:rFonts w:ascii="Arial" w:cs="Arial" w:eastAsia="Arial" w:hAnsi="Arial"/>
                <w:sz w:val="16"/>
                <w:szCs w:val="16"/>
                <w:color w:val="auto"/>
              </w:rPr>
              <w:t>Other long-term assets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(423 )</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56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18"/>
                <w:szCs w:val="18"/>
                <w:color w:val="auto"/>
              </w:rPr>
            </w:pPr>
          </w:p>
        </w:tc>
      </w:tr>
      <w:tr>
        <w:trPr>
          <w:trHeight w:val="215"/>
        </w:trPr>
        <w:tc>
          <w:tcPr>
            <w:tcW w:w="77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Accrued expenses and other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w:t>
            </w:r>
          </w:p>
        </w:tc>
        <w:tc>
          <w:tcPr>
            <w:tcW w:w="2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1"/>
        </w:trPr>
        <w:tc>
          <w:tcPr>
            <w:tcW w:w="7740" w:type="dxa"/>
            <w:vAlign w:val="bottom"/>
          </w:tcPr>
          <w:p>
            <w:pPr>
              <w:ind w:left="380"/>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(54,601 )</w:t>
            </w: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(32,410 )</w:t>
            </w: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8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8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(1,094 )</w:t>
            </w:r>
          </w:p>
        </w:tc>
        <w:tc>
          <w:tcPr>
            <w:tcW w:w="6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(2,125 )</w:t>
            </w: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 of marketable securities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(119,784 )</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Maturities and proceeds from the sale of marketable securities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53,009</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r>
      <w:tr>
        <w:trPr>
          <w:trHeight w:val="211"/>
        </w:trPr>
        <w:tc>
          <w:tcPr>
            <w:tcW w:w="7740" w:type="dxa"/>
            <w:vAlign w:val="bottom"/>
            <w:shd w:val="clear" w:color="auto" w:fill="CFF0FC"/>
          </w:tcPr>
          <w:p>
            <w:pPr>
              <w:ind w:left="38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(67,869 )</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(2,125 )</w:t>
            </w:r>
          </w:p>
        </w:tc>
      </w:tr>
      <w:tr>
        <w:trPr>
          <w:trHeight w:val="209"/>
        </w:trPr>
        <w:tc>
          <w:tcPr>
            <w:tcW w:w="7740" w:type="dxa"/>
            <w:vAlign w:val="bottom"/>
            <w:tcBorders>
              <w:top w:val="single" w:sz="8" w:color="CFF0FC"/>
            </w:tcBorders>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upon initial public offering, net of issuance costs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78,697</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common stock from follow-on offering, net of issuance costs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86,650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common stock under ATM facility, net of issuance costs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8,549</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430</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Proceeds from issuance of Series D convertible preferred stock, net of issuance costs</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6,982</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Proceeds from issuance of Series E convertible preferred stock, net of issuance costs</w:t>
            </w:r>
          </w:p>
        </w:tc>
        <w:tc>
          <w:tcPr>
            <w:tcW w:w="38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80,246</w:t>
            </w:r>
          </w:p>
        </w:tc>
        <w:tc>
          <w:tcPr>
            <w:tcW w:w="100" w:type="dxa"/>
            <w:vAlign w:val="bottom"/>
          </w:tcPr>
          <w:p>
            <w:pPr>
              <w:spacing w:after="0"/>
              <w:rPr>
                <w:sz w:val="18"/>
                <w:szCs w:val="18"/>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(15 )</w:t>
            </w:r>
          </w:p>
        </w:tc>
      </w:tr>
      <w:tr>
        <w:trPr>
          <w:trHeight w:val="211"/>
        </w:trPr>
        <w:tc>
          <w:tcPr>
            <w:tcW w:w="7740" w:type="dxa"/>
            <w:vAlign w:val="bottom"/>
            <w:tcBorders>
              <w:top w:val="single" w:sz="8" w:color="CFF0FC"/>
            </w:tcBorders>
          </w:tcPr>
          <w:p>
            <w:pPr>
              <w:ind w:left="380"/>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95,629</w:t>
            </w:r>
          </w:p>
        </w:tc>
        <w:tc>
          <w:tcPr>
            <w:tcW w:w="28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166,259</w:t>
            </w:r>
          </w:p>
        </w:tc>
        <w:tc>
          <w:tcPr>
            <w:tcW w:w="100" w:type="dxa"/>
            <w:vAlign w:val="bottom"/>
            <w:tcBorders>
              <w:top w:val="single" w:sz="8" w:color="CFF0FC"/>
            </w:tcBorders>
          </w:tcPr>
          <w:p>
            <w:pPr>
              <w:spacing w:after="0"/>
              <w:rPr>
                <w:sz w:val="18"/>
                <w:szCs w:val="18"/>
                <w:color w:val="auto"/>
              </w:rPr>
            </w:pPr>
          </w:p>
        </w:tc>
      </w:tr>
      <w:tr>
        <w:trPr>
          <w:trHeight w:val="210"/>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(decrease) increase in cash, cash equivalents and restricted cash</w:t>
            </w:r>
          </w:p>
        </w:tc>
        <w:tc>
          <w:tcPr>
            <w:tcW w:w="3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(26,841 )</w:t>
            </w:r>
          </w:p>
        </w:tc>
        <w:tc>
          <w:tcPr>
            <w:tcW w:w="6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131,724</w:t>
            </w:r>
          </w:p>
        </w:tc>
        <w:tc>
          <w:tcPr>
            <w:tcW w:w="100" w:type="dxa"/>
            <w:vAlign w:val="bottom"/>
            <w:shd w:val="clear" w:color="auto" w:fill="CFF0FC"/>
          </w:tcPr>
          <w:p>
            <w:pPr>
              <w:spacing w:after="0"/>
              <w:rPr>
                <w:sz w:val="18"/>
                <w:szCs w:val="18"/>
                <w:color w:val="auto"/>
              </w:rPr>
            </w:pPr>
          </w:p>
        </w:tc>
      </w:tr>
      <w:tr>
        <w:trPr>
          <w:trHeight w:val="215"/>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149,211</w:t>
            </w:r>
          </w:p>
        </w:tc>
        <w:tc>
          <w:tcPr>
            <w:tcW w:w="2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17,487</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122,370</w:t>
            </w:r>
          </w:p>
        </w:tc>
        <w:tc>
          <w:tcPr>
            <w:tcW w:w="28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149,211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Purchases of property and equipment in accounts payable and accrued expenses and other liabilities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Initial measurement of operating lease right-of-use assets and liabilities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18"/>
                <w:szCs w:val="18"/>
                <w:color w:val="auto"/>
              </w:rPr>
            </w:pP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21,210</w:t>
            </w:r>
          </w:p>
        </w:tc>
        <w:tc>
          <w:tcPr>
            <w:tcW w:w="28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Remeasurement of operating lease right-of-use assets and liabilities for lease modification</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8"/>
                <w:szCs w:val="18"/>
                <w:color w:val="auto"/>
              </w:rPr>
            </w:pP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offering costs in accounts payable</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w w:val="89"/>
              </w:rPr>
              <w:t>$</w:t>
            </w:r>
          </w:p>
        </w:tc>
        <w:tc>
          <w:tcPr>
            <w:tcW w:w="1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FF0FC"/>
          </w:tcPr>
          <w:p>
            <w:pPr>
              <w:spacing w:after="0"/>
              <w:rPr>
                <w:sz w:val="18"/>
                <w:szCs w:val="18"/>
                <w:color w:val="auto"/>
              </w:rPr>
            </w:pPr>
          </w:p>
        </w:tc>
      </w:tr>
      <w:tr>
        <w:trPr>
          <w:trHeight w:val="210"/>
        </w:trPr>
        <w:tc>
          <w:tcPr>
            <w:tcW w:w="7740" w:type="dxa"/>
            <w:vAlign w:val="bottom"/>
          </w:tcPr>
          <w:p>
            <w:pPr>
              <w:ind w:left="20"/>
              <w:spacing w:after="0"/>
              <w:rPr>
                <w:sz w:val="20"/>
                <w:szCs w:val="20"/>
                <w:color w:val="auto"/>
              </w:rPr>
            </w:pPr>
            <w:r>
              <w:rPr>
                <w:rFonts w:ascii="Arial" w:cs="Arial" w:eastAsia="Arial" w:hAnsi="Arial"/>
                <w:sz w:val="16"/>
                <w:szCs w:val="16"/>
                <w:color w:val="auto"/>
              </w:rPr>
              <w:t>Loss on termination of operating lease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28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-3502025</wp:posOffset>
            </wp:positionV>
            <wp:extent cx="68580" cy="1536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7">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-3502025</wp:posOffset>
            </wp:positionV>
            <wp:extent cx="68580" cy="1536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8">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-2655570</wp:posOffset>
            </wp:positionV>
            <wp:extent cx="68580" cy="145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-2655570</wp:posOffset>
            </wp:positionV>
            <wp:extent cx="68580" cy="145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-1551940</wp:posOffset>
            </wp:positionV>
            <wp:extent cx="68580" cy="1536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1">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-1551940</wp:posOffset>
            </wp:positionV>
            <wp:extent cx="68580" cy="1536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2">
                      <a:extLst>
                        <a:ext uri="{28A0092B-C50C-407E-A947-70E740481C1C}"/>
                      </a:extLst>
                    </a:blip>
                    <a:srcRect/>
                    <a:stretch>
                      <a:fillRect/>
                    </a:stretch>
                  </pic:blipFill>
                  <pic:spPr bwMode="auto">
                    <a:xfrm>
                      <a:off x="0" y="0"/>
                      <a:ext cx="68580" cy="15367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-979170</wp:posOffset>
            </wp:positionV>
            <wp:extent cx="123126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3">
                      <a:extLst>
                        <a:ext uri="{28A0092B-C50C-407E-A947-70E740481C1C}"/>
                      </a:extLst>
                    </a:blip>
                    <a:srcRect/>
                    <a:stretch>
                      <a:fillRect/>
                    </a:stretch>
                  </pic:blipFill>
                  <pic:spPr bwMode="auto">
                    <a:xfrm>
                      <a:off x="0" y="0"/>
                      <a:ext cx="1231265"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7132955" cy="2565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4">
                      <a:extLst>
                        <a:ext uri="{28A0092B-C50C-407E-A947-70E740481C1C}"/>
                      </a:extLst>
                    </a:blip>
                    <a:srcRect/>
                    <a:stretch>
                      <a:fillRect/>
                    </a:stretch>
                  </pic:blipFill>
                  <pic:spPr bwMode="auto">
                    <a:xfrm>
                      <a:off x="0" y="0"/>
                      <a:ext cx="7132955" cy="256540"/>
                    </a:xfrm>
                    <a:prstGeom prst="rect">
                      <a:avLst/>
                    </a:prstGeom>
                    <a:noFill/>
                  </pic:spPr>
                </pic:pic>
              </a:graphicData>
            </a:graphic>
          </wp:anchor>
        </w:drawing>
      </w:r>
    </w:p>
    <w:p>
      <w:pPr>
        <w:spacing w:after="0" w:line="217" w:lineRule="exact"/>
        <w:rPr>
          <w:sz w:val="20"/>
          <w:szCs w:val="20"/>
          <w:color w:val="auto"/>
        </w:rPr>
      </w:pPr>
    </w:p>
    <w:p>
      <w:pPr>
        <w:ind w:left="20" w:right="360"/>
        <w:spacing w:after="0" w:line="250" w:lineRule="auto"/>
        <w:rPr>
          <w:sz w:val="20"/>
          <w:szCs w:val="20"/>
          <w:color w:val="auto"/>
        </w:rPr>
      </w:pPr>
      <w:r>
        <w:rPr>
          <w:rFonts w:ascii="Arial" w:cs="Arial" w:eastAsia="Arial" w:hAnsi="Arial"/>
          <w:sz w:val="16"/>
          <w:szCs w:val="16"/>
          <w:color w:val="auto"/>
        </w:rPr>
        <w:t>The following table provides a reconciliation of cash, cash equivalents, and restricted cash reported within the balance sheets that sum to the total of the same such amounts shown in the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4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77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121,582</w:t>
            </w:r>
          </w:p>
        </w:tc>
        <w:tc>
          <w:tcPr>
            <w:tcW w:w="1240" w:type="dxa"/>
            <w:vAlign w:val="bottom"/>
            <w:gridSpan w:val="2"/>
          </w:tcPr>
          <w:p>
            <w:pPr>
              <w:jc w:val="right"/>
              <w:ind w:right="77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149,063</w:t>
            </w:r>
          </w:p>
        </w:tc>
        <w:tc>
          <w:tcPr>
            <w:tcW w:w="100" w:type="dxa"/>
            <w:vAlign w:val="bottom"/>
          </w:tcPr>
          <w:p>
            <w:pPr>
              <w:spacing w:after="0"/>
              <w:rPr>
                <w:sz w:val="17"/>
                <w:szCs w:val="17"/>
                <w:color w:val="auto"/>
              </w:rPr>
            </w:pPr>
          </w:p>
        </w:tc>
      </w:tr>
      <w:tr>
        <w:trPr>
          <w:trHeight w:val="218"/>
        </w:trPr>
        <w:tc>
          <w:tcPr>
            <w:tcW w:w="7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restricted cash, end of period</w:t>
            </w: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8"/>
                <w:szCs w:val="18"/>
                <w:color w:val="auto"/>
              </w:rPr>
            </w:pPr>
          </w:p>
        </w:tc>
      </w:tr>
      <w:tr>
        <w:trPr>
          <w:trHeight w:val="213"/>
        </w:trPr>
        <w:tc>
          <w:tcPr>
            <w:tcW w:w="7740" w:type="dxa"/>
            <w:vAlign w:val="bottom"/>
          </w:tcPr>
          <w:p>
            <w:pPr>
              <w:ind w:left="20"/>
              <w:spacing w:after="0"/>
              <w:rPr>
                <w:sz w:val="20"/>
                <w:szCs w:val="20"/>
                <w:color w:val="auto"/>
              </w:rPr>
            </w:pPr>
            <w:r>
              <w:rPr>
                <w:rFonts w:ascii="Arial" w:cs="Arial" w:eastAsia="Arial" w:hAnsi="Arial"/>
                <w:sz w:val="16"/>
                <w:szCs w:val="16"/>
                <w:color w:val="auto"/>
              </w:rPr>
              <w:t>Long-term restricted cash, end of period</w:t>
            </w: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2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r>
      <w:tr>
        <w:trPr>
          <w:trHeight w:val="251"/>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122,370</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149,211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-24765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-7620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8" w:name="page119"/>
    <w:bookmarkEnd w:id="118"/>
    <w:p>
      <w:pPr>
        <w:jc w:val="center"/>
        <w:ind w:right="40"/>
        <w:spacing w:after="0"/>
        <w:rPr>
          <w:sz w:val="20"/>
          <w:szCs w:val="20"/>
          <w:color w:val="auto"/>
        </w:rPr>
      </w:pPr>
      <w:r>
        <w:rPr>
          <w:rFonts w:ascii="Arial" w:cs="Arial" w:eastAsia="Arial" w:hAnsi="Arial"/>
          <w:sz w:val="18"/>
          <w:szCs w:val="18"/>
          <w:b w:val="1"/>
          <w:bCs w:val="1"/>
          <w:color w:val="auto"/>
        </w:rPr>
        <w:t>Aura Biosciences, Inc.</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Aura Biosciences, Inc. (the “Company” or “Aura”) is a clinical-stage biotechnology company envisioning a new way to treat cancer. Leveraging a novel targeted oncology platform, the Company has the goal to develop a new standard of care across multiple cancer indications. Within these consolidated financial statements, unless the context otherwise requires, references to the Company or Aura refer to Aura Biosciences, Inc and its subsidiary on a consolidated basis. The Company's initial focus is on ocular and urologic oncology where the disease is diagnosed early and there is a high unmet medical need. The Company's proprietary platform enables the targeting of a broad range of solid tumors using Virus-Like Particles, or VLPs, that can be conjugated with drugs or loaded with nucleic acids to create Virus-Like Drug Conjugates, or VDCs. The Company's VDCs are largely agnostic to tumor type and can recognize tumor associated glycosaminoglycans with unique heparan sulphate epitopes that are expressed on the cell surface of many tumor cells and in the tumor microenvironment. Bel-sar, the Company's first VDC candidate, is being developed for the first-line treatment of early-stage choroidal melanoma, a rare disease with no drugs approved where the standard of care leaves many patients with blindness. The Company is also developing bel-sar for additional ocular oncology indications, including choroidal metastasis, and in non-muscle invasive bladder cancer, or NMIBC. Aura’s headquarters are located in Boston, Massachusetts.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and collaborative partners, competition, customer demand, management of growth, and the effectiveness of marketing by the Company.</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5"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On October 22, 2021, the Company effected a reverse stock split of the Company’s common stock on a 1-for-13.7 basis, or the Reverse Stock Split. In connection with the Reverse Stock Split, the conversion ratio for the Company’s convertible preferred stock was proportionately adjusted such that the common stock issuable upon conversion of such preferred stock was decreased in proportion to the Reverse Stock Split. Accordingly, all common stock share and per share amounts, for all periods presented in these consolidated financial statements, have been retroactively adjusted, to reflect this reverse stock split and adjustment of the convertible preferred stock conversion ratios.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8"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November 2, 2021, the Company completed its initial public offering (the “IPO”), in which it issued and sold 6,210,000 shares of common stock, including the full exercise of the underwriters’ option to purchase additional shares at a price to the public of $14.00 per share for aggregate gross proceeds of $86.9 million. The Company received approximately $78.3 million in net proceeds after deducting underwriting discounts, commissions and offering expenses.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83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19" w:name="page120"/>
    <w:bookmarkEnd w:id="119"/>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84"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7"/>
          <w:szCs w:val="17"/>
          <w:color w:val="auto"/>
        </w:rPr>
        <w:t>Through December 31, 2022, the Company has funded its operations primarily with proceeds from the initial closing and additional closings of its convertible preferred stock financings, through its license agreements, through its IPO, follow-on offering and ATM transaction. On December 5, 2022, the Company issued and sold 7,705,000 shares of common stock, including the full exercise of the underwriters’ option to purchase additional shares at a price to the public of $12.00 per share for aggregate gross proceeds of $92.5 million in the Follow-On Offering. The Company received approximately $86.7 million in net proceeds from the Follow-On Offering after deducting underwriting discounts, commissions and offering expenses. 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732,189 shares of common stock at an average price of $12.51 for aggregate gross proceeds of $9.2 million as of December 31, 2022. On November 2, 2021, the Company completed its IPO, in which it issued and sold 6,210,000 shares of common stock, including the full exercise of the underwriters’ option to purchase additional shares at a price to the public of $14.00 per share for aggregate gross proceeds of $86.9 million. The Company received approximately $78.3 million in net proceeds after deducting underwriting discounts, commissions and offering expenses. The Company has incurred recurring losses and negative operating cash flows from operations since its inception, including net losses of $58.8 million and $35.3 million for the years ended December 31, 2022 and 2021, respectively. As of December 31, 2022, the Company had cash and cash equivalents and marketable securities of $188.8 million and an accumulated deficit of $210.9 million. The Company expects to continue to generate operating losses for the foreseeable future.</w:t>
      </w:r>
    </w:p>
    <w:p>
      <w:pPr>
        <w:spacing w:after="0" w:line="20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As of the issuance date of these consolidated financial statements for the year ended December 31, 2022,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The consolidated financial statements include those accounts of the Company and its subsidiaries after elimination of all intercompany accounts and transactions.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of assets and liabilities and disclosure of contingent assets and liabilities at the date of the consolidated financial statements and the reported amounts of expenses during the reporting period. Significant items subject to such estimates and assumptions include the fair value of stock-based compensation and accrued research and development costs. Management bases its estimates on historical experience and on various other market-specific relevant assumptions that management believes to be reasonable under the circumstances. Actual results could differ from those estimates.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9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views its operations and manages its business in one operating segment operating exclusively in the United States.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Restricted Cash</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Cash consists of standard checking accounts. As of December 31, 2022, the restricted cash account is comprised of a $0.8 million security deposit held by the lessor for the Company’s operating lease, and a less than $0.1 million deposit that is collateral for the Company’s corporate credit card.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0" w:name="page121"/>
    <w:bookmarkEnd w:id="120"/>
    <w:p>
      <w:pPr>
        <w:ind w:left="5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Cash equivalents are highly liquid investments with an original maturity of 90 days or less at the date of purchase and consist of time deposits and investments in money market funds that invest in U.S. Treasury obligations and government funds with commercial banks and financial institutions.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All marketable securities have original maturities greater than 90 days. The Company has classified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Unrealized gains and losses are reported as the accumulated other comprehensive items in stockholders’ equity. Amortization and accretion of premiums and discounts are recorded in other income (expense) within the consolidated statements of operations and comprehensive loss. Realized gains or losses are included in interest income or interest expense, respectively. If any adjustment to fair value reflects a decline in value of the investment, the Company considers all available evidence such as industry, financial inputs, and capital markets data to evaluate the extent to which the decline is other than temporary and, if so, marks the investment to market on the Company’s consolidated statement of operations and comprehensive loss.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Accounting Standards Codification 820, Fair Value Measurement (“ASC 820”), establishes a fair value hierarchy for instruments measured at fair value that distinguishes between assumptions based on market data (observable inputs) and the Company’s own assumptions (unobservable inputs).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28" w:lineRule="exact"/>
        <w:rPr>
          <w:sz w:val="20"/>
          <w:szCs w:val="20"/>
          <w:color w:val="auto"/>
        </w:rPr>
      </w:pPr>
    </w:p>
    <w:p>
      <w:pPr>
        <w:ind w:left="1020" w:hanging="369"/>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1—Inputs are quoted prices (unadjusted) in active markets for identical assets or liabilities.</w:t>
      </w:r>
    </w:p>
    <w:p>
      <w:pPr>
        <w:spacing w:after="0" w:line="35"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2—Inputs are inputs other than quoted prices included within Level 1 that are observable for the asset or liability, either directly or indirectly.</w:t>
      </w:r>
    </w:p>
    <w:p>
      <w:pPr>
        <w:spacing w:after="0" w:line="21" w:lineRule="exact"/>
        <w:rPr>
          <w:rFonts w:ascii="Arial" w:cs="Arial" w:eastAsia="Arial" w:hAnsi="Arial"/>
          <w:sz w:val="18"/>
          <w:szCs w:val="18"/>
          <w:color w:val="auto"/>
        </w:rPr>
      </w:pPr>
    </w:p>
    <w:p>
      <w:pPr>
        <w:jc w:val="both"/>
        <w:ind w:left="1020" w:hanging="369"/>
        <w:spacing w:after="0" w:line="239"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Level 3—Inputs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primarily of cash and cash equivalents. The Company maintains its cash in bank deposit accounts which, at times, may exceed federally insured limits. The Company has not experienced any losses in such accounts. The Company believes it is not exposed to any significant credit risk on cash.</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1" w:name="page122"/>
    <w:bookmarkEnd w:id="121"/>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Property and equipment are recorded at cost and depreciated using the straight-line method over the estimated useful life of the assets. Upon sale or retirement, the cost and accumulated depreciation is eliminated from their respective accounts and the resulting gain or loss is included in income or loss for the period. Repair and maintenance expenditures are charged to expense as incurred. The estimated useful lives of the Company’s respective assets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60" w:type="dxa"/>
            <w:vAlign w:val="bottom"/>
          </w:tcPr>
          <w:p>
            <w:pPr>
              <w:spacing w:after="0"/>
              <w:rPr>
                <w:sz w:val="16"/>
                <w:szCs w:val="16"/>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Estimated Useful Life</w:t>
            </w:r>
          </w:p>
        </w:tc>
      </w:tr>
      <w:tr>
        <w:trPr>
          <w:trHeight w:val="208"/>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4480" w:type="dxa"/>
            <w:vAlign w:val="bottom"/>
            <w:shd w:val="clear" w:color="auto" w:fill="CFF0FC"/>
          </w:tcPr>
          <w:p>
            <w:pPr>
              <w:ind w:left="60"/>
              <w:spacing w:after="0"/>
              <w:rPr>
                <w:sz w:val="20"/>
                <w:szCs w:val="20"/>
                <w:color w:val="auto"/>
              </w:rPr>
            </w:pPr>
            <w:r>
              <w:rPr>
                <w:rFonts w:ascii="Arial" w:cs="Arial" w:eastAsia="Arial" w:hAnsi="Arial"/>
                <w:sz w:val="18"/>
                <w:szCs w:val="18"/>
                <w:color w:val="auto"/>
              </w:rPr>
              <w:t>The shorter of the life of the leasehold improvement or</w:t>
            </w:r>
          </w:p>
        </w:tc>
      </w:tr>
      <w:tr>
        <w:trPr>
          <w:trHeight w:val="216"/>
        </w:trPr>
        <w:tc>
          <w:tcPr>
            <w:tcW w:w="6760" w:type="dxa"/>
            <w:vAlign w:val="bottom"/>
            <w:shd w:val="clear" w:color="auto" w:fill="CFF0FC"/>
          </w:tcPr>
          <w:p>
            <w:pPr>
              <w:spacing w:after="0"/>
              <w:rPr>
                <w:sz w:val="18"/>
                <w:szCs w:val="18"/>
                <w:color w:val="auto"/>
              </w:rPr>
            </w:pPr>
          </w:p>
        </w:tc>
        <w:tc>
          <w:tcPr>
            <w:tcW w:w="44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the remaining term of the lease</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4480" w:type="dxa"/>
            <w:vAlign w:val="bottom"/>
          </w:tcPr>
          <w:p>
            <w:pPr>
              <w:jc w:val="center"/>
              <w:spacing w:after="0"/>
              <w:rPr>
                <w:sz w:val="20"/>
                <w:szCs w:val="20"/>
                <w:color w:val="auto"/>
              </w:rPr>
            </w:pPr>
            <w:r>
              <w:rPr>
                <w:rFonts w:ascii="Arial" w:cs="Arial" w:eastAsia="Arial" w:hAnsi="Arial"/>
                <w:sz w:val="18"/>
                <w:szCs w:val="18"/>
                <w:color w:val="auto"/>
              </w:rPr>
              <w:t>3 years</w:t>
            </w:r>
          </w:p>
        </w:tc>
      </w:tr>
      <w:tr>
        <w:trPr>
          <w:trHeight w:val="229"/>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44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5 years</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Office furniture</w:t>
            </w:r>
          </w:p>
        </w:tc>
        <w:tc>
          <w:tcPr>
            <w:tcW w:w="4480" w:type="dxa"/>
            <w:vAlign w:val="bottom"/>
          </w:tcPr>
          <w:p>
            <w:pPr>
              <w:jc w:val="center"/>
              <w:spacing w:after="0"/>
              <w:rPr>
                <w:sz w:val="20"/>
                <w:szCs w:val="20"/>
                <w:color w:val="auto"/>
              </w:rPr>
            </w:pPr>
            <w:r>
              <w:rPr>
                <w:rFonts w:ascii="Arial" w:cs="Arial" w:eastAsia="Arial" w:hAnsi="Arial"/>
                <w:sz w:val="18"/>
                <w:szCs w:val="18"/>
                <w:color w:val="auto"/>
              </w:rPr>
              <w:t>7 years</w:t>
            </w:r>
          </w:p>
        </w:tc>
      </w:tr>
    </w:tbl>
    <w:p>
      <w:pPr>
        <w:spacing w:after="0" w:line="20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Costs for capital assets not yet placed into service are capitalized as assets under construction and depreciated in accordance with the above guidelines once placed into service. Upon retirement or disposal of property and equipment, the cost and related accumulated depreciation are removed from the consolidated balance sheet and any gain or loss is reflected in the consolidated statements of operations and comprehensive loss.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reviews all long-lived assets for impairment whenever events or circumstances indicate the carrying amount of such assets may not be recoverable. Recoverability of assets to be held and used is measured by comparison of the carrying value of the assets to the future undiscounted net cash flows expected to be generated by the asset. If such asset is considered to be unrecoverable, the impairment recognized is measured by the difference between the estimated fair value of the asset and its carrying value. The Company did not recognize any impairments during the years ended December 31, 2022 or 2021.</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The Company accrues costs for clinical trial activities and contract manufacturers based upon estimates of the services received and related expenses incurred that have yet to be invoiced by the contract research organizations, clinical study sites, contract manufacturers, laboratories, consultants, or other vendors that perform the activities.</w:t>
      </w:r>
    </w:p>
    <w:p>
      <w:pPr>
        <w:spacing w:after="0" w:line="201" w:lineRule="exact"/>
        <w:rPr>
          <w:sz w:val="20"/>
          <w:szCs w:val="20"/>
          <w:color w:val="auto"/>
        </w:rPr>
      </w:pPr>
    </w:p>
    <w:p>
      <w:pPr>
        <w:jc w:val="both"/>
        <w:ind w:right="20" w:firstLine="509"/>
        <w:spacing w:after="0" w:line="239" w:lineRule="auto"/>
        <w:rPr>
          <w:sz w:val="20"/>
          <w:szCs w:val="20"/>
          <w:color w:val="auto"/>
        </w:rPr>
      </w:pPr>
      <w:r>
        <w:rPr>
          <w:rFonts w:ascii="Arial" w:cs="Arial" w:eastAsia="Arial" w:hAnsi="Arial"/>
          <w:sz w:val="18"/>
          <w:szCs w:val="18"/>
          <w:color w:val="auto"/>
        </w:rPr>
        <w:t>Non-refundable prepayments for goods or services that will be used or rendered for future research and development activities are deferred. Such amounts are expensed as the goods are delivered or the related services are performed or until it is no longer expected that the goods will be delivered, or the services rendered.</w:t>
      </w:r>
    </w:p>
    <w:p>
      <w:pPr>
        <w:spacing w:after="0" w:line="20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Costs incurred in obtaining technology licenses are recognized as research and development expense as incurred if the technology licensed has not reached technological feasibility and has no alternative future uses.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Patent and Trademark Costs</w:t>
      </w:r>
    </w:p>
    <w:p>
      <w:pPr>
        <w:spacing w:after="0" w:line="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All patents and trademark related costs incurred in connection with filing and prosecuting patent and trademark applications are expensed as incurred due to uncertainty about the recovery of the expenditure. Amounts incurred are classified as general and administrative expenses in the consolidated statements of operations and comprehensive loss.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2" w:name="page123"/>
    <w:bookmarkEnd w:id="122"/>
    <w:p>
      <w:pPr>
        <w:ind w:left="520"/>
        <w:spacing w:after="0"/>
        <w:rPr>
          <w:sz w:val="20"/>
          <w:szCs w:val="20"/>
          <w:color w:val="auto"/>
        </w:rPr>
      </w:pPr>
      <w:r>
        <w:rPr>
          <w:rFonts w:ascii="Arial" w:cs="Arial" w:eastAsia="Arial" w:hAnsi="Arial"/>
          <w:sz w:val="18"/>
          <w:szCs w:val="18"/>
          <w:b w:val="1"/>
          <w:bCs w:val="1"/>
          <w:i w:val="1"/>
          <w:iCs w:val="1"/>
          <w:color w:val="auto"/>
        </w:rPr>
        <w:t>Leases</w:t>
      </w:r>
    </w:p>
    <w:p>
      <w:pPr>
        <w:spacing w:after="0" w:line="21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 xml:space="preserve">Effective January 1, 2021, the Company accounts for leases in accordance with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(“ASC 842”). At contract inception, the Company determines if an arrangement is or contains a lease. A lease conveys the right to control the use of an identified asset for a period of time in exchange for consideration. If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 For each lease with a term greater than twelve months, the Company records a right-of-use asset and lease liability.</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adopted the new leasing standard effective January 1, 2021, using the modified retrospective transition approach which uses the effective date, or January 1, 2021, as the date of initial application. ASC 842 provides several optional practical expedients in transition. The Company has elected to apply the package of practical expedients requiring no reassessment of whether any expired or existing contracts are or contain leases, the lease classification of any expired or existing leases, or the capitalization of initial direct costs for any existing leases.</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A right-of-use asset represents the economic benefit conveyed to the Company by the right to use the underlying asset over the lease term. A lease liability represents the obligation to make lease payments arising from the lease. The Company elected the practical expedient to not separate lease and non-lease components for all classes of underlying assets and therefore measures each lease payment as the total of the fixed lease and associated non-lease components. Lease liabilities are measured at lease commencement and calculated as the present value of the future lease payments in the contract using the rate implicit in the contract, when available. If an implicit rate is not readily determinable, the Company uses an incremental borrowing rate measured as the rate at which the Company could borrow, on a fully collateralized basis, a commensurate loan in the same currency over a period consistent with the lease term at the commencement date. Right-of-use assets are measured as the lease liability plus initial direct costs and prepaid lease payments, less lease incentives granted by the lessor. The lease term is measured as the noncancelable period in the contract, adjusted for any options to extend or terminate when it is reasonably certain the Company will extend the lease term via such options based on an assessment of economic factors present as of the lease commencement date. The Company elected the practical expedient to not recognize leases with a lease term of twelve months or less.</w:t>
      </w:r>
    </w:p>
    <w:p>
      <w:pPr>
        <w:spacing w:after="0" w:line="20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Components of a lease are split into three categories: lease components, non-lease components, and non-components. The fixed and in-substance fixed contract consideration (including any consideration related to non-components) are allocated, based on the respective relative fair values, to the lease components and non-lease components. The Company has elected to account for lease and non-lease components together as a single lease component for all underlying assets and allocate all of the contract consideration to the lease component only.</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Company’s operating leases are presented in the consolidated balance sheet as operating lease right-of-use assets, classified as noncurrent assets, and operating lease liabilities, classified as current and noncurrent liabilities. Operating lease expense is recognized on a straight-line basis over the lease term. Variable costs associated with a lease, such as maintenance and utilities, are not included in the measurement of the lease liabilities and right-of-use assets but rather are expensed when the events determining the amount of variable consideration to be paid have occurred.</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recognizes deferred tax assets and liabilities for the expected future tax consequences of events that have been included in the Company’s consolidated financial statements and/or tax returns. Deferred tax assets and liabilities are based upon the differences between the financial statement carrying amounts and the tax bases of existing assets and liabilities and for loss and credit carryforwards using enacted tax rates expected to be in effect in the years in which the differences are expected to reverse. Deferred tax assets are reduced by a valuation allowance if it is more likely than not that some portion or all the deferred tax asset will not be realized.</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provides reserves related to uncertain tax positions when management determines the related tax benefit is not more likely than not to be realized. The determination as to whether the tax benefit will more likely than not be realized is based upon the technical merits of the tax position as well as the consideration of the available facts and circumstances. The Company has no reserves related to uncertain tax positions as of December 31, 2022 and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3" w:name="page124"/>
    <w:bookmarkEnd w:id="123"/>
    <w:p>
      <w:pPr>
        <w:jc w:val="both"/>
        <w:ind w:firstLine="509"/>
        <w:spacing w:after="0" w:line="239" w:lineRule="auto"/>
        <w:rPr>
          <w:sz w:val="20"/>
          <w:szCs w:val="20"/>
          <w:color w:val="auto"/>
        </w:rPr>
      </w:pPr>
      <w:r>
        <w:rPr>
          <w:rFonts w:ascii="Arial" w:cs="Arial" w:eastAsia="Arial" w:hAnsi="Arial"/>
          <w:sz w:val="18"/>
          <w:szCs w:val="18"/>
          <w:color w:val="auto"/>
        </w:rPr>
        <w:t>Interest and penalty charges, if any, related to uncertain tax positions would be classified as income tax expense in the accompanying consolidated statements of operations and comprehensive loss. As of December 31, 2022, and 2021 the Company had no accrued interest related to uncertain tax positions.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preferred stock or common stock financings as deferred offering costs until such financings are consummated. After the closing of the IPO, follow-on offering and the ATM draw downs, these costs were recorded in stockholders' equity as a reduction of additional paid-in capital generated as a result of the financings.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recognizes stock-based compensation expense for all stock-based awards based on their grant date fair value.</w:t>
      </w:r>
    </w:p>
    <w:p>
      <w:pPr>
        <w:spacing w:after="0" w:line="2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recognizes compensation expense over the requisite service period, which is generally the vesting period of the award. For awards that include performance-based vesting conditions, expense is recognized using the accelerated attribution method when the performance condition is deemed to be probable of being satisfied. As of December 31, 2022, the Company has no performance-based awards. The Company accounts for forfeitures as they occur. The Company determines the fair value of restricted stock awards in reference to the fair value of its common stock less any applicable purchase price.</w:t>
      </w:r>
    </w:p>
    <w:p>
      <w:pPr>
        <w:spacing w:after="0" w:line="204"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which requires inputs based on certain subjective assumptions, including the expected stock price volatility, the expected term of the option, the risk-free interest rate for a period that approximates the expected term of the option and the Company’s expected dividend yield. The Company determines the volatility for awards granted based on an analysis of reported data for a group of guideline companies that have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granted to employees has been determined utilizing the “simplified” method, using the midpoint between the vesting date and the contractual term.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208"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Before the IPO, as there has been no public market for the Company's common stock, the estimated fair value of its common stock was been determined by its Board of Directors, with input from management, considering third-party valuations of the common stock as well as the Board of Directors’ assessment of additional objective and subjective factors that it believed were relevant and which may have changed from the date of the most recent third-party valuation through the date of the option grant. These third-party valuations were performed in accordance with the guidance outlined in the American Institute of Certified Public Accountants’ Accounting and Valuation Guide, Valuation of Privately-Held-Company Equity Securities Issued as Compensation. The Company's common stock valuations were prepared using either an option pricing method, or OPM, or a hybrid method, both of which used market approaches to estimate the Company's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83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24" w:name="page125"/>
    <w:bookmarkEnd w:id="124"/>
    <w:p>
      <w:pPr>
        <w:ind w:firstLine="509"/>
        <w:spacing w:after="0" w:line="245" w:lineRule="auto"/>
        <w:rPr>
          <w:sz w:val="20"/>
          <w:szCs w:val="20"/>
          <w:color w:val="auto"/>
        </w:rPr>
      </w:pPr>
      <w:r>
        <w:rPr>
          <w:rFonts w:ascii="Arial" w:cs="Arial" w:eastAsia="Arial" w:hAnsi="Arial"/>
          <w:sz w:val="18"/>
          <w:szCs w:val="18"/>
          <w:color w:val="auto"/>
        </w:rPr>
        <w:t>In addition to considering the results of these third-party valuations, the Company's Board of Directors considered various objective and subjective factors to determine the fair value of the Company's common stock as of each grant date, including:</w:t>
      </w:r>
    </w:p>
    <w:p>
      <w:pPr>
        <w:spacing w:after="0" w:line="399" w:lineRule="exact"/>
        <w:rPr>
          <w:sz w:val="20"/>
          <w:szCs w:val="20"/>
          <w:color w:val="auto"/>
        </w:rPr>
      </w:pPr>
    </w:p>
    <w:p>
      <w:pPr>
        <w:ind w:left="920" w:right="20" w:hanging="454"/>
        <w:spacing w:after="0" w:line="218" w:lineRule="auto"/>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prices at which the Company sold shares of preferred stock and the superior rights and preferences of the preferred stock relative to its common stock at the time of each grant;</w:t>
      </w:r>
    </w:p>
    <w:p>
      <w:pPr>
        <w:spacing w:after="0" w:line="53" w:lineRule="exact"/>
        <w:rPr>
          <w:rFonts w:ascii="MS PGothic" w:cs="MS PGothic" w:eastAsia="MS PGothic" w:hAnsi="MS PGothic"/>
          <w:sz w:val="25"/>
          <w:szCs w:val="25"/>
          <w:color w:val="auto"/>
          <w:vertAlign w:val="superscript"/>
        </w:rPr>
      </w:pPr>
    </w:p>
    <w:p>
      <w:pPr>
        <w:ind w:left="920" w:right="20" w:hanging="441"/>
        <w:spacing w:after="0" w:line="218" w:lineRule="auto"/>
        <w:tabs>
          <w:tab w:leader="none" w:pos="920" w:val="left"/>
        </w:tabs>
        <w:numPr>
          <w:ilvl w:val="1"/>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progress of Aura's research and development programs, including the status and results of preclinical studies for its product candidates;</w:t>
      </w:r>
    </w:p>
    <w:p>
      <w:pPr>
        <w:spacing w:after="0" w:line="17" w:lineRule="exact"/>
        <w:rPr>
          <w:rFonts w:ascii="MS PGothic" w:cs="MS PGothic" w:eastAsia="MS PGothic" w:hAnsi="MS PGothic"/>
          <w:sz w:val="25"/>
          <w:szCs w:val="25"/>
          <w:color w:val="auto"/>
          <w:vertAlign w:val="superscript"/>
        </w:rPr>
      </w:pPr>
    </w:p>
    <w:p>
      <w:pPr>
        <w:ind w:left="920" w:hanging="454"/>
        <w:spacing w:after="0"/>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Company's stage of development and commercialization and its business strategy;</w:t>
      </w:r>
    </w:p>
    <w:p>
      <w:pPr>
        <w:spacing w:after="0" w:line="218" w:lineRule="exact"/>
        <w:rPr>
          <w:rFonts w:ascii="MS PGothic" w:cs="MS PGothic" w:eastAsia="MS PGothic" w:hAnsi="MS PGothic"/>
          <w:sz w:val="25"/>
          <w:szCs w:val="25"/>
          <w:color w:val="auto"/>
          <w:vertAlign w:val="superscript"/>
        </w:rPr>
      </w:pPr>
    </w:p>
    <w:p>
      <w:pPr>
        <w:ind w:left="920" w:hanging="454"/>
        <w:spacing w:after="0"/>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External market conditions affecting the biotechnology industry and trends within the biotechnology industry;</w:t>
      </w:r>
    </w:p>
    <w:p>
      <w:pPr>
        <w:spacing w:after="0" w:line="218" w:lineRule="exact"/>
        <w:rPr>
          <w:rFonts w:ascii="MS PGothic" w:cs="MS PGothic" w:eastAsia="MS PGothic" w:hAnsi="MS PGothic"/>
          <w:sz w:val="25"/>
          <w:szCs w:val="25"/>
          <w:color w:val="auto"/>
          <w:vertAlign w:val="superscript"/>
        </w:rPr>
      </w:pPr>
    </w:p>
    <w:p>
      <w:pPr>
        <w:ind w:left="920" w:hanging="454"/>
        <w:spacing w:after="0"/>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Company's financial position, including cash on hand, and its historical and forecasted performance and operating results;</w:t>
      </w:r>
    </w:p>
    <w:p>
      <w:pPr>
        <w:spacing w:after="0" w:line="218" w:lineRule="exact"/>
        <w:rPr>
          <w:rFonts w:ascii="MS PGothic" w:cs="MS PGothic" w:eastAsia="MS PGothic" w:hAnsi="MS PGothic"/>
          <w:sz w:val="25"/>
          <w:szCs w:val="25"/>
          <w:color w:val="auto"/>
          <w:vertAlign w:val="superscript"/>
        </w:rPr>
      </w:pPr>
    </w:p>
    <w:p>
      <w:pPr>
        <w:ind w:left="920" w:hanging="454"/>
        <w:spacing w:after="0"/>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lack of an active public market for Aura's common stock and convertible preferred stock;</w:t>
      </w:r>
    </w:p>
    <w:p>
      <w:pPr>
        <w:spacing w:after="0" w:line="218" w:lineRule="exact"/>
        <w:rPr>
          <w:rFonts w:ascii="MS PGothic" w:cs="MS PGothic" w:eastAsia="MS PGothic" w:hAnsi="MS PGothic"/>
          <w:sz w:val="25"/>
          <w:szCs w:val="25"/>
          <w:color w:val="auto"/>
          <w:vertAlign w:val="superscript"/>
        </w:rPr>
      </w:pPr>
    </w:p>
    <w:p>
      <w:pPr>
        <w:ind w:left="920" w:hanging="441"/>
        <w:spacing w:after="0"/>
        <w:tabs>
          <w:tab w:leader="none" w:pos="920" w:val="left"/>
        </w:tabs>
        <w:numPr>
          <w:ilvl w:val="1"/>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likelihood of achieving a liquidity event, such as an IPO, or sale of the Company in light of prevailing market conditions; and</w:t>
      </w:r>
    </w:p>
    <w:p>
      <w:pPr>
        <w:spacing w:after="0" w:line="218" w:lineRule="exact"/>
        <w:rPr>
          <w:rFonts w:ascii="MS PGothic" w:cs="MS PGothic" w:eastAsia="MS PGothic" w:hAnsi="MS PGothic"/>
          <w:sz w:val="25"/>
          <w:szCs w:val="25"/>
          <w:color w:val="auto"/>
          <w:vertAlign w:val="superscript"/>
        </w:rPr>
      </w:pPr>
    </w:p>
    <w:p>
      <w:pPr>
        <w:ind w:left="920" w:hanging="454"/>
        <w:spacing w:after="0"/>
        <w:tabs>
          <w:tab w:leader="none" w:pos="920" w:val="left"/>
        </w:tabs>
        <w:numPr>
          <w:ilvl w:val="0"/>
          <w:numId w:val="5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analysis of an IPO and the market performance of similar companies in the biotechnology industry.</w:t>
      </w:r>
    </w:p>
    <w:p>
      <w:pPr>
        <w:spacing w:after="0" w:line="200" w:lineRule="exact"/>
        <w:rPr>
          <w:sz w:val="20"/>
          <w:szCs w:val="20"/>
          <w:color w:val="auto"/>
        </w:rPr>
      </w:pPr>
    </w:p>
    <w:p>
      <w:pPr>
        <w:spacing w:after="0" w:line="217"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the Company had used different assumptions or estimates, the fair value of its common stock and stock-based compensation expense could have been materially different.</w:t>
      </w:r>
    </w:p>
    <w:p>
      <w:pPr>
        <w:spacing w:after="0" w:line="20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8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Net loss per share attributable to common stockholders is computed by using the two-class method, which is an earnings allocation formula that determines loss per share for the holders of the Company’s common stock and participating securities. All series of preferred stock contain participation rights in any dividend declared or accumulated by the Company and are deemed to be participating securities. Income available to common stockholders and participating convertible preferred stock is allocated to each share on an as-converted basis as if all of the earnings for the period had been distributed. The participating securities do not include a contractual obligation to share in losses of the Company and are not included in the calculation of net loss per share in the periods that have a net loss.</w:t>
      </w:r>
    </w:p>
    <w:p>
      <w:pPr>
        <w:spacing w:after="0" w:line="20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Diluted net income per share is computed using the if-converted method. The Company allocates earnings first to preferred stockholders based on dividend rights and then to common and preferred stockholders based on ownership interests. The weighted-average number of common stock included in the computation of diluted loss gives effect to all potentially dilutive common equivalent shares, including outstanding stock options, warrants, and convertible preferred stock. Common stock equivalent shares are excluded from the computation of diluted loss per share if their effect is antidilutive.</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8"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Comprehensive loss is defined as the change in equity of a business enterprise during a period from transactions and other events and circumstances from non-owner sources.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84"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Company assessed the recent accounting pronouncements for the year ended December 31, 2022 and determined no pronouncements have material impact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25" w:name="page126"/>
    <w:bookmarkEnd w:id="125"/>
    <w:p>
      <w:pPr>
        <w:ind w:left="5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233" w:lineRule="exact"/>
        <w:rPr>
          <w:sz w:val="20"/>
          <w:szCs w:val="20"/>
          <w:color w:val="auto"/>
        </w:rPr>
      </w:pPr>
    </w:p>
    <w:p>
      <w:pPr>
        <w:jc w:val="both"/>
        <w:ind w:firstLine="509"/>
        <w:spacing w:after="0" w:line="235"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will be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does not expect adoption of this new guidance to have a material impact on its results of operations, financial condition, and financial statement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indicates the level of the fair value hierarchy utilized to determine such fair values as of December 31, 2022 and 2021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216"/>
        </w:trPr>
        <w:tc>
          <w:tcPr>
            <w:tcW w:w="5580" w:type="dxa"/>
            <w:vAlign w:val="bottom"/>
            <w:gridSpan w:val="3"/>
          </w:tcPr>
          <w:p>
            <w:pPr>
              <w:ind w:left="20"/>
              <w:spacing w:after="0"/>
              <w:rPr>
                <w:sz w:val="20"/>
                <w:szCs w:val="20"/>
                <w:color w:val="auto"/>
              </w:rPr>
            </w:pPr>
            <w:r>
              <w:rPr>
                <w:rFonts w:ascii="Arial" w:cs="Arial" w:eastAsia="Arial" w:hAnsi="Arial"/>
                <w:sz w:val="18"/>
                <w:szCs w:val="18"/>
                <w:i w:val="1"/>
                <w:iCs w:val="1"/>
                <w:color w:val="auto"/>
              </w:rPr>
              <w:t>Financial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118,582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118,582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27,476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27,476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5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U.S. Government agencies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2"/>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185,811</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118,582</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67,229</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r>
      <w:tr>
        <w:trPr>
          <w:trHeight w:val="385"/>
        </w:trPr>
        <w:tc>
          <w:tcPr>
            <w:tcW w:w="2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47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Quoted prices</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100" w:type="dxa"/>
            <w:vAlign w:val="bottom"/>
            <w:tcBorders>
              <w:top w:val="single" w:sz="8" w:color="CFF0FC"/>
            </w:tcBorders>
          </w:tcPr>
          <w:p>
            <w:pPr>
              <w:spacing w:after="0"/>
              <w:rPr>
                <w:sz w:val="24"/>
                <w:szCs w:val="2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active markets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for identical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01"/>
              <w:spacing w:after="0"/>
              <w:rPr>
                <w:sz w:val="20"/>
                <w:szCs w:val="20"/>
                <w:color w:val="auto"/>
              </w:rPr>
            </w:pPr>
            <w:r>
              <w:rPr>
                <w:rFonts w:ascii="Arial" w:cs="Arial" w:eastAsia="Arial" w:hAnsi="Arial"/>
                <w:sz w:val="14"/>
                <w:szCs w:val="14"/>
                <w:b w:val="1"/>
                <w:bCs w:val="1"/>
                <w:color w:val="auto"/>
              </w:rPr>
              <w:t>observable</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81"/>
              <w:spacing w:after="0"/>
              <w:rPr>
                <w:sz w:val="20"/>
                <w:szCs w:val="20"/>
                <w:color w:val="auto"/>
              </w:rPr>
            </w:pPr>
            <w:r>
              <w:rPr>
                <w:rFonts w:ascii="Arial" w:cs="Arial" w:eastAsia="Arial" w:hAnsi="Arial"/>
                <w:sz w:val="14"/>
                <w:szCs w:val="14"/>
                <w:b w:val="1"/>
                <w:bCs w:val="1"/>
                <w:color w:val="auto"/>
              </w:rPr>
              <w:t>assets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inputs</w:t>
            </w:r>
          </w:p>
        </w:tc>
        <w:tc>
          <w:tcPr>
            <w:tcW w:w="10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7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216"/>
        </w:trPr>
        <w:tc>
          <w:tcPr>
            <w:tcW w:w="5580" w:type="dxa"/>
            <w:vAlign w:val="bottom"/>
            <w:gridSpan w:val="3"/>
          </w:tcPr>
          <w:p>
            <w:pPr>
              <w:ind w:left="20"/>
              <w:spacing w:after="0"/>
              <w:rPr>
                <w:sz w:val="20"/>
                <w:szCs w:val="20"/>
                <w:color w:val="auto"/>
              </w:rPr>
            </w:pPr>
            <w:r>
              <w:rPr>
                <w:rFonts w:ascii="Arial" w:cs="Arial" w:eastAsia="Arial" w:hAnsi="Arial"/>
                <w:sz w:val="18"/>
                <w:szCs w:val="18"/>
                <w:i w:val="1"/>
                <w:iCs w:val="1"/>
                <w:color w:val="auto"/>
              </w:rPr>
              <w:t>Financial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58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60" w:type="dxa"/>
            <w:vAlign w:val="bottom"/>
            <w:gridSpan w:val="2"/>
          </w:tcPr>
          <w:p>
            <w:pPr>
              <w:ind w:left="26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24,063</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2"/>
        </w:trPr>
        <w:tc>
          <w:tcPr>
            <w:tcW w:w="55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24,063</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4400550</wp:posOffset>
            </wp:positionH>
            <wp:positionV relativeFrom="paragraph">
              <wp:posOffset>-1333500</wp:posOffset>
            </wp:positionV>
            <wp:extent cx="2736850" cy="8636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7">
                      <a:extLst>
                        <a:ext uri="{28A0092B-C50C-407E-A947-70E740481C1C}"/>
                      </a:extLst>
                    </a:blip>
                    <a:srcRect/>
                    <a:stretch>
                      <a:fillRect/>
                    </a:stretch>
                  </pic:blipFill>
                  <pic:spPr bwMode="auto">
                    <a:xfrm>
                      <a:off x="0" y="0"/>
                      <a:ext cx="2736850" cy="863600"/>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-24765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5393055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-24765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transfers between levels for the years ended December 31, 2022 and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4. Property and Equipment, Net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2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1000" w:type="dxa"/>
            <w:vAlign w:val="bottom"/>
            <w:shd w:val="clear" w:color="auto" w:fill="CFF0FC"/>
          </w:tcPr>
          <w:p>
            <w:pPr>
              <w:jc w:val="right"/>
              <w:ind w:right="797"/>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IT equipment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Lab equipment</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7,297</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Office furniture</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22"/>
        </w:trPr>
        <w:tc>
          <w:tcPr>
            <w:tcW w:w="7720" w:type="dxa"/>
            <w:vAlign w:val="bottom"/>
            <w:tcBorders>
              <w:top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9,235</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8,015</w:t>
            </w:r>
          </w:p>
        </w:tc>
        <w:tc>
          <w:tcPr>
            <w:tcW w:w="100" w:type="dxa"/>
            <w:vAlign w:val="bottom"/>
            <w:tcBorders>
              <w:top w:val="single" w:sz="8" w:color="CFF0FC"/>
            </w:tcBorders>
          </w:tcPr>
          <w:p>
            <w:pPr>
              <w:spacing w:after="0"/>
              <w:rPr>
                <w:sz w:val="19"/>
                <w:szCs w:val="19"/>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(3,864 )</w:t>
            </w: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9"/>
              </w:rPr>
              <w:t>(2,764 )</w:t>
            </w:r>
          </w:p>
        </w:tc>
      </w:tr>
      <w:tr>
        <w:trPr>
          <w:trHeight w:val="222"/>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auto"/>
              <w:bottom w:val="single" w:sz="8" w:color="auto"/>
            </w:tcBorders>
          </w:tcPr>
          <w:p>
            <w:pPr>
              <w:jc w:val="right"/>
              <w:ind w:right="79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280" w:type="dxa"/>
            <w:vAlign w:val="bottom"/>
            <w:tcBorders>
              <w:top w:val="single" w:sz="8" w:color="CFF0FC"/>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795"/>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5,251</w:t>
            </w:r>
          </w:p>
        </w:tc>
        <w:tc>
          <w:tcPr>
            <w:tcW w:w="100" w:type="dxa"/>
            <w:vAlign w:val="bottom"/>
            <w:tcBorders>
              <w:top w:val="single" w:sz="8" w:color="CFF0FC"/>
            </w:tcBorders>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-487045</wp:posOffset>
            </wp:positionV>
            <wp:extent cx="68580" cy="1625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-487045</wp:posOffset>
            </wp:positionV>
            <wp:extent cx="68580" cy="1625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-179070</wp:posOffset>
            </wp:positionV>
            <wp:extent cx="6858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Depreciation expense was $1.2 million and $0.8 million for the years ended December 31, 2022 and 2021,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82"/>
        </w:trPr>
        <w:tc>
          <w:tcPr>
            <w:tcW w:w="5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2"/>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3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w:t>
            </w:r>
          </w:p>
        </w:tc>
        <w:tc>
          <w:tcPr>
            <w:tcW w:w="12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1,754</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license agreements</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r>
      <w:tr>
        <w:trPr>
          <w:trHeight w:val="262"/>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393"/>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7,871</w:t>
            </w:r>
          </w:p>
        </w:tc>
        <w:tc>
          <w:tcPr>
            <w:tcW w:w="120" w:type="dxa"/>
            <w:vAlign w:val="bottom"/>
            <w:shd w:val="clear" w:color="auto" w:fill="CFF0FC"/>
          </w:tcPr>
          <w:p>
            <w:pPr>
              <w:spacing w:after="0"/>
              <w:rPr>
                <w:sz w:val="22"/>
                <w:szCs w:val="22"/>
                <w:color w:val="auto"/>
              </w:rPr>
            </w:pPr>
          </w:p>
        </w:tc>
        <w:tc>
          <w:tcPr>
            <w:tcW w:w="3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4,618</w:t>
            </w:r>
          </w:p>
        </w:tc>
        <w:tc>
          <w:tcPr>
            <w:tcW w:w="100" w:type="dxa"/>
            <w:vAlign w:val="bottom"/>
            <w:shd w:val="clear" w:color="auto" w:fill="CFF0FC"/>
          </w:tcPr>
          <w:p>
            <w:pPr>
              <w:spacing w:after="0"/>
              <w:rPr>
                <w:sz w:val="22"/>
                <w:szCs w:val="22"/>
                <w:color w:val="auto"/>
              </w:rPr>
            </w:pPr>
          </w:p>
        </w:tc>
      </w:tr>
      <w:tr>
        <w:trPr>
          <w:trHeight w:val="614"/>
        </w:trPr>
        <w:tc>
          <w:tcPr>
            <w:tcW w:w="574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6. Marketable Securities</w:t>
            </w:r>
          </w:p>
        </w:tc>
        <w:tc>
          <w:tcPr>
            <w:tcW w:w="38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269"/>
        </w:trPr>
        <w:tc>
          <w:tcPr>
            <w:tcW w:w="574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440"/>
        </w:trPr>
        <w:tc>
          <w:tcPr>
            <w:tcW w:w="5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gridSpan w:val="6"/>
          </w:tcPr>
          <w:p>
            <w:pPr>
              <w:ind w:left="18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58"/>
        </w:trPr>
        <w:tc>
          <w:tcPr>
            <w:tcW w:w="5740" w:type="dxa"/>
            <w:vAlign w:val="bottom"/>
          </w:tcPr>
          <w:p>
            <w:pPr>
              <w:spacing w:after="0"/>
              <w:rPr>
                <w:sz w:val="13"/>
                <w:szCs w:val="13"/>
                <w:color w:val="auto"/>
              </w:rPr>
            </w:pPr>
          </w:p>
        </w:tc>
        <w:tc>
          <w:tcPr>
            <w:tcW w:w="12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jc w:val="right"/>
              <w:ind w:right="153"/>
              <w:spacing w:after="0" w:line="158"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6"/>
          </w:tcPr>
          <w:p>
            <w:pPr>
              <w:jc w:val="center"/>
              <w:ind w:right="440"/>
              <w:spacing w:after="0" w:line="158"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0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r>
      <w:tr>
        <w:trPr>
          <w:trHeight w:val="188"/>
        </w:trPr>
        <w:tc>
          <w:tcPr>
            <w:tcW w:w="5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93"/>
              <w:spacing w:after="0"/>
              <w:rPr>
                <w:sz w:val="20"/>
                <w:szCs w:val="20"/>
                <w:color w:val="auto"/>
              </w:rPr>
            </w:pPr>
            <w:r>
              <w:rPr>
                <w:rFonts w:ascii="Arial" w:cs="Arial" w:eastAsia="Arial" w:hAnsi="Arial"/>
                <w:sz w:val="14"/>
                <w:szCs w:val="14"/>
                <w:b w:val="1"/>
                <w:bCs w:val="1"/>
                <w:color w:val="auto"/>
              </w:rPr>
              <w:t>Gains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left="75"/>
              <w:spacing w:after="0"/>
              <w:rPr>
                <w:sz w:val="20"/>
                <w:szCs w:val="20"/>
                <w:color w:val="auto"/>
              </w:rPr>
            </w:pPr>
            <w:r>
              <w:rPr>
                <w:rFonts w:ascii="Arial" w:cs="Arial" w:eastAsia="Arial" w:hAnsi="Arial"/>
                <w:sz w:val="14"/>
                <w:szCs w:val="14"/>
                <w:b w:val="1"/>
                <w:bCs w:val="1"/>
                <w:color w:val="auto"/>
              </w:rPr>
              <w:t>Losses</w:t>
            </w: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574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27,476</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4"/>
          </w:tcPr>
          <w:p>
            <w:pPr>
              <w:jc w:val="center"/>
              <w:ind w:right="120"/>
              <w:spacing w:after="0"/>
              <w:rPr>
                <w:sz w:val="20"/>
                <w:szCs w:val="20"/>
                <w:color w:val="auto"/>
              </w:rPr>
            </w:pPr>
            <w:r>
              <w:rPr>
                <w:rFonts w:ascii="Arial" w:cs="Arial" w:eastAsia="Arial" w:hAnsi="Arial"/>
                <w:sz w:val="18"/>
                <w:szCs w:val="18"/>
                <w:color w:val="auto"/>
                <w:w w:val="99"/>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27,476</w:t>
            </w: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Corporate bonds</w:t>
            </w: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(92 )</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18,099</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21,635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21,654</w:t>
            </w:r>
          </w:p>
        </w:tc>
        <w:tc>
          <w:tcPr>
            <w:tcW w:w="10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67,302</w:t>
            </w: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1"/>
              </w:rPr>
              <w:t>(93 )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67,229</w:t>
            </w:r>
          </w:p>
        </w:tc>
        <w:tc>
          <w:tcPr>
            <w:tcW w:w="100" w:type="dxa"/>
            <w:vAlign w:val="bottom"/>
            <w:shd w:val="clear" w:color="auto" w:fill="CFF0FC"/>
          </w:tcPr>
          <w:p>
            <w:pPr>
              <w:spacing w:after="0"/>
              <w:rPr>
                <w:sz w:val="21"/>
                <w:szCs w:val="2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-1872615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-1855470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-1872615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-1855470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-24765</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4400550</wp:posOffset>
            </wp:positionH>
            <wp:positionV relativeFrom="paragraph">
              <wp:posOffset>-7620</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-24765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-7620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9"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of December 31, 2022, the unrealized losses on the Company’s investments in U.S. government agencies securities and corporate bonds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5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December 31, 2022, $0.1 million unrealized losses were associated with marketable securities with contractual maturities of one year or less.</w:t>
      </w:r>
    </w:p>
    <w:p>
      <w:pPr>
        <w:spacing w:after="0" w:line="62"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December 31, 2022, all marketable securities held by the Company had remaining contractual maturities of one year or less, except for corporate bonds and U.S. government agencies securities with a fair value of $4.2 million that had maturities of one to two years.</w:t>
      </w:r>
    </w:p>
    <w:p>
      <w:pPr>
        <w:spacing w:after="0" w:line="4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There were no impairments of the Company’s assets measured and carried at fair value during the year ended December 31,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4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774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102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130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w:t>
            </w:r>
          </w:p>
        </w:tc>
        <w:tc>
          <w:tcPr>
            <w:tcW w:w="100" w:type="dxa"/>
            <w:vAlign w:val="bottom"/>
            <w:shd w:val="clear" w:color="auto" w:fill="CFF0FC"/>
          </w:tcPr>
          <w:p>
            <w:pPr>
              <w:spacing w:after="0"/>
              <w:rPr>
                <w:sz w:val="19"/>
                <w:szCs w:val="19"/>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2,705</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2,147</w:t>
            </w:r>
          </w:p>
        </w:tc>
        <w:tc>
          <w:tcPr>
            <w:tcW w:w="100" w:type="dxa"/>
            <w:vAlign w:val="bottom"/>
          </w:tcPr>
          <w:p>
            <w:pPr>
              <w:spacing w:after="0"/>
              <w:rPr>
                <w:sz w:val="19"/>
                <w:szCs w:val="19"/>
                <w:color w:val="auto"/>
              </w:rPr>
            </w:pPr>
          </w:p>
        </w:tc>
      </w:tr>
      <w:tr>
        <w:trPr>
          <w:trHeight w:val="22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774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4,573</w:t>
            </w:r>
          </w:p>
        </w:tc>
        <w:tc>
          <w:tcPr>
            <w:tcW w:w="1300" w:type="dxa"/>
            <w:vAlign w:val="bottom"/>
            <w:gridSpan w:val="2"/>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-179070</wp:posOffset>
            </wp:positionV>
            <wp:extent cx="68580" cy="1797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84"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had 150,000,000 authorized shares of common stock, par value $0.00001 per share, of which 37,771,918 and 29,211,643 shares were issued and outstanding at December 31, 2022 and 2021, respectively.</w:t>
      </w:r>
    </w:p>
    <w:p>
      <w:pPr>
        <w:spacing w:after="0" w:line="2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Upon closing of the IPO on November 2, 2021, all of the Company's outstanding shares of convertible preferred stock automatically converted into 22,550,561 shares of common stock. In addition, the Company authorized 10,000,000 shares of preferred stock, par value $0.00001 per share, all of which shares of preferred stock will be undesignated.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Financings</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December 5, 2022, the Company issued and sold 7,705,000 shares of common stock, including the full exercise of the underwriters’ option to purchase additional shares at a price to the public of $12.00 per share for aggregate gross proceeds of $92.5 million (the “Follow-On Offering”). The Company received approximately $86.7 million in net proceeds from the Follow-On Offering after deducting underwriting discounts, commissions and offering expenses.</w:t>
      </w:r>
    </w:p>
    <w:p>
      <w:pPr>
        <w:spacing w:after="0" w:line="68" w:lineRule="exact"/>
        <w:rPr>
          <w:sz w:val="20"/>
          <w:szCs w:val="20"/>
          <w:color w:val="auto"/>
        </w:rPr>
      </w:pPr>
    </w:p>
    <w:p>
      <w:pPr>
        <w:jc w:val="both"/>
        <w:ind w:firstLine="509"/>
        <w:spacing w:after="0" w:line="228" w:lineRule="auto"/>
        <w:rPr>
          <w:sz w:val="20"/>
          <w:szCs w:val="20"/>
          <w:color w:val="auto"/>
        </w:rPr>
      </w:pPr>
      <w:r>
        <w:rPr>
          <w:rFonts w:ascii="Arial" w:cs="Arial" w:eastAsia="Arial" w:hAnsi="Arial"/>
          <w:sz w:val="18"/>
          <w:szCs w:val="18"/>
          <w:color w:val="auto"/>
        </w:rPr>
        <w:t>On November 1, 2022, the Company filed a shelf registration statement on Form S-3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xml:space="preserve"> (the “Sales Agreement”) with Jefferies LLC (the “Sales Agent”) to provide for the offering, issuance and sale by the Company of up to an aggregate of $75.0 million of common stock from time to time in “at-the-market” offerings (the “ATM”) under the 2022 Shelf and subject to the limitations thereof. The Company issued 732,189 shares of common stock at an average price of $12.51 for aggregate gross proceeds of $9.2 million as of December 31, 2022 under the Sales Agreement.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December 12, 2018, the Company adopted the Aura Biosciences, Inc. 2018 Equity Incentive Plan (the “2018 Plan”). The 2018 Plan will expire in 2028. Under the 2018 Plan, Aura may grant incentive stock options, non-qualified stock options, restricted and unrestricted stock awards and stock right. The Board of Directors (the "Board") has determined not to make any further awards under the 2018 Plan as of November 2, 2021. However, the 2018 Plan will continue to govern outstanding equity awards granted thereunder.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2022, the shares reserved for issuance was increased to 4,812,748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98"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2022, the shares reserved for issuance was increased to 627,333 shares. The purchase price of the shares under the ESPP are at 85% of the lower of the fair market value of the Company’s common stock on the first trading day of the offering period or on the purchase date. As of December 31, 2022, 627,333 shares were available to be issued under the ESPP. The Company recognized $0.02 million share-based compensation expense related to the ESPP for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3"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With the transfer of the available options from the 2018 Plan to the 2021 Plan, there were 3,387,895 options available for grant under the 2021 Plan at December 31, 2022.</w:t>
      </w:r>
    </w:p>
    <w:p>
      <w:pPr>
        <w:spacing w:after="0" w:line="197"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spacing w:after="0" w:line="14" w:lineRule="exact"/>
        <w:rPr>
          <w:sz w:val="20"/>
          <w:szCs w:val="20"/>
          <w:color w:val="auto"/>
        </w:rPr>
      </w:pPr>
    </w:p>
    <w:p>
      <w:pPr>
        <w:ind w:left="1020" w:hanging="369"/>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which employees, directors and consultants shall be granted awards;</w:t>
      </w:r>
    </w:p>
    <w:p>
      <w:pPr>
        <w:spacing w:after="0" w:line="48" w:lineRule="exact"/>
        <w:rPr>
          <w:rFonts w:ascii="Arial" w:cs="Arial" w:eastAsia="Arial" w:hAnsi="Arial"/>
          <w:sz w:val="18"/>
          <w:szCs w:val="18"/>
          <w:color w:val="auto"/>
        </w:rPr>
      </w:pPr>
    </w:p>
    <w:p>
      <w:pPr>
        <w:ind w:left="1020" w:hanging="369"/>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Arial" w:cs="Arial" w:eastAsia="Arial" w:hAnsi="Arial"/>
          <w:sz w:val="18"/>
          <w:szCs w:val="18"/>
          <w:color w:val="auto"/>
        </w:rPr>
      </w:pPr>
    </w:p>
    <w:p>
      <w:pPr>
        <w:ind w:left="1020" w:hanging="369"/>
        <w:spacing w:after="0" w:line="24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3" w:lineRule="exact"/>
        <w:rPr>
          <w:rFonts w:ascii="Arial" w:cs="Arial" w:eastAsia="Arial" w:hAnsi="Arial"/>
          <w:sz w:val="18"/>
          <w:szCs w:val="18"/>
          <w:color w:val="auto"/>
        </w:rPr>
      </w:pPr>
    </w:p>
    <w:p>
      <w:pPr>
        <w:ind w:left="1020" w:hanging="369"/>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or cancellation provisions applicable to options;</w:t>
      </w:r>
    </w:p>
    <w:p>
      <w:pPr>
        <w:spacing w:after="0" w:line="48" w:lineRule="exact"/>
        <w:rPr>
          <w:rFonts w:ascii="Arial" w:cs="Arial" w:eastAsia="Arial" w:hAnsi="Arial"/>
          <w:sz w:val="18"/>
          <w:szCs w:val="18"/>
          <w:color w:val="auto"/>
        </w:rPr>
      </w:pPr>
    </w:p>
    <w:p>
      <w:pPr>
        <w:ind w:left="1020" w:hanging="369"/>
        <w:spacing w:after="0" w:line="245"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21" w:lineRule="exact"/>
        <w:rPr>
          <w:rFonts w:ascii="Arial" w:cs="Arial" w:eastAsia="Arial" w:hAnsi="Arial"/>
          <w:sz w:val="18"/>
          <w:szCs w:val="18"/>
          <w:color w:val="auto"/>
        </w:rPr>
      </w:pPr>
    </w:p>
    <w:p>
      <w:pPr>
        <w:ind w:left="1020" w:hanging="369"/>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terms and conditions upon which each award may be granted in accordance with the 2018 Plan.</w:t>
      </w:r>
    </w:p>
    <w:p>
      <w:pPr>
        <w:spacing w:after="0" w:line="22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83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29" w:name="page130"/>
    <w:bookmarkEnd w:id="129"/>
    <w:p>
      <w:pPr>
        <w:ind w:left="520"/>
        <w:spacing w:after="0"/>
        <w:rPr>
          <w:sz w:val="20"/>
          <w:szCs w:val="20"/>
          <w:color w:val="auto"/>
        </w:rPr>
      </w:pPr>
      <w:r>
        <w:rPr>
          <w:rFonts w:ascii="Arial" w:cs="Arial" w:eastAsia="Arial" w:hAnsi="Arial"/>
          <w:sz w:val="18"/>
          <w:szCs w:val="18"/>
          <w:color w:val="auto"/>
        </w:rPr>
        <w:t>The following table summarizes stock option activity under the 2018 Plan and 2021 Plan for the year ended December 31,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rPr>
                <w:sz w:val="20"/>
                <w:szCs w:val="20"/>
                <w:color w:val="auto"/>
              </w:rPr>
            </w:pPr>
            <w:r>
              <w:rPr>
                <w:rFonts w:ascii="Arial" w:cs="Arial" w:eastAsia="Arial" w:hAnsi="Arial"/>
                <w:sz w:val="14"/>
                <w:szCs w:val="14"/>
                <w:b w:val="1"/>
                <w:bCs w:val="1"/>
                <w:color w:val="auto"/>
              </w:rPr>
              <w:t>Intrinsic</w:t>
            </w:r>
          </w:p>
        </w:tc>
        <w:tc>
          <w:tcPr>
            <w:tcW w:w="10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77"/>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r>
      <w:tr>
        <w:trPr>
          <w:trHeight w:val="188"/>
        </w:trPr>
        <w:tc>
          <w:tcPr>
            <w:tcW w:w="5740" w:type="dxa"/>
            <w:vAlign w:val="bottom"/>
          </w:tcPr>
          <w:p>
            <w:pPr>
              <w:spacing w:after="0"/>
              <w:rPr>
                <w:sz w:val="16"/>
                <w:szCs w:val="16"/>
                <w:color w:val="auto"/>
              </w:rPr>
            </w:pPr>
          </w:p>
        </w:tc>
        <w:tc>
          <w:tcPr>
            <w:tcW w:w="13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r>
      <w:tr>
        <w:trPr>
          <w:trHeight w:val="222"/>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2021</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4,232,991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40,437</w:t>
            </w: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544,321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15.81</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(71,642 )</w:t>
            </w: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(402,334 )</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2"/>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color w:val="auto"/>
              </w:rPr>
              <w:t>Exercisable at December 31, 2022</w:t>
            </w:r>
          </w:p>
        </w:tc>
        <w:tc>
          <w:tcPr>
            <w:tcW w:w="1320" w:type="dxa"/>
            <w:vAlign w:val="bottom"/>
          </w:tcPr>
          <w:p>
            <w:pPr>
              <w:jc w:val="right"/>
              <w:spacing w:after="0"/>
              <w:rPr>
                <w:sz w:val="20"/>
                <w:szCs w:val="20"/>
                <w:color w:val="auto"/>
              </w:rPr>
            </w:pPr>
            <w:r>
              <w:rPr>
                <w:rFonts w:ascii="Arial" w:cs="Arial" w:eastAsia="Arial" w:hAnsi="Arial"/>
                <w:sz w:val="18"/>
                <w:szCs w:val="18"/>
                <w:color w:val="auto"/>
              </w:rPr>
              <w:t>2,099,094</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10,610</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-196215</wp:posOffset>
            </wp:positionV>
            <wp:extent cx="2660015" cy="1968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2660015" cy="196850"/>
                    </a:xfrm>
                    <a:prstGeom prst="rect">
                      <a:avLst/>
                    </a:prstGeom>
                    <a:noFill/>
                  </pic:spPr>
                </pic:pic>
              </a:graphicData>
            </a:graphic>
          </wp:anchor>
        </w:drawing>
      </w:r>
    </w:p>
    <w:p>
      <w:pPr>
        <w:spacing w:after="0" w:line="181" w:lineRule="exact"/>
        <w:rPr>
          <w:sz w:val="20"/>
          <w:szCs w:val="20"/>
          <w:color w:val="auto"/>
        </w:rPr>
      </w:pPr>
    </w:p>
    <w:p>
      <w:pPr>
        <w:jc w:val="both"/>
        <w:ind w:right="80" w:firstLine="509"/>
        <w:spacing w:after="0" w:line="239" w:lineRule="auto"/>
        <w:rPr>
          <w:sz w:val="20"/>
          <w:szCs w:val="20"/>
          <w:color w:val="auto"/>
        </w:rPr>
      </w:pPr>
      <w:r>
        <w:rPr>
          <w:rFonts w:ascii="Arial" w:cs="Arial" w:eastAsia="Arial" w:hAnsi="Arial"/>
          <w:sz w:val="18"/>
          <w:szCs w:val="18"/>
          <w:color w:val="auto"/>
        </w:rPr>
        <w:t>The weighted-average grant date fair value of stock options granted during the years ended December 31, 2022 and 2021 was $10.79 and $5.84 per share, respectively. The total intrinsic value of options exercised was $0.8 million and $0.1 million for the years ended December 31, 2022 and 2021, respectively.</w:t>
      </w:r>
    </w:p>
    <w:p>
      <w:pPr>
        <w:spacing w:after="0" w:line="203" w:lineRule="exact"/>
        <w:rPr>
          <w:sz w:val="20"/>
          <w:szCs w:val="20"/>
          <w:color w:val="auto"/>
        </w:rPr>
      </w:pPr>
    </w:p>
    <w:p>
      <w:pPr>
        <w:jc w:val="both"/>
        <w:ind w:right="80" w:firstLine="509"/>
        <w:spacing w:after="0" w:line="245" w:lineRule="auto"/>
        <w:rPr>
          <w:sz w:val="20"/>
          <w:szCs w:val="20"/>
          <w:color w:val="auto"/>
        </w:rPr>
      </w:pPr>
      <w:r>
        <w:rPr>
          <w:rFonts w:ascii="Arial" w:cs="Arial" w:eastAsia="Arial" w:hAnsi="Arial"/>
          <w:sz w:val="18"/>
          <w:szCs w:val="18"/>
          <w:color w:val="auto"/>
        </w:rPr>
        <w:t>The fair value of the stock options issued as of December 31, 2022 and 2021 was measured with the following weighted-average assumptions:</w:t>
      </w:r>
    </w:p>
    <w:p>
      <w:pPr>
        <w:spacing w:after="0" w:line="185" w:lineRule="exact"/>
        <w:rPr>
          <w:sz w:val="20"/>
          <w:szCs w:val="20"/>
          <w:color w:val="auto"/>
        </w:rPr>
      </w:pPr>
    </w:p>
    <w:p>
      <w:pPr>
        <w:ind w:left="8520"/>
        <w:spacing w:after="0"/>
        <w:rPr>
          <w:sz w:val="20"/>
          <w:szCs w:val="20"/>
          <w:color w:val="auto"/>
        </w:rPr>
      </w:pPr>
      <w:r>
        <w:rPr>
          <w:rFonts w:ascii="Arial" w:cs="Arial" w:eastAsia="Arial" w:hAnsi="Arial"/>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r>
      <w:tr>
        <w:trPr>
          <w:trHeight w:val="222"/>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3.00 %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1.15 %</w:t>
            </w: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56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Pr>
          <w:p>
            <w:pPr>
              <w:spacing w:after="0"/>
              <w:rPr>
                <w:sz w:val="19"/>
                <w:szCs w:val="19"/>
                <w:color w:val="auto"/>
              </w:rPr>
            </w:pP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78.10 %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73.87 %</w:t>
            </w:r>
          </w:p>
        </w:tc>
      </w:tr>
      <w:tr>
        <w:trPr>
          <w:trHeight w:val="229"/>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Expected dividend rate</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7132955" cy="1454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wp:posOffset>
            </wp:positionV>
            <wp:extent cx="713295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9"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Company has granted restricted stock units with service-based vesting conditions. Unvested shares of restricted common stock may not be sold or transferred by the holder.</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 activity during the year ended December 31, 2022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6"/>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r>
      <w:tr>
        <w:trPr>
          <w:trHeight w:val="162"/>
        </w:trPr>
        <w:tc>
          <w:tcPr>
            <w:tcW w:w="7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96"/>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r>
      <w:tr>
        <w:trPr>
          <w:trHeight w:val="188"/>
        </w:trPr>
        <w:tc>
          <w:tcPr>
            <w:tcW w:w="7700" w:type="dxa"/>
            <w:vAlign w:val="bottom"/>
          </w:tcPr>
          <w:p>
            <w:pPr>
              <w:spacing w:after="0"/>
              <w:rPr>
                <w:sz w:val="16"/>
                <w:szCs w:val="16"/>
                <w:color w:val="auto"/>
              </w:rPr>
            </w:pPr>
          </w:p>
        </w:tc>
        <w:tc>
          <w:tcPr>
            <w:tcW w:w="1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Restricted Stock Units</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Pr>
          <w:p>
            <w:pPr>
              <w:spacing w:after="0"/>
              <w:rPr>
                <w:sz w:val="16"/>
                <w:szCs w:val="16"/>
                <w:color w:val="auto"/>
              </w:rPr>
            </w:pPr>
          </w:p>
        </w:tc>
      </w:tr>
      <w:tr>
        <w:trPr>
          <w:trHeight w:val="222"/>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2021</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231,920</w:t>
            </w:r>
          </w:p>
        </w:tc>
        <w:tc>
          <w:tcPr>
            <w:tcW w:w="26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Vested/Released</w:t>
            </w: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(51,444 )</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(26,526 )</w:t>
            </w:r>
          </w:p>
        </w:tc>
        <w:tc>
          <w:tcPr>
            <w:tcW w:w="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FF0FC"/>
          </w:tcPr>
          <w:p>
            <w:pPr>
              <w:spacing w:after="0"/>
              <w:rPr>
                <w:sz w:val="19"/>
                <w:szCs w:val="19"/>
                <w:color w:val="auto"/>
              </w:rPr>
            </w:pPr>
          </w:p>
        </w:tc>
      </w:tr>
      <w:tr>
        <w:trPr>
          <w:trHeight w:val="222"/>
        </w:trPr>
        <w:tc>
          <w:tcPr>
            <w:tcW w:w="7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Unvested at December 31, 2022</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153,950</w:t>
            </w:r>
          </w:p>
        </w:tc>
        <w:tc>
          <w:tcPr>
            <w:tcW w:w="260" w:type="dxa"/>
            <w:vAlign w:val="bottom"/>
            <w:tcBorders>
              <w:top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FF0FC"/>
            </w:tcBorders>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5888990</wp:posOffset>
            </wp:positionH>
            <wp:positionV relativeFrom="paragraph">
              <wp:posOffset>-179070</wp:posOffset>
            </wp:positionV>
            <wp:extent cx="68580"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-179070</wp:posOffset>
            </wp:positionV>
            <wp:extent cx="68580"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jc w:val="both"/>
        <w:ind w:right="60" w:firstLine="509"/>
        <w:spacing w:after="0" w:line="245" w:lineRule="auto"/>
        <w:rPr>
          <w:sz w:val="20"/>
          <w:szCs w:val="20"/>
          <w:color w:val="auto"/>
        </w:rPr>
      </w:pPr>
      <w:r>
        <w:rPr>
          <w:rFonts w:ascii="Arial" w:cs="Arial" w:eastAsia="Arial" w:hAnsi="Arial"/>
          <w:sz w:val="18"/>
          <w:szCs w:val="18"/>
          <w:color w:val="auto"/>
        </w:rPr>
        <w:t>As a result of the 2021 Equity Incentive Plan, the Company granted restricted stock units which vest in increments of 25% annually over a period of four years. During the year ended December 31, 2022, 51,444 restricted stock units vested with a fair value of $0.7 million.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38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3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4940" w:type="dxa"/>
            <w:vAlign w:val="bottom"/>
            <w:gridSpan w:val="2"/>
            <w:shd w:val="clear" w:color="auto" w:fill="CFF0FC"/>
          </w:tcPr>
          <w:p>
            <w:pPr>
              <w:jc w:val="right"/>
              <w:ind w:right="822"/>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2,389</w:t>
            </w:r>
          </w:p>
        </w:tc>
        <w:tc>
          <w:tcPr>
            <w:tcW w:w="1300" w:type="dxa"/>
            <w:vAlign w:val="bottom"/>
            <w:gridSpan w:val="2"/>
            <w:shd w:val="clear" w:color="auto" w:fill="CFF0FC"/>
          </w:tcPr>
          <w:p>
            <w:pPr>
              <w:jc w:val="right"/>
              <w:ind w:right="8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w:t>
            </w:r>
          </w:p>
        </w:tc>
        <w:tc>
          <w:tcPr>
            <w:tcW w:w="100" w:type="dxa"/>
            <w:vAlign w:val="bottom"/>
            <w:shd w:val="clear" w:color="auto" w:fill="CFF0FC"/>
          </w:tcPr>
          <w:p>
            <w:pPr>
              <w:spacing w:after="0"/>
              <w:rPr>
                <w:sz w:val="19"/>
                <w:szCs w:val="19"/>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9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w:t>
            </w:r>
          </w:p>
        </w:tc>
        <w:tc>
          <w:tcPr>
            <w:tcW w:w="2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19"/>
                <w:szCs w:val="19"/>
                <w:color w:val="auto"/>
              </w:rPr>
            </w:pPr>
          </w:p>
        </w:tc>
      </w:tr>
      <w:tr>
        <w:trPr>
          <w:trHeight w:val="262"/>
        </w:trPr>
        <w:tc>
          <w:tcPr>
            <w:tcW w:w="3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9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6,412</w:t>
            </w:r>
          </w:p>
        </w:tc>
        <w:tc>
          <w:tcPr>
            <w:tcW w:w="2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7"/>
        </w:trPr>
        <w:tc>
          <w:tcPr>
            <w:tcW w:w="3820" w:type="dxa"/>
            <w:vAlign w:val="bottom"/>
          </w:tcPr>
          <w:p>
            <w:pPr>
              <w:spacing w:after="0"/>
              <w:rPr>
                <w:sz w:val="24"/>
                <w:szCs w:val="24"/>
                <w:color w:val="auto"/>
              </w:rPr>
            </w:pPr>
          </w:p>
        </w:tc>
        <w:tc>
          <w:tcPr>
            <w:tcW w:w="4940" w:type="dxa"/>
            <w:vAlign w:val="bottom"/>
            <w:gridSpan w:val="2"/>
          </w:tcPr>
          <w:p>
            <w:pPr>
              <w:jc w:val="right"/>
              <w:ind w:right="2882"/>
              <w:spacing w:after="0"/>
              <w:rPr>
                <w:sz w:val="20"/>
                <w:szCs w:val="20"/>
                <w:color w:val="auto"/>
              </w:rPr>
            </w:pPr>
            <w:r>
              <w:rPr>
                <w:rFonts w:ascii="Arial" w:cs="Arial" w:eastAsia="Arial" w:hAnsi="Arial"/>
                <w:sz w:val="18"/>
                <w:szCs w:val="18"/>
                <w:color w:val="auto"/>
              </w:rPr>
              <w:t>F-18</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82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-504190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-487045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-504190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-487045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56" w:right="279" w:bottom="1440" w:gutter="0" w:footer="0" w:header="0"/>
        </w:sectPr>
      </w:pPr>
    </w:p>
    <w:bookmarkStart w:id="130" w:name="page131"/>
    <w:bookmarkEnd w:id="130"/>
    <w:p>
      <w:pPr>
        <w:jc w:val="both"/>
        <w:ind w:firstLine="509"/>
        <w:spacing w:after="0" w:line="245" w:lineRule="auto"/>
        <w:rPr>
          <w:sz w:val="20"/>
          <w:szCs w:val="20"/>
          <w:color w:val="auto"/>
        </w:rPr>
      </w:pPr>
      <w:r>
        <w:rPr>
          <w:rFonts w:ascii="Arial" w:cs="Arial" w:eastAsia="Arial" w:hAnsi="Arial"/>
          <w:sz w:val="18"/>
          <w:szCs w:val="18"/>
          <w:color w:val="auto"/>
        </w:rPr>
        <w:t>As of December 31, 2022, there was $13.5 million of unrecognized compensation expense related to stock options, which is expected to be recognized over a weighted-average period of 2.54 years.</w:t>
      </w:r>
    </w:p>
    <w:p>
      <w:pPr>
        <w:spacing w:after="0" w:line="183"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As of December 31, 2022, there was $2.0 million of unrecognized compensation expense related to restricted stock units, which is expected to be recognized over a weighted-average period of 2.82 years.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8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9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$0.5 million and $0.3 million for the years ended December 31, 2022 and 2021, respectively.</w:t>
      </w:r>
    </w:p>
    <w:p>
      <w:pPr>
        <w:spacing w:after="0" w:line="182" w:lineRule="exact"/>
        <w:rPr>
          <w:sz w:val="20"/>
          <w:szCs w:val="20"/>
          <w:color w:val="auto"/>
        </w:rPr>
      </w:pPr>
    </w:p>
    <w:p>
      <w:pPr>
        <w:ind w:left="520" w:right="8080" w:hanging="512"/>
        <w:spacing w:after="0" w:line="344" w:lineRule="auto"/>
        <w:tabs>
          <w:tab w:leader="none" w:pos="310"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jc w:val="both"/>
        <w:ind w:firstLine="509"/>
        <w:spacing w:after="0" w:line="239"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December 31, 2022 and one operating lease that was terminated in August 2022.</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On March 31, 2021, the Company executed an amendment to the previous facility lease in Cambridge, MA which included an extension of the expiration date of the original leased premises, the addition of 4,516 square feet of laboratory space with a commencement date of May 1, 2021, and the addition of 1,000 square feet of laboratory space with a commencement date of June 15, 2021. The lease term for the original and new spaces will expire on July 31, 2023, with an option to renew for an additional 12 months.</w:t>
      </w:r>
    </w:p>
    <w:p>
      <w:pPr>
        <w:spacing w:after="0" w:line="203"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Upon the execution of the amendment, which was deemed to be a lease modification, the Company re-evaluated the assumptions made at the original lease commencement date. The Company determined the amendment consists of two separate contracts under ASC</w:t>
      </w:r>
    </w:p>
    <w:p>
      <w:pPr>
        <w:jc w:val="both"/>
        <w:ind w:firstLine="8"/>
        <w:spacing w:after="0" w:line="238" w:lineRule="auto"/>
        <w:tabs>
          <w:tab w:leader="none" w:pos="426"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 contract is related to the modification of term for the original space, and the other is related to a new right-of-use for the two additional spaces, which are to be accounted for as new leases. The Company remeasured the lease liability and corresponding right-of-use asset for the original space as of the effective date of the amendment to reflect the extended term and recorded in the second quarter of 2021 an additional right-of-use asset and lease liability upon lease commencement of each of the additional space.</w:t>
      </w:r>
    </w:p>
    <w:p>
      <w:pPr>
        <w:spacing w:after="0" w:line="20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August 2022, the Company entered into a termination agreement with the landlord to the end this lease effective August 31, 2022, which resulted in the Company paying the landlord a termination expense of $0.3 million. The Company recognized a loss on the lease of $0.3 million which was recorded as a loss on disposal of assets on the statements of operations and comprehensive loss and derecognized $0.6 million in lease liabilities and corresponding right-of-use asset on the balance sheets.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31" w:name="page132"/>
    <w:bookmarkEnd w:id="131"/>
    <w:p>
      <w:pPr>
        <w:jc w:val="both"/>
        <w:ind w:right="60" w:firstLine="509"/>
        <w:spacing w:after="0" w:line="237" w:lineRule="auto"/>
        <w:rPr>
          <w:sz w:val="20"/>
          <w:szCs w:val="20"/>
          <w:color w:val="auto"/>
        </w:rPr>
      </w:pPr>
      <w:r>
        <w:rPr>
          <w:rFonts w:ascii="Arial" w:cs="Arial" w:eastAsia="Arial" w:hAnsi="Arial"/>
          <w:sz w:val="18"/>
          <w:szCs w:val="18"/>
          <w:color w:val="auto"/>
        </w:rPr>
        <w:t>On May 16, 2022, the Company entered into an office and laboratory lease in Boston, MA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December 31, 2022, the Company has incurred $0.1 million of expenses related to the expansion.</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also leases office equipment for which the related expense is immaterial.</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rPr>
          <w:sz w:val="20"/>
          <w:szCs w:val="20"/>
          <w:color w:val="auto"/>
        </w:rPr>
      </w:pPr>
      <w:r>
        <w:rPr>
          <w:rFonts w:ascii="Arial" w:cs="Arial" w:eastAsia="Arial" w:hAnsi="Arial"/>
          <w:sz w:val="18"/>
          <w:szCs w:val="18"/>
          <w:color w:val="auto"/>
        </w:rPr>
        <w:t>Company’s leases for the years ended December 31, 2022 and 2021 (in thousands):</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120" w:type="dxa"/>
            <w:vAlign w:val="bottom"/>
          </w:tcPr>
          <w:p>
            <w:pPr>
              <w:spacing w:after="0"/>
              <w:rPr>
                <w:sz w:val="16"/>
                <w:szCs w:val="16"/>
                <w:color w:val="auto"/>
              </w:rPr>
            </w:pPr>
          </w:p>
        </w:tc>
        <w:tc>
          <w:tcPr>
            <w:tcW w:w="2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6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2"/>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Amortization of finance right-of-use assets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r>
      <w:tr>
        <w:trPr>
          <w:trHeight w:val="229"/>
        </w:trPr>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1,879</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FF0FC"/>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Variable lease costs</w:t>
            </w:r>
          </w:p>
        </w:tc>
        <w:tc>
          <w:tcPr>
            <w:tcW w:w="8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1,258</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19"/>
                <w:szCs w:val="19"/>
                <w:color w:val="auto"/>
              </w:rPr>
            </w:pPr>
          </w:p>
        </w:tc>
      </w:tr>
      <w:tr>
        <w:trPr>
          <w:trHeight w:val="229"/>
        </w:trPr>
        <w:tc>
          <w:tcPr>
            <w:tcW w:w="6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8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2"/>
        </w:trPr>
        <w:tc>
          <w:tcPr>
            <w:tcW w:w="6120" w:type="dxa"/>
            <w:vAlign w:val="bottom"/>
          </w:tcPr>
          <w:p>
            <w:pPr>
              <w:spacing w:after="0"/>
              <w:rPr>
                <w:sz w:val="20"/>
                <w:szCs w:val="20"/>
                <w:color w:val="auto"/>
              </w:rPr>
            </w:pPr>
            <w:r>
              <w:rPr>
                <w:rFonts w:ascii="Arial" w:cs="Arial" w:eastAsia="Arial" w:hAnsi="Arial"/>
                <w:sz w:val="18"/>
                <w:szCs w:val="18"/>
                <w:color w:val="auto"/>
              </w:rPr>
              <w:t>Total lease costs</w:t>
            </w:r>
          </w:p>
        </w:tc>
        <w:tc>
          <w:tcPr>
            <w:tcW w:w="800" w:type="dxa"/>
            <w:vAlign w:val="bottom"/>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3,145</w:t>
            </w:r>
          </w:p>
        </w:tc>
        <w:tc>
          <w:tcPr>
            <w:tcW w:w="11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861</w:t>
            </w:r>
          </w:p>
        </w:tc>
        <w:tc>
          <w:tcPr>
            <w:tcW w:w="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5418455</wp:posOffset>
            </wp:positionH>
            <wp:positionV relativeFrom="paragraph">
              <wp:posOffset>-179070</wp:posOffset>
            </wp:positionV>
            <wp:extent cx="5969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-179070</wp:posOffset>
            </wp:positionV>
            <wp:extent cx="51435" cy="1797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liability—finance leases</w:t>
            </w:r>
          </w:p>
        </w:tc>
        <w:tc>
          <w:tcPr>
            <w:tcW w:w="104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liabilities—operating leases</w:t>
            </w: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1,690</w:t>
            </w:r>
          </w:p>
        </w:tc>
        <w:tc>
          <w:tcPr>
            <w:tcW w:w="68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9"/>
                <w:szCs w:val="19"/>
                <w:color w:val="auto"/>
              </w:rPr>
            </w:pPr>
          </w:p>
        </w:tc>
      </w:tr>
      <w:tr>
        <w:trPr>
          <w:trHeight w:val="22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remaining lease term—operating leases (years)</w:t>
            </w:r>
          </w:p>
        </w:tc>
        <w:tc>
          <w:tcPr>
            <w:tcW w:w="10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6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9"/>
                <w:szCs w:val="19"/>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Weighted-average discount rate—finance leases</w:t>
            </w:r>
          </w:p>
        </w:tc>
        <w:tc>
          <w:tcPr>
            <w:tcW w:w="10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7.94 %</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1040" w:type="dxa"/>
            <w:vAlign w:val="bottom"/>
          </w:tcPr>
          <w:p>
            <w:pPr>
              <w:spacing w:after="0"/>
              <w:rPr>
                <w:sz w:val="19"/>
                <w:szCs w:val="19"/>
                <w:color w:val="auto"/>
              </w:rPr>
            </w:pPr>
          </w:p>
        </w:tc>
        <w:tc>
          <w:tcPr>
            <w:tcW w:w="1680" w:type="dxa"/>
            <w:vAlign w:val="bottom"/>
            <w:gridSpan w:val="2"/>
          </w:tcPr>
          <w:p>
            <w:pPr>
              <w:jc w:val="right"/>
              <w:ind w:right="470"/>
              <w:spacing w:after="0"/>
              <w:rPr>
                <w:sz w:val="20"/>
                <w:szCs w:val="20"/>
                <w:color w:val="auto"/>
              </w:rPr>
            </w:pPr>
            <w:r>
              <w:rPr>
                <w:rFonts w:ascii="Arial" w:cs="Arial" w:eastAsia="Arial" w:hAnsi="Arial"/>
                <w:sz w:val="18"/>
                <w:szCs w:val="18"/>
                <w:color w:val="auto"/>
              </w:rPr>
              <w:t>10.71 %</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955" cy="145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222"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December 31,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000" w:type="dxa"/>
            <w:vAlign w:val="bottom"/>
            <w:gridSpan w:val="3"/>
          </w:tcPr>
          <w:p>
            <w:pPr>
              <w:ind w:left="20"/>
              <w:spacing w:after="0"/>
              <w:rPr>
                <w:sz w:val="20"/>
                <w:szCs w:val="20"/>
                <w:color w:val="auto"/>
              </w:rPr>
            </w:pPr>
            <w:r>
              <w:rPr>
                <w:rFonts w:ascii="Arial" w:cs="Arial" w:eastAsia="Arial" w:hAnsi="Arial"/>
                <w:sz w:val="14"/>
                <w:szCs w:val="14"/>
                <w:b w:val="1"/>
                <w:bCs w:val="1"/>
                <w:color w:val="auto"/>
              </w:rPr>
              <w:t>Operating lease payments</w:t>
            </w:r>
          </w:p>
        </w:tc>
      </w:tr>
      <w:tr>
        <w:trPr>
          <w:trHeight w:val="188"/>
        </w:trPr>
        <w:tc>
          <w:tcPr>
            <w:tcW w:w="484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as of December 31, 2022</w:t>
            </w:r>
          </w:p>
        </w:tc>
        <w:tc>
          <w:tcPr>
            <w:tcW w:w="100" w:type="dxa"/>
            <w:vAlign w:val="bottom"/>
          </w:tcPr>
          <w:p>
            <w:pPr>
              <w:spacing w:after="0"/>
              <w:rPr>
                <w:sz w:val="16"/>
                <w:szCs w:val="16"/>
                <w:color w:val="auto"/>
              </w:rPr>
            </w:pPr>
          </w:p>
        </w:tc>
      </w:tr>
      <w:tr>
        <w:trPr>
          <w:trHeight w:val="222"/>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4500" w:type="dxa"/>
            <w:vAlign w:val="bottom"/>
            <w:gridSpan w:val="2"/>
            <w:shd w:val="clear" w:color="auto" w:fill="CFF0FC"/>
          </w:tcPr>
          <w:p>
            <w:pPr>
              <w:ind w:left="440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2024</w:t>
            </w: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2026</w:t>
            </w: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r>
      <w:tr>
        <w:trPr>
          <w:trHeight w:val="22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17,430</w:t>
            </w:r>
          </w:p>
        </w:tc>
        <w:tc>
          <w:tcPr>
            <w:tcW w:w="100" w:type="dxa"/>
            <w:vAlign w:val="bottom"/>
          </w:tcPr>
          <w:p>
            <w:pPr>
              <w:spacing w:after="0"/>
              <w:rPr>
                <w:sz w:val="19"/>
                <w:szCs w:val="19"/>
                <w:color w:val="auto"/>
              </w:rPr>
            </w:pPr>
          </w:p>
        </w:tc>
      </w:tr>
      <w:tr>
        <w:trPr>
          <w:trHeight w:val="222"/>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4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33,949</w:t>
            </w:r>
          </w:p>
        </w:tc>
        <w:tc>
          <w:tcPr>
            <w:tcW w:w="100" w:type="dxa"/>
            <w:vAlign w:val="bottom"/>
            <w:shd w:val="clear" w:color="auto" w:fill="CFF0FC"/>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4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8"/>
                <w:szCs w:val="18"/>
                <w:color w:val="auto"/>
              </w:rPr>
              <w:t>(13,091 )</w:t>
            </w:r>
          </w:p>
        </w:tc>
      </w:tr>
      <w:tr>
        <w:trPr>
          <w:trHeight w:val="222"/>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lease liabilities at December 31, 2022</w:t>
            </w:r>
          </w:p>
        </w:tc>
        <w:tc>
          <w:tcPr>
            <w:tcW w:w="4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484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4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Pr>
          <w:p>
            <w:pPr>
              <w:spacing w:after="0"/>
              <w:rPr>
                <w:sz w:val="19"/>
                <w:szCs w:val="19"/>
                <w:color w:val="auto"/>
              </w:rPr>
            </w:pPr>
          </w:p>
        </w:tc>
      </w:tr>
      <w:tr>
        <w:trPr>
          <w:trHeight w:val="262"/>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44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17,895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7"/>
        </w:trPr>
        <w:tc>
          <w:tcPr>
            <w:tcW w:w="4840" w:type="dxa"/>
            <w:vAlign w:val="bottom"/>
          </w:tcPr>
          <w:p>
            <w:pPr>
              <w:spacing w:after="0"/>
              <w:rPr>
                <w:sz w:val="24"/>
                <w:szCs w:val="24"/>
                <w:color w:val="auto"/>
              </w:rPr>
            </w:pPr>
          </w:p>
        </w:tc>
        <w:tc>
          <w:tcPr>
            <w:tcW w:w="4500" w:type="dxa"/>
            <w:vAlign w:val="bottom"/>
            <w:gridSpan w:val="2"/>
          </w:tcPr>
          <w:p>
            <w:pPr>
              <w:ind w:left="600"/>
              <w:spacing w:after="0"/>
              <w:rPr>
                <w:sz w:val="20"/>
                <w:szCs w:val="20"/>
                <w:color w:val="auto"/>
              </w:rPr>
            </w:pPr>
            <w:r>
              <w:rPr>
                <w:rFonts w:ascii="Arial" w:cs="Arial" w:eastAsia="Arial" w:hAnsi="Arial"/>
                <w:sz w:val="18"/>
                <w:szCs w:val="18"/>
                <w:color w:val="auto"/>
              </w:rPr>
              <w:t>F-20</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840" w:type="dxa"/>
            <w:vAlign w:val="bottom"/>
            <w:tcBorders>
              <w:bottom w:val="single" w:sz="8" w:color="9A9A9A"/>
            </w:tcBorders>
          </w:tcPr>
          <w:p>
            <w:pPr>
              <w:spacing w:after="0"/>
              <w:rPr>
                <w:sz w:val="7"/>
                <w:szCs w:val="7"/>
                <w:color w:val="auto"/>
              </w:rPr>
            </w:pPr>
          </w:p>
        </w:tc>
        <w:tc>
          <w:tcPr>
            <w:tcW w:w="44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7069455</wp:posOffset>
            </wp:positionH>
            <wp:positionV relativeFrom="paragraph">
              <wp:posOffset>-811530</wp:posOffset>
            </wp:positionV>
            <wp:extent cx="6858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-504190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-487045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556" w:right="279" w:bottom="1440" w:gutter="0" w:footer="0" w:header="0"/>
        </w:sectPr>
      </w:pPr>
    </w:p>
    <w:bookmarkStart w:id="132" w:name="page133"/>
    <w:bookmarkEnd w:id="132"/>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Exclusive License and Supply Agreement</w:t>
      </w:r>
    </w:p>
    <w:p>
      <w:pPr>
        <w:spacing w:after="0" w:line="94"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January 2014, the Company entered into an Exclusive License and Supply Agreement, or the LI-COR Exclusive License agreement with LI-COR, Inc. (LI-COR) for the license of IRDye 700DC and related licensed patents for the treatment and diagnosis of ocular cancers in humans as amended in January 2016, July 2017, April 2018 and April 2019. The LI-COR Exclusive License Agreement required a one-time upfront license issue fee of $0.1 million and aggregate milestone payments of up to $0.2 million upon certain regulatory and development milestones. The Company is also required to pay LI-COR low-single digit royalties on net sales. The term of the LI-COR Exclusive Agreement expires on a country-by-country basis, until the longer of (i) ten years from the first commercial sale of a licensed product in such country and (ii) the last to expire valid claim in such country.</w:t>
      </w:r>
    </w:p>
    <w:p>
      <w:pPr>
        <w:spacing w:after="0" w:line="57"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recognized no expenses related to this agreement and related amendments for the years ended December 31, 2022 and 2021.</w:t>
      </w:r>
    </w:p>
    <w:p>
      <w:pPr>
        <w:spacing w:after="0" w:line="179"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LI-COR Non-Exclusive License and Supply Agreement</w:t>
      </w:r>
    </w:p>
    <w:p>
      <w:pPr>
        <w:spacing w:after="0" w:line="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December 2014, the Company entered into a Non-Exclusive License Agreement with LI-COR for the supply of IRDye 700DX to the Company for the treatment and diagnosis of non-ocular solid tumor cancers in humans. Under the 2014 Non-Exclusive, the Company paid a license issue fee of $0.03 million on the effective date. The Company must also pay LI-COR a non-refundable, non -creditable fee of $0.03 million per each licensed product upon pre-IND designation, as defined of such licensed product, aggregate milestone payments of up to $0.3 million upon certain regulatory and development milestones; and during the term, the Company must pay LI-COR a low-single digit percentage royalty on net sales. LI-COR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years ended December 31, 2022 and 2021, the Company recognized immaterial milestones related to this agreement.</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w:t>
      </w:r>
    </w:p>
    <w:p>
      <w:pPr>
        <w:spacing w:after="0" w:line="9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5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years ended December 31, 2022 and 2021, the Company recognized $0.05 million and $0.1 million of expenses related to this agreement, respectively.</w:t>
      </w:r>
    </w:p>
    <w:p>
      <w:pPr>
        <w:spacing w:after="0" w:line="5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year ended December 31, 2022, the Company recognized $0.4 million of expenses related to this agreement.</w:t>
      </w:r>
    </w:p>
    <w:p>
      <w:pPr>
        <w:spacing w:after="0" w:line="3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(NIH)-Biologic Materials License Agreement</w:t>
      </w:r>
    </w:p>
    <w:p>
      <w:pPr>
        <w:spacing w:after="0" w:line="9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2010, the Company entered into a Biologic Materials License Agreement with NIH for a non-exclusive right to use materials described in Schiller et al., Virology 2004 Apr.10, 321(2):205-16. This agreement required a one-time non-refundable license issuance fee of $0.02 million. No future milestone payments or royalties are due under this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4" w:right="339" w:bottom="1440" w:gutter="0" w:footer="0" w:header="0"/>
        </w:sectPr>
      </w:pPr>
    </w:p>
    <w:bookmarkStart w:id="133" w:name="page134"/>
    <w:bookmarkEnd w:id="133"/>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July 2011, the Company entered into a Collaboration Research and Development Agreement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most recently in September of 2020. During the years ended December 31, 2022 and 2021, the Company paid $nil million and $0.03 million of research collaboration fees related to this agreement.</w:t>
      </w:r>
    </w:p>
    <w:p>
      <w:pPr>
        <w:spacing w:after="0" w:line="67" w:lineRule="exact"/>
        <w:rPr>
          <w:sz w:val="20"/>
          <w:szCs w:val="20"/>
          <w:color w:val="auto"/>
        </w:rPr>
      </w:pPr>
    </w:p>
    <w:p>
      <w:pPr>
        <w:jc w:val="both"/>
        <w:ind w:firstLine="563"/>
        <w:spacing w:after="0" w:line="238"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years ended December 31, 2022 and 2021.</w:t>
      </w:r>
    </w:p>
    <w:p>
      <w:pPr>
        <w:spacing w:after="0" w:line="5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will be in August 2023. This eighth amendment extended the term of the CRADA to September 30, 2024. During the year ended December 31, 2022, the Company recognized $0.1 million of expenses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September 2013, the Company entered into an exclusive patent license agreement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NIH a mid-single to low teen-digit percentage of any sublicensing revenue the Company receives. Additionally, the Company’s payment obligations to the NIH are subject to an annual minimum royalty payment of low five figures. The Company recognized $0.02 million and $0.03 million for patent licensing fees for the years ended December 31, 2022 and 2021, respectively.</w:t>
      </w:r>
    </w:p>
    <w:p>
      <w:pPr>
        <w:spacing w:after="0" w:line="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and those milestones have not been achieved as of December 31, 2022. Upon the sublicense by the Company of a product for which royalties are payable under the agreement, low- to mid-single-digit royalty payments would be due by the Company. The non-milestone payments in this agreement are subject to an anti-stacking clause. The Company did not incur any expense in the years ended December 31, 2022 and 2021.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4" w:name="page135"/>
    <w:bookmarkEnd w:id="134"/>
    <w:p>
      <w:pPr>
        <w:ind w:left="1020"/>
        <w:spacing w:after="0"/>
        <w:rPr>
          <w:sz w:val="20"/>
          <w:szCs w:val="20"/>
          <w:color w:val="auto"/>
        </w:rPr>
      </w:pPr>
      <w:r>
        <w:rPr>
          <w:rFonts w:ascii="Arial" w:cs="Arial" w:eastAsia="Arial" w:hAnsi="Arial"/>
          <w:sz w:val="18"/>
          <w:szCs w:val="18"/>
          <w:i w:val="1"/>
          <w:iCs w:val="1"/>
          <w:color w:val="auto"/>
        </w:rPr>
        <w:t>Clearside</w:t>
      </w:r>
    </w:p>
    <w:p>
      <w:pPr>
        <w:spacing w:after="0" w:line="80"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In July 2019, the Company entered into an exclusive license agreement with Clearside Biomedical, Inc. (“Clearside”), for the license of Clearside’s Suprachoroidal Microneedle Technology for use in the treatment of indeterminate lesions and choroidal tumors. Upon execution of the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70"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49"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Company recognized no expenses related to this agreement and related amendments for the years ended December 31, 2022 and 2021.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8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Basic net loss per share is calculated by dividing the net loss attributable to common stockholders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203" w:lineRule="exact"/>
        <w:rPr>
          <w:sz w:val="20"/>
          <w:szCs w:val="20"/>
          <w:color w:val="auto"/>
        </w:rPr>
      </w:pPr>
    </w:p>
    <w:p>
      <w:pPr>
        <w:jc w:val="both"/>
        <w:ind w:right="20" w:firstLine="509"/>
        <w:spacing w:after="0" w:line="245" w:lineRule="auto"/>
        <w:rPr>
          <w:sz w:val="20"/>
          <w:szCs w:val="20"/>
          <w:color w:val="auto"/>
        </w:rPr>
      </w:pPr>
      <w:r>
        <w:rPr>
          <w:rFonts w:ascii="Arial" w:cs="Arial" w:eastAsia="Arial" w:hAnsi="Arial"/>
          <w:sz w:val="18"/>
          <w:szCs w:val="18"/>
          <w:color w:val="auto"/>
        </w:rPr>
        <w:t>The Company has calculated basic and diluted net loss per share for the years ended December 31, 2022 and 2021 as follows (in thousands, except share and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 December 31,</w:t>
            </w:r>
          </w:p>
        </w:tc>
      </w:tr>
      <w:tr>
        <w:trPr>
          <w:trHeight w:val="182"/>
        </w:trPr>
        <w:tc>
          <w:tcPr>
            <w:tcW w:w="7720" w:type="dxa"/>
            <w:vAlign w:val="bottom"/>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(58,763 )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(35,251 )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Accruals of dividends of preferred stock</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(10,942 )</w:t>
            </w:r>
          </w:p>
        </w:tc>
      </w:tr>
      <w:tr>
        <w:trPr>
          <w:trHeight w:val="20"/>
        </w:trPr>
        <w:tc>
          <w:tcPr>
            <w:tcW w:w="77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2"/>
        </w:trPr>
        <w:tc>
          <w:tcPr>
            <w:tcW w:w="77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(58,763 )</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(46,193 )</w:t>
            </w:r>
          </w:p>
        </w:tc>
      </w:tr>
      <w:tr>
        <w:trPr>
          <w:trHeight w:val="20"/>
        </w:trPr>
        <w:tc>
          <w:tcPr>
            <w:tcW w:w="77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Denominator:</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common stock outstanding</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29,937,228</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5,159,973</w:t>
            </w:r>
          </w:p>
        </w:tc>
        <w:tc>
          <w:tcPr>
            <w:tcW w:w="100" w:type="dxa"/>
            <w:vAlign w:val="bottom"/>
          </w:tcPr>
          <w:p>
            <w:pPr>
              <w:spacing w:after="0"/>
              <w:rPr>
                <w:sz w:val="19"/>
                <w:szCs w:val="19"/>
                <w:color w:val="auto"/>
              </w:rPr>
            </w:pPr>
          </w:p>
        </w:tc>
      </w:tr>
      <w:tr>
        <w:trPr>
          <w:trHeight w:val="24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(1.96 )</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(8.95 )</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-649605</wp:posOffset>
            </wp:positionV>
            <wp:extent cx="68580" cy="1797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-649605</wp:posOffset>
            </wp:positionV>
            <wp:extent cx="68580" cy="1797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both"/>
        <w:ind w:firstLine="509"/>
        <w:spacing w:after="0" w:line="245"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336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r>
      <w:tr>
        <w:trPr>
          <w:trHeight w:val="182"/>
        </w:trPr>
        <w:tc>
          <w:tcPr>
            <w:tcW w:w="47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5"/>
                <w:szCs w:val="15"/>
                <w:color w:val="auto"/>
              </w:rPr>
            </w:pP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222"/>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4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4,303,336</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4,232,991</w:t>
            </w:r>
          </w:p>
        </w:tc>
        <w:tc>
          <w:tcPr>
            <w:tcW w:w="100" w:type="dxa"/>
            <w:vAlign w:val="bottom"/>
            <w:shd w:val="clear" w:color="auto" w:fill="CFF0FC"/>
          </w:tcPr>
          <w:p>
            <w:pPr>
              <w:spacing w:after="0"/>
              <w:rPr>
                <w:sz w:val="19"/>
                <w:szCs w:val="19"/>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153,950</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231,920</w:t>
            </w:r>
          </w:p>
        </w:tc>
        <w:tc>
          <w:tcPr>
            <w:tcW w:w="100" w:type="dxa"/>
            <w:vAlign w:val="bottom"/>
          </w:tcPr>
          <w:p>
            <w:pPr>
              <w:spacing w:after="0"/>
              <w:rPr>
                <w:sz w:val="19"/>
                <w:szCs w:val="19"/>
                <w:color w:val="auto"/>
              </w:rPr>
            </w:pPr>
          </w:p>
        </w:tc>
      </w:tr>
      <w:tr>
        <w:trPr>
          <w:trHeight w:val="229"/>
        </w:trPr>
        <w:tc>
          <w:tcPr>
            <w:tcW w:w="4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30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4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2"/>
        </w:trPr>
        <w:tc>
          <w:tcPr>
            <w:tcW w:w="472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306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4,469,972</w:t>
            </w:r>
          </w:p>
        </w:tc>
        <w:tc>
          <w:tcPr>
            <w:tcW w:w="24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4,477,597</w:t>
            </w:r>
          </w:p>
        </w:tc>
        <w:tc>
          <w:tcPr>
            <w:tcW w:w="10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7"/>
        </w:trPr>
        <w:tc>
          <w:tcPr>
            <w:tcW w:w="4720" w:type="dxa"/>
            <w:vAlign w:val="bottom"/>
          </w:tcPr>
          <w:p>
            <w:pPr>
              <w:spacing w:after="0"/>
              <w:rPr>
                <w:sz w:val="24"/>
                <w:szCs w:val="24"/>
                <w:color w:val="auto"/>
              </w:rPr>
            </w:pPr>
          </w:p>
        </w:tc>
        <w:tc>
          <w:tcPr>
            <w:tcW w:w="4600" w:type="dxa"/>
            <w:vAlign w:val="bottom"/>
            <w:gridSpan w:val="2"/>
          </w:tcPr>
          <w:p>
            <w:pPr>
              <w:jc w:val="right"/>
              <w:ind w:right="3439"/>
              <w:spacing w:after="0"/>
              <w:rPr>
                <w:sz w:val="20"/>
                <w:szCs w:val="20"/>
                <w:color w:val="auto"/>
              </w:rPr>
            </w:pPr>
            <w:r>
              <w:rPr>
                <w:rFonts w:ascii="Arial" w:cs="Arial" w:eastAsia="Arial" w:hAnsi="Arial"/>
                <w:sz w:val="18"/>
                <w:szCs w:val="18"/>
                <w:color w:val="auto"/>
              </w:rPr>
              <w:t>F-23</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472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5923280</wp:posOffset>
            </wp:positionH>
            <wp:positionV relativeFrom="paragraph">
              <wp:posOffset>-657860</wp:posOffset>
            </wp:positionV>
            <wp:extent cx="68580" cy="1797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-657860</wp:posOffset>
            </wp:positionV>
            <wp:extent cx="68580" cy="1797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14. Income Taxes</w:t>
      </w:r>
    </w:p>
    <w:p>
      <w:pPr>
        <w:spacing w:after="0" w:line="84" w:lineRule="exact"/>
        <w:rPr>
          <w:sz w:val="20"/>
          <w:szCs w:val="20"/>
          <w:color w:val="auto"/>
        </w:rPr>
      </w:pPr>
    </w:p>
    <w:p>
      <w:pPr>
        <w:jc w:val="both"/>
        <w:ind w:right="100" w:firstLine="509"/>
        <w:spacing w:after="0" w:line="238" w:lineRule="auto"/>
        <w:rPr>
          <w:sz w:val="20"/>
          <w:szCs w:val="20"/>
          <w:color w:val="auto"/>
        </w:rPr>
      </w:pPr>
      <w:r>
        <w:rPr>
          <w:rFonts w:ascii="Arial" w:cs="Arial" w:eastAsia="Arial" w:hAnsi="Arial"/>
          <w:sz w:val="18"/>
          <w:szCs w:val="18"/>
          <w:color w:val="auto"/>
        </w:rPr>
        <w:t>The Company has not recorded any net tax provision for the periods presented due to the losses incurred and the need for a full valuation allowance on net deferred tax assets. The difference between the income tax expense at the U.S. federal statutory rate and the recorded provision is primarily due to the valuation allowance provided on all deferred tax assets. The Company’s loss before income tax for the periods presented was generated entirely in the United States:</w:t>
      </w:r>
    </w:p>
    <w:p>
      <w:pPr>
        <w:spacing w:after="0" w:line="203" w:lineRule="exact"/>
        <w:rPr>
          <w:sz w:val="20"/>
          <w:szCs w:val="20"/>
          <w:color w:val="auto"/>
        </w:rPr>
      </w:pPr>
    </w:p>
    <w:p>
      <w:pPr>
        <w:jc w:val="both"/>
        <w:ind w:right="100" w:firstLine="509"/>
        <w:spacing w:after="0" w:line="245" w:lineRule="auto"/>
        <w:rPr>
          <w:sz w:val="20"/>
          <w:szCs w:val="20"/>
          <w:color w:val="auto"/>
        </w:rPr>
      </w:pPr>
      <w:r>
        <w:rPr>
          <w:rFonts w:ascii="Arial" w:cs="Arial" w:eastAsia="Arial" w:hAnsi="Arial"/>
          <w:sz w:val="18"/>
          <w:szCs w:val="18"/>
          <w:color w:val="auto"/>
        </w:rPr>
        <w:t>A reconciliation of the federal statutory income tax rate to the Company’s effective tax rate as of December 31, 2022 and 2021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r>
      <w:tr>
        <w:trPr>
          <w:trHeight w:val="222"/>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Tax provision at statutory rate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c>
          <w:tcPr>
            <w:tcW w:w="3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21.0 %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State taxes, net of federal benefit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5.6 %</w:t>
            </w:r>
          </w:p>
        </w:tc>
        <w:tc>
          <w:tcPr>
            <w:tcW w:w="3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5.3 %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Federal tax credits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2.9 %</w:t>
            </w:r>
          </w:p>
        </w:tc>
        <w:tc>
          <w:tcPr>
            <w:tcW w:w="3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2.6 %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Permanent items</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(1.1 )%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(0.4 )%</w:t>
            </w:r>
          </w:p>
        </w:tc>
      </w:tr>
      <w:tr>
        <w:trPr>
          <w:trHeight w:val="229"/>
        </w:trPr>
        <w:tc>
          <w:tcPr>
            <w:tcW w:w="87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0.1 %</w:t>
            </w:r>
          </w:p>
        </w:tc>
        <w:tc>
          <w:tcPr>
            <w:tcW w:w="3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29"/>
        </w:trPr>
        <w:tc>
          <w:tcPr>
            <w:tcW w:w="7660" w:type="dxa"/>
            <w:vAlign w:val="bottom"/>
          </w:tcPr>
          <w:p>
            <w:pPr>
              <w:ind w:left="20"/>
              <w:spacing w:after="0"/>
              <w:rPr>
                <w:sz w:val="20"/>
                <w:szCs w:val="20"/>
                <w:color w:val="auto"/>
              </w:rPr>
            </w:pPr>
            <w:r>
              <w:rPr>
                <w:rFonts w:ascii="Arial" w:cs="Arial" w:eastAsia="Arial" w:hAnsi="Arial"/>
                <w:sz w:val="18"/>
                <w:szCs w:val="18"/>
                <w:color w:val="auto"/>
              </w:rPr>
              <w:t>Decrease in valuation reserve</w:t>
            </w:r>
          </w:p>
        </w:tc>
        <w:tc>
          <w:tcPr>
            <w:tcW w:w="110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(28.5 )%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(28.2 )%</w:t>
            </w:r>
          </w:p>
        </w:tc>
      </w:tr>
      <w:tr>
        <w:trPr>
          <w:trHeight w:val="20"/>
        </w:trPr>
        <w:tc>
          <w:tcPr>
            <w:tcW w:w="7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2"/>
        </w:trPr>
        <w:tc>
          <w:tcPr>
            <w:tcW w:w="7660" w:type="dxa"/>
            <w:vAlign w:val="bottom"/>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32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r>
      <w:tr>
        <w:trPr>
          <w:trHeight w:val="20"/>
        </w:trPr>
        <w:tc>
          <w:tcPr>
            <w:tcW w:w="7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-1051560</wp:posOffset>
            </wp:positionV>
            <wp:extent cx="7132955"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-760730</wp:posOffset>
            </wp:positionV>
            <wp:extent cx="7132955"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7132955"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132955" cy="1708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955" cy="17081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45" w:lineRule="auto"/>
        <w:rPr>
          <w:sz w:val="20"/>
          <w:szCs w:val="20"/>
          <w:color w:val="auto"/>
        </w:rPr>
      </w:pPr>
      <w:r>
        <w:rPr>
          <w:rFonts w:ascii="Arial" w:cs="Arial" w:eastAsia="Arial" w:hAnsi="Arial"/>
          <w:sz w:val="18"/>
          <w:szCs w:val="18"/>
          <w:color w:val="auto"/>
        </w:rPr>
        <w:t>Temporary differences that give rise to significant deferred tax assets (liabilities) as of December 31, 2022 and 2021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22"/>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40,617</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36,287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Capitalized research and development expenses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Tax credit carryforwards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96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Lease liability</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r>
      <w:tr>
        <w:trPr>
          <w:trHeight w:val="222"/>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deferred tax assets</w:t>
            </w: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65,744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43,702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(5,412 )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(241 )</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Depreciable assets</w:t>
            </w:r>
          </w:p>
        </w:tc>
        <w:tc>
          <w:tcPr>
            <w:tcW w:w="9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(207 )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(182 )</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(93 )</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9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(60,032 )</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(43,279 )</w:t>
            </w:r>
          </w:p>
        </w:tc>
      </w:tr>
      <w:tr>
        <w:trPr>
          <w:trHeight w:val="262"/>
        </w:trPr>
        <w:tc>
          <w:tcPr>
            <w:tcW w:w="7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deferred tax asset</w:t>
            </w:r>
          </w:p>
        </w:tc>
        <w:tc>
          <w:tcPr>
            <w:tcW w:w="96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5906135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7069455</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both"/>
        <w:ind w:right="100" w:firstLine="509"/>
        <w:spacing w:after="0" w:line="237" w:lineRule="auto"/>
        <w:rPr>
          <w:sz w:val="20"/>
          <w:szCs w:val="20"/>
          <w:color w:val="auto"/>
        </w:rPr>
      </w:pPr>
      <w:r>
        <w:rPr>
          <w:rFonts w:ascii="Arial" w:cs="Arial" w:eastAsia="Arial" w:hAnsi="Arial"/>
          <w:sz w:val="18"/>
          <w:szCs w:val="18"/>
          <w:color w:val="auto"/>
        </w:rPr>
        <w:t>As of December 31, 2022, the Company had federal gross operating loss carryforwards of approximately $155.1 million which may be available to offset future taxable income, of which $44.2 million begin to expire in 2029 and go through 2037 and $110.9 million do not expire. The Company had state gross operating loss carryforwards of $127.5 million, which may be available to offset future taxable income and which would begin to expire in 2030, except for $0.7 million of state NOLs that do not expire. As of December 31, 2022, the Company had federal and state research and experimentation credit carryforwards of $6.4 million and $1.9 million, respectively, which may be available to offset future income tax liabilities and which would begin to expire in 2029 and 2028, respectively.</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83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736" w:right="239" w:bottom="1440" w:gutter="0" w:footer="0" w:header="0"/>
        </w:sectPr>
      </w:pPr>
    </w:p>
    <w:bookmarkStart w:id="136" w:name="page137"/>
    <w:bookmarkEnd w:id="136"/>
    <w:p>
      <w:pPr>
        <w:jc w:val="both"/>
        <w:ind w:firstLine="509"/>
        <w:spacing w:after="0" w:line="235" w:lineRule="auto"/>
        <w:rPr>
          <w:sz w:val="20"/>
          <w:szCs w:val="20"/>
          <w:color w:val="auto"/>
        </w:rPr>
      </w:pPr>
      <w:r>
        <w:rPr>
          <w:rFonts w:ascii="Arial" w:cs="Arial" w:eastAsia="Arial" w:hAnsi="Arial"/>
          <w:sz w:val="18"/>
          <w:szCs w:val="18"/>
          <w:color w:val="auto"/>
        </w:rPr>
        <w:t>The Company’s ability to use its operating loss carryforwards and tax credit carryforwards to offset taxable income is subject to restrictions under Sections 382 and 383 of the United States Internal Revenue Code (the “Internal Revenue Code”). Under the Internal Revenue Code provisions, certain substantial changes in the Company’s ownership, including the sale of the Company or significant changes in ownership due to sales of equity, have limited and may limit in the future, the amount of net operating loss carryforwards which could be used annually to offset future taxable income. The Company has not yet completed an analysis of ownership changes. The Company may also experience ownership changes in the future as a result of subsequent shifts in our stock ownership, some of which may be outside the Company’s control. As a result, the Company’s ability to use our pre-change NOLs to offset U.S. federal taxable income may be subject to limitations, which could potentially result in increased future tax liability to the Company. In addition, at the state level, there may be periods during which the use of NOLs is suspended or otherwise limited, which could accelerate or permanently increase state taxes owed. All Federal NOLs generated post tax reform have an indefinite life, are not subject to carryback provisions, and limited to 80% of income in any year.</w:t>
      </w:r>
    </w:p>
    <w:p>
      <w:pPr>
        <w:spacing w:after="0" w:line="208"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Company has not conducted a study of its research and development credit carryforwards. A study may result in an adjustment to the Company’s research and development credit carryforwards; however, until a study is completed, and any adjustment is known, no amounts will be presented as an uncertain tax position. A full valuation allowance has been provided against the Company’s research and development credit carryforwards and, if an adjustment is required, this adjustment would be offset by an adjustment to the valuation allowance. Thus, there would be no impact to the balance sheet or statement of operations at this time, if an adjustment were required.</w:t>
      </w:r>
    </w:p>
    <w:p>
      <w:pPr>
        <w:spacing w:after="0" w:line="20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Management has evaluated the positive and negative evidence bearing upon the realizability of its deferred tax assets, which are principally comprised of NOL carryforwards and tax credit carryforwards. Management has determined that it is more likely than not that the Company will not realize the benefits of its deferred tax assets, and as a result, a valuation allowance of $60.0 million has been recorded at December 31, 2022. The increase in the valuation allowance of $16.8 million during the year ended December 31, 2022 was primarily due to the increase in net operating loss generated by the Company and capitalized R&amp;D expenses related to the new Section 174 requirements.</w:t>
      </w:r>
    </w:p>
    <w:p>
      <w:pPr>
        <w:spacing w:after="0" w:line="20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Beginning in 2022, the Tax Cuts and Jobs Act of 2017 eliminated the option to deduct research and development expenditures currently and requires taxpayers to amortize them, over five years for domestically incurred expenditures and over fifteen years for foreign incurred expenditures, pursuant to Internal Revenue Code Section 174. As of December 31, 2022, the Company has recorded a gross deferred tax asset of $39.0 million related to the Capitalized IRC Section 174 expenditures.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As of December 31, 2022 and 2021, the Company had no unrecognized tax benefits. Interest and penalty charges, if any, related to income taxes would be classified as a component of the provision for income taxes in the consolidated statements of operations. The Company does not expect any significant change in its uncertain tax positions in the next twelve months.</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files income tax returns in the United States federal tax jurisdiction and several state tax jurisdictions. Since the Company is in a loss carryforward position, it is generally subject to examination by federal and state tax authorities for all tax years in which a loss carryforward is available.</w:t>
      </w:r>
    </w:p>
    <w:p>
      <w:pPr>
        <w:spacing w:after="0" w:line="20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Inflation Reduction Act signed into law on Aug. 16, 2022 and includes several provisions, including the largest investment in combating climate change in U.S. history, lowers the cost of prescription drugs and raises taxes on corporations. The effects of the bill were considered and based on the Company’s taxable loss position, there is no tax impact to the provision.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55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15. Related Parties</w:t>
      </w:r>
    </w:p>
    <w:p>
      <w:pPr>
        <w:spacing w:after="0" w:line="84"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During the year ended December 31, 2021, the Company incurred $0.04 million in expenses to a legal firm whose partner is also an investor and former officer of the Company. As of December 31, 2021, this amount was not included in accounts payable.</w:t>
      </w:r>
    </w:p>
    <w:p>
      <w:pPr>
        <w:spacing w:after="0" w:line="197" w:lineRule="exact"/>
        <w:rPr>
          <w:sz w:val="20"/>
          <w:szCs w:val="20"/>
          <w:color w:val="auto"/>
        </w:rPr>
      </w:pPr>
    </w:p>
    <w:p>
      <w:pPr>
        <w:ind w:right="80" w:firstLine="509"/>
        <w:spacing w:after="0" w:line="245" w:lineRule="auto"/>
        <w:rPr>
          <w:sz w:val="20"/>
          <w:szCs w:val="20"/>
          <w:color w:val="auto"/>
        </w:rPr>
      </w:pPr>
      <w:r>
        <w:rPr>
          <w:rFonts w:ascii="Arial" w:cs="Arial" w:eastAsia="Arial" w:hAnsi="Arial"/>
          <w:sz w:val="18"/>
          <w:szCs w:val="18"/>
          <w:color w:val="auto"/>
        </w:rPr>
        <w:t>During the year ended December 31, 2021, the Company incurred $0.3 million in expenses to a stockholder that provided research and development related services. As of December 31, 2021, this amount was not included in accounts payable.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During the year ended December 31, 2022, the Company had no related party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not identified any subsequent events that require disclosure.</w:t>
      </w: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835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980"/>
          </w:cols>
          <w:pgMar w:left="320" w:top="534" w:right="59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5"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22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Aura Biosciences, Inc.</w:t>
      </w:r>
    </w:p>
    <w:p>
      <w:pPr>
        <w:spacing w:after="0" w:line="224" w:lineRule="exact"/>
        <w:rPr>
          <w:sz w:val="20"/>
          <w:szCs w:val="20"/>
          <w:color w:val="auto"/>
        </w:rPr>
      </w:pPr>
    </w:p>
    <w:p>
      <w:pPr>
        <w:ind w:left="20"/>
        <w:spacing w:after="0"/>
        <w:tabs>
          <w:tab w:leader="none" w:pos="5420" w:val="left"/>
          <w:tab w:leader="none" w:pos="766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5715</wp:posOffset>
            </wp:positionV>
            <wp:extent cx="33013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3301365" cy="8255"/>
                    </a:xfrm>
                    <a:prstGeom prst="rect">
                      <a:avLst/>
                    </a:prstGeom>
                    <a:noFill/>
                  </pic:spPr>
                </pic:pic>
              </a:graphicData>
            </a:graphic>
          </wp:anchor>
        </w:drawing>
      </w:r>
    </w:p>
    <w:p>
      <w:pPr>
        <w:spacing w:after="0" w:line="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Elisabet de los Pinos</w:t>
      </w:r>
    </w:p>
    <w:p>
      <w:pPr>
        <w:spacing w:after="0" w:line="9"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16"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11" w:lineRule="exact"/>
        <w:rPr>
          <w:sz w:val="20"/>
          <w:szCs w:val="20"/>
          <w:color w:val="auto"/>
        </w:rPr>
      </w:pPr>
    </w:p>
    <w:p>
      <w:pPr>
        <w:ind w:left="168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Elisabet de los Pinos</w:t>
            </w:r>
          </w:p>
        </w:tc>
        <w:tc>
          <w:tcPr>
            <w:tcW w:w="3160" w:type="dxa"/>
            <w:vAlign w:val="bottom"/>
          </w:tcPr>
          <w:p>
            <w:pPr>
              <w:ind w:left="180"/>
              <w:spacing w:after="0"/>
              <w:rPr>
                <w:sz w:val="20"/>
                <w:szCs w:val="20"/>
                <w:color w:val="auto"/>
              </w:rPr>
            </w:pPr>
            <w:r>
              <w:rPr>
                <w:rFonts w:ascii="Arial" w:cs="Arial" w:eastAsia="Arial" w:hAnsi="Arial"/>
                <w:sz w:val="18"/>
                <w:szCs w:val="18"/>
                <w:color w:val="auto"/>
                <w:w w:val="98"/>
              </w:rPr>
              <w:t>President and Chief Executive Officer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Elisabet de los Pinos</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Julie Feder</w:t>
            </w:r>
          </w:p>
        </w:tc>
        <w:tc>
          <w:tcPr>
            <w:tcW w:w="3160" w:type="dxa"/>
            <w:vAlign w:val="bottom"/>
          </w:tcPr>
          <w:p>
            <w:pPr>
              <w:ind w:left="180"/>
              <w:spacing w:after="0"/>
              <w:rPr>
                <w:sz w:val="20"/>
                <w:szCs w:val="20"/>
                <w:color w:val="auto"/>
              </w:rPr>
            </w:pPr>
            <w:r>
              <w:rPr>
                <w:rFonts w:ascii="Arial" w:cs="Arial" w:eastAsia="Arial" w:hAnsi="Arial"/>
                <w:sz w:val="18"/>
                <w:szCs w:val="18"/>
                <w:color w:val="auto"/>
              </w:rPr>
              <w:t>Chief Financial Officer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Julie Feder</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David Johnson</w:t>
            </w:r>
          </w:p>
        </w:tc>
        <w:tc>
          <w:tcPr>
            <w:tcW w:w="3160" w:type="dxa"/>
            <w:vAlign w:val="bottom"/>
          </w:tcPr>
          <w:p>
            <w:pPr>
              <w:ind w:left="180"/>
              <w:spacing w:after="0"/>
              <w:rPr>
                <w:sz w:val="20"/>
                <w:szCs w:val="20"/>
                <w:color w:val="auto"/>
              </w:rPr>
            </w:pPr>
            <w:r>
              <w:rPr>
                <w:rFonts w:ascii="Arial" w:cs="Arial" w:eastAsia="Arial" w:hAnsi="Arial"/>
                <w:sz w:val="18"/>
                <w:szCs w:val="18"/>
                <w:color w:val="auto"/>
              </w:rPr>
              <w:t>Chairman of the Board of Directors</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David Johnson</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Giovanni Mariggi</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Giovanni Mariggi</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Antony Mattessich</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Anthony Mattessich</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Raj Parekh</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Raj Parekh</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Sapna Srivastava</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Sapna Srivastava</w:t>
            </w:r>
          </w:p>
        </w:tc>
        <w:tc>
          <w:tcPr>
            <w:tcW w:w="3160" w:type="dxa"/>
            <w:vAlign w:val="bottom"/>
          </w:tcPr>
          <w:p>
            <w:pPr>
              <w:spacing w:after="0"/>
              <w:rPr>
                <w:sz w:val="15"/>
                <w:szCs w:val="15"/>
                <w:color w:val="auto"/>
              </w:rPr>
            </w:pPr>
          </w:p>
        </w:tc>
      </w:tr>
      <w:tr>
        <w:trPr>
          <w:trHeight w:val="49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Karan Takhar</w:t>
            </w:r>
          </w:p>
        </w:tc>
        <w:tc>
          <w:tcPr>
            <w:tcW w:w="31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183"/>
        </w:trPr>
        <w:tc>
          <w:tcPr>
            <w:tcW w:w="3720" w:type="dxa"/>
            <w:vAlign w:val="bottom"/>
          </w:tcPr>
          <w:p>
            <w:pPr>
              <w:jc w:val="center"/>
              <w:spacing w:after="0"/>
              <w:rPr>
                <w:sz w:val="20"/>
                <w:szCs w:val="20"/>
                <w:color w:val="auto"/>
              </w:rPr>
            </w:pPr>
            <w:r>
              <w:rPr>
                <w:rFonts w:ascii="Arial" w:cs="Arial" w:eastAsia="Arial" w:hAnsi="Arial"/>
                <w:sz w:val="14"/>
                <w:szCs w:val="14"/>
                <w:b w:val="1"/>
                <w:bCs w:val="1"/>
                <w:color w:val="auto"/>
              </w:rPr>
              <w:t>Karan Takhar</w:t>
            </w:r>
          </w:p>
        </w:tc>
        <w:tc>
          <w:tcPr>
            <w:tcW w:w="31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83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March 15, 2023</w:t>
      </w:r>
    </w:p>
    <w:p>
      <w:pPr>
        <w:sectPr>
          <w:pgSz w:w="11900" w:h="16838" w:orient="portrait"/>
          <w:cols w:equalWidth="0" w:num="2">
            <w:col w:w="8160" w:space="720"/>
            <w:col w:w="2360"/>
          </w:cols>
          <w:pgMar w:left="320" w:top="319" w:right="33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4.1</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EXCHANGE ACT OF 1934</w:t>
      </w:r>
    </w:p>
    <w:p>
      <w:pPr>
        <w:spacing w:after="0" w:line="210" w:lineRule="exact"/>
        <w:rPr>
          <w:sz w:val="20"/>
          <w:szCs w:val="20"/>
          <w:color w:val="auto"/>
        </w:rPr>
      </w:pPr>
    </w:p>
    <w:p>
      <w:pPr>
        <w:ind w:right="20" w:firstLine="873"/>
        <w:spacing w:after="0" w:line="275" w:lineRule="auto"/>
        <w:rPr>
          <w:sz w:val="20"/>
          <w:szCs w:val="20"/>
          <w:color w:val="auto"/>
        </w:rPr>
      </w:pPr>
      <w:r>
        <w:rPr>
          <w:rFonts w:ascii="Arial" w:cs="Arial" w:eastAsia="Arial" w:hAnsi="Arial"/>
          <w:sz w:val="17"/>
          <w:szCs w:val="17"/>
          <w:color w:val="auto"/>
        </w:rPr>
        <w:t>The summary of the general terms and provisions of the registered securities of Aura Biosciences, Inc. (the “Company,” “we,” “us,” and “our”) set forth below does not purport to be complete. It is subject to and qualified in its entirety by reference to our Tenth Amended and Restated Certificate of Incorporation (“certificate of incorporation”) and our Amended and Restated Bylaws (“bylaws”), each of which are incorporated by reference as an exhibit to the Annual Report on Form 10-K of which this Exhibit 4.1 is a part, and by applicable law. We encourage you to read our certificate of incorporation, our bylaws and the applicable provisions of the Delaware General Corporation Law for additional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Our authorized capital stock consists of 150,000,000 shares of common stock, par value $0.00001 per share, and 10,000,000 shares of preferred stock, par value $0.00001 per share, all of which shares of preferred stock are undesignated.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Outstanding shares of our preferred stock will be converted into shares of our common stock. 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No shares of preferred stock are outstanding as of the date of our Annual Report on Form 10-K with which this Exhibit 4.1 is filed as an exhibit.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Certain of our stockholders are entitled to rights with respect to the registration of these securities under the Securities Act. These rights are provided under the terms of our Fifth Amended and Restated Investors’ Rights Agreement, dated as of March 18, 2021 (the “Investors’ Rights Agreement”). The investors’ rights agreement between us and the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4"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Beginning six months after our initial public offering, certain of our stockholders are entitled to demand registration rights. Under the terms of our Investors’ Rights Agreement, we will be required, upon the written request of a majority of holders of the registrable securities then outstanding that would result in an aggregate offering price of at least $5.0 million, to file a registration statement and to use commercially reasonable efforts to effect the registration of all or a portion of these shares for public resale.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83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Short-Form Registration Rights</w:t>
      </w:r>
    </w:p>
    <w:p>
      <w:pPr>
        <w:spacing w:after="0" w:line="22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from any such holder to sell registrable securities at an aggregate price of at least $3.0 million, we will be required to use commercially reasonable efforts to effect a registration of such shares. We are required to effect only two registrations in any twelve-month period pursuant to this provision of the Investors’ Rights Agreement.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224"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Expiration of Registration Rights</w:t>
      </w:r>
    </w:p>
    <w:p>
      <w:pPr>
        <w:spacing w:after="0" w:line="224" w:lineRule="exact"/>
        <w:rPr>
          <w:sz w:val="20"/>
          <w:szCs w:val="20"/>
          <w:color w:val="auto"/>
        </w:rPr>
      </w:pPr>
    </w:p>
    <w:p>
      <w:pPr>
        <w:ind w:right="100"/>
        <w:spacing w:after="0" w:line="285" w:lineRule="auto"/>
        <w:rPr>
          <w:sz w:val="20"/>
          <w:szCs w:val="20"/>
          <w:color w:val="auto"/>
        </w:rPr>
      </w:pPr>
      <w:r>
        <w:rPr>
          <w:rFonts w:ascii="Arial" w:cs="Arial" w:eastAsia="Arial" w:hAnsi="Arial"/>
          <w:sz w:val="17"/>
          <w:szCs w:val="17"/>
          <w:color w:val="auto"/>
        </w:rPr>
        <w:t>The demand registration rights and short-form registration rights granted under the Investors’ Rights Agreement will terminate upon the earlier of (i) November 2, 2026 (ii) a liquidation event and (iii) with respect to any particular stockholder, when such stockholder is able to sell all of its shares pursuant to Rule 144 or any similar exemption under the Securities Act during any three-month period without registration.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228"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22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22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224"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5835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22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4"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28" w:lineRule="exact"/>
        <w:rPr>
          <w:sz w:val="20"/>
          <w:szCs w:val="20"/>
          <w:color w:val="auto"/>
        </w:rPr>
      </w:pPr>
    </w:p>
    <w:p>
      <w:pPr>
        <w:ind w:right="160"/>
        <w:spacing w:after="0" w:line="285" w:lineRule="auto"/>
        <w:rPr>
          <w:sz w:val="20"/>
          <w:szCs w:val="20"/>
          <w:color w:val="auto"/>
        </w:rPr>
      </w:pPr>
      <w:r>
        <w:rPr>
          <w:rFonts w:ascii="Arial" w:cs="Arial" w:eastAsia="Arial" w:hAnsi="Arial"/>
          <w:sz w:val="16"/>
          <w:szCs w:val="16"/>
          <w:color w:val="auto"/>
        </w:rPr>
        <w:t>Our bylaws provide that, unless we consent in writing to the selection of an alternative forum, the Court of Chancery of the State of Delaware shall be the sole and exclusive forum for any state law claims for: (1) any derivative action or proceeding brought on our behalf; (2) any action asserting a claim of breach of a fiduciary duty owed by any of our directors, officers and employees to us or our stockholders; (3) any action asserting a claim arising pursuant to the Delaware General Corporation Law or our certificate of incorporation or bylaws (including the interpretation, validity or enforceability thereof); or</w:t>
      </w:r>
    </w:p>
    <w:p>
      <w:pPr>
        <w:spacing w:after="0" w:line="3" w:lineRule="exact"/>
        <w:rPr>
          <w:sz w:val="20"/>
          <w:szCs w:val="20"/>
          <w:color w:val="auto"/>
        </w:rPr>
      </w:pPr>
    </w:p>
    <w:p>
      <w:pPr>
        <w:ind w:firstLine="8"/>
        <w:spacing w:after="0" w:line="287" w:lineRule="auto"/>
        <w:tabs>
          <w:tab w:leader="none" w:pos="25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action asserting a claim that is governed by the internal affairs doctrine; provided, however, that this provision shall not apply to any causes of action arising under the Securities Act or the Exchange Act. In addition, our bylaws provide that, unless we consent to an alternative forum, the federal district courts of the United States shall be the sole and exclusive forum for resolving any complaint asserting a cause of action under the Securities Act (the Federal Forum Provision). Any person or entity purchasing or otherwise acquiring any interest in our securities shall be deemed to have notice of and consented to these forum provisions. These forum provisions may impose additional costs on stockholders and may limit our stockholders’ ability to bring a claim in a forum they find favorable, and the designated courts may reach different judgements or results than other courts. In addition, there is uncertainty as to whether our Federal Forum Provision will be enforced, which may impose additional costs on us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715835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228"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ind w:left="760" w:hanging="378"/>
        <w:spacing w:after="0" w:line="249"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 w:lineRule="exact"/>
        <w:rPr>
          <w:rFonts w:ascii="Arial" w:cs="Arial" w:eastAsia="Arial" w:hAnsi="Arial"/>
          <w:sz w:val="18"/>
          <w:szCs w:val="18"/>
          <w:color w:val="auto"/>
        </w:rPr>
      </w:pPr>
    </w:p>
    <w:p>
      <w:pPr>
        <w:ind w:left="760" w:right="40" w:hanging="378"/>
        <w:spacing w:after="0" w:line="249"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 w:lineRule="exact"/>
        <w:rPr>
          <w:rFonts w:ascii="Arial" w:cs="Arial" w:eastAsia="Arial" w:hAnsi="Arial"/>
          <w:sz w:val="18"/>
          <w:szCs w:val="18"/>
          <w:color w:val="auto"/>
        </w:rPr>
      </w:pPr>
    </w:p>
    <w:p>
      <w:pPr>
        <w:ind w:left="760" w:right="40" w:hanging="378"/>
        <w:spacing w:after="0" w:line="281" w:lineRule="auto"/>
        <w:tabs>
          <w:tab w:leader="none" w:pos="7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w:t>
      </w:r>
    </w:p>
    <w:p>
      <w:pPr>
        <w:ind w:left="760"/>
        <w:spacing w:after="0"/>
        <w:rPr>
          <w:sz w:val="20"/>
          <w:szCs w:val="20"/>
          <w:color w:val="auto"/>
        </w:rPr>
      </w:pPr>
      <w:r>
        <w:rPr>
          <w:rFonts w:ascii="Arial" w:cs="Arial" w:eastAsia="Arial" w:hAnsi="Arial"/>
          <w:sz w:val="18"/>
          <w:szCs w:val="18"/>
          <w:color w:val="auto"/>
        </w:rPr>
        <w:t>the interested stockholder.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203 defines a business combination to include:</w:t>
      </w:r>
    </w:p>
    <w:p>
      <w:pPr>
        <w:spacing w:after="0" w:line="9" w:lineRule="exact"/>
        <w:rPr>
          <w:sz w:val="20"/>
          <w:szCs w:val="20"/>
          <w:color w:val="auto"/>
        </w:rPr>
      </w:pPr>
    </w:p>
    <w:p>
      <w:pPr>
        <w:ind w:left="760" w:hanging="378"/>
        <w:spacing w:after="0"/>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8" w:lineRule="exact"/>
        <w:rPr>
          <w:rFonts w:ascii="Arial" w:cs="Arial" w:eastAsia="Arial" w:hAnsi="Arial"/>
          <w:sz w:val="18"/>
          <w:szCs w:val="18"/>
          <w:color w:val="auto"/>
        </w:rPr>
      </w:pPr>
    </w:p>
    <w:p>
      <w:pPr>
        <w:ind w:left="760" w:hanging="378"/>
        <w:spacing w:after="0"/>
        <w:tabs>
          <w:tab w:leader="none" w:pos="7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20" w:lineRule="exact"/>
        <w:rPr>
          <w:rFonts w:ascii="Arial" w:cs="Arial" w:eastAsia="Arial" w:hAnsi="Arial"/>
          <w:sz w:val="17"/>
          <w:szCs w:val="17"/>
          <w:color w:val="auto"/>
        </w:rPr>
      </w:pPr>
    </w:p>
    <w:p>
      <w:pPr>
        <w:ind w:left="760" w:right="240" w:hanging="378"/>
        <w:spacing w:after="0" w:line="249"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 w:lineRule="exact"/>
        <w:rPr>
          <w:rFonts w:ascii="Arial" w:cs="Arial" w:eastAsia="Arial" w:hAnsi="Arial"/>
          <w:sz w:val="18"/>
          <w:szCs w:val="18"/>
          <w:color w:val="auto"/>
        </w:rPr>
      </w:pPr>
    </w:p>
    <w:p>
      <w:pPr>
        <w:ind w:left="760" w:right="120" w:hanging="378"/>
        <w:spacing w:after="0" w:line="249"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 w:lineRule="exact"/>
        <w:rPr>
          <w:rFonts w:ascii="Arial" w:cs="Arial" w:eastAsia="Arial" w:hAnsi="Arial"/>
          <w:sz w:val="18"/>
          <w:szCs w:val="18"/>
          <w:color w:val="auto"/>
        </w:rPr>
      </w:pPr>
    </w:p>
    <w:p>
      <w:pPr>
        <w:ind w:left="760" w:right="360" w:hanging="378"/>
        <w:spacing w:after="0" w:line="249"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trading symbol “AURA.”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8"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83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3" w:name="page144"/>
    <w:bookmarkEnd w:id="143"/>
    <w:p>
      <w:pPr>
        <w:ind w:left="10120"/>
        <w:spacing w:after="0"/>
        <w:rPr>
          <w:sz w:val="20"/>
          <w:szCs w:val="20"/>
          <w:color w:val="auto"/>
        </w:rPr>
      </w:pPr>
      <w:r>
        <w:rPr>
          <w:rFonts w:ascii="Arial" w:cs="Arial" w:eastAsia="Arial" w:hAnsi="Arial"/>
          <w:sz w:val="20"/>
          <w:szCs w:val="20"/>
          <w:b w:val="1"/>
          <w:bCs w:val="1"/>
          <w:color w:val="auto"/>
        </w:rPr>
        <w:t>Exhibit 21.1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List of Subsidiaries of Registrant</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19"/>
                <w:szCs w:val="19"/>
                <w:color w:val="auto"/>
              </w:rPr>
            </w:pPr>
          </w:p>
        </w:tc>
        <w:tc>
          <w:tcPr>
            <w:tcW w:w="5300" w:type="dxa"/>
            <w:vAlign w:val="bottom"/>
          </w:tcPr>
          <w:p>
            <w:pPr>
              <w:jc w:val="center"/>
              <w:ind w:right="217"/>
              <w:spacing w:after="0"/>
              <w:rPr>
                <w:sz w:val="20"/>
                <w:szCs w:val="20"/>
                <w:color w:val="auto"/>
              </w:rPr>
            </w:pPr>
            <w:r>
              <w:rPr>
                <w:rFonts w:ascii="Arial" w:cs="Arial" w:eastAsia="Arial" w:hAnsi="Arial"/>
                <w:sz w:val="20"/>
                <w:szCs w:val="20"/>
                <w:color w:val="auto"/>
                <w:w w:val="92"/>
              </w:rPr>
              <w:t>Jurisdiction of Incorporation</w:t>
            </w:r>
          </w:p>
        </w:tc>
      </w:tr>
      <w:tr>
        <w:trPr>
          <w:trHeight w:val="255"/>
        </w:trPr>
        <w:tc>
          <w:tcPr>
            <w:tcW w:w="5940" w:type="dxa"/>
            <w:vAlign w:val="bottom"/>
            <w:tcBorders>
              <w:bottom w:val="single" w:sz="8" w:color="auto"/>
            </w:tcBorders>
          </w:tcPr>
          <w:p>
            <w:pPr>
              <w:jc w:val="center"/>
              <w:ind w:right="195"/>
              <w:spacing w:after="0"/>
              <w:rPr>
                <w:sz w:val="20"/>
                <w:szCs w:val="20"/>
                <w:color w:val="auto"/>
              </w:rPr>
            </w:pPr>
            <w:r>
              <w:rPr>
                <w:rFonts w:ascii="Arial" w:cs="Arial" w:eastAsia="Arial" w:hAnsi="Arial"/>
                <w:sz w:val="20"/>
                <w:szCs w:val="20"/>
                <w:color w:val="auto"/>
                <w:w w:val="89"/>
              </w:rPr>
              <w:t>Subsidiary</w:t>
            </w:r>
          </w:p>
        </w:tc>
        <w:tc>
          <w:tcPr>
            <w:tcW w:w="5300" w:type="dxa"/>
            <w:vAlign w:val="bottom"/>
            <w:tcBorders>
              <w:bottom w:val="single" w:sz="8" w:color="auto"/>
            </w:tcBorders>
          </w:tcPr>
          <w:p>
            <w:pPr>
              <w:jc w:val="center"/>
              <w:ind w:right="197"/>
              <w:spacing w:after="0"/>
              <w:rPr>
                <w:sz w:val="20"/>
                <w:szCs w:val="20"/>
                <w:color w:val="auto"/>
              </w:rPr>
            </w:pPr>
            <w:r>
              <w:rPr>
                <w:rFonts w:ascii="Arial" w:cs="Arial" w:eastAsia="Arial" w:hAnsi="Arial"/>
                <w:sz w:val="20"/>
                <w:szCs w:val="20"/>
                <w:color w:val="auto"/>
                <w:w w:val="90"/>
              </w:rPr>
              <w:t>or Organization</w:t>
            </w:r>
          </w:p>
        </w:tc>
      </w:tr>
      <w:tr>
        <w:trPr>
          <w:trHeight w:val="260"/>
        </w:trPr>
        <w:tc>
          <w:tcPr>
            <w:tcW w:w="5940" w:type="dxa"/>
            <w:vAlign w:val="bottom"/>
          </w:tcPr>
          <w:p>
            <w:pPr>
              <w:jc w:val="center"/>
              <w:ind w:right="195"/>
              <w:spacing w:after="0"/>
              <w:rPr>
                <w:sz w:val="20"/>
                <w:szCs w:val="20"/>
                <w:color w:val="auto"/>
              </w:rPr>
            </w:pPr>
            <w:r>
              <w:rPr>
                <w:rFonts w:ascii="Arial" w:cs="Arial" w:eastAsia="Arial" w:hAnsi="Arial"/>
                <w:sz w:val="22"/>
                <w:szCs w:val="22"/>
                <w:color w:val="auto"/>
                <w:w w:val="89"/>
              </w:rPr>
              <w:t>Aura Biosciences Securities Corporation</w:t>
            </w:r>
          </w:p>
        </w:tc>
        <w:tc>
          <w:tcPr>
            <w:tcW w:w="5300" w:type="dxa"/>
            <w:vAlign w:val="bottom"/>
          </w:tcPr>
          <w:p>
            <w:pPr>
              <w:jc w:val="center"/>
              <w:ind w:right="217"/>
              <w:spacing w:after="0"/>
              <w:rPr>
                <w:sz w:val="20"/>
                <w:szCs w:val="20"/>
                <w:color w:val="auto"/>
              </w:rPr>
            </w:pPr>
            <w:r>
              <w:rPr>
                <w:rFonts w:ascii="Arial" w:cs="Arial" w:eastAsia="Arial" w:hAnsi="Arial"/>
                <w:sz w:val="22"/>
                <w:szCs w:val="22"/>
                <w:color w:val="auto"/>
                <w:w w:val="85"/>
              </w:rPr>
              <w:t>Massachusetts</w:t>
            </w:r>
          </w:p>
        </w:tc>
      </w:tr>
      <w:tr>
        <w:trPr>
          <w:trHeight w:val="274"/>
        </w:trPr>
        <w:tc>
          <w:tcPr>
            <w:tcW w:w="5940" w:type="dxa"/>
            <w:vAlign w:val="bottom"/>
          </w:tcPr>
          <w:p>
            <w:pPr>
              <w:jc w:val="center"/>
              <w:ind w:right="215"/>
              <w:spacing w:after="0"/>
              <w:rPr>
                <w:sz w:val="20"/>
                <w:szCs w:val="20"/>
                <w:color w:val="auto"/>
              </w:rPr>
            </w:pPr>
            <w:r>
              <w:rPr>
                <w:rFonts w:ascii="Arial" w:cs="Arial" w:eastAsia="Arial" w:hAnsi="Arial"/>
                <w:sz w:val="22"/>
                <w:szCs w:val="22"/>
                <w:color w:val="auto"/>
                <w:w w:val="89"/>
              </w:rPr>
              <w:t>Aura Biosciences B.V.</w:t>
            </w:r>
          </w:p>
        </w:tc>
        <w:tc>
          <w:tcPr>
            <w:tcW w:w="5300" w:type="dxa"/>
            <w:vAlign w:val="bottom"/>
          </w:tcPr>
          <w:p>
            <w:pPr>
              <w:jc w:val="center"/>
              <w:ind w:right="197"/>
              <w:spacing w:after="0"/>
              <w:rPr>
                <w:sz w:val="20"/>
                <w:szCs w:val="20"/>
                <w:color w:val="auto"/>
              </w:rPr>
            </w:pPr>
            <w:r>
              <w:rPr>
                <w:rFonts w:ascii="Arial" w:cs="Arial" w:eastAsia="Arial" w:hAnsi="Arial"/>
                <w:sz w:val="22"/>
                <w:szCs w:val="22"/>
                <w:color w:val="auto"/>
                <w:w w:val="87"/>
              </w:rPr>
              <w:t>Netherlands</w:t>
            </w:r>
          </w:p>
        </w:tc>
      </w:tr>
      <w:tr>
        <w:trPr>
          <w:trHeight w:val="576"/>
        </w:trPr>
        <w:tc>
          <w:tcPr>
            <w:tcW w:w="594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320" w:lineRule="exact"/>
        <w:rPr>
          <w:sz w:val="20"/>
          <w:szCs w:val="20"/>
          <w:color w:val="auto"/>
        </w:rPr>
      </w:pPr>
    </w:p>
    <w:p>
      <w:pPr>
        <w:ind w:left="288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We consent to the incorporation by reference in the following Registration Statements:</w:t>
      </w:r>
    </w:p>
    <w:p>
      <w:pPr>
        <w:spacing w:after="0" w:line="232" w:lineRule="exact"/>
        <w:rPr>
          <w:sz w:val="20"/>
          <w:szCs w:val="20"/>
          <w:color w:val="auto"/>
        </w:rPr>
      </w:pPr>
    </w:p>
    <w:p>
      <w:pPr>
        <w:jc w:val="both"/>
        <w:ind w:left="760" w:hanging="378"/>
        <w:spacing w:after="0" w:line="235" w:lineRule="auto"/>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Registration Statement (Form S-8 No. 333- 260589) pertaining to the 2009 Amended and Restated Stock Option and Restricted Stock Plan, 2018 Equity Incentive Plan, Aura Biosciences, Inc. 2021 Stock Option and Incentive Plan, and Aura Biosciences, Inc. 2021 Employee Stock Purchase Plan,</w:t>
      </w:r>
    </w:p>
    <w:p>
      <w:pPr>
        <w:spacing w:after="0" w:line="2" w:lineRule="exact"/>
        <w:rPr>
          <w:rFonts w:ascii="Arial" w:cs="Arial" w:eastAsia="Arial" w:hAnsi="Arial"/>
          <w:sz w:val="22"/>
          <w:szCs w:val="22"/>
          <w:color w:val="auto"/>
        </w:rPr>
      </w:pPr>
    </w:p>
    <w:p>
      <w:pPr>
        <w:ind w:left="760" w:hanging="378"/>
        <w:spacing w:after="0" w:line="230" w:lineRule="auto"/>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Registration Statement (Form S-8 No. 333-263801) pertaining to the Aura Biosciences, Inc. 2021 Stock Option and Incentive Plan and Aura Biosciences, Inc. 2021 Employee Stock Purchase Plan, and</w:t>
      </w:r>
    </w:p>
    <w:p>
      <w:pPr>
        <w:ind w:left="760" w:hanging="378"/>
        <w:spacing w:after="0"/>
        <w:tabs>
          <w:tab w:leader="none" w:pos="7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Registration Statement (Form S-3 No. 333-268105) of Aura Biosciences, Inc.;</w:t>
      </w:r>
    </w:p>
    <w:p>
      <w:pPr>
        <w:spacing w:after="0" w:line="214"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of our report dated March 15, 2023, with respect to the consolidated financial statements of Aura Biosciences, Inc. included in this Annual Report (Form 10-K) of Aura Biosciences, Inc. for the year ended December 31, 2022.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Ernst &amp; Young LLP</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Boston, Massachusetts</w:t>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83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31.1</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220" w:lineRule="exact"/>
        <w:rPr>
          <w:sz w:val="20"/>
          <w:szCs w:val="20"/>
          <w:color w:val="auto"/>
        </w:rPr>
      </w:pPr>
    </w:p>
    <w:p>
      <w:pPr>
        <w:ind w:left="360" w:hanging="352"/>
        <w:spacing w:after="0"/>
        <w:tabs>
          <w:tab w:leader="none" w:pos="3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0" w:lineRule="exact"/>
        <w:rPr>
          <w:rFonts w:ascii="Arial" w:cs="Arial" w:eastAsia="Arial" w:hAnsi="Arial"/>
          <w:sz w:val="16"/>
          <w:szCs w:val="16"/>
          <w:color w:val="auto"/>
        </w:rPr>
      </w:pPr>
    </w:p>
    <w:p>
      <w:pPr>
        <w:ind w:right="300" w:firstLine="8"/>
        <w:spacing w:after="0" w:line="259" w:lineRule="auto"/>
        <w:tabs>
          <w:tab w:leader="none" w:pos="3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right="560" w:firstLine="8"/>
        <w:spacing w:after="0" w:line="259" w:lineRule="auto"/>
        <w:tabs>
          <w:tab w:leader="none" w:pos="3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right="40" w:firstLine="8"/>
        <w:spacing w:after="0" w:line="252" w:lineRule="auto"/>
        <w:tabs>
          <w:tab w:leader="none" w:pos="3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right="220" w:firstLine="367"/>
        <w:spacing w:after="0" w:line="252" w:lineRule="auto"/>
        <w:tabs>
          <w:tab w:leader="none" w:pos="7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720" w:hanging="353"/>
        <w:spacing w:after="0"/>
        <w:tabs>
          <w:tab w:leader="none" w:pos="72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4" w:lineRule="exact"/>
        <w:rPr>
          <w:rFonts w:ascii="Arial" w:cs="Arial" w:eastAsia="Arial" w:hAnsi="Arial"/>
          <w:sz w:val="16"/>
          <w:szCs w:val="16"/>
          <w:color w:val="auto"/>
        </w:rPr>
      </w:pPr>
    </w:p>
    <w:p>
      <w:pPr>
        <w:ind w:right="140"/>
        <w:spacing w:after="0" w:line="259"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6"/>
          <w:szCs w:val="16"/>
          <w:color w:val="auto"/>
        </w:rPr>
      </w:pPr>
    </w:p>
    <w:p>
      <w:pPr>
        <w:ind w:right="800" w:firstLine="367"/>
        <w:spacing w:after="0" w:line="259" w:lineRule="auto"/>
        <w:tabs>
          <w:tab w:leader="none" w:pos="7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right="60" w:firstLine="367"/>
        <w:spacing w:after="0" w:line="252" w:lineRule="auto"/>
        <w:tabs>
          <w:tab w:leader="none" w:pos="7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right="300" w:firstLine="8"/>
        <w:spacing w:after="0" w:line="259" w:lineRule="auto"/>
        <w:tabs>
          <w:tab w:leader="none" w:pos="3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firstLine="367"/>
        <w:spacing w:after="0" w:line="259" w:lineRule="auto"/>
        <w:tabs>
          <w:tab w:leader="none" w:pos="7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right="340" w:firstLine="367"/>
        <w:spacing w:after="0" w:line="259" w:lineRule="auto"/>
        <w:tabs>
          <w:tab w:leader="none" w:pos="718"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0" w:lineRule="exact"/>
        <w:rPr>
          <w:sz w:val="20"/>
          <w:szCs w:val="20"/>
          <w:color w:val="auto"/>
        </w:rPr>
      </w:pPr>
    </w:p>
    <w:p>
      <w:pPr>
        <w:ind w:left="80"/>
        <w:spacing w:after="0"/>
        <w:tabs>
          <w:tab w:leader="none" w:pos="620" w:val="left"/>
          <w:tab w:leader="none" w:pos="5900" w:val="left"/>
          <w:tab w:leader="none" w:pos="7900" w:val="left"/>
        </w:tabs>
        <w:rPr>
          <w:sz w:val="20"/>
          <w:szCs w:val="20"/>
          <w:color w:val="auto"/>
        </w:rPr>
      </w:pPr>
      <w:r>
        <w:rPr>
          <w:rFonts w:ascii="Arial" w:cs="Arial" w:eastAsia="Arial" w:hAnsi="Arial"/>
          <w:sz w:val="16"/>
          <w:szCs w:val="16"/>
          <w:color w:val="auto"/>
        </w:rPr>
        <w:t>Date:</w:t>
        <w:tab/>
        <w:t>March 15,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10160</wp:posOffset>
            </wp:positionV>
            <wp:extent cx="30619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18"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83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220"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Aura Biosciences, Inc;</w:t>
      </w:r>
    </w:p>
    <w:p>
      <w:pPr>
        <w:spacing w:after="0" w:line="220" w:lineRule="exact"/>
        <w:rPr>
          <w:rFonts w:ascii="Arial" w:cs="Arial" w:eastAsia="Arial" w:hAnsi="Arial"/>
          <w:sz w:val="16"/>
          <w:szCs w:val="16"/>
          <w:color w:val="auto"/>
        </w:rPr>
      </w:pPr>
    </w:p>
    <w:p>
      <w:pPr>
        <w:ind w:right="300" w:firstLine="8"/>
        <w:spacing w:after="0" w:line="259" w:lineRule="auto"/>
        <w:tabs>
          <w:tab w:leader="none" w:pos="3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6"/>
          <w:szCs w:val="16"/>
          <w:color w:val="auto"/>
        </w:rPr>
      </w:pPr>
    </w:p>
    <w:p>
      <w:pPr>
        <w:ind w:right="560" w:firstLine="8"/>
        <w:spacing w:after="0" w:line="259" w:lineRule="auto"/>
        <w:tabs>
          <w:tab w:leader="none" w:pos="3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ind w:right="40" w:firstLine="8"/>
        <w:spacing w:after="0" w:line="252" w:lineRule="auto"/>
        <w:tabs>
          <w:tab w:leader="none" w:pos="3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right="220" w:firstLine="367"/>
        <w:spacing w:after="0" w:line="252" w:lineRule="auto"/>
        <w:tabs>
          <w:tab w:leader="none" w:pos="7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720" w:hanging="353"/>
        <w:spacing w:after="0"/>
        <w:tabs>
          <w:tab w:leader="none" w:pos="7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4" w:lineRule="exact"/>
        <w:rPr>
          <w:rFonts w:ascii="Arial" w:cs="Arial" w:eastAsia="Arial" w:hAnsi="Arial"/>
          <w:sz w:val="16"/>
          <w:szCs w:val="16"/>
          <w:color w:val="auto"/>
        </w:rPr>
      </w:pPr>
    </w:p>
    <w:p>
      <w:pPr>
        <w:ind w:right="140"/>
        <w:spacing w:after="0" w:line="259" w:lineRule="auto"/>
        <w:rPr>
          <w:rFonts w:ascii="Arial" w:cs="Arial" w:eastAsia="Arial" w:hAnsi="Arial"/>
          <w:sz w:val="16"/>
          <w:szCs w:val="16"/>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6"/>
          <w:szCs w:val="16"/>
          <w:color w:val="auto"/>
        </w:rPr>
      </w:pPr>
    </w:p>
    <w:p>
      <w:pPr>
        <w:ind w:right="800" w:firstLine="367"/>
        <w:spacing w:after="0" w:line="259" w:lineRule="auto"/>
        <w:tabs>
          <w:tab w:leader="none" w:pos="7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right="60" w:firstLine="367"/>
        <w:spacing w:after="0" w:line="252" w:lineRule="auto"/>
        <w:tabs>
          <w:tab w:leader="none" w:pos="7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right="300" w:firstLine="8"/>
        <w:spacing w:after="0" w:line="259" w:lineRule="auto"/>
        <w:tabs>
          <w:tab w:leader="none" w:pos="359"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firstLine="367"/>
        <w:spacing w:after="0" w:line="259" w:lineRule="auto"/>
        <w:tabs>
          <w:tab w:leader="none" w:pos="7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right="340" w:firstLine="367"/>
        <w:spacing w:after="0" w:line="259" w:lineRule="auto"/>
        <w:tabs>
          <w:tab w:leader="none" w:pos="718"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8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0" w:lineRule="exact"/>
        <w:rPr>
          <w:sz w:val="20"/>
          <w:szCs w:val="20"/>
          <w:color w:val="auto"/>
        </w:rPr>
      </w:pPr>
    </w:p>
    <w:p>
      <w:pPr>
        <w:ind w:left="80"/>
        <w:spacing w:after="0"/>
        <w:tabs>
          <w:tab w:leader="none" w:pos="620" w:val="left"/>
          <w:tab w:leader="none" w:pos="5900" w:val="left"/>
          <w:tab w:leader="none" w:pos="8240" w:val="left"/>
        </w:tabs>
        <w:rPr>
          <w:sz w:val="20"/>
          <w:szCs w:val="20"/>
          <w:color w:val="auto"/>
        </w:rPr>
      </w:pPr>
      <w:r>
        <w:rPr>
          <w:rFonts w:ascii="Arial" w:cs="Arial" w:eastAsia="Arial" w:hAnsi="Arial"/>
          <w:sz w:val="16"/>
          <w:szCs w:val="16"/>
          <w:color w:val="auto"/>
        </w:rPr>
        <w:t>Date:</w:t>
        <w:tab/>
        <w:t>March 15,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10160</wp:posOffset>
            </wp:positionV>
            <wp:extent cx="30619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3061970" cy="8255"/>
                    </a:xfrm>
                    <a:prstGeom prst="rect">
                      <a:avLst/>
                    </a:prstGeom>
                    <a:noFill/>
                  </pic:spPr>
                </pic:pic>
              </a:graphicData>
            </a:graphic>
          </wp:anchor>
        </w:drawing>
      </w:r>
    </w:p>
    <w:p>
      <w:pPr>
        <w:spacing w:after="0" w:line="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Julie Feder</w:t>
      </w:r>
    </w:p>
    <w:p>
      <w:pPr>
        <w:spacing w:after="0" w:line="18"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83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6"/>
          <w:szCs w:val="16"/>
          <w:b w:val="1"/>
          <w:bCs w:val="1"/>
          <w:color w:val="auto"/>
        </w:rPr>
        <w:t>Exhibit 32.1</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2"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connection with the Annual Report on Form 10-K of Aura Biosciences, Inc. (the “Company”) for the year ended December 31, 2022 as filed with the Securities and Exchange Commission on the date hereof (the “Report”), each of the undersigned certifies, pursuant to 18 U.S.C. §1350, as adopted pursuant to §906 of the Sarbanes-Oxley Act of 2002, that, to the best of her knowledge:</w:t>
      </w:r>
    </w:p>
    <w:p>
      <w:pPr>
        <w:spacing w:after="0" w:line="200" w:lineRule="exact"/>
        <w:rPr>
          <w:sz w:val="20"/>
          <w:szCs w:val="20"/>
          <w:color w:val="auto"/>
        </w:rPr>
      </w:pPr>
    </w:p>
    <w:p>
      <w:pPr>
        <w:spacing w:after="0" w:line="219" w:lineRule="exact"/>
        <w:rPr>
          <w:sz w:val="20"/>
          <w:szCs w:val="20"/>
          <w:color w:val="auto"/>
        </w:rPr>
      </w:pPr>
    </w:p>
    <w:p>
      <w:pPr>
        <w:ind w:left="760" w:hanging="378"/>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91" w:lineRule="exact"/>
        <w:rPr>
          <w:rFonts w:ascii="Arial" w:cs="Arial" w:eastAsia="Arial" w:hAnsi="Arial"/>
          <w:sz w:val="18"/>
          <w:szCs w:val="18"/>
          <w:color w:val="auto"/>
        </w:rPr>
      </w:pPr>
    </w:p>
    <w:p>
      <w:pPr>
        <w:ind w:left="760" w:right="240" w:hanging="378"/>
        <w:spacing w:after="0" w:line="245" w:lineRule="auto"/>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9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Aura Biosciences, Inc.</w:t>
      </w:r>
    </w:p>
    <w:p>
      <w:pPr>
        <w:spacing w:after="0" w:line="251" w:lineRule="exact"/>
        <w:rPr>
          <w:sz w:val="20"/>
          <w:szCs w:val="20"/>
          <w:color w:val="auto"/>
        </w:rPr>
      </w:pPr>
    </w:p>
    <w:p>
      <w:pPr>
        <w:ind w:left="80"/>
        <w:spacing w:after="0"/>
        <w:tabs>
          <w:tab w:leader="none" w:pos="740" w:val="left"/>
          <w:tab w:leader="none" w:pos="5860" w:val="left"/>
          <w:tab w:leader="none" w:pos="7760" w:val="left"/>
        </w:tabs>
        <w:rPr>
          <w:sz w:val="20"/>
          <w:szCs w:val="20"/>
          <w:color w:val="auto"/>
        </w:rPr>
      </w:pPr>
      <w:r>
        <w:rPr>
          <w:rFonts w:ascii="Arial" w:cs="Arial" w:eastAsia="Arial" w:hAnsi="Arial"/>
          <w:sz w:val="18"/>
          <w:szCs w:val="18"/>
          <w:color w:val="auto"/>
        </w:rPr>
        <w:t>Date:</w:t>
        <w:tab/>
        <w:t>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5715</wp:posOffset>
            </wp:positionV>
            <wp:extent cx="30962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Elisabet de los Pinos</w:t>
      </w:r>
    </w:p>
    <w:p>
      <w:pPr>
        <w:spacing w:after="0" w:line="22"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0" w:lineRule="exact"/>
        <w:rPr>
          <w:sz w:val="20"/>
          <w:szCs w:val="20"/>
          <w:color w:val="auto"/>
        </w:rPr>
      </w:pPr>
    </w:p>
    <w:p>
      <w:pPr>
        <w:spacing w:after="0" w:line="265" w:lineRule="exact"/>
        <w:rPr>
          <w:sz w:val="20"/>
          <w:szCs w:val="20"/>
          <w:color w:val="auto"/>
        </w:rPr>
      </w:pPr>
    </w:p>
    <w:p>
      <w:pPr>
        <w:ind w:left="80"/>
        <w:spacing w:after="0"/>
        <w:tabs>
          <w:tab w:leader="none" w:pos="740" w:val="left"/>
          <w:tab w:leader="none" w:pos="5860" w:val="left"/>
          <w:tab w:leader="none" w:pos="8160" w:val="left"/>
        </w:tabs>
        <w:rPr>
          <w:sz w:val="20"/>
          <w:szCs w:val="20"/>
          <w:color w:val="auto"/>
        </w:rPr>
      </w:pPr>
      <w:r>
        <w:rPr>
          <w:rFonts w:ascii="Arial" w:cs="Arial" w:eastAsia="Arial" w:hAnsi="Arial"/>
          <w:sz w:val="18"/>
          <w:szCs w:val="18"/>
          <w:color w:val="auto"/>
        </w:rPr>
        <w:t>Date:</w:t>
        <w:tab/>
        <w:t>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5715</wp:posOffset>
            </wp:positionV>
            <wp:extent cx="30962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3096260" cy="8255"/>
                    </a:xfrm>
                    <a:prstGeom prst="rect">
                      <a:avLst/>
                    </a:prstGeom>
                    <a:noFill/>
                  </pic:spPr>
                </pic:pic>
              </a:graphicData>
            </a:graphic>
          </wp:anchor>
        </w:drawing>
      </w:r>
    </w:p>
    <w:p>
      <w:pPr>
        <w:spacing w:after="0" w:line="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Julie Feder</w:t>
      </w:r>
    </w:p>
    <w:p>
      <w:pPr>
        <w:spacing w:after="0" w:line="22"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83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amp;"/>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1)"/>
      <w:numFmt w:val="lowerRoman"/>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decimal"/>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
      <w:numFmt w:val="bullet"/>
      <w:start w:val="1"/>
    </w:lvl>
    <w:lvl w:ilvl="1">
      <w:lvlJc w:val="left"/>
      <w:lvlText w:val="%2"/>
      <w:numFmt w:val="decimal"/>
      <w:start w:val="104"/>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lvl w:ilvl="1">
      <w:lvlJc w:val="left"/>
      <w:lvlText w:val="∎"/>
      <w:numFmt w:val="bullet"/>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decimal"/>
      <w:start w:val="12"/>
    </w:lvl>
  </w:abstractNum>
  <w:abstractNum w:abstractNumId="61">
    <w:nsid w:val="25A70BF7"/>
    <w:multiLevelType w:val="hybridMultilevel"/>
    <w:lvl w:ilvl="0">
      <w:lvlJc w:val="left"/>
      <w:lvlText w:val="%1."/>
      <w:numFmt w:val="decimal"/>
      <w:start w:val="842"/>
    </w:lvl>
  </w:abstractNum>
  <w:abstractNum w:abstractNumId="62">
    <w:nsid w:val="1DBABF00"/>
    <w:multiLevelType w:val="hybridMultilevel"/>
    <w:lvl w:ilvl="0">
      <w:lvlJc w:val="left"/>
      <w:lvlText w:val="(%1)"/>
      <w:numFmt w:val="decimal"/>
      <w:start w:val="4"/>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78" Type="http://schemas.openxmlformats.org/officeDocument/2006/relationships/image" Target="media/image157.png"/><Relationship Id="rId179"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217" Type="http://schemas.openxmlformats.org/officeDocument/2006/relationships/image" Target="media/image192.png"/><Relationship Id="rId218" Type="http://schemas.openxmlformats.org/officeDocument/2006/relationships/image" Target="media/image193.png"/><Relationship Id="rId219" Type="http://schemas.openxmlformats.org/officeDocument/2006/relationships/image" Target="media/image194.png"/><Relationship Id="rId220" Type="http://schemas.openxmlformats.org/officeDocument/2006/relationships/image" Target="media/image195.png"/><Relationship Id="rId221" Type="http://schemas.openxmlformats.org/officeDocument/2006/relationships/image" Target="media/image196.png"/><Relationship Id="rId222" Type="http://schemas.openxmlformats.org/officeDocument/2006/relationships/image" Target="media/image197.png"/><Relationship Id="rId223" Type="http://schemas.openxmlformats.org/officeDocument/2006/relationships/image" Target="media/image198.png"/><Relationship Id="rId224" Type="http://schemas.openxmlformats.org/officeDocument/2006/relationships/image" Target="media/image199.png"/><Relationship Id="rId225" Type="http://schemas.openxmlformats.org/officeDocument/2006/relationships/image" Target="media/image200.png"/><Relationship Id="rId226" Type="http://schemas.openxmlformats.org/officeDocument/2006/relationships/image" Target="media/image201.png"/><Relationship Id="rId227" Type="http://schemas.openxmlformats.org/officeDocument/2006/relationships/image" Target="media/image202.png"/><Relationship Id="rId228" Type="http://schemas.openxmlformats.org/officeDocument/2006/relationships/image" Target="media/image203.png"/><Relationship Id="rId229" Type="http://schemas.openxmlformats.org/officeDocument/2006/relationships/image" Target="media/image204.png"/><Relationship Id="rId230" Type="http://schemas.openxmlformats.org/officeDocument/2006/relationships/image" Target="media/image205.png"/><Relationship Id="rId231" Type="http://schemas.openxmlformats.org/officeDocument/2006/relationships/image" Target="media/image206.png"/><Relationship Id="rId232" Type="http://schemas.openxmlformats.org/officeDocument/2006/relationships/image" Target="media/image207.png"/><Relationship Id="rId233" Type="http://schemas.openxmlformats.org/officeDocument/2006/relationships/image" Target="media/image208.png"/><Relationship Id="rId234" Type="http://schemas.openxmlformats.org/officeDocument/2006/relationships/image" Target="media/image209.png"/><Relationship Id="rId235" Type="http://schemas.openxmlformats.org/officeDocument/2006/relationships/image" Target="media/image210.png"/><Relationship Id="rId236" Type="http://schemas.openxmlformats.org/officeDocument/2006/relationships/image" Target="media/image211.png"/><Relationship Id="rId237" Type="http://schemas.openxmlformats.org/officeDocument/2006/relationships/image" Target="media/image212.png"/><Relationship Id="rId238" Type="http://schemas.openxmlformats.org/officeDocument/2006/relationships/image" Target="media/image213.png"/><Relationship Id="rId239" Type="http://schemas.openxmlformats.org/officeDocument/2006/relationships/image" Target="media/image214.png"/><Relationship Id="rId240" Type="http://schemas.openxmlformats.org/officeDocument/2006/relationships/image" Target="media/image215.png"/><Relationship Id="rId241" Type="http://schemas.openxmlformats.org/officeDocument/2006/relationships/image" Target="media/image216.png"/><Relationship Id="rId242" Type="http://schemas.openxmlformats.org/officeDocument/2006/relationships/image" Target="media/image217.png"/><Relationship Id="rId243" Type="http://schemas.openxmlformats.org/officeDocument/2006/relationships/image" Target="media/image218.png"/><Relationship Id="rId244" Type="http://schemas.openxmlformats.org/officeDocument/2006/relationships/image" Target="media/image219.png"/><Relationship Id="rId245" Type="http://schemas.openxmlformats.org/officeDocument/2006/relationships/image" Target="media/image220.png"/><Relationship Id="rId246"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164" Type="http://schemas.openxmlformats.org/officeDocument/2006/relationships/hyperlink" Target="https://www.sec.gov/Archives/edgar/data/1501796/000095017022004425/aura-ex3_1.htm" TargetMode="External"/><Relationship Id="rId165" Type="http://schemas.openxmlformats.org/officeDocument/2006/relationships/hyperlink" Target="https://www.sec.gov/Archives/edgar/data/1501796/000095017022004425/aura-ex3_2.htm" TargetMode="External"/><Relationship Id="rId166" Type="http://schemas.openxmlformats.org/officeDocument/2006/relationships/hyperlink" Target="https://www.sec.gov/Archives/edgar/data/1501796/000119312521295543/d209588dex42.htm" TargetMode="External"/><Relationship Id="rId167" Type="http://schemas.openxmlformats.org/officeDocument/2006/relationships/hyperlink" Target="https://www.sec.gov/Archives/edgar/data/0001501796/000119312521295543/d209588dex101.htm" TargetMode="External"/><Relationship Id="rId168" Type="http://schemas.openxmlformats.org/officeDocument/2006/relationships/hyperlink" Target="https://www.sec.gov/Archives/edgar/data/0001501796/000119312521295543/d209588dex102.htm" TargetMode="External"/><Relationship Id="rId169" Type="http://schemas.openxmlformats.org/officeDocument/2006/relationships/hyperlink" Target="https://www.sec.gov/Archives/edgar/data/1501796/000119312521305934/d209588dex103.htm" TargetMode="External"/><Relationship Id="rId170" Type="http://schemas.openxmlformats.org/officeDocument/2006/relationships/hyperlink" Target="https://www.sec.gov/Archives/edgar/data/1501796/000119312521305934/d209588dex104.htm" TargetMode="External"/><Relationship Id="rId171" Type="http://schemas.openxmlformats.org/officeDocument/2006/relationships/hyperlink" Target="https://www.sec.gov/Archives/edgar/data/1501796/000119312521305934/d209588dex105.htm" TargetMode="External"/><Relationship Id="rId172" Type="http://schemas.openxmlformats.org/officeDocument/2006/relationships/hyperlink" Target="https://www.sec.gov/Archives/edgar/data/1501796/000119312521305934/d209588dex106.htm" TargetMode="External"/><Relationship Id="rId173" Type="http://schemas.openxmlformats.org/officeDocument/2006/relationships/hyperlink" Target="https://www.sec.gov/Archives/edgar/data/1501796/000119312521305934/d209588dex107.htm" TargetMode="External"/><Relationship Id="rId174" Type="http://schemas.openxmlformats.org/officeDocument/2006/relationships/hyperlink" Target="https://www.sec.gov/Archives/edgar/data/1501796/000119312521305934/d209588dex108.htm" TargetMode="External"/><Relationship Id="rId175" Type="http://schemas.openxmlformats.org/officeDocument/2006/relationships/hyperlink" Target="https://www.sec.gov/Archives/edgar/data/1501796/000119312521305934/d209588dex109.htm" TargetMode="External"/><Relationship Id="rId176" Type="http://schemas.openxmlformats.org/officeDocument/2006/relationships/hyperlink" Target="https://www.sec.gov/Archives/edgar/data/0001501796/000119312521305934/d209588dex1010.htm" TargetMode="External"/><Relationship Id="rId177" Type="http://schemas.openxmlformats.org/officeDocument/2006/relationships/hyperlink" Target="https://www.sec.gov/Archives/edgar/data/0001501796/000119312521295543/d209588dex1011.htm" TargetMode="External"/><Relationship Id="rId180" Type="http://schemas.openxmlformats.org/officeDocument/2006/relationships/hyperlink" Target="https://www.sec.gov/Archives/edgar/data/0001501796/000119312521295543/d209588dex1012.htm" TargetMode="External"/><Relationship Id="rId181" Type="http://schemas.openxmlformats.org/officeDocument/2006/relationships/hyperlink" Target="https://www.sec.gov/Archives/edgar/data/0001501796/000119312521295543/d209588dex1013.htm" TargetMode="External"/><Relationship Id="rId182" Type="http://schemas.openxmlformats.org/officeDocument/2006/relationships/hyperlink" Target="https://www.sec.gov/Archives/edgar/data/0001501796/000119312521295543/d209588dex1014.htm" TargetMode="External"/><Relationship Id="rId183" Type="http://schemas.openxmlformats.org/officeDocument/2006/relationships/hyperlink" Target="https://www.sec.gov/Archives/edgar/data/1501796/000095017022016911/aur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2023-03-15T18:02:56Z</dcterms:created>
  <dcterms:modified xsi:type="dcterms:W3CDTF">2023-03-15T18:02:56Z</dcterms:modified>
</cp:coreProperties>
</file>