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ura-20260331.htm"/>
      <w:bookmarkStart w:id="1" w:name="ksaura20260331"/>
      <w:bookmarkEnd w:id="0"/>
      <w:bookmarkEnd w:id="1"/>
      <w:r>
        <w:rPr/>
        <w:t> </w:t>
      </w:r>
      <w:r>
        <mc:AlternateContent>
          <mc:Choice Requires="wps">
            <w:drawing>
              <wp:anchor behindDoc="0" distT="0" distB="0" distL="0" distR="0" simplePos="0" locked="0" layoutInCell="1" allowOverlap="1" relativeHeight="7">
                <wp:simplePos x="0" y="0"/>
                <wp:positionH relativeFrom="page">
                  <wp:posOffset>3930650</wp:posOffset>
                </wp:positionH>
                <wp:positionV relativeFrom="page">
                  <wp:posOffset>9274810</wp:posOffset>
                </wp:positionV>
                <wp:extent cx="162560" cy="181610"/>
                <wp:effectExtent l="0" t="0" r="0" b="0"/>
                <wp:wrapNone/>
                <wp:docPr id="1" name="Frame6"/>
                <a:graphic xmlns:a="http://schemas.openxmlformats.org/drawingml/2006/main">
                  <a:graphicData uri="http://schemas.microsoft.com/office/word/2010/wordprocessingShape">
                    <wps:wsp>
                      <wps:cNvSpPr txBox="1"/>
                      <wps:spPr>
                        <a:xfrm>
                          <a:off x="0" y="0"/>
                          <a:ext cx="162560" cy="1816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8pt;height:14.3pt;mso-wrap-distance-left:0pt;mso-wrap-distance-right:0pt;mso-wrap-distance-top:0pt;mso-wrap-distance-bottom:0pt;margin-top:730.3pt;mso-position-vertical-relative:page;margin-left:309.5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3930650</wp:posOffset>
                </wp:positionH>
                <wp:positionV relativeFrom="page">
                  <wp:posOffset>9274810</wp:posOffset>
                </wp:positionV>
                <wp:extent cx="162560" cy="181610"/>
                <wp:effectExtent l="0" t="0" r="0" b="0"/>
                <wp:wrapNone/>
                <wp:docPr id="2" name="Frame5"/>
                <a:graphic xmlns:a="http://schemas.openxmlformats.org/drawingml/2006/main">
                  <a:graphicData uri="http://schemas.microsoft.com/office/word/2010/wordprocessingShape">
                    <wps:wsp>
                      <wps:cNvSpPr txBox="1"/>
                      <wps:spPr>
                        <a:xfrm>
                          <a:off x="0" y="0"/>
                          <a:ext cx="162560" cy="1816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8pt;height:14.3pt;mso-wrap-distance-left:0pt;mso-wrap-distance-right:0pt;mso-wrap-distance-top:0pt;mso-wrap-distance-bottom:0pt;margin-top:730.3pt;mso-position-vertical-relative:page;margin-left:309.5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page">
                  <wp:posOffset>3930650</wp:posOffset>
                </wp:positionH>
                <wp:positionV relativeFrom="page">
                  <wp:posOffset>9274810</wp:posOffset>
                </wp:positionV>
                <wp:extent cx="162560" cy="181610"/>
                <wp:effectExtent l="0" t="0" r="0" b="0"/>
                <wp:wrapNone/>
                <wp:docPr id="3" name="Frame4"/>
                <a:graphic xmlns:a="http://schemas.openxmlformats.org/drawingml/2006/main">
                  <a:graphicData uri="http://schemas.microsoft.com/office/word/2010/wordprocessingShape">
                    <wps:wsp>
                      <wps:cNvSpPr txBox="1"/>
                      <wps:spPr>
                        <a:xfrm>
                          <a:off x="0" y="0"/>
                          <a:ext cx="162560" cy="1816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8pt;height:14.3pt;mso-wrap-distance-left:0pt;mso-wrap-distance-right:0pt;mso-wrap-distance-top:0pt;mso-wrap-distance-bottom:0pt;margin-top:730.3pt;mso-position-vertical-relative:page;margin-left:309.5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3930650</wp:posOffset>
                </wp:positionH>
                <wp:positionV relativeFrom="page">
                  <wp:posOffset>9274810</wp:posOffset>
                </wp:positionV>
                <wp:extent cx="162560" cy="181610"/>
                <wp:effectExtent l="0" t="0" r="0" b="0"/>
                <wp:wrapNone/>
                <wp:docPr id="4" name="Frame3"/>
                <a:graphic xmlns:a="http://schemas.openxmlformats.org/drawingml/2006/main">
                  <a:graphicData uri="http://schemas.microsoft.com/office/word/2010/wordprocessingShape">
                    <wps:wsp>
                      <wps:cNvSpPr txBox="1"/>
                      <wps:spPr>
                        <a:xfrm>
                          <a:off x="0" y="0"/>
                          <a:ext cx="162560" cy="1816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8pt;height:14.3pt;mso-wrap-distance-left:0pt;mso-wrap-distance-right:0pt;mso-wrap-distance-top:0pt;mso-wrap-distance-bottom:0pt;margin-top:730.3pt;mso-position-vertical-relative:page;margin-left:309.5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3930650</wp:posOffset>
                </wp:positionH>
                <wp:positionV relativeFrom="page">
                  <wp:posOffset>9274810</wp:posOffset>
                </wp:positionV>
                <wp:extent cx="162560" cy="181610"/>
                <wp:effectExtent l="0" t="0" r="0" b="0"/>
                <wp:wrapNone/>
                <wp:docPr id="5" name="Frame2"/>
                <a:graphic xmlns:a="http://schemas.openxmlformats.org/drawingml/2006/main">
                  <a:graphicData uri="http://schemas.microsoft.com/office/word/2010/wordprocessingShape">
                    <wps:wsp>
                      <wps:cNvSpPr txBox="1"/>
                      <wps:spPr>
                        <a:xfrm>
                          <a:off x="0" y="0"/>
                          <a:ext cx="162560" cy="1816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8pt;height:14.3pt;mso-wrap-distance-left:0pt;mso-wrap-distance-right:0pt;mso-wrap-distance-top:0pt;mso-wrap-distance-bottom:0pt;margin-top:730.3pt;mso-position-vertical-relative:page;margin-left:309.5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3930650</wp:posOffset>
                </wp:positionH>
                <wp:positionV relativeFrom="page">
                  <wp:posOffset>9274810</wp:posOffset>
                </wp:positionV>
                <wp:extent cx="162560" cy="181610"/>
                <wp:effectExtent l="0" t="0" r="0" b="0"/>
                <wp:wrapNone/>
                <wp:docPr id="6" name="Frame1"/>
                <a:graphic xmlns:a="http://schemas.openxmlformats.org/drawingml/2006/main">
                  <a:graphicData uri="http://schemas.microsoft.com/office/word/2010/wordprocessingShape">
                    <wps:wsp>
                      <wps:cNvSpPr txBox="1"/>
                      <wps:spPr>
                        <a:xfrm>
                          <a:off x="0" y="0"/>
                          <a:ext cx="162560" cy="1816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2.8pt;height:14.3pt;mso-wrap-distance-left:0pt;mso-wrap-distance-right:0pt;mso-wrap-distance-top:0pt;mso-wrap-distance-bottom:0pt;margin-top:730.3pt;mso-position-vertical-relative:page;margin-left:309.5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spacing w:before="40" w:after="283"/>
        <w:jc w:val="center"/>
        <w:rPr/>
      </w:pPr>
      <w:r>
        <w:rPr/>
        <w:t> </w:t>
      </w:r>
    </w:p>
    <w:p>
      <w:pPr>
        <w:pStyle w:val="TextBody"/>
        <w:bidi w:val="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spacing w:before="80" w:after="283"/>
        <w:jc w:val="center"/>
        <w:rPr>
          <w:rFonts w:ascii="Arial" w:hAnsi="Arial"/>
          <w:b/>
          <w:color w:val="000000"/>
          <w:sz w:val="20"/>
        </w:rPr>
      </w:pPr>
      <w:r>
        <w:rPr>
          <w:rFonts w:ascii="Arial" w:hAnsi="Arial"/>
          <w:b/>
          <w:color w:val="000000"/>
          <w:sz w:val="20"/>
        </w:rPr>
        <w:t>For the quarterly period ended March 31, 2026</w:t>
      </w:r>
    </w:p>
    <w:p>
      <w:pPr>
        <w:pStyle w:val="TextBody"/>
        <w:bidi w:val="0"/>
        <w:spacing w:before="80" w:after="283"/>
        <w:jc w:val="center"/>
        <w:rPr>
          <w:rFonts w:ascii="Arial" w:hAnsi="Arial"/>
          <w:b/>
          <w:color w:val="000000"/>
          <w:sz w:val="20"/>
        </w:rPr>
      </w:pPr>
      <w:r>
        <w:rPr>
          <w:rFonts w:ascii="Arial" w:hAnsi="Arial"/>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spacing w:before="120" w:after="283"/>
        <w:jc w:val="center"/>
        <w:rPr>
          <w:rFonts w:ascii="Arial" w:hAnsi="Arial"/>
          <w:b/>
          <w:color w:val="000000"/>
          <w:sz w:val="20"/>
        </w:rPr>
      </w:pPr>
      <w:r>
        <w:rPr>
          <w:rFonts w:ascii="Arial" w:hAnsi="Arial"/>
          <w:b/>
          <w:color w:val="000000"/>
          <w:sz w:val="20"/>
        </w:rPr>
        <w:t>For the transition period from ___________________ to ___________________</w:t>
      </w:r>
    </w:p>
    <w:p>
      <w:pPr>
        <w:pStyle w:val="TextBody"/>
        <w:bidi w:val="0"/>
        <w:spacing w:before="120" w:after="283"/>
        <w:jc w:val="center"/>
        <w:rPr>
          <w:rFonts w:ascii="Arial" w:hAnsi="Arial"/>
          <w:b/>
          <w:color w:val="000000"/>
          <w:sz w:val="20"/>
        </w:rPr>
      </w:pPr>
      <w:r>
        <w:rPr>
          <w:rFonts w:ascii="Arial" w:hAnsi="Arial"/>
          <w:b/>
          <w:color w:val="000000"/>
          <w:sz w:val="20"/>
        </w:rPr>
        <w:t>Commission File Number: 001-40971</w:t>
      </w:r>
    </w:p>
    <w:p>
      <w:pPr>
        <w:pStyle w:val="TextBody"/>
        <w:pBdr>
          <w:bottom w:val="single" w:sz="4" w:space="1" w:color="000000"/>
        </w:pBdr>
        <w:bidi w:val="0"/>
        <w:spacing w:before="40" w:after="100"/>
        <w:jc w:val="center"/>
        <w:rPr/>
      </w:pPr>
      <w:r>
        <w:rPr/>
        <w:t> </w:t>
      </w:r>
    </w:p>
    <w:p>
      <w:pPr>
        <w:pStyle w:val="TextBody"/>
        <w:bidi w:val="0"/>
        <w:jc w:val="center"/>
        <w:rPr>
          <w:rFonts w:ascii="Arial" w:hAnsi="Arial"/>
          <w:b/>
          <w:color w:val="000000"/>
          <w:sz w:val="48"/>
        </w:rPr>
      </w:pPr>
      <w:r>
        <w:rPr>
          <w:rFonts w:ascii="Arial" w:hAnsi="Arial"/>
          <w:b/>
          <w:color w:val="000000"/>
          <w:sz w:val="48"/>
        </w:rPr>
        <w:t>AURA BIOSCIENCES, INC.</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32-0271970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15"/>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(I.R.S. Employer</w:t>
              <w:br/>
              <w:t>Identification No.)</w:t>
            </w:r>
          </w:p>
        </w:tc>
      </w:tr>
      <w:tr>
        <w:trPr/>
        <w:tc>
          <w:tcPr>
            <w:tcW w:w="2656" w:type="dxa"/>
            <w:tcBorders/>
            <w:tcMar>
              <w:top w:w="0" w:type="dxa"/>
              <w:left w:w="0" w:type="dxa"/>
              <w:bottom w:w="0" w:type="dxa"/>
              <w:right w:w="0" w:type="dxa"/>
            </w:tcMar>
            <w:vAlign w:val="center"/>
          </w:tcPr>
          <w:p>
            <w:pPr>
              <w:pStyle w:val="TableContents"/>
              <w:bidi w:val="0"/>
              <w:spacing w:before="60" w:after="15"/>
              <w:jc w:val="center"/>
              <w:rPr>
                <w:rFonts w:ascii="Arial" w:hAnsi="Arial"/>
                <w:b/>
                <w:color w:val="000000"/>
                <w:sz w:val="20"/>
              </w:rPr>
            </w:pPr>
            <w:r>
              <w:rPr>
                <w:rFonts w:ascii="Arial" w:hAnsi="Arial"/>
                <w:b/>
                <w:color w:val="000000"/>
                <w:sz w:val="20"/>
              </w:rPr>
              <w:t>80 Guest Street</w:t>
            </w:r>
          </w:p>
          <w:p>
            <w:pPr>
              <w:pStyle w:val="TableContents"/>
              <w:bidi w:val="0"/>
              <w:spacing w:before="0" w:after="15"/>
              <w:jc w:val="center"/>
              <w:rPr>
                <w:rFonts w:ascii="Arial" w:hAnsi="Arial"/>
                <w:b/>
                <w:color w:val="000000"/>
                <w:sz w:val="20"/>
              </w:rPr>
            </w:pPr>
            <w:r>
              <w:rPr>
                <w:rFonts w:ascii="Arial" w:hAnsi="Arial"/>
                <w:b/>
                <w:color w:val="000000"/>
                <w:sz w:val="20"/>
              </w:rPr>
              <w:t>Boston, MA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02135</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spacing w:before="80" w:after="283"/>
        <w:jc w:val="center"/>
        <w:rPr>
          <w:rFonts w:ascii="Arial" w:hAnsi="Arial"/>
          <w:b/>
          <w:color w:val="000000"/>
          <w:sz w:val="20"/>
        </w:rPr>
      </w:pPr>
      <w:r>
        <w:rPr>
          <w:rFonts w:ascii="Arial" w:hAnsi="Arial"/>
          <w:b/>
          <w:color w:val="000000"/>
          <w:sz w:val="20"/>
        </w:rPr>
        <w:t>Registrant’s telephone number, including area code: (617) 500-8864</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Arial" w:hAnsi="Arial"/>
          <w:b/>
          <w:color w:val="000000"/>
          <w:sz w:val="14"/>
        </w:rPr>
      </w:pPr>
      <w:r>
        <w:rPr>
          <w:rFonts w:ascii="Arial" w:hAnsi="Arial"/>
          <w:b/>
          <w:color w:val="000000"/>
          <w:sz w:val="14"/>
        </w:rPr>
        <w:t>(Former Name or Former Address, if Changed Since Last Report)</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871"/>
        <w:gridCol w:w="146"/>
        <w:gridCol w:w="916"/>
        <w:gridCol w:w="146"/>
        <w:gridCol w:w="366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Trading</w:t>
            </w:r>
          </w:p>
          <w:p>
            <w:pPr>
              <w:pStyle w:val="TableContents"/>
              <w:bidi w:val="0"/>
              <w:spacing w:before="0" w:after="283"/>
              <w:jc w:val="center"/>
              <w:rPr>
                <w:rFonts w:ascii="Arial" w:hAnsi="Arial"/>
                <w:b/>
                <w:color w:val="000000"/>
                <w:sz w:val="16"/>
              </w:rPr>
            </w:pPr>
            <w:r>
              <w:rPr>
                <w:rFonts w:ascii="Arial" w:hAnsi="Arial"/>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AURA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Nasdaq Global Market LLC</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77" w:type="dxa"/>
        <w:jc w:val="left"/>
        <w:tblInd w:w="0" w:type="dxa"/>
        <w:tblLayout w:type="fixed"/>
        <w:tblCellMar>
          <w:top w:w="28" w:type="dxa"/>
          <w:left w:w="28" w:type="dxa"/>
          <w:bottom w:w="28" w:type="dxa"/>
          <w:right w:w="28" w:type="dxa"/>
        </w:tblCellMar>
      </w:tblPr>
      <w:tblGrid>
        <w:gridCol w:w="1951"/>
        <w:gridCol w:w="146"/>
        <w:gridCol w:w="316"/>
        <w:gridCol w:w="146"/>
        <w:gridCol w:w="2311"/>
        <w:gridCol w:w="146"/>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Arial" w:hAnsi="Arial"/>
          <w:color w:val="000000"/>
          <w:sz w:val="18"/>
        </w:rPr>
        <w:t>As of May 8, 2026, the Registrant had 103,386,558</w:t>
      </w:r>
      <w:r>
        <w:rPr>
          <w:rFonts w:ascii="Times New Roman" w:hAnsi="Times New Roman"/>
          <w:color w:val="000000"/>
          <w:sz w:val="20"/>
        </w:rPr>
        <w:t xml:space="preserve"> </w:t>
      </w:r>
      <w:r>
        <w:rPr>
          <w:rFonts w:ascii="Arial" w:hAnsi="Arial"/>
          <w:color w:val="000000"/>
          <w:sz w:val="18"/>
        </w:rPr>
        <w:t>shares of common stock, $0.00001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 w:name="summary_of_the_material_risks"/>
      <w:bookmarkEnd w:id="2"/>
      <w:r>
        <w:rPr>
          <w:rFonts w:ascii="Arial" w:hAnsi="Arial"/>
          <w:b/>
          <w:color w:val="000000"/>
          <w:sz w:val="20"/>
        </w:rPr>
        <w:t>Summary of the Material Risks Associated with Our Business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Our business is subject to numerous material and other risks and uncertainties that you should be aware of in evaluating our business. These risks are described more fully in Part II, “Item 1A—Risk Factors,” in this Quarterly Report on Form 10-Q and include, but are not limited to, the following:</w:t>
      </w:r>
    </w:p>
    <w:p>
      <w:pPr>
        <w:pStyle w:val="TextBody"/>
        <w:bidi w:val="0"/>
        <w:spacing w:before="80" w:after="283"/>
        <w:jc w:val="both"/>
        <w:rPr>
          <w:color w:val="000000"/>
        </w:rPr>
      </w:pPr>
      <w:r>
        <w:rPr>
          <w:color w:val="000000"/>
        </w:rPr>
        <w:t>•</w:t>
      </w:r>
    </w:p>
    <w:p>
      <w:pPr>
        <w:pStyle w:val="TextBody"/>
        <w:bidi w:val="0"/>
        <w:spacing w:before="80" w:after="283"/>
        <w:jc w:val="both"/>
        <w:rPr>
          <w:rFonts w:ascii="Arial" w:hAnsi="Arial"/>
          <w:color w:val="000000"/>
          <w:sz w:val="20"/>
        </w:rPr>
      </w:pPr>
      <w:r>
        <w:rPr>
          <w:rFonts w:ascii="Arial" w:hAnsi="Arial"/>
          <w:color w:val="000000"/>
          <w:sz w:val="20"/>
        </w:rPr>
        <w:t>We have incurred significant net losses since our inception and anticipate that we will continue to incur losses for the foreseeable future.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Raising additional capital may cause dilution to our existing stockholders, restrict our operations or require us to relinquish proprietary rights to our technologies or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our objectives relating to the discovery, development, regulatory approval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are heavily dependent on the success of belzupacap sarotalocan, or bel-sar, our only product candidate to date.</w:t>
      </w:r>
    </w:p>
    <w:p>
      <w:pPr>
        <w:pStyle w:val="TextBody"/>
        <w:bidi w:val="0"/>
        <w:spacing w:before="40" w:after="283"/>
        <w:jc w:val="both"/>
        <w:rPr>
          <w:color w:val="000000"/>
        </w:rPr>
      </w:pPr>
      <w:r>
        <w:rPr>
          <w:color w:val="00000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0" w:after="283"/>
        <w:jc w:val="both"/>
        <w:rPr>
          <w:rFonts w:ascii="Arial" w:hAnsi="Arial"/>
          <w:color w:val="000000"/>
          <w:sz w:val="20"/>
        </w:rPr>
      </w:pPr>
      <w:r>
        <w:rPr>
          <w:rFonts w:ascii="Arial" w:hAnsi="Arial"/>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have initiated but not yet completed a pivotal clinical trial nor have we commercialized any pharmaceutical products, which may make it difficult to evaluate our future prospects.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fail to develop additional product candidates, or obtain additional indications of our first product candidate, our commercial opportunity could be limited.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U.S. Food and Drug Administration’s agreement to a Special Protocol Assessment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bel-sar or any future product candidates do not achieve broad market acceptance, the revenue that we generate from their sales may be limited, and we may never become profitable.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compete may decline if we do not adequately protect our proprietary rights, and our proprietary rights do not necessarily address all potential threats to our competitive advantage.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Artificial intelligence presents risks and challenges that can impact our business including by posing security risks to our confidential information, proprietary information, and personal data.</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Business disruptions could seriously harm our future revenue and financial condition and increase our costs and expenses.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principal stockholders and management own a significant percentage of our stock and will be able to exert significant influence over matters subject to stockholder approval.</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Special Note Regarding Forward-Looking Statements</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This Quarterly Report on Form 10-Q, or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efficiently develop our existing product candidates and discover new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successfully manufacture our drug substances and product candidates for preclinical use, for clinical trials and on a larger scale for commercial use,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ability and willingness of our third-party strategic collaborators to continue research and development and other activities relating to our development candidates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funding for our operations necessary to complete further development and commercialization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obtain and maintain regulatory approval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commercialize our products,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pricing and reimbursement of our product candidates, if approved;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implementation of our business model, and strategic plans for our business and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estimates of our future expenses, revenues, capital requirements and our needs for additional financing;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potential benefits of strategic collaboration agreements, our ability to enter into strategic collaborations or arrangements and our ability to attract collaborators with development, regulatory and commercialization expertise;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future agreements with third parties in connection with the commercialization of product candidates and any other approved product;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size and growth potential of the markets for our product candidates and our ability to serve those markets;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financial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rate and degree of market acceptance of our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regulatory developments in the United States and foreign countries;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produce our products or product candidates with advantages in turnaround times or manufacturing cost;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our ability to attract and retain key scientific or management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impact of laws and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developments relating to our competitors and our industry;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effects of macroeconomic conditions, including rising interest rates, inflation, capital market disruptions, changes in governmental agencies, government shutdowns, international tariffs, trade protection measures, economic sanctions and economic slowdowns or recessions, on our business operations;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other risks and uncertainties, including those listed under the caption “Risk Factors.”</w:t>
      </w:r>
    </w:p>
    <w:p>
      <w:pPr>
        <w:pStyle w:val="TextBody"/>
        <w:bidi w:val="0"/>
        <w:spacing w:before="240" w:after="283"/>
        <w:jc w:val="center"/>
        <w:rPr>
          <w:rFonts w:ascii="Arial" w:hAnsi="Arial"/>
          <w:color w:val="000000"/>
          <w:sz w:val="20"/>
        </w:rPr>
      </w:pPr>
      <w:r>
        <w:rPr>
          <w:rFonts w:ascii="Arial" w:hAnsi="Arial"/>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ummary_of_the_material_risks">
              <w:r>
                <w:rPr>
                  <w:rStyle w:val="InternetLink"/>
                  <w:rFonts w:ascii="Arial" w:hAnsi="Arial"/>
                  <w:color w:val="0000FF"/>
                  <w:sz w:val="20"/>
                  <w:u w:val="single"/>
                </w:rPr>
                <w:t>SUMMARY OF RISKS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i</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color w:val="0000FF"/>
                  <w:sz w:val="20"/>
                  <w:u w:val="single"/>
                </w:rPr>
                <w:t>FINANCIAL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20"/>
                  <w:u w:val="single"/>
                </w:rPr>
                <w:t>Financial Statements (Unaudited)</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pera">
              <w:r>
                <w:rPr>
                  <w:rStyle w:val="InternetLink"/>
                  <w:rFonts w:ascii="Arial" w:hAnsi="Arial"/>
                  <w:color w:val="0000FF"/>
                  <w:sz w:val="20"/>
                  <w:u w:val="single"/>
                </w:rPr>
                <w:t>Condensed Consolidated Statements of Operations and Comprehensive Loss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stock">
              <w:r>
                <w:rPr>
                  <w:rStyle w:val="InternetLink"/>
                  <w:rFonts w:ascii="Arial" w:hAnsi="Arial"/>
                  <w:color w:val="0000FF"/>
                  <w:sz w:val="20"/>
                  <w:u w:val="single"/>
                </w:rPr>
                <w:t>Condensed Consolidated Statements of Stockholders’ Equity</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unaudited_condensed_consolidated_f">
              <w:r>
                <w:rPr>
                  <w:rStyle w:val="InternetLink"/>
                  <w:rFonts w:ascii="Arial" w:hAnsi="Arial"/>
                  <w:color w:val="0000FF"/>
                  <w:sz w:val="20"/>
                  <w:u w:val="single"/>
                </w:rPr>
                <w:t>Notes to Unaudited Condensed Consolidated Financial Statements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_discussion_analysis">
              <w:r>
                <w:rPr>
                  <w:rStyle w:val="InternetLink"/>
                  <w:rFonts w:ascii="Arial" w:hAnsi="Arial"/>
                  <w:color w:val="0000FF"/>
                  <w:sz w:val="20"/>
                  <w:u w:val="single"/>
                </w:rPr>
                <w:t>Management’s Discussion and Analysis of Financial Condition and Results of Operations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20"/>
                  <w:u w:val="single"/>
                </w:rPr>
                <w:t>Quantitative and Qualitative Disclosures About Market Risk</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w:hAnsi="Arial"/>
                  <w:color w:val="0000FF"/>
                  <w:sz w:val="20"/>
                  <w:u w:val="single"/>
                </w:rPr>
                <w:t>Controls and Procedures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
              <w:r>
                <w:rPr>
                  <w:rStyle w:val="InternetLink"/>
                  <w:rFonts w:ascii="Arial" w:hAnsi="Arial"/>
                  <w:color w:val="0000FF"/>
                  <w:sz w:val="20"/>
                  <w:u w:val="single"/>
                </w:rPr>
                <w:t>Unregistered Sales of Equity Securities and Use of Proceeds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20"/>
                  <w:u w:val="single"/>
                </w:rPr>
                <w:t>Other Information</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iii</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3" w:name="part_i_financial_information"/>
      <w:bookmarkEnd w:id="3"/>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4" w:name="item_1_financial_statement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5" w:name="condensed_consolidated_balance_sheets"/>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693"/>
        <w:gridCol w:w="146"/>
        <w:gridCol w:w="233"/>
        <w:gridCol w:w="948"/>
        <w:gridCol w:w="166"/>
        <w:gridCol w:w="146"/>
        <w:gridCol w:w="253"/>
        <w:gridCol w:w="1027"/>
        <w:gridCol w:w="593"/>
      </w:tblGrid>
      <w:tr>
        <w:trPr/>
        <w:tc>
          <w:tcPr>
            <w:tcW w:w="6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59,515</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149,739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 and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169,430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13,591</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32,517</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$0.00001</w:t>
            </w:r>
            <w:r>
              <w:rPr>
                <w:rFonts w:ascii="Times New Roman" w:hAnsi="Times New Roman"/>
                <w:color w:val="000000"/>
                <w:sz w:val="20"/>
              </w:rPr>
              <w:t> </w:t>
            </w:r>
            <w:r>
              <w:rPr>
                <w:rFonts w:ascii="Arial" w:hAnsi="Arial"/>
                <w:color w:val="000000"/>
                <w:sz w:val="20"/>
              </w:rPr>
              <w:t>par value, 150,000,000</w:t>
            </w:r>
            <w:r>
              <w:rPr>
                <w:rFonts w:ascii="Times New Roman" w:hAnsi="Times New Roman"/>
                <w:color w:val="000000"/>
                <w:sz w:val="20"/>
              </w:rPr>
              <w:t> </w:t>
            </w:r>
            <w:r>
              <w:rPr>
                <w:rFonts w:ascii="Arial" w:hAnsi="Arial"/>
                <w:color w:val="000000"/>
                <w:sz w:val="20"/>
              </w:rPr>
              <w:t>authorized at March 31, 2026 and December 31, 2025, and 64,150,468</w:t>
            </w:r>
            <w:r>
              <w:rPr>
                <w:rFonts w:ascii="Times New Roman" w:hAnsi="Times New Roman"/>
                <w:color w:val="000000"/>
                <w:sz w:val="20"/>
              </w:rPr>
              <w:t> </w:t>
            </w:r>
            <w:r>
              <w:rPr>
                <w:rFonts w:ascii="Arial" w:hAnsi="Arial"/>
                <w:color w:val="000000"/>
                <w:sz w:val="20"/>
              </w:rPr>
              <w:t>and 63,587,777</w:t>
            </w:r>
            <w:r>
              <w:rPr>
                <w:rFonts w:ascii="Times New Roman" w:hAnsi="Times New Roman"/>
                <w:color w:val="000000"/>
                <w:sz w:val="20"/>
              </w:rPr>
              <w:t> </w:t>
            </w:r>
            <w:r>
              <w:rPr>
                <w:rFonts w:ascii="Arial" w:hAnsi="Arial"/>
                <w:color w:val="000000"/>
                <w:sz w:val="20"/>
              </w:rPr>
              <w:t>shares issued and 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621,557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617,433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(480,418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w:t>
            </w:r>
          </w:p>
        </w:tc>
      </w:tr>
      <w:tr>
        <w:trPr/>
        <w:tc>
          <w:tcPr>
            <w:tcW w:w="66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b/>
                <w:color w:val="000000"/>
                <w:sz w:val="20"/>
              </w:rPr>
            </w:pPr>
            <w:r>
              <w:rPr>
                <w:rFonts w:ascii="Arial" w:hAnsi="Arial"/>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136,913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6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20"/>
              </w:rPr>
            </w:pPr>
            <w:r>
              <w:rPr>
                <w:rFonts w:ascii="Arial" w:hAnsi="Arial"/>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169,430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6" w:name="condensed_consolidated_statements_opera"/>
      <w:bookmarkEnd w:id="6"/>
      <w:r>
        <w:rPr>
          <w:rFonts w:ascii="Arial" w:hAnsi="Arial"/>
          <w:b/>
          <w:color w:val="000000"/>
          <w:sz w:val="20"/>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b/>
          <w:color w:val="000000"/>
          <w:sz w:val="20"/>
        </w:rPr>
      </w:pPr>
      <w:r>
        <w:rPr>
          <w:rFonts w:ascii="Arial" w:hAnsi="Arial"/>
          <w:b/>
          <w:color w:val="000000"/>
          <w:sz w:val="20"/>
        </w:rPr>
        <w:t>(in thousands, except share and per share data)</w:t>
      </w:r>
    </w:p>
    <w:p>
      <w:pPr>
        <w:pStyle w:val="TextBody"/>
        <w:bidi w:val="0"/>
        <w:jc w:val="center"/>
        <w:rPr/>
      </w:pPr>
      <w:r>
        <w:rPr/>
        <w:t> </w:t>
      </w:r>
    </w:p>
    <w:tbl>
      <w:tblPr>
        <w:tblW w:w="9264" w:type="dxa"/>
        <w:jc w:val="left"/>
        <w:tblInd w:w="0" w:type="dxa"/>
        <w:tblLayout w:type="fixed"/>
        <w:tblCellMar>
          <w:top w:w="28" w:type="dxa"/>
          <w:left w:w="28" w:type="dxa"/>
          <w:bottom w:w="28" w:type="dxa"/>
          <w:right w:w="28" w:type="dxa"/>
        </w:tblCellMar>
      </w:tblPr>
      <w:tblGrid>
        <w:gridCol w:w="5761"/>
        <w:gridCol w:w="146"/>
        <w:gridCol w:w="211"/>
        <w:gridCol w:w="1066"/>
        <w:gridCol w:w="166"/>
        <w:gridCol w:w="146"/>
        <w:gridCol w:w="211"/>
        <w:gridCol w:w="1066"/>
        <w:gridCol w:w="491"/>
      </w:tblGrid>
      <w:tr>
        <w:trPr/>
        <w:tc>
          <w:tcPr>
            <w:tcW w:w="5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(27,465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67,447,576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50,126,148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(27,641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120" w:after="283"/>
        <w:jc w:val="center"/>
        <w:rPr>
          <w:rFonts w:ascii="Times New Roman" w:hAnsi="Times New Roman"/>
          <w:sz w:val="20"/>
        </w:rPr>
      </w:pPr>
      <w:bookmarkStart w:id="7" w:name="condensed_consolidated_statements_stock"/>
      <w:bookmarkEnd w:id="7"/>
      <w:r>
        <w:rPr>
          <w:rFonts w:ascii="Arial" w:hAnsi="Arial"/>
          <w:b/>
          <w:color w:val="000000"/>
          <w:sz w:val="19"/>
        </w:rPr>
        <w:t>Condensed Consolidated Statements of Stockholders’ Equity</w:t>
      </w:r>
      <w:r>
        <w:rPr>
          <w:rFonts w:ascii="Times New Roman" w:hAnsi="Times New Roman"/>
          <w:color w:val="000000"/>
          <w:sz w:val="20"/>
        </w:rPr>
        <w:t xml:space="preserve"> </w:t>
      </w:r>
    </w:p>
    <w:p>
      <w:pPr>
        <w:pStyle w:val="TextBody"/>
        <w:bidi w:val="0"/>
        <w:jc w:val="center"/>
        <w:rPr>
          <w:rFonts w:ascii="Arial" w:hAnsi="Arial"/>
          <w:b/>
          <w:color w:val="000000"/>
          <w:sz w:val="19"/>
        </w:rPr>
      </w:pPr>
      <w:r>
        <w:rPr>
          <w:rFonts w:ascii="Arial" w:hAnsi="Arial"/>
          <w:b/>
          <w:color w:val="000000"/>
          <w:sz w:val="19"/>
        </w:rPr>
        <w:t>(Unaudited)</w:t>
      </w:r>
    </w:p>
    <w:p>
      <w:pPr>
        <w:pStyle w:val="TextBody"/>
        <w:bidi w:val="0"/>
        <w:jc w:val="center"/>
        <w:rPr>
          <w:rFonts w:ascii="Arial" w:hAnsi="Arial"/>
          <w:b/>
          <w:color w:val="000000"/>
          <w:sz w:val="19"/>
        </w:rPr>
      </w:pPr>
      <w:r>
        <w:rPr>
          <w:rFonts w:ascii="Arial" w:hAnsi="Arial"/>
          <w:b/>
          <w:color w:val="000000"/>
          <w:sz w:val="19"/>
        </w:rPr>
        <w:t>(in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72"/>
        <w:gridCol w:w="146"/>
        <w:gridCol w:w="1066"/>
        <w:gridCol w:w="146"/>
        <w:gridCol w:w="318"/>
        <w:gridCol w:w="523"/>
        <w:gridCol w:w="146"/>
        <w:gridCol w:w="223"/>
        <w:gridCol w:w="843"/>
        <w:gridCol w:w="146"/>
        <w:gridCol w:w="261"/>
        <w:gridCol w:w="1060"/>
        <w:gridCol w:w="166"/>
        <w:gridCol w:w="506"/>
        <w:gridCol w:w="1158"/>
        <w:gridCol w:w="166"/>
        <w:gridCol w:w="281"/>
        <w:gridCol w:w="1065"/>
        <w:gridCol w:w="213"/>
      </w:tblGrid>
      <w:tr>
        <w:trPr/>
        <w:tc>
          <w:tcPr>
            <w:tcW w:w="1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Balance, December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63,587,777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617,433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(480,418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136,913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Employee Stock Purchase Plan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Common stock warrant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500,744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(33,685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Balance,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64,150,468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621,557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(514,103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107,247</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Balance,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49,998,279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525,934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(374,227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151,970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Employee Stock Purchase Plan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Vesting of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(27,483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1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Balance, March 31,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50,225,312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529,571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(401,710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127,966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Times New Roman" w:hAnsi="Times New Roman"/>
          <w:sz w:val="20"/>
        </w:rPr>
      </w:pPr>
      <w:bookmarkStart w:id="8" w:name="condensed_consolidated_statements_cash_f"/>
      <w:bookmarkEnd w:id="8"/>
      <w:r>
        <w:rPr>
          <w:rFonts w:ascii="Arial" w:hAnsi="Arial"/>
          <w:b/>
          <w:color w:val="000000"/>
          <w:sz w:val="19"/>
        </w:rPr>
        <w:t>Condensed Consolidated Statements of Cash Flows</w:t>
      </w:r>
      <w:r>
        <w:rPr>
          <w:rFonts w:ascii="Times New Roman" w:hAnsi="Times New Roman"/>
          <w:color w:val="000000"/>
          <w:sz w:val="20"/>
        </w:rPr>
        <w:t xml:space="preserve"> </w:t>
      </w:r>
    </w:p>
    <w:p>
      <w:pPr>
        <w:pStyle w:val="TextBody"/>
        <w:bidi w:val="0"/>
        <w:jc w:val="center"/>
        <w:rPr>
          <w:rFonts w:ascii="Arial" w:hAnsi="Arial"/>
          <w:b/>
          <w:color w:val="000000"/>
          <w:sz w:val="19"/>
        </w:rPr>
      </w:pPr>
      <w:r>
        <w:rPr>
          <w:rFonts w:ascii="Arial" w:hAnsi="Arial"/>
          <w:b/>
          <w:color w:val="000000"/>
          <w:sz w:val="19"/>
        </w:rPr>
        <w:t>(Unaudited)</w:t>
      </w:r>
    </w:p>
    <w:p>
      <w:pPr>
        <w:pStyle w:val="TextBody"/>
        <w:bidi w:val="0"/>
        <w:jc w:val="center"/>
        <w:rPr>
          <w:rFonts w:ascii="Arial" w:hAnsi="Arial"/>
          <w:b/>
          <w:color w:val="000000"/>
          <w:sz w:val="19"/>
        </w:rPr>
      </w:pPr>
      <w:r>
        <w:rPr>
          <w:rFonts w:ascii="Arial" w:hAnsi="Arial"/>
          <w:b/>
          <w:color w:val="000000"/>
          <w:sz w:val="19"/>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061"/>
        <w:gridCol w:w="189"/>
        <w:gridCol w:w="273"/>
        <w:gridCol w:w="975"/>
        <w:gridCol w:w="215"/>
        <w:gridCol w:w="189"/>
        <w:gridCol w:w="273"/>
        <w:gridCol w:w="975"/>
        <w:gridCol w:w="1055"/>
      </w:tblGrid>
      <w:tr>
        <w:trPr/>
        <w:tc>
          <w:tcPr>
            <w:tcW w:w="60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Three Months Ended</w:t>
              <w:br/>
              <w:t>March 31,</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flows from operating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loss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(33,685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(27,483</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Adjustments to reconcile net loss to net cash used in operating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Depreciation expense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291</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Accretion income on marketable securities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(501</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Stock-based compensation expense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3,514</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 non-cash items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Non-cash lease expense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374</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Changes in operating assets and liabilities: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Prepaid expenses and other assets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3,003</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Other long-term assets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518</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Accounts payable</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1,024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(298</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Accrued expenses and other liabilities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(2,745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(2,475</w:t>
            </w:r>
          </w:p>
        </w:tc>
        <w:tc>
          <w:tcPr>
            <w:tcW w:w="1055" w:type="dxa"/>
            <w:tcBorders/>
            <w:shd w:fill="CFF0FC"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840"/>
              <w:jc w:val="left"/>
              <w:rPr>
                <w:rFonts w:ascii="Arial" w:hAnsi="Arial"/>
                <w:color w:val="000000"/>
                <w:sz w:val="19"/>
              </w:rPr>
            </w:pPr>
            <w:r>
              <w:rPr>
                <w:rFonts w:ascii="Arial" w:hAnsi="Arial"/>
                <w:color w:val="000000"/>
                <w:sz w:val="19"/>
              </w:rPr>
              <w:t>Operating lease liabilities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(325</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19"/>
              </w:rPr>
            </w:pPr>
            <w:r>
              <w:rPr>
                <w:rFonts w:ascii="Arial" w:hAnsi="Arial"/>
                <w:color w:val="000000"/>
                <w:sz w:val="19"/>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Net cash used in operating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(29,893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(23,355</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flows from investing activities: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Purchases of property and equipment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(187</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Maturities of marketable securities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30,000</w:t>
            </w:r>
          </w:p>
        </w:tc>
        <w:tc>
          <w:tcPr>
            <w:tcW w:w="105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Net cash provided by investing activities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54,898</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29,813</w:t>
            </w:r>
          </w:p>
        </w:tc>
        <w:tc>
          <w:tcPr>
            <w:tcW w:w="10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flows from financing activities: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exercise of stock options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exercise of common stock warrants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Proceeds from ESPP purchases</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b/>
                <w:color w:val="000000"/>
                <w:sz w:val="19"/>
              </w:rPr>
            </w:pPr>
            <w:r>
              <w:rPr>
                <w:rFonts w:ascii="Arial" w:hAnsi="Arial"/>
                <w:b/>
                <w:color w:val="000000"/>
                <w:sz w:val="19"/>
              </w:rPr>
              <w:t>Net cash provided by financing activities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increase in cash, cash equivalents and restricted cash</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25,305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6,554</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Effect of exchange rate changes on cash and cash equivalents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cash equivalents and restricted cash at beginning of period</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60,283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32,461</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cash equivalents and restricted cash at end of period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85,561</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38,994</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Supplemental disclosure of cash flow information:</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Purchases of property and equipment in accounts payable and accrued expenses and other liabilities</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150" w:type="dxa"/>
            <w:gridSpan w:val="8"/>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The following table provides a reconciliation of cash, cash equivalents, and restricted cash reported within the unaudited condensed consolidated balance sheets that sum to the total of the same such amounts shown in the unaudited condensed consolidated statements of cash flows (in thousands):</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March 31,</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Cash and cash equivalents, end of period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84,793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38,226</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Long-term restricted cash, end of period</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768</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Cash, cash equivalents and restricted cash at end of period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85,561</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38,994</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The accompanying notes are an integral part of these unaudited condensed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Aura Biosciences, Inc.</w:t>
      </w:r>
    </w:p>
    <w:p>
      <w:pPr>
        <w:pStyle w:val="TextBody"/>
        <w:bidi w:val="0"/>
        <w:spacing w:before="240" w:after="283"/>
        <w:jc w:val="center"/>
        <w:rPr>
          <w:rFonts w:ascii="Arial" w:hAnsi="Arial"/>
          <w:b/>
          <w:color w:val="000000"/>
          <w:sz w:val="20"/>
        </w:rPr>
      </w:pPr>
      <w:bookmarkStart w:id="9" w:name="notes_unaudited_condensed_consolidated_f"/>
      <w:bookmarkEnd w:id="9"/>
      <w:r>
        <w:rPr>
          <w:rFonts w:ascii="Arial" w:hAnsi="Arial"/>
          <w:b/>
          <w:color w:val="000000"/>
          <w:sz w:val="20"/>
        </w:rPr>
        <w:t>Notes to Unaudited Condensed Consolidated Financial Statements</w:t>
      </w:r>
    </w:p>
    <w:p>
      <w:pPr>
        <w:pStyle w:val="TextBody"/>
        <w:bidi w:val="0"/>
        <w:spacing w:before="240" w:after="283"/>
        <w:jc w:val="left"/>
        <w:rPr>
          <w:rFonts w:ascii="Arial" w:hAnsi="Arial"/>
          <w:b/>
          <w:color w:val="000000"/>
          <w:sz w:val="20"/>
        </w:rPr>
      </w:pPr>
      <w:r>
        <w:rPr>
          <w:rFonts w:ascii="Arial" w:hAnsi="Arial"/>
          <w:b/>
          <w:color w:val="000000"/>
          <w:sz w:val="20"/>
        </w:rPr>
        <w:t>1. Description of Business</w:t>
      </w:r>
    </w:p>
    <w:p>
      <w:pPr>
        <w:pStyle w:val="TextBody"/>
        <w:bidi w:val="0"/>
        <w:spacing w:before="80" w:after="283"/>
        <w:jc w:val="both"/>
        <w:rPr>
          <w:rFonts w:ascii="Arial" w:hAnsi="Arial"/>
          <w:color w:val="000000"/>
          <w:sz w:val="20"/>
        </w:rPr>
      </w:pPr>
      <w:r>
        <w:rPr>
          <w:rFonts w:ascii="Arial" w:hAnsi="Arial"/>
          <w:color w:val="000000"/>
          <w:sz w:val="20"/>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its ongoing global Phase 3 CoMpass trial for the first-line treatment of adult patients with small choroidal melanoma and/or indeterminate lesions, or early choroidal melanoma. Bel-sar is also in clinical development in metastases to the choroid and bladder cancer and is being explored for cancers of the ocular surface. The Company envisions the potential for development of bel-sar in additional therapeutic areas. Aura’s headquarters are located in Boston, Massachusetts.</w:t>
      </w:r>
    </w:p>
    <w:p>
      <w:pPr>
        <w:pStyle w:val="TextBody"/>
        <w:bidi w:val="0"/>
        <w:spacing w:before="240" w:after="283"/>
        <w:jc w:val="both"/>
        <w:rPr>
          <w:rFonts w:ascii="Times New Roman" w:hAnsi="Times New Roman"/>
          <w:sz w:val="20"/>
        </w:rPr>
      </w:pPr>
      <w:r>
        <w:rPr>
          <w:rFonts w:ascii="Arial" w:hAnsi="Arial"/>
          <w:color w:val="000000"/>
          <w:sz w:val="20"/>
        </w:rPr>
        <w:t>The Company’s operations to date have consisted primarily of conducting research and development and raising capital.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Through March 31, 2026, the Company has funded its operations primarily with proceeds from the initial and additional closings of its convertible preferred stock financings, and through its initial public offering, or IPO, follow-on offerings and at-the-market offerings, or ATM. In connection with the 2026 Follow-On Offering (as defined below), on May 5, 2026, the Company issued and sold (i) 46,099,650</w:t>
      </w:r>
      <w:r>
        <w:rPr>
          <w:rFonts w:ascii="Times New Roman" w:hAnsi="Times New Roman"/>
          <w:color w:val="000000"/>
          <w:sz w:val="20"/>
        </w:rPr>
        <w:t xml:space="preserve"> </w:t>
      </w:r>
      <w:r>
        <w:rPr>
          <w:rFonts w:ascii="Arial" w:hAnsi="Arial"/>
          <w:color w:val="000000"/>
          <w:sz w:val="20"/>
        </w:rPr>
        <w:t>shares of common stock, which includes 6,508,650</w:t>
      </w:r>
      <w:r>
        <w:rPr>
          <w:rFonts w:ascii="Times New Roman" w:hAnsi="Times New Roman"/>
          <w:color w:val="000000"/>
          <w:sz w:val="20"/>
        </w:rPr>
        <w:t xml:space="preserve"> </w:t>
      </w:r>
      <w:r>
        <w:rPr>
          <w:rFonts w:ascii="Arial" w:hAnsi="Arial"/>
          <w:color w:val="000000"/>
          <w:sz w:val="20"/>
        </w:rPr>
        <w:t>shares sold upon the underwriters’ exercise in full of their option to purchase additional shares of common stock on May 4, 2026, and (ii) in lieu of common stock to certain investors, pre-funded warrants to purchase an aggregate of up to 3,800,000</w:t>
      </w:r>
      <w:r>
        <w:rPr>
          <w:rFonts w:ascii="Times New Roman" w:hAnsi="Times New Roman"/>
          <w:color w:val="000000"/>
          <w:sz w:val="20"/>
        </w:rPr>
        <w:t xml:space="preserve"> </w:t>
      </w:r>
      <w:r>
        <w:rPr>
          <w:rFonts w:ascii="Arial" w:hAnsi="Arial"/>
          <w:color w:val="000000"/>
          <w:sz w:val="20"/>
        </w:rPr>
        <w:t>shares of its common stock, or the 2026 Follow-On Offering. Each such share of common stock was sold at a price to the public of $6.00</w:t>
      </w:r>
      <w:r>
        <w:rPr>
          <w:rFonts w:ascii="Times New Roman" w:hAnsi="Times New Roman"/>
          <w:color w:val="000000"/>
          <w:sz w:val="20"/>
        </w:rPr>
        <w:t xml:space="preserve"> </w:t>
      </w:r>
      <w:r>
        <w:rPr>
          <w:rFonts w:ascii="Arial" w:hAnsi="Arial"/>
          <w:color w:val="000000"/>
          <w:sz w:val="20"/>
        </w:rPr>
        <w:t>per share and each such pre-funded warrant was offered and sold at a price to the public of $5.99999</w:t>
      </w:r>
      <w:r>
        <w:rPr>
          <w:rFonts w:ascii="Times New Roman" w:hAnsi="Times New Roman"/>
          <w:color w:val="000000"/>
          <w:sz w:val="20"/>
        </w:rPr>
        <w:t xml:space="preserve"> </w:t>
      </w:r>
      <w:r>
        <w:rPr>
          <w:rFonts w:ascii="Arial" w:hAnsi="Arial"/>
          <w:color w:val="000000"/>
          <w:sz w:val="20"/>
        </w:rPr>
        <w:t>per pre-funded warrant. The Company received approximately $280.8</w:t>
      </w:r>
      <w:r>
        <w:rPr>
          <w:rFonts w:ascii="Times New Roman" w:hAnsi="Times New Roman"/>
          <w:color w:val="000000"/>
          <w:sz w:val="20"/>
        </w:rPr>
        <w:t xml:space="preserve"> </w:t>
      </w:r>
      <w:r>
        <w:rPr>
          <w:rFonts w:ascii="Arial" w:hAnsi="Arial"/>
          <w:color w:val="000000"/>
          <w:sz w:val="20"/>
        </w:rPr>
        <w:t>million in net proceeds from the 2026 Follow-On Offering, after deducting underwriting discounts and commissions and estimated offering expenses, of which approximately $39.0</w:t>
      </w:r>
      <w:r>
        <w:rPr>
          <w:rFonts w:ascii="Times New Roman" w:hAnsi="Times New Roman"/>
          <w:color w:val="000000"/>
          <w:sz w:val="20"/>
        </w:rPr>
        <w:t xml:space="preserve"> </w:t>
      </w:r>
      <w:r>
        <w:rPr>
          <w:rFonts w:ascii="Arial" w:hAnsi="Arial"/>
          <w:color w:val="000000"/>
          <w:sz w:val="20"/>
        </w:rPr>
        <w:t>million were used by the Company to repurchase 6,922,870</w:t>
      </w:r>
      <w:r>
        <w:rPr>
          <w:rFonts w:ascii="Times New Roman" w:hAnsi="Times New Roman"/>
          <w:color w:val="000000"/>
          <w:sz w:val="20"/>
        </w:rPr>
        <w:t xml:space="preserve"> </w:t>
      </w:r>
      <w:r>
        <w:rPr>
          <w:rFonts w:ascii="Arial" w:hAnsi="Arial"/>
          <w:color w:val="000000"/>
          <w:sz w:val="20"/>
        </w:rPr>
        <w:t>shares of common stock from Matrix Capital Management Master Fund, LP, or Matrix, at a price per share of $5.64, on May 7, 2026, or the Matrix Repurchase. The 2026 Follow-On Offering was made pursuant to the Company’s shelf registration statement on Form S-3, or the 2024 Shelf, filed with the SEC on March 27, 2024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was declared effective on April 5, 2024, and a related registration statement pursuant to Rule 462(b), filed with the SEC and effective on May 4, 2026.</w:t>
      </w:r>
      <w:r>
        <w:rPr>
          <w:rFonts w:ascii="Times New Roman" w:hAnsi="Times New Roman"/>
          <w:color w:val="000000"/>
          <w:sz w:val="20"/>
        </w:rPr>
        <w:t xml:space="preserve"> </w:t>
      </w:r>
      <w:r>
        <w:rPr>
          <w:rFonts w:ascii="Arial" w:hAnsi="Arial"/>
          <w:color w:val="000000"/>
          <w:sz w:val="20"/>
        </w:rPr>
        <w:t>On May 16, 2025, the Company issued and sold 11,735,565</w:t>
      </w:r>
      <w:r>
        <w:rPr>
          <w:rFonts w:ascii="Times New Roman" w:hAnsi="Times New Roman"/>
          <w:color w:val="000000"/>
          <w:sz w:val="20"/>
        </w:rPr>
        <w:t xml:space="preserve"> </w:t>
      </w:r>
      <w:r>
        <w:rPr>
          <w:rFonts w:ascii="Arial" w:hAnsi="Arial"/>
          <w:color w:val="000000"/>
          <w:sz w:val="20"/>
        </w:rPr>
        <w:t>shares of common stock, pre-funded warrants to purchase up to 3,571,435</w:t>
      </w:r>
      <w:r>
        <w:rPr>
          <w:rFonts w:ascii="Times New Roman" w:hAnsi="Times New Roman"/>
          <w:color w:val="000000"/>
          <w:sz w:val="20"/>
        </w:rPr>
        <w:t xml:space="preserve"> </w:t>
      </w:r>
      <w:r>
        <w:rPr>
          <w:rFonts w:ascii="Arial" w:hAnsi="Arial"/>
          <w:color w:val="000000"/>
          <w:sz w:val="20"/>
        </w:rPr>
        <w:t>shares of common stock, and accompanying warrants to purchase an aggregate of 3,826,750</w:t>
      </w:r>
      <w:r>
        <w:rPr>
          <w:rFonts w:ascii="Times New Roman" w:hAnsi="Times New Roman"/>
          <w:color w:val="000000"/>
          <w:sz w:val="20"/>
        </w:rPr>
        <w:t xml:space="preserve"> </w:t>
      </w:r>
      <w:r>
        <w:rPr>
          <w:rFonts w:ascii="Arial" w:hAnsi="Arial"/>
          <w:color w:val="000000"/>
          <w:sz w:val="20"/>
        </w:rPr>
        <w:t>shares of common stock, or the 2025 Follow-On Offering. The common stock and pre-funded warrants were sold in the 2025 Follow-On Offering in combination with an accompanying common stock warrant to purchase 0.25</w:t>
      </w:r>
      <w:r>
        <w:rPr>
          <w:rFonts w:ascii="Times New Roman" w:hAnsi="Times New Roman"/>
          <w:color w:val="000000"/>
          <w:sz w:val="20"/>
        </w:rPr>
        <w:t xml:space="preserve"> </w:t>
      </w:r>
      <w:r>
        <w:rPr>
          <w:rFonts w:ascii="Arial" w:hAnsi="Arial"/>
          <w:color w:val="000000"/>
          <w:sz w:val="20"/>
        </w:rPr>
        <w:t>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w:t>
      </w:r>
      <w:r>
        <w:rPr>
          <w:rFonts w:ascii="Times New Roman" w:hAnsi="Times New Roman"/>
          <w:color w:val="000000"/>
          <w:sz w:val="20"/>
        </w:rPr>
        <w:t xml:space="preserve"> </w:t>
      </w:r>
      <w:r>
        <w:rPr>
          <w:rFonts w:ascii="Arial" w:hAnsi="Arial"/>
          <w:color w:val="000000"/>
          <w:sz w:val="20"/>
        </w:rPr>
        <w:t>million in net proceeds from the 2025 Follow-On Offering after deducting underwriting discounts and commissions and offering expenses. 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or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Open Market Sale Agreement</w:t>
      </w:r>
      <w:r>
        <w:rPr>
          <w:rFonts w:ascii="Arial" w:hAnsi="Arial"/>
          <w:color w:val="000000"/>
          <w:sz w:val="13"/>
        </w:rPr>
        <w:t>SM</w:t>
      </w:r>
      <w:r>
        <w:rPr>
          <w:rFonts w:ascii="Arial" w:hAnsi="Arial"/>
          <w:color w:val="000000"/>
          <w:sz w:val="20"/>
        </w:rPr>
        <w:t>, or Sales Agreement, with Jefferies LLC, or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the 2024 Shelf, which superseded the 2022 Shelf. The 2024 Shelf included a prospectus supplement to provide for offerings in the ATM under the Sales Agreement. The Company did not issue any shares of common stock during the three months ended March 31, 2026 under the ATM, and issued 1,055,362</w:t>
      </w:r>
      <w:r>
        <w:rPr>
          <w:rFonts w:ascii="Times New Roman" w:hAnsi="Times New Roman"/>
          <w:color w:val="000000"/>
          <w:sz w:val="20"/>
        </w:rPr>
        <w:t xml:space="preserve"> </w:t>
      </w:r>
      <w:r>
        <w:rPr>
          <w:rFonts w:ascii="Arial" w:hAnsi="Arial"/>
          <w:color w:val="000000"/>
          <w:sz w:val="20"/>
        </w:rPr>
        <w:t>shares of common stock at a weighted average price of $6.36</w:t>
      </w:r>
      <w:r>
        <w:rPr>
          <w:rFonts w:ascii="Times New Roman" w:hAnsi="Times New Roman"/>
          <w:color w:val="000000"/>
          <w:sz w:val="20"/>
        </w:rPr>
        <w:t xml:space="preserve"> </w:t>
      </w:r>
      <w:r>
        <w:rPr>
          <w:rFonts w:ascii="Arial" w:hAnsi="Arial"/>
          <w:color w:val="000000"/>
          <w:sz w:val="20"/>
        </w:rPr>
        <w:t>for aggregate gross proceeds of $6.7</w:t>
      </w:r>
      <w:r>
        <w:rPr>
          <w:rFonts w:ascii="Times New Roman" w:hAnsi="Times New Roman"/>
          <w:color w:val="000000"/>
          <w:sz w:val="20"/>
        </w:rPr>
        <w:t xml:space="preserve"> </w:t>
      </w:r>
      <w:r>
        <w:rPr>
          <w:rFonts w:ascii="Arial" w:hAnsi="Arial"/>
          <w:color w:val="000000"/>
          <w:sz w:val="20"/>
        </w:rPr>
        <w:t>million during the year ended December 31, 2025 under the ATM. In connection with the 2026 Follow-On Offering, on May 4, 2026, the Company delivered written notice to Jefferies that the Company was suspending and terminating the prospectus related to the shares issuable in the ATM pursuant to the terms of the Sales Agreement. As a result, the Company will not make any sales of its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pStyle w:val="TextBody"/>
        <w:bidi w:val="0"/>
        <w:spacing w:before="240" w:after="283"/>
        <w:jc w:val="both"/>
        <w:rPr>
          <w:rFonts w:ascii="Times New Roman" w:hAnsi="Times New Roman"/>
          <w:sz w:val="20"/>
        </w:rPr>
      </w:pPr>
      <w:r>
        <w:rPr>
          <w:rFonts w:ascii="Arial" w:hAnsi="Arial"/>
          <w:color w:val="000000"/>
          <w:sz w:val="20"/>
        </w:rPr>
        <w:t>As disclosed in the Company’s audited consolidated financial statements as of and for the year ended December 31, 2025, events and conditions existed which raised substantial doubt about the Company’s ability to continue as a going concern, primarily due to recurring operating losses, negative cash flows from operations and liquidity constraints. Subsequent to year end, the Company completed the 2026 Follow-On Offering, raising approximately $241.8</w:t>
      </w:r>
      <w:r>
        <w:rPr>
          <w:rFonts w:ascii="Times New Roman" w:hAnsi="Times New Roman"/>
          <w:color w:val="000000"/>
          <w:sz w:val="20"/>
        </w:rPr>
        <w:t xml:space="preserve"> </w:t>
      </w:r>
      <w:r>
        <w:rPr>
          <w:rFonts w:ascii="Arial" w:hAnsi="Arial"/>
          <w:color w:val="000000"/>
          <w:sz w:val="20"/>
        </w:rPr>
        <w:t>million in net proceeds after completion of the Matrix Repurchase. Based on the successful execution of this financing, management has concluded that the events and conditions that previously raised substantial doubt have been alleviated. As of the issuance date of these unaudited condensed consolidated financial statements for the three months ended March 31, 2026, the Company expects that its cash and cash equivalents and marketable securities will be sufficient to fund its operating expenses and capital expenditure requirements for at least the next 12 months. The future viability of the Company beyond that point is dependent on its ability to raise additional capital to finance its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2. Summary of Significant Accounting Policies</w:t>
      </w:r>
    </w:p>
    <w:p>
      <w:pPr>
        <w:pStyle w:val="TextBody"/>
        <w:bidi w:val="0"/>
        <w:spacing w:before="80" w:after="283"/>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months ended March 31, 2026 and 2025 are also unaudited. The unaudited condensed results of operations are not necessarily indicative of the operating results that may occur for the full fiscal year ending December 31, 2026.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b/>
          <w:i/>
          <w:color w:val="000000"/>
          <w:sz w:val="20"/>
        </w:rPr>
        <w:t>Significant Accounting Policies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Company’s significant accounting policies are disclosed in the audited consolidated financial statements for the year ended December 31, 2025, in the Company’s Annual Report on Form 10-K filed with the SEC on March 30, 2026. There have been no changes to the Company’s significant accounting policies.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New Accounting Pronouncements Not Yet Adopted</w:t>
      </w:r>
    </w:p>
    <w:p>
      <w:pPr>
        <w:pStyle w:val="TextBody"/>
        <w:bidi w:val="0"/>
        <w:spacing w:before="80" w:after="283"/>
        <w:jc w:val="both"/>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Income Statement—Reporting Comprehensive Income—Expense Disaggregation Disclosures (Subtopic 220-40): Disaggregation of Income Statement Expenses</w:t>
      </w:r>
      <w:r>
        <w:rPr>
          <w:rFonts w:ascii="Arial" w:hAnsi="Arial"/>
          <w:color w:val="000000"/>
          <w:sz w:val="20"/>
        </w:rPr>
        <w:t>. The standard requires the Company to provide further disaggregated information of relevant expense captions within its consolidated statements of operations, including employee compensation and depreciation, as well as the inclusion of other specific expenses, gains and losses required by existing U.S. GAAP. The standard is effective for fiscal years beginning after December 15, 2026 and interim periods within fiscal years beginning after December 15, 2027, with early adoption permitted. The standard may be applied prospectively or retrospectively. While the standard will require additional disclosures related to certain expenses included in the consolidated statements of operations, the standard is not expected to have any impact on the Company’s consolidated operating results, financial condition or cash flows.</w:t>
      </w:r>
    </w:p>
    <w:p>
      <w:pPr>
        <w:pStyle w:val="TextBody"/>
        <w:bidi w:val="0"/>
        <w:spacing w:before="240" w:after="283"/>
        <w:jc w:val="left"/>
        <w:rPr/>
      </w:pPr>
      <w:r>
        <w:rPr/>
        <w:t> </w:t>
      </w:r>
    </w:p>
    <w:p>
      <w:pPr>
        <w:pStyle w:val="TextBody"/>
        <w:bidi w:val="0"/>
        <w:jc w:val="left"/>
        <w:rPr>
          <w:rFonts w:ascii="Arial" w:hAnsi="Arial"/>
          <w:b/>
          <w:color w:val="000000"/>
          <w:sz w:val="20"/>
        </w:rPr>
      </w:pPr>
      <w:r>
        <w:rPr>
          <w:rFonts w:ascii="Arial" w:hAnsi="Arial"/>
          <w:b/>
          <w:color w:val="000000"/>
          <w:sz w:val="20"/>
        </w:rPr>
        <w:t>3. Fair Value of Assets and Liabilities</w:t>
      </w:r>
    </w:p>
    <w:p>
      <w:pPr>
        <w:pStyle w:val="TextBody"/>
        <w:bidi w:val="0"/>
        <w:spacing w:before="80" w:after="283"/>
        <w:jc w:val="both"/>
        <w:rPr>
          <w:rFonts w:ascii="Times New Roman" w:hAnsi="Times New Roman"/>
          <w:sz w:val="20"/>
        </w:rPr>
      </w:pPr>
      <w:r>
        <w:rPr>
          <w:rFonts w:ascii="Arial" w:hAnsi="Arial"/>
          <w:color w:val="000000"/>
          <w:sz w:val="20"/>
        </w:rPr>
        <w:t>The following table presents information about the Company’s financial assets and liabilities measured at fair value on a recurring basis and indicates the level of the fair value hierarchy utilized to determine such fair values as of March 31, 2026 and December 31, 2025 (in thousands):</w:t>
      </w:r>
      <w:r>
        <w:rPr>
          <w:rFonts w:ascii="Times New Roman" w:hAnsi="Times New Roman"/>
          <w:color w:val="000000"/>
          <w:sz w:val="20"/>
        </w:rPr>
        <w:t xml:space="preserve"> </w:t>
      </w:r>
    </w:p>
    <w:tbl>
      <w:tblPr>
        <w:tblW w:w="9503" w:type="dxa"/>
        <w:jc w:val="left"/>
        <w:tblInd w:w="0" w:type="dxa"/>
        <w:tblLayout w:type="fixed"/>
        <w:tblCellMar>
          <w:top w:w="28" w:type="dxa"/>
          <w:left w:w="28" w:type="dxa"/>
          <w:bottom w:w="28" w:type="dxa"/>
          <w:right w:w="28" w:type="dxa"/>
        </w:tblCellMar>
      </w:tblPr>
      <w:tblGrid>
        <w:gridCol w:w="2876"/>
        <w:gridCol w:w="146"/>
        <w:gridCol w:w="211"/>
        <w:gridCol w:w="796"/>
        <w:gridCol w:w="146"/>
        <w:gridCol w:w="146"/>
        <w:gridCol w:w="382"/>
        <w:gridCol w:w="1253"/>
        <w:gridCol w:w="146"/>
        <w:gridCol w:w="146"/>
        <w:gridCol w:w="263"/>
        <w:gridCol w:w="863"/>
        <w:gridCol w:w="146"/>
        <w:gridCol w:w="146"/>
        <w:gridCol w:w="517"/>
        <w:gridCol w:w="849"/>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 in</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unobservable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t> </w:t>
      </w:r>
    </w:p>
    <w:tbl>
      <w:tblPr>
        <w:tblW w:w="9861" w:type="dxa"/>
        <w:jc w:val="left"/>
        <w:tblInd w:w="0" w:type="dxa"/>
        <w:tblLayout w:type="fixed"/>
        <w:tblCellMar>
          <w:top w:w="28" w:type="dxa"/>
          <w:left w:w="28" w:type="dxa"/>
          <w:bottom w:w="28" w:type="dxa"/>
          <w:right w:w="28" w:type="dxa"/>
        </w:tblCellMar>
      </w:tblPr>
      <w:tblGrid>
        <w:gridCol w:w="2876"/>
        <w:gridCol w:w="146"/>
        <w:gridCol w:w="286"/>
        <w:gridCol w:w="1079"/>
        <w:gridCol w:w="146"/>
        <w:gridCol w:w="146"/>
        <w:gridCol w:w="382"/>
        <w:gridCol w:w="1253"/>
        <w:gridCol w:w="146"/>
        <w:gridCol w:w="146"/>
        <w:gridCol w:w="263"/>
        <w:gridCol w:w="863"/>
        <w:gridCol w:w="146"/>
        <w:gridCol w:w="146"/>
        <w:gridCol w:w="517"/>
        <w:gridCol w:w="849"/>
        <w:gridCol w:w="47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u w:val="single"/>
              </w:rPr>
            </w:pPr>
            <w:r>
              <w:rPr>
                <w:rFonts w:ascii="Arial" w:hAnsi="Arial"/>
                <w:b/>
                <w:color w:val="000000"/>
                <w:sz w:val="20"/>
                <w:u w:val="single"/>
              </w:rPr>
              <w:t>Description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Quoted</w:t>
            </w:r>
            <w:r>
              <w:rPr>
                <w:rFonts w:ascii="Times New Roman" w:hAnsi="Times New Roman"/>
                <w:color w:val="000000"/>
                <w:sz w:val="20"/>
              </w:rPr>
              <w:t xml:space="preserve"> </w:t>
            </w:r>
            <w:r>
              <w:rPr>
                <w:rFonts w:ascii="Arial" w:hAnsi="Arial"/>
                <w:b/>
                <w:color w:val="000000"/>
                <w:sz w:val="20"/>
              </w:rPr>
              <w:t>prices in</w:t>
              <w:br/>
              <w:t>active</w:t>
            </w:r>
            <w:r>
              <w:rPr>
                <w:rFonts w:ascii="Times New Roman" w:hAnsi="Times New Roman"/>
                <w:color w:val="000000"/>
                <w:sz w:val="20"/>
              </w:rPr>
              <w:t xml:space="preserve"> </w:t>
            </w:r>
            <w:r>
              <w:rPr>
                <w:rFonts w:ascii="Arial" w:hAnsi="Arial"/>
                <w:b/>
                <w:color w:val="000000"/>
                <w:sz w:val="20"/>
              </w:rPr>
              <w:t>markets</w:t>
              <w:br/>
              <w:t>for identical</w:t>
              <w:br/>
              <w:t>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Significant</w:t>
              <w:br/>
              <w:t>unobservable</w:t>
              <w:br/>
              <w:t>inputs</w:t>
              <w:b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20"/>
              </w:rPr>
            </w:pPr>
            <w:r>
              <w:rPr>
                <w:rFonts w:ascii="Arial" w:hAnsi="Arial"/>
                <w:i/>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287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color w:val="000000"/>
              </w:rPr>
            </w:pPr>
            <w:r>
              <w:rPr>
                <w:color w:val="000000"/>
              </w:rPr>
              <w:t>  </w:t>
            </w:r>
            <w:r>
              <w:rPr>
                <w:rFonts w:ascii="Arial" w:hAnsi="Arial"/>
                <w:color w:val="000000"/>
                <w:sz w:val="20"/>
              </w:rPr>
              <w:t>U.S. Government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transfers within the fair value hierarchy during the three months ended March 31, 2026.</w:t>
      </w:r>
    </w:p>
    <w:p>
      <w:pPr>
        <w:pStyle w:val="TextBody"/>
        <w:bidi w:val="0"/>
        <w:jc w:val="both"/>
        <w:rPr/>
      </w:pPr>
      <w:r>
        <w:rPr/>
        <w:t> </w:t>
      </w:r>
    </w:p>
    <w:p>
      <w:pPr>
        <w:pStyle w:val="TextBody"/>
        <w:bidi w:val="0"/>
        <w:spacing w:before="240" w:after="283"/>
        <w:jc w:val="left"/>
        <w:rPr>
          <w:rFonts w:ascii="Arial" w:hAnsi="Arial"/>
          <w:b/>
          <w:color w:val="000000"/>
          <w:sz w:val="20"/>
        </w:rPr>
      </w:pPr>
      <w:r>
        <w:rPr>
          <w:rFonts w:ascii="Arial" w:hAnsi="Arial"/>
          <w:b/>
          <w:color w:val="000000"/>
          <w:sz w:val="20"/>
        </w:rPr>
        <w:t>4. Property and Equipment, Net</w:t>
      </w:r>
    </w:p>
    <w:p>
      <w:pPr>
        <w:pStyle w:val="TextBody"/>
        <w:bidi w:val="0"/>
        <w:spacing w:before="80" w:after="283"/>
        <w:jc w:val="both"/>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tbl>
      <w:tblPr>
        <w:tblW w:w="5995" w:type="dxa"/>
        <w:jc w:val="left"/>
        <w:tblInd w:w="0" w:type="dxa"/>
        <w:tblLayout w:type="fixed"/>
        <w:tblCellMar>
          <w:top w:w="28" w:type="dxa"/>
          <w:left w:w="28" w:type="dxa"/>
          <w:bottom w:w="28" w:type="dxa"/>
          <w:right w:w="28" w:type="dxa"/>
        </w:tblCellMar>
      </w:tblPr>
      <w:tblGrid>
        <w:gridCol w:w="2956"/>
        <w:gridCol w:w="146"/>
        <w:gridCol w:w="247"/>
        <w:gridCol w:w="758"/>
        <w:gridCol w:w="166"/>
        <w:gridCol w:w="146"/>
        <w:gridCol w:w="336"/>
        <w:gridCol w:w="1029"/>
        <w:gridCol w:w="2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Depreciation expense was $0.3</w:t>
      </w:r>
      <w:r>
        <w:rPr>
          <w:rFonts w:ascii="Times New Roman" w:hAnsi="Times New Roman"/>
          <w:color w:val="000000"/>
          <w:sz w:val="20"/>
        </w:rPr>
        <w:t xml:space="preserve"> </w:t>
      </w:r>
      <w:r>
        <w:rPr>
          <w:rFonts w:ascii="Arial" w:hAnsi="Arial"/>
          <w:color w:val="000000"/>
          <w:sz w:val="20"/>
        </w:rPr>
        <w:t>million for each of the three months ended March 31, 2026 and 2025.</w:t>
      </w:r>
    </w:p>
    <w:p>
      <w:pPr>
        <w:pStyle w:val="TextBody"/>
        <w:bidi w:val="0"/>
        <w:spacing w:before="240" w:after="283"/>
        <w:jc w:val="left"/>
        <w:rPr>
          <w:rFonts w:ascii="Arial" w:hAnsi="Arial"/>
          <w:b/>
          <w:color w:val="000000"/>
          <w:sz w:val="20"/>
        </w:rPr>
      </w:pPr>
      <w:r>
        <w:rPr>
          <w:rFonts w:ascii="Arial" w:hAnsi="Arial"/>
          <w:b/>
          <w:color w:val="000000"/>
          <w:sz w:val="20"/>
        </w:rPr>
        <w:t>5. Prepaid Expenses and Other Current Assets</w:t>
      </w:r>
    </w:p>
    <w:p>
      <w:pPr>
        <w:pStyle w:val="TextBody"/>
        <w:bidi w:val="0"/>
        <w:spacing w:before="80" w:after="283"/>
        <w:jc w:val="both"/>
        <w:rPr>
          <w:rFonts w:ascii="Times New Roman" w:hAnsi="Times New Roman"/>
          <w:sz w:val="20"/>
        </w:rPr>
      </w:pPr>
      <w:r>
        <w:rPr>
          <w:rFonts w:ascii="Arial" w:hAnsi="Arial"/>
          <w:color w:val="000000"/>
          <w:sz w:val="20"/>
        </w:rPr>
        <w:t>Prepaid expenses and other current assets consisted of the following (in thousands):</w:t>
      </w:r>
      <w:r>
        <w:rPr>
          <w:rFonts w:ascii="Times New Roman" w:hAnsi="Times New Roman"/>
          <w:color w:val="000000"/>
          <w:sz w:val="20"/>
        </w:rPr>
        <w:t xml:space="preserve"> </w:t>
      </w:r>
    </w:p>
    <w:tbl>
      <w:tblPr>
        <w:tblW w:w="7035" w:type="dxa"/>
        <w:jc w:val="left"/>
        <w:tblInd w:w="0" w:type="dxa"/>
        <w:tblLayout w:type="fixed"/>
        <w:tblCellMar>
          <w:top w:w="28" w:type="dxa"/>
          <w:left w:w="28" w:type="dxa"/>
          <w:bottom w:w="28" w:type="dxa"/>
          <w:right w:w="28" w:type="dxa"/>
        </w:tblCellMar>
      </w:tblPr>
      <w:tblGrid>
        <w:gridCol w:w="4036"/>
        <w:gridCol w:w="146"/>
        <w:gridCol w:w="266"/>
        <w:gridCol w:w="739"/>
        <w:gridCol w:w="146"/>
        <w:gridCol w:w="146"/>
        <w:gridCol w:w="361"/>
        <w:gridCol w:w="1004"/>
        <w:gridCol w:w="191"/>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6. Marketable Securities</w:t>
      </w:r>
    </w:p>
    <w:p>
      <w:pPr>
        <w:pStyle w:val="TextBody"/>
        <w:bidi w:val="0"/>
        <w:spacing w:before="80" w:after="283"/>
        <w:jc w:val="left"/>
        <w:rPr>
          <w:rFonts w:ascii="Times New Roman" w:hAnsi="Times New Roman"/>
          <w:sz w:val="20"/>
        </w:rPr>
      </w:pPr>
      <w:r>
        <w:rPr>
          <w:rFonts w:ascii="Arial" w:hAnsi="Arial"/>
          <w:color w:val="000000"/>
          <w:sz w:val="20"/>
        </w:rPr>
        <w:t>Marketable securities consisted of the following (in thousands):</w:t>
      </w:r>
      <w:r>
        <w:rPr>
          <w:rFonts w:ascii="Times New Roman" w:hAnsi="Times New Roman"/>
          <w:color w:val="000000"/>
          <w:sz w:val="20"/>
        </w:rPr>
        <w:t xml:space="preserve"> </w:t>
      </w:r>
    </w:p>
    <w:tbl>
      <w:tblPr>
        <w:tblW w:w="9794" w:type="dxa"/>
        <w:jc w:val="left"/>
        <w:tblInd w:w="0" w:type="dxa"/>
        <w:tblLayout w:type="fixed"/>
        <w:tblCellMar>
          <w:top w:w="28" w:type="dxa"/>
          <w:left w:w="28" w:type="dxa"/>
          <w:bottom w:w="28" w:type="dxa"/>
          <w:right w:w="28" w:type="dxa"/>
        </w:tblCellMar>
      </w:tblPr>
      <w:tblGrid>
        <w:gridCol w:w="2476"/>
        <w:gridCol w:w="146"/>
        <w:gridCol w:w="361"/>
        <w:gridCol w:w="1184"/>
        <w:gridCol w:w="146"/>
        <w:gridCol w:w="146"/>
        <w:gridCol w:w="677"/>
        <w:gridCol w:w="1018"/>
        <w:gridCol w:w="146"/>
        <w:gridCol w:w="146"/>
        <w:gridCol w:w="687"/>
        <w:gridCol w:w="1128"/>
        <w:gridCol w:w="146"/>
        <w:gridCol w:w="146"/>
        <w:gridCol w:w="245"/>
        <w:gridCol w:w="805"/>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29,940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Unrealized 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Government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84,726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80" w:after="283"/>
        <w:jc w:val="both"/>
        <w:rPr>
          <w:rFonts w:ascii="Arial" w:hAnsi="Arial"/>
          <w:color w:val="000000"/>
          <w:sz w:val="20"/>
        </w:rPr>
      </w:pPr>
      <w:r>
        <w:rPr>
          <w:rFonts w:ascii="Arial" w:hAnsi="Arial"/>
          <w:color w:val="000000"/>
          <w:sz w:val="20"/>
        </w:rPr>
        <w:t xml:space="preserve">As of March 31, 2026, the current credit ratings of the Company's investments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 </w:t>
      </w:r>
    </w:p>
    <w:p>
      <w:pPr>
        <w:pStyle w:val="TextBody"/>
        <w:bidi w:val="0"/>
        <w:spacing w:before="80" w:after="283"/>
        <w:jc w:val="both"/>
        <w:rPr>
          <w:rFonts w:ascii="Times New Roman" w:hAnsi="Times New Roman"/>
          <w:sz w:val="20"/>
        </w:rPr>
      </w:pPr>
      <w:r>
        <w:rPr>
          <w:rFonts w:ascii="Arial" w:hAnsi="Arial"/>
          <w:color w:val="000000"/>
          <w:sz w:val="20"/>
        </w:rPr>
        <w:t>As of March 31, 2026, no</w:t>
      </w:r>
      <w:r>
        <w:rPr>
          <w:rFonts w:ascii="Times New Roman" w:hAnsi="Times New Roman"/>
          <w:color w:val="000000"/>
          <w:sz w:val="20"/>
        </w:rPr>
        <w:t xml:space="preserve"> </w:t>
      </w:r>
      <w:r>
        <w:rPr>
          <w:rFonts w:ascii="Arial" w:hAnsi="Arial"/>
          <w:color w:val="000000"/>
          <w:sz w:val="20"/>
        </w:rPr>
        <w:t>marketable securities with a contractual maturity of one year or less were in an unrealized loss position, and all marketable securities held by the Company had remaining contractual maturities of one year or less.</w:t>
      </w:r>
    </w:p>
    <w:p>
      <w:pPr>
        <w:pStyle w:val="TextBody"/>
        <w:bidi w:val="0"/>
        <w:spacing w:before="80" w:after="283"/>
        <w:jc w:val="both"/>
        <w:rPr>
          <w:rFonts w:ascii="Times New Roman" w:hAnsi="Times New Roman"/>
          <w:sz w:val="20"/>
        </w:rPr>
      </w:pPr>
      <w:r>
        <w:rPr>
          <w:rFonts w:ascii="Arial" w:hAnsi="Arial"/>
          <w:color w:val="000000"/>
          <w:sz w:val="20"/>
        </w:rPr>
        <w:t>As of March 31, 2025, one</w:t>
      </w:r>
      <w:r>
        <w:rPr>
          <w:rFonts w:ascii="Times New Roman" w:hAnsi="Times New Roman"/>
          <w:color w:val="000000"/>
          <w:sz w:val="20"/>
        </w:rPr>
        <w:t xml:space="preserve"> </w:t>
      </w:r>
      <w:r>
        <w:rPr>
          <w:rFonts w:ascii="Arial" w:hAnsi="Arial"/>
          <w:color w:val="000000"/>
          <w:sz w:val="20"/>
        </w:rPr>
        <w:t>marketable security with contractual maturity of one year or less was in an unrealized loss position totaling $0.02</w:t>
      </w:r>
      <w:r>
        <w:rPr>
          <w:rFonts w:ascii="Times New Roman" w:hAnsi="Times New Roman"/>
          <w:color w:val="000000"/>
          <w:sz w:val="20"/>
        </w:rPr>
        <w:t xml:space="preserve"> </w:t>
      </w:r>
      <w:r>
        <w:rPr>
          <w:rFonts w:ascii="Arial" w:hAnsi="Arial"/>
          <w:color w:val="000000"/>
          <w:sz w:val="20"/>
        </w:rPr>
        <w:t>million, and all marketable securities held by the Company had remaining contractual maturities of one year or less.</w:t>
      </w:r>
    </w:p>
    <w:p>
      <w:pPr>
        <w:pStyle w:val="TextBody"/>
        <w:bidi w:val="0"/>
        <w:spacing w:before="8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impairments of the Company’s marketable securities measured and carried at fair value during the three months ended March 31, 2026 and 2025.</w:t>
      </w:r>
    </w:p>
    <w:p>
      <w:pPr>
        <w:pStyle w:val="TextBody"/>
        <w:bidi w:val="0"/>
        <w:spacing w:before="80" w:after="283"/>
        <w:jc w:val="both"/>
        <w:rPr/>
      </w:pPr>
      <w:r>
        <w:rPr/>
        <w:t> </w:t>
      </w:r>
    </w:p>
    <w:p>
      <w:pPr>
        <w:pStyle w:val="TextBody"/>
        <w:bidi w:val="0"/>
        <w:spacing w:before="240" w:after="283"/>
        <w:jc w:val="left"/>
        <w:rPr>
          <w:rFonts w:ascii="Arial" w:hAnsi="Arial"/>
          <w:b/>
          <w:color w:val="000000"/>
          <w:sz w:val="20"/>
        </w:rPr>
      </w:pPr>
      <w:r>
        <w:rPr>
          <w:rFonts w:ascii="Arial" w:hAnsi="Arial"/>
          <w:b/>
          <w:color w:val="000000"/>
          <w:sz w:val="20"/>
        </w:rPr>
        <w:t>7. Accrued Expenses and Other Current Liabilities</w:t>
      </w:r>
    </w:p>
    <w:p>
      <w:pPr>
        <w:pStyle w:val="TextBody"/>
        <w:bidi w:val="0"/>
        <w:spacing w:before="80" w:after="283"/>
        <w:jc w:val="both"/>
        <w:rPr>
          <w:rFonts w:ascii="Times New Roman" w:hAnsi="Times New Roman"/>
          <w:sz w:val="20"/>
        </w:rPr>
      </w:pPr>
      <w:r>
        <w:rPr>
          <w:rFonts w:ascii="Arial" w:hAnsi="Arial"/>
          <w:color w:val="000000"/>
          <w:sz w:val="20"/>
        </w:rPr>
        <w:t>Accrued expenses and other current liabilities consisted of the following (in thousands):</w:t>
      </w:r>
      <w:r>
        <w:rPr>
          <w:rFonts w:ascii="Times New Roman" w:hAnsi="Times New Roman"/>
          <w:color w:val="000000"/>
          <w:sz w:val="20"/>
        </w:rPr>
        <w:t xml:space="preserve"> </w:t>
      </w:r>
    </w:p>
    <w:tbl>
      <w:tblPr>
        <w:tblW w:w="7095" w:type="dxa"/>
        <w:jc w:val="left"/>
        <w:tblInd w:w="0" w:type="dxa"/>
        <w:tblLayout w:type="fixed"/>
        <w:tblCellMar>
          <w:top w:w="28" w:type="dxa"/>
          <w:left w:w="28" w:type="dxa"/>
          <w:bottom w:w="28" w:type="dxa"/>
          <w:right w:w="28" w:type="dxa"/>
        </w:tblCellMar>
      </w:tblPr>
      <w:tblGrid>
        <w:gridCol w:w="4096"/>
        <w:gridCol w:w="146"/>
        <w:gridCol w:w="235"/>
        <w:gridCol w:w="770"/>
        <w:gridCol w:w="146"/>
        <w:gridCol w:w="146"/>
        <w:gridCol w:w="319"/>
        <w:gridCol w:w="1046"/>
        <w:gridCol w:w="191"/>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8. Stockholders' Equity</w:t>
      </w:r>
    </w:p>
    <w:p>
      <w:pPr>
        <w:pStyle w:val="TextBody"/>
        <w:bidi w:val="0"/>
        <w:spacing w:before="80" w:after="283"/>
        <w:jc w:val="both"/>
        <w:rPr>
          <w:rFonts w:ascii="Times New Roman" w:hAnsi="Times New Roman"/>
          <w:sz w:val="20"/>
        </w:rPr>
      </w:pPr>
      <w:r>
        <w:rPr>
          <w:rFonts w:ascii="Arial" w:hAnsi="Arial"/>
          <w:color w:val="000000"/>
          <w:sz w:val="20"/>
        </w:rPr>
        <w:t>The Company had 150,000,000</w:t>
      </w:r>
      <w:r>
        <w:rPr>
          <w:rFonts w:ascii="Times New Roman" w:hAnsi="Times New Roman"/>
          <w:color w:val="000000"/>
          <w:sz w:val="20"/>
        </w:rPr>
        <w:t xml:space="preserve"> </w:t>
      </w:r>
      <w:r>
        <w:rPr>
          <w:rFonts w:ascii="Arial" w:hAnsi="Arial"/>
          <w:color w:val="000000"/>
          <w:sz w:val="20"/>
        </w:rPr>
        <w:t>authorized shares of common stock, par value $0.00001</w:t>
      </w:r>
      <w:r>
        <w:rPr>
          <w:rFonts w:ascii="Times New Roman" w:hAnsi="Times New Roman"/>
          <w:color w:val="000000"/>
          <w:sz w:val="20"/>
        </w:rPr>
        <w:t xml:space="preserve"> </w:t>
      </w:r>
      <w:r>
        <w:rPr>
          <w:rFonts w:ascii="Arial" w:hAnsi="Arial"/>
          <w:color w:val="000000"/>
          <w:sz w:val="20"/>
        </w:rPr>
        <w:t>per share, of which 64,150,468</w:t>
      </w:r>
      <w:r>
        <w:rPr>
          <w:rFonts w:ascii="Times New Roman" w:hAnsi="Times New Roman"/>
          <w:color w:val="000000"/>
          <w:sz w:val="20"/>
        </w:rPr>
        <w:t xml:space="preserve"> </w:t>
      </w:r>
      <w:r>
        <w:rPr>
          <w:rFonts w:ascii="Arial" w:hAnsi="Arial"/>
          <w:color w:val="000000"/>
          <w:sz w:val="20"/>
        </w:rPr>
        <w:t>and 63,587,777</w:t>
      </w:r>
      <w:r>
        <w:rPr>
          <w:rFonts w:ascii="Times New Roman" w:hAnsi="Times New Roman"/>
          <w:color w:val="000000"/>
          <w:sz w:val="20"/>
        </w:rPr>
        <w:t xml:space="preserve"> </w:t>
      </w:r>
      <w:r>
        <w:rPr>
          <w:rFonts w:ascii="Arial" w:hAnsi="Arial"/>
          <w:color w:val="000000"/>
          <w:sz w:val="20"/>
        </w:rPr>
        <w:t>shares were issued and outstanding at March 31, 2026 and December 31, 2025, respectively.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addition, the Company had 10,000,000</w:t>
      </w:r>
      <w:r>
        <w:rPr>
          <w:rFonts w:ascii="Times New Roman" w:hAnsi="Times New Roman"/>
          <w:color w:val="000000"/>
          <w:sz w:val="20"/>
        </w:rPr>
        <w:t xml:space="preserve"> </w:t>
      </w:r>
      <w:r>
        <w:rPr>
          <w:rFonts w:ascii="Arial" w:hAnsi="Arial"/>
          <w:color w:val="000000"/>
          <w:sz w:val="20"/>
        </w:rPr>
        <w:t>authorized shares of preferred stock, par value $0.00001</w:t>
      </w:r>
      <w:r>
        <w:rPr>
          <w:rFonts w:ascii="Times New Roman" w:hAnsi="Times New Roman"/>
          <w:color w:val="000000"/>
          <w:sz w:val="20"/>
        </w:rPr>
        <w:t xml:space="preserve"> </w:t>
      </w:r>
      <w:r>
        <w:rPr>
          <w:rFonts w:ascii="Arial" w:hAnsi="Arial"/>
          <w:color w:val="000000"/>
          <w:sz w:val="20"/>
        </w:rPr>
        <w:t>per share, all of which shares of preferred stock are undesignated. No</w:t>
      </w:r>
      <w:r>
        <w:rPr>
          <w:rFonts w:ascii="Times New Roman" w:hAnsi="Times New Roman"/>
          <w:color w:val="000000"/>
          <w:sz w:val="20"/>
        </w:rPr>
        <w:t xml:space="preserve"> </w:t>
      </w:r>
      <w:r>
        <w:rPr>
          <w:rFonts w:ascii="Arial" w:hAnsi="Arial"/>
          <w:color w:val="000000"/>
          <w:sz w:val="20"/>
        </w:rPr>
        <w:t>authorized shares of preferred stock were issued and outstanding at March 31, 2026 and December 31, 2025.</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Financings</w:t>
      </w:r>
    </w:p>
    <w:p>
      <w:pPr>
        <w:pStyle w:val="TextBody"/>
        <w:bidi w:val="0"/>
        <w:spacing w:before="80" w:after="283"/>
        <w:jc w:val="both"/>
        <w:rPr>
          <w:rFonts w:ascii="Times New Roman" w:hAnsi="Times New Roman"/>
          <w:sz w:val="20"/>
        </w:rPr>
      </w:pPr>
      <w:r>
        <w:rPr>
          <w:rFonts w:ascii="Arial" w:hAnsi="Arial"/>
          <w:color w:val="000000"/>
          <w:sz w:val="20"/>
        </w:rPr>
        <w:t>On May 16, 2025, the Company issued and sold 11,735,565</w:t>
      </w:r>
      <w:r>
        <w:rPr>
          <w:rFonts w:ascii="Times New Roman" w:hAnsi="Times New Roman"/>
          <w:color w:val="000000"/>
          <w:sz w:val="20"/>
        </w:rPr>
        <w:t xml:space="preserve"> </w:t>
      </w:r>
      <w:r>
        <w:rPr>
          <w:rFonts w:ascii="Arial" w:hAnsi="Arial"/>
          <w:color w:val="000000"/>
          <w:sz w:val="20"/>
        </w:rPr>
        <w:t>shares of common stock, pre-funded warrants to purchase up to 3,571,435</w:t>
      </w:r>
      <w:r>
        <w:rPr>
          <w:rFonts w:ascii="Times New Roman" w:hAnsi="Times New Roman"/>
          <w:color w:val="000000"/>
          <w:sz w:val="20"/>
        </w:rPr>
        <w:t xml:space="preserve"> </w:t>
      </w:r>
      <w:r>
        <w:rPr>
          <w:rFonts w:ascii="Arial" w:hAnsi="Arial"/>
          <w:color w:val="000000"/>
          <w:sz w:val="20"/>
        </w:rPr>
        <w:t>shares of common stock, and accompanying warrants to purchase an aggregate of 3,826,750</w:t>
      </w:r>
      <w:r>
        <w:rPr>
          <w:rFonts w:ascii="Times New Roman" w:hAnsi="Times New Roman"/>
          <w:color w:val="000000"/>
          <w:sz w:val="20"/>
        </w:rPr>
        <w:t xml:space="preserve"> </w:t>
      </w:r>
      <w:r>
        <w:rPr>
          <w:rFonts w:ascii="Arial" w:hAnsi="Arial"/>
          <w:color w:val="000000"/>
          <w:sz w:val="20"/>
        </w:rPr>
        <w:t>shares of common stock. The common stock and pre-funded warrants were sold in the 2025 Follow-On Offering in combination with an accompanying common stock warrant to purchase 0.25</w:t>
      </w:r>
      <w:r>
        <w:rPr>
          <w:rFonts w:ascii="Times New Roman" w:hAnsi="Times New Roman"/>
          <w:color w:val="000000"/>
          <w:sz w:val="20"/>
        </w:rPr>
        <w:t xml:space="preserve"> </w:t>
      </w:r>
      <w:r>
        <w:rPr>
          <w:rFonts w:ascii="Arial" w:hAnsi="Arial"/>
          <w:color w:val="000000"/>
          <w:sz w:val="20"/>
        </w:rPr>
        <w:t>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The Company received approximately $69.9</w:t>
      </w:r>
      <w:r>
        <w:rPr>
          <w:rFonts w:ascii="Times New Roman" w:hAnsi="Times New Roman"/>
          <w:color w:val="000000"/>
          <w:sz w:val="20"/>
        </w:rPr>
        <w:t xml:space="preserve"> </w:t>
      </w:r>
      <w:r>
        <w:rPr>
          <w:rFonts w:ascii="Arial" w:hAnsi="Arial"/>
          <w:color w:val="000000"/>
          <w:sz w:val="20"/>
        </w:rPr>
        <w:t>million in net proceeds from the 2025 Follow-On Offering after deducting underwriting discounts and commissions and offering expenses.</w:t>
      </w:r>
    </w:p>
    <w:p>
      <w:pPr>
        <w:pStyle w:val="TextBody"/>
        <w:bidi w:val="0"/>
        <w:spacing w:before="80" w:after="283"/>
        <w:jc w:val="both"/>
        <w:rPr>
          <w:rFonts w:ascii="Times New Roman" w:hAnsi="Times New Roman"/>
          <w:sz w:val="20"/>
        </w:rPr>
      </w:pPr>
      <w:r>
        <w:rPr>
          <w:rFonts w:ascii="Arial" w:hAnsi="Arial"/>
          <w:color w:val="000000"/>
          <w:sz w:val="20"/>
        </w:rPr>
        <w:t>On March 27, 2024, the Company filed the 2024 Shelf with the SEC in relation to the registration of up to an aggregate offering price of $350.0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which superseded the 2022 Shelf. The 2024 Shelf included a prospectus supplement to provide for offerings in the ATM under the Sales Agreement. The Company did not issue any shares of common stock during the three months ended March 31, 2026</w:t>
      </w:r>
      <w:r>
        <w:rPr>
          <w:rFonts w:ascii="Times New Roman" w:hAnsi="Times New Roman"/>
          <w:color w:val="000000"/>
          <w:sz w:val="20"/>
        </w:rPr>
        <w:t xml:space="preserve"> </w:t>
      </w:r>
      <w:r>
        <w:rPr>
          <w:rFonts w:ascii="Arial" w:hAnsi="Arial"/>
          <w:color w:val="000000"/>
          <w:sz w:val="20"/>
        </w:rPr>
        <w:t>under the ATM, and issued 1,055,362</w:t>
      </w:r>
      <w:r>
        <w:rPr>
          <w:rFonts w:ascii="Times New Roman" w:hAnsi="Times New Roman"/>
          <w:color w:val="000000"/>
          <w:sz w:val="20"/>
        </w:rPr>
        <w:t xml:space="preserve"> </w:t>
      </w:r>
      <w:r>
        <w:rPr>
          <w:rFonts w:ascii="Arial" w:hAnsi="Arial"/>
          <w:color w:val="000000"/>
          <w:sz w:val="20"/>
        </w:rPr>
        <w:t>shares of common stock at a weighted average price of $6.36</w:t>
      </w:r>
      <w:r>
        <w:rPr>
          <w:rFonts w:ascii="Times New Roman" w:hAnsi="Times New Roman"/>
          <w:color w:val="000000"/>
          <w:sz w:val="20"/>
        </w:rPr>
        <w:t xml:space="preserve"> </w:t>
      </w:r>
      <w:r>
        <w:rPr>
          <w:rFonts w:ascii="Arial" w:hAnsi="Arial"/>
          <w:color w:val="000000"/>
          <w:sz w:val="20"/>
        </w:rPr>
        <w:t>for aggregate gross proceeds of $6.7</w:t>
      </w:r>
      <w:r>
        <w:rPr>
          <w:rFonts w:ascii="Times New Roman" w:hAnsi="Times New Roman"/>
          <w:color w:val="000000"/>
          <w:sz w:val="20"/>
        </w:rPr>
        <w:t xml:space="preserve"> </w:t>
      </w:r>
      <w:r>
        <w:rPr>
          <w:rFonts w:ascii="Arial" w:hAnsi="Arial"/>
          <w:color w:val="000000"/>
          <w:sz w:val="20"/>
        </w:rPr>
        <w:t>million during the year ended December 31, 2025 under the ATM.</w:t>
      </w:r>
    </w:p>
    <w:p>
      <w:pPr>
        <w:pStyle w:val="TextBody"/>
        <w:bidi w:val="0"/>
        <w:spacing w:before="80" w:after="283"/>
        <w:jc w:val="both"/>
        <w:rPr>
          <w:rFonts w:ascii="Times New Roman" w:hAnsi="Times New Roman"/>
          <w:sz w:val="20"/>
        </w:rPr>
      </w:pPr>
      <w:r>
        <w:rPr>
          <w:rFonts w:ascii="Arial" w:hAnsi="Arial"/>
          <w:color w:val="000000"/>
          <w:sz w:val="20"/>
        </w:rPr>
        <w:t>On November 9, 2023, the Company issued and sold 11,000,000</w:t>
      </w:r>
      <w:r>
        <w:rPr>
          <w:rFonts w:ascii="Times New Roman" w:hAnsi="Times New Roman"/>
          <w:color w:val="000000"/>
          <w:sz w:val="20"/>
        </w:rPr>
        <w:t xml:space="preserve"> </w:t>
      </w:r>
      <w:r>
        <w:rPr>
          <w:rFonts w:ascii="Arial" w:hAnsi="Arial"/>
          <w:color w:val="000000"/>
          <w:sz w:val="20"/>
        </w:rPr>
        <w:t>shares of common stock at a price to the public of $9.00</w:t>
      </w:r>
      <w:r>
        <w:rPr>
          <w:rFonts w:ascii="Times New Roman" w:hAnsi="Times New Roman"/>
          <w:color w:val="000000"/>
          <w:sz w:val="20"/>
        </w:rPr>
        <w:t xml:space="preserve"> </w:t>
      </w:r>
      <w:r>
        <w:rPr>
          <w:rFonts w:ascii="Arial" w:hAnsi="Arial"/>
          <w:color w:val="000000"/>
          <w:sz w:val="20"/>
        </w:rPr>
        <w:t>per share for aggregate gross proceeds of $99.0</w:t>
      </w:r>
      <w:r>
        <w:rPr>
          <w:rFonts w:ascii="Times New Roman" w:hAnsi="Times New Roman"/>
          <w:color w:val="000000"/>
          <w:sz w:val="20"/>
        </w:rPr>
        <w:t xml:space="preserve"> </w:t>
      </w:r>
      <w:r>
        <w:rPr>
          <w:rFonts w:ascii="Arial" w:hAnsi="Arial"/>
          <w:color w:val="000000"/>
          <w:sz w:val="20"/>
        </w:rPr>
        <w:t>million in the 2023 Follow-On Offering. The Company received approximately $92.6</w:t>
      </w:r>
      <w:r>
        <w:rPr>
          <w:rFonts w:ascii="Times New Roman" w:hAnsi="Times New Roman"/>
          <w:color w:val="000000"/>
          <w:sz w:val="20"/>
        </w:rPr>
        <w:t xml:space="preserve"> </w:t>
      </w:r>
      <w:r>
        <w:rPr>
          <w:rFonts w:ascii="Arial" w:hAnsi="Arial"/>
          <w:color w:val="000000"/>
          <w:sz w:val="20"/>
        </w:rPr>
        <w:t>million in net proceeds from the 2023 Follow-On Offering after deducting underwriting discounts and commissions and offering expenses.</w:t>
      </w:r>
    </w:p>
    <w:p>
      <w:pPr>
        <w:pStyle w:val="TextBody"/>
        <w:bidi w:val="0"/>
        <w:spacing w:before="80" w:after="283"/>
        <w:jc w:val="both"/>
        <w:rPr>
          <w:rFonts w:ascii="Times New Roman" w:hAnsi="Times New Roman"/>
          <w:sz w:val="20"/>
        </w:rPr>
      </w:pPr>
      <w:r>
        <w:rPr>
          <w:rFonts w:ascii="Arial" w:hAnsi="Arial"/>
          <w:color w:val="000000"/>
          <w:sz w:val="20"/>
        </w:rPr>
        <w:t>On November 1, 2022, the Company filed the 2022 Shelf with the SEC in relation to the registration of up to an aggregate offering price of $250.0</w:t>
      </w:r>
      <w:r>
        <w:rPr>
          <w:rFonts w:ascii="Times New Roman" w:hAnsi="Times New Roman"/>
          <w:color w:val="000000"/>
          <w:sz w:val="20"/>
        </w:rPr>
        <w:t xml:space="preserve"> </w:t>
      </w:r>
      <w:r>
        <w:rPr>
          <w:rFonts w:ascii="Arial" w:hAnsi="Arial"/>
          <w:color w:val="000000"/>
          <w:sz w:val="20"/>
        </w:rPr>
        <w:t>million of common stock, preferred stock, debt securities, warrants and units or any combination thereof. The Company also simultaneously entered into the Sales Agreement with the Sales Agent to provide for the offering, issuance and sale by the Company of up to an aggregate of $75.0</w:t>
      </w:r>
      <w:r>
        <w:rPr>
          <w:rFonts w:ascii="Times New Roman" w:hAnsi="Times New Roman"/>
          <w:color w:val="000000"/>
          <w:sz w:val="20"/>
        </w:rPr>
        <w:t xml:space="preserve"> </w:t>
      </w:r>
      <w:r>
        <w:rPr>
          <w:rFonts w:ascii="Arial" w:hAnsi="Arial"/>
          <w:color w:val="000000"/>
          <w:sz w:val="20"/>
        </w:rPr>
        <w:t>million of common stock from time to time in the ATM under the 2022 Shelf and subject to the limitations thereof. The Company issued 261,807</w:t>
      </w:r>
      <w:r>
        <w:rPr>
          <w:rFonts w:ascii="Times New Roman" w:hAnsi="Times New Roman"/>
          <w:color w:val="000000"/>
          <w:sz w:val="20"/>
        </w:rPr>
        <w:t xml:space="preserve"> </w:t>
      </w:r>
      <w:r>
        <w:rPr>
          <w:rFonts w:ascii="Arial" w:hAnsi="Arial"/>
          <w:color w:val="000000"/>
          <w:sz w:val="20"/>
        </w:rPr>
        <w:t>shares of common stock at a weighted average price of $12.49</w:t>
      </w:r>
      <w:r>
        <w:rPr>
          <w:rFonts w:ascii="Times New Roman" w:hAnsi="Times New Roman"/>
          <w:color w:val="000000"/>
          <w:sz w:val="20"/>
        </w:rPr>
        <w:t xml:space="preserve"> </w:t>
      </w:r>
      <w:r>
        <w:rPr>
          <w:rFonts w:ascii="Arial" w:hAnsi="Arial"/>
          <w:color w:val="000000"/>
          <w:sz w:val="20"/>
        </w:rPr>
        <w:t>for aggregate gross proceeds of $3.3</w:t>
      </w:r>
      <w:r>
        <w:rPr>
          <w:rFonts w:ascii="Times New Roman" w:hAnsi="Times New Roman"/>
          <w:color w:val="000000"/>
          <w:sz w:val="20"/>
        </w:rPr>
        <w:t xml:space="preserve"> </w:t>
      </w:r>
      <w:r>
        <w:rPr>
          <w:rFonts w:ascii="Arial" w:hAnsi="Arial"/>
          <w:color w:val="000000"/>
          <w:sz w:val="20"/>
        </w:rPr>
        <w:t>million during the year ended December 31, 2023 under the ATM.</w:t>
      </w:r>
    </w:p>
    <w:p>
      <w:pPr>
        <w:pStyle w:val="TextBody"/>
        <w:bidi w:val="0"/>
        <w:spacing w:before="240" w:after="283"/>
        <w:jc w:val="left"/>
        <w:rPr>
          <w:rFonts w:ascii="Arial" w:hAnsi="Arial"/>
          <w:b/>
          <w:color w:val="000000"/>
          <w:sz w:val="20"/>
        </w:rPr>
      </w:pPr>
      <w:r>
        <w:rPr>
          <w:rFonts w:ascii="Arial" w:hAnsi="Arial"/>
          <w:b/>
          <w:color w:val="000000"/>
          <w:sz w:val="20"/>
        </w:rPr>
        <w:t>9. Stock-Based Compensation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2018 Stock Option and Incentive Plan</w:t>
      </w:r>
    </w:p>
    <w:p>
      <w:pPr>
        <w:pStyle w:val="TextBody"/>
        <w:bidi w:val="0"/>
        <w:jc w:val="both"/>
        <w:rPr>
          <w:rFonts w:ascii="Arial" w:hAnsi="Arial"/>
          <w:color w:val="000000"/>
          <w:sz w:val="20"/>
        </w:rPr>
      </w:pPr>
      <w:r>
        <w:rPr>
          <w:rFonts w:ascii="Arial" w:hAnsi="Arial"/>
          <w:color w:val="000000"/>
          <w:sz w:val="20"/>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2021 Stock Option and Incentive Plan</w:t>
      </w:r>
    </w:p>
    <w:p>
      <w:pPr>
        <w:pStyle w:val="TextBody"/>
        <w:bidi w:val="0"/>
        <w:jc w:val="both"/>
        <w:rPr>
          <w:rFonts w:ascii="Times New Roman" w:hAnsi="Times New Roman"/>
          <w:sz w:val="20"/>
        </w:rPr>
      </w:pPr>
      <w:r>
        <w:rPr>
          <w:rFonts w:ascii="Arial" w:hAnsi="Arial"/>
          <w:color w:val="000000"/>
          <w:sz w:val="20"/>
        </w:rPr>
        <w:t>The 2021 Stock Option and Incentive Plan, or the 2021 Plan, was adopted by the Board on October 7, 2021, approved by the Company’s stockholders on October 22, 2021 and became effective on November 1, 2021. The 2021 Plan permits the granting of several award types, including restricted stock units and both options to purchase common stock intended to qualify as incentive stock options under Section 422 of the United States Internal Revenue Code, or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w:t>
      </w:r>
      <w:r>
        <w:rPr>
          <w:rFonts w:ascii="Times New Roman" w:hAnsi="Times New Roman"/>
          <w:color w:val="000000"/>
          <w:sz w:val="20"/>
        </w:rPr>
        <w:t xml:space="preserve"> </w:t>
      </w:r>
      <w:r>
        <w:rPr>
          <w:rFonts w:ascii="Arial" w:hAnsi="Arial"/>
          <w:color w:val="000000"/>
          <w:sz w:val="20"/>
        </w:rPr>
        <w:t>shares of common stock. On January 1, 2026, the shares reserved for issuance was increased to 14,328,694</w:t>
      </w:r>
      <w:r>
        <w:rPr>
          <w:rFonts w:ascii="Times New Roman" w:hAnsi="Times New Roman"/>
          <w:color w:val="000000"/>
          <w:sz w:val="20"/>
        </w:rPr>
        <w:t xml:space="preserve"> </w:t>
      </w:r>
      <w:r>
        <w:rPr>
          <w:rFonts w:ascii="Arial" w:hAnsi="Arial"/>
          <w:color w:val="000000"/>
          <w:sz w:val="20"/>
        </w:rPr>
        <w:t>shares. With the transfer of shares to the 2021 Plan in connection with the termination or expiration of awards under the 2018 Plan, together with shares otherwise available under the 2021 Plan, there were 4,398,111</w:t>
      </w:r>
      <w:r>
        <w:rPr>
          <w:rFonts w:ascii="Times New Roman" w:hAnsi="Times New Roman"/>
          <w:color w:val="000000"/>
          <w:sz w:val="20"/>
        </w:rPr>
        <w:t xml:space="preserve"> </w:t>
      </w:r>
      <w:r>
        <w:rPr>
          <w:rFonts w:ascii="Arial" w:hAnsi="Arial"/>
          <w:color w:val="000000"/>
          <w:sz w:val="20"/>
        </w:rPr>
        <w:t>shares available for grant under the 2021 Plan at March 31, 2026.</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2021 Employee Stock Purchase Plan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2021 Employee Stock Purchase Plan, or the ESPP, was adopted by the Board on October 7, 2021, approved by the Company’s stockholders on October 22, 2021 and became effective on November 1, 2021. A total of 335,217</w:t>
      </w:r>
      <w:r>
        <w:rPr>
          <w:rFonts w:ascii="Times New Roman" w:hAnsi="Times New Roman"/>
          <w:color w:val="000000"/>
          <w:sz w:val="20"/>
        </w:rPr>
        <w:t xml:space="preserve"> </w:t>
      </w:r>
      <w:r>
        <w:rPr>
          <w:rFonts w:ascii="Arial" w:hAnsi="Arial"/>
          <w:color w:val="000000"/>
          <w:sz w:val="20"/>
        </w:rPr>
        <w:t>shares of common stock were initially reserved for issuance under this plan, which increased on January 1, 2022 and will continue to increase each January 1 thereafter through January 1, 2031, by the least of (i) 335,217</w:t>
      </w:r>
      <w:r>
        <w:rPr>
          <w:rFonts w:ascii="Times New Roman" w:hAnsi="Times New Roman"/>
          <w:color w:val="000000"/>
          <w:sz w:val="20"/>
        </w:rPr>
        <w:t xml:space="preserve"> </w:t>
      </w:r>
      <w:r>
        <w:rPr>
          <w:rFonts w:ascii="Arial" w:hAnsi="Arial"/>
          <w:color w:val="000000"/>
          <w:sz w:val="20"/>
        </w:rPr>
        <w:t>shares of common stock, (ii) 1% of the outstanding number of shares of common stock on the immediately preceding December 31 or (iii) such lesser number of shares of common stock as determined by the administrator of the ESPP. On January 1, 2026, the shares reserved for issuance were increased to 1,900,688</w:t>
      </w:r>
      <w:r>
        <w:rPr>
          <w:rFonts w:ascii="Times New Roman" w:hAnsi="Times New Roman"/>
          <w:color w:val="000000"/>
          <w:sz w:val="20"/>
        </w:rPr>
        <w:t xml:space="preserve"> </w:t>
      </w:r>
      <w:r>
        <w:rPr>
          <w:rFonts w:ascii="Arial" w:hAnsi="Arial"/>
          <w:color w:val="000000"/>
          <w:sz w:val="20"/>
        </w:rPr>
        <w:t>shares. The purchase price of the shares under the ESPP is at 85% of the lower of the fair market value of the Company’s common stock on the first trading day of the offering period or on the purchase date. As of March 31, 2026, 1,876,474</w:t>
      </w:r>
      <w:r>
        <w:rPr>
          <w:rFonts w:ascii="Times New Roman" w:hAnsi="Times New Roman"/>
          <w:color w:val="000000"/>
          <w:sz w:val="20"/>
        </w:rPr>
        <w:t xml:space="preserve"> </w:t>
      </w:r>
      <w:r>
        <w:rPr>
          <w:rFonts w:ascii="Arial" w:hAnsi="Arial"/>
          <w:color w:val="000000"/>
          <w:sz w:val="20"/>
        </w:rPr>
        <w:t>shares were available to be issued under the ESPP. The Company recognized $0.03</w:t>
      </w:r>
      <w:r>
        <w:rPr>
          <w:rFonts w:ascii="Times New Roman" w:hAnsi="Times New Roman"/>
          <w:color w:val="000000"/>
          <w:sz w:val="20"/>
        </w:rPr>
        <w:t xml:space="preserve"> </w:t>
      </w:r>
      <w:r>
        <w:rPr>
          <w:rFonts w:ascii="Arial" w:hAnsi="Arial"/>
          <w:color w:val="000000"/>
          <w:sz w:val="20"/>
        </w:rPr>
        <w:t>million and $0.02</w:t>
      </w:r>
      <w:r>
        <w:rPr>
          <w:rFonts w:ascii="Times New Roman" w:hAnsi="Times New Roman"/>
          <w:color w:val="000000"/>
          <w:sz w:val="20"/>
        </w:rPr>
        <w:t xml:space="preserve"> </w:t>
      </w:r>
      <w:r>
        <w:rPr>
          <w:rFonts w:ascii="Arial" w:hAnsi="Arial"/>
          <w:color w:val="000000"/>
          <w:sz w:val="20"/>
        </w:rPr>
        <w:t>million in stock-based compensation expense related to the ESPP for the three months ended March 31, 2026 and 2025, respectively.</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Stock Options</w:t>
      </w:r>
    </w:p>
    <w:p>
      <w:pPr>
        <w:pStyle w:val="TextBody"/>
        <w:bidi w:val="0"/>
        <w:spacing w:before="240" w:after="283"/>
        <w:jc w:val="both"/>
        <w:rPr>
          <w:rFonts w:ascii="Times New Roman" w:hAnsi="Times New Roman"/>
          <w:sz w:val="20"/>
        </w:rPr>
      </w:pPr>
      <w:r>
        <w:rPr>
          <w:rFonts w:ascii="Arial" w:hAnsi="Arial"/>
          <w:color w:val="000000"/>
          <w:sz w:val="20"/>
        </w:rPr>
        <w:t>The Board is authorized to administer the 2021 Plan. In accordance with the provisions of the 2021 Plan, the Board determines the terms of Aura options and other awards issued pursuant thereto, including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which employees, directors and consultants shall be granted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shares of common stock subject to options and other awards;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exercise price of each option, which generally shall not be less than fair market value of the common stock on the date of grant;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termination or cancellation provisions applicable to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terms and conditions of other awards, including conditions for repurchase, termination or cancellation, issue price and repurchase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 other terms and conditions upon which each award may be granted in accordance with the 2021 Plan. </w:t>
      </w:r>
    </w:p>
    <w:p>
      <w:pPr>
        <w:pStyle w:val="TextBody"/>
        <w:bidi w:val="0"/>
        <w:spacing w:before="240" w:after="283"/>
        <w:jc w:val="both"/>
        <w:rPr>
          <w:rFonts w:ascii="Times New Roman" w:hAnsi="Times New Roman"/>
          <w:sz w:val="20"/>
        </w:rPr>
      </w:pPr>
      <w:r>
        <w:rPr>
          <w:rFonts w:ascii="Arial" w:hAnsi="Arial"/>
          <w:color w:val="000000"/>
          <w:sz w:val="20"/>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stock option activity under the 2018 Plan and 2021 Plan for the three months ended March 31, 2026:</w:t>
      </w:r>
      <w:r>
        <w:rPr>
          <w:rFonts w:ascii="Times New Roman" w:hAnsi="Times New Roman"/>
          <w:color w:val="000000"/>
          <w:sz w:val="20"/>
        </w:rPr>
        <w:t xml:space="preserve"> </w:t>
      </w:r>
    </w:p>
    <w:tbl>
      <w:tblPr>
        <w:tblW w:w="9573" w:type="dxa"/>
        <w:jc w:val="left"/>
        <w:tblInd w:w="0" w:type="dxa"/>
        <w:tblLayout w:type="fixed"/>
        <w:tblCellMar>
          <w:top w:w="28" w:type="dxa"/>
          <w:left w:w="28" w:type="dxa"/>
          <w:bottom w:w="28" w:type="dxa"/>
          <w:right w:w="28" w:type="dxa"/>
        </w:tblCellMar>
      </w:tblPr>
      <w:tblGrid>
        <w:gridCol w:w="3151"/>
        <w:gridCol w:w="146"/>
        <w:gridCol w:w="146"/>
        <w:gridCol w:w="961"/>
        <w:gridCol w:w="166"/>
        <w:gridCol w:w="146"/>
        <w:gridCol w:w="274"/>
        <w:gridCol w:w="762"/>
        <w:gridCol w:w="146"/>
        <w:gridCol w:w="146"/>
        <w:gridCol w:w="272"/>
        <w:gridCol w:w="899"/>
        <w:gridCol w:w="146"/>
        <w:gridCol w:w="146"/>
        <w:gridCol w:w="496"/>
        <w:gridCol w:w="1379"/>
        <w:gridCol w:w="191"/>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Aggregate 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6,467,582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7,987,175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4,232,959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weighted-average grant date fair value of stock options granted during the three months ended March 31, 2026 and 2025 was $5.00</w:t>
      </w:r>
      <w:r>
        <w:rPr>
          <w:rFonts w:ascii="Times New Roman" w:hAnsi="Times New Roman"/>
          <w:color w:val="000000"/>
          <w:sz w:val="20"/>
        </w:rPr>
        <w:t xml:space="preserve"> </w:t>
      </w:r>
      <w:r>
        <w:rPr>
          <w:rFonts w:ascii="Arial" w:hAnsi="Arial"/>
          <w:color w:val="000000"/>
          <w:sz w:val="20"/>
        </w:rPr>
        <w:t>and $5.88</w:t>
      </w:r>
      <w:r>
        <w:rPr>
          <w:rFonts w:ascii="Times New Roman" w:hAnsi="Times New Roman"/>
          <w:color w:val="000000"/>
          <w:sz w:val="20"/>
        </w:rPr>
        <w:t xml:space="preserve"> </w:t>
      </w:r>
      <w:r>
        <w:rPr>
          <w:rFonts w:ascii="Arial" w:hAnsi="Arial"/>
          <w:color w:val="000000"/>
          <w:sz w:val="20"/>
        </w:rPr>
        <w:t>per share, respectively. The fair value of options vested during each of the three months ended March 31, 2026 and 2025 was $2.6</w:t>
      </w:r>
      <w:r>
        <w:rPr>
          <w:rFonts w:ascii="Times New Roman" w:hAnsi="Times New Roman"/>
          <w:color w:val="000000"/>
          <w:sz w:val="20"/>
        </w:rPr>
        <w:t xml:space="preserve"> </w:t>
      </w:r>
      <w:r>
        <w:rPr>
          <w:rFonts w:ascii="Arial" w:hAnsi="Arial"/>
          <w:color w:val="000000"/>
          <w:sz w:val="20"/>
        </w:rPr>
        <w:t>million. The total intrinsic value of options exercised was $0.02</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for the three months ended March 31, 2026 and 2025, respectively.</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fair value of the stock options granted for the three months ended March 31, 2026 and 2025 was measured with the following weighted-average assumptions:</w:t>
      </w:r>
      <w:r>
        <w:rPr>
          <w:rFonts w:ascii="Times New Roman" w:hAnsi="Times New Roman"/>
          <w:color w:val="000000"/>
          <w:sz w:val="20"/>
        </w:rPr>
        <w:t xml:space="preserve"> </w:t>
      </w:r>
    </w:p>
    <w:tbl>
      <w:tblPr>
        <w:tblW w:w="6425" w:type="dxa"/>
        <w:jc w:val="left"/>
        <w:tblInd w:w="0" w:type="dxa"/>
        <w:tblLayout w:type="fixed"/>
        <w:tblCellMar>
          <w:top w:w="28" w:type="dxa"/>
          <w:left w:w="28" w:type="dxa"/>
          <w:bottom w:w="28" w:type="dxa"/>
          <w:right w:w="28" w:type="dxa"/>
        </w:tblCellMar>
      </w:tblPr>
      <w:tblGrid>
        <w:gridCol w:w="3766"/>
        <w:gridCol w:w="146"/>
        <w:gridCol w:w="148"/>
        <w:gridCol w:w="704"/>
        <w:gridCol w:w="291"/>
        <w:gridCol w:w="148"/>
        <w:gridCol w:w="148"/>
        <w:gridCol w:w="597"/>
        <w:gridCol w:w="286"/>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 of the underlying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Restricted Stock Units</w:t>
      </w:r>
    </w:p>
    <w:p>
      <w:pPr>
        <w:pStyle w:val="TextBody"/>
        <w:bidi w:val="0"/>
        <w:jc w:val="both"/>
        <w:rPr>
          <w:rFonts w:ascii="Arial" w:hAnsi="Arial"/>
          <w:color w:val="000000"/>
          <w:sz w:val="20"/>
        </w:rPr>
      </w:pPr>
      <w:r>
        <w:rPr>
          <w:rFonts w:ascii="Arial" w:hAnsi="Arial"/>
          <w:color w:val="000000"/>
          <w:sz w:val="20"/>
        </w:rPr>
        <w:t>The Company has granted restricted stock units with service-based and performance-based vesting conditions. Unvested restricted stock units may not be sold or transferred by the holder.</w:t>
      </w:r>
    </w:p>
    <w:p>
      <w:pPr>
        <w:pStyle w:val="TextBody"/>
        <w:bidi w:val="0"/>
        <w:jc w:val="both"/>
        <w:rPr>
          <w:rFonts w:ascii="Arial" w:hAnsi="Arial"/>
          <w:color w:val="000000"/>
          <w:sz w:val="20"/>
        </w:rPr>
      </w:pPr>
      <w:r>
        <w:rPr>
          <w:rFonts w:ascii="Arial" w:hAnsi="Arial"/>
          <w:color w:val="000000"/>
          <w:sz w:val="20"/>
        </w:rPr>
        <w:t>A summary of the restricted stock units activity during the three months ended March 31, 2026 is as follows:</w:t>
      </w:r>
    </w:p>
    <w:tbl>
      <w:tblPr>
        <w:tblW w:w="7820" w:type="dxa"/>
        <w:jc w:val="left"/>
        <w:tblInd w:w="0" w:type="dxa"/>
        <w:tblLayout w:type="fixed"/>
        <w:tblCellMar>
          <w:top w:w="28" w:type="dxa"/>
          <w:left w:w="28" w:type="dxa"/>
          <w:bottom w:w="28" w:type="dxa"/>
          <w:right w:w="28" w:type="dxa"/>
        </w:tblCellMar>
      </w:tblPr>
      <w:tblGrid>
        <w:gridCol w:w="2926"/>
        <w:gridCol w:w="146"/>
        <w:gridCol w:w="285"/>
        <w:gridCol w:w="1875"/>
        <w:gridCol w:w="166"/>
        <w:gridCol w:w="146"/>
        <w:gridCol w:w="634"/>
        <w:gridCol w:w="145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Grant 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2,690,777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3,286,241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Arial" w:hAnsi="Arial"/>
          <w:color w:val="000000"/>
          <w:sz w:val="20"/>
        </w:rPr>
        <w:t>For the three months ended March 31, 2026, 500,744</w:t>
      </w:r>
      <w:r>
        <w:rPr>
          <w:rFonts w:ascii="Times New Roman" w:hAnsi="Times New Roman"/>
          <w:color w:val="000000"/>
          <w:sz w:val="20"/>
        </w:rPr>
        <w:t xml:space="preserve"> </w:t>
      </w:r>
      <w:r>
        <w:rPr>
          <w:rFonts w:ascii="Arial" w:hAnsi="Arial"/>
          <w:color w:val="000000"/>
          <w:sz w:val="20"/>
        </w:rPr>
        <w:t>restricted stock units vested with a fair value of $4.0</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Stock-Based Compensation Expense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Company recorded stock-based compensation expense as follows (in thousands):</w:t>
      </w:r>
      <w:r>
        <w:rPr>
          <w:rFonts w:ascii="Times New Roman" w:hAnsi="Times New Roman"/>
          <w:color w:val="000000"/>
          <w:sz w:val="20"/>
        </w:rPr>
        <w:t xml:space="preserve"> </w:t>
      </w:r>
    </w:p>
    <w:tbl>
      <w:tblPr>
        <w:tblW w:w="5158" w:type="dxa"/>
        <w:jc w:val="left"/>
        <w:tblInd w:w="0" w:type="dxa"/>
        <w:tblLayout w:type="fixed"/>
        <w:tblCellMar>
          <w:top w:w="28" w:type="dxa"/>
          <w:left w:w="28" w:type="dxa"/>
          <w:bottom w:w="28" w:type="dxa"/>
          <w:right w:w="28" w:type="dxa"/>
        </w:tblCellMar>
      </w:tblPr>
      <w:tblGrid>
        <w:gridCol w:w="2491"/>
        <w:gridCol w:w="146"/>
        <w:gridCol w:w="228"/>
        <w:gridCol w:w="634"/>
        <w:gridCol w:w="157"/>
        <w:gridCol w:w="157"/>
        <w:gridCol w:w="228"/>
        <w:gridCol w:w="634"/>
        <w:gridCol w:w="146"/>
        <w:gridCol w:w="14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3,824</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As of March 31, 2026, there was $19.3</w:t>
      </w:r>
      <w:r>
        <w:rPr>
          <w:rFonts w:ascii="Times New Roman" w:hAnsi="Times New Roman"/>
          <w:color w:val="000000"/>
          <w:sz w:val="20"/>
        </w:rPr>
        <w:t xml:space="preserve"> </w:t>
      </w:r>
      <w:r>
        <w:rPr>
          <w:rFonts w:ascii="Arial" w:hAnsi="Arial"/>
          <w:color w:val="000000"/>
          <w:sz w:val="20"/>
        </w:rPr>
        <w:t>million of unrecognized stock-based compensation expense related to stock options, which is expected to be recognized over a weighted-average period of 3.02</w:t>
      </w:r>
      <w:r>
        <w:rPr>
          <w:rFonts w:ascii="Times New Roman" w:hAnsi="Times New Roman"/>
          <w:color w:val="000000"/>
          <w:sz w:val="20"/>
        </w:rPr>
        <w:t xml:space="preserve"> </w:t>
      </w:r>
      <w:r>
        <w:rPr>
          <w:rFonts w:ascii="Arial" w:hAnsi="Arial"/>
          <w:color w:val="000000"/>
          <w:sz w:val="20"/>
        </w:rPr>
        <w:t>years.</w:t>
      </w:r>
    </w:p>
    <w:p>
      <w:pPr>
        <w:pStyle w:val="TextBody"/>
        <w:bidi w:val="0"/>
        <w:jc w:val="both"/>
        <w:rPr>
          <w:rFonts w:ascii="Times New Roman" w:hAnsi="Times New Roman"/>
          <w:sz w:val="20"/>
        </w:rPr>
      </w:pPr>
      <w:r>
        <w:rPr>
          <w:rFonts w:ascii="Arial" w:hAnsi="Arial"/>
          <w:color w:val="000000"/>
          <w:sz w:val="20"/>
        </w:rPr>
        <w:t>As of March 31, 2026, there was $20.9</w:t>
      </w:r>
      <w:r>
        <w:rPr>
          <w:rFonts w:ascii="Times New Roman" w:hAnsi="Times New Roman"/>
          <w:color w:val="000000"/>
          <w:sz w:val="20"/>
        </w:rPr>
        <w:t xml:space="preserve"> </w:t>
      </w:r>
      <w:r>
        <w:rPr>
          <w:rFonts w:ascii="Arial" w:hAnsi="Arial"/>
          <w:color w:val="000000"/>
          <w:sz w:val="20"/>
        </w:rPr>
        <w:t>million of unrecognized stock-based compensation expense related to restricted stock units, which is expected to be recognized over a weighted-average period of 2.90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10. Warrants</w:t>
      </w:r>
    </w:p>
    <w:p>
      <w:pPr>
        <w:pStyle w:val="TextBody"/>
        <w:bidi w:val="0"/>
        <w:spacing w:before="80" w:after="283"/>
        <w:jc w:val="both"/>
        <w:rPr>
          <w:rFonts w:ascii="Times New Roman" w:hAnsi="Times New Roman"/>
          <w:sz w:val="20"/>
        </w:rPr>
      </w:pPr>
      <w:r>
        <w:rPr>
          <w:rFonts w:ascii="Arial" w:hAnsi="Arial"/>
          <w:color w:val="000000"/>
          <w:sz w:val="20"/>
        </w:rPr>
        <w:t>In May 2025, in connection with the 2025 Follow-On Offering, the Company issued pre-funded warrants to purchase up to 3,571,435</w:t>
      </w:r>
      <w:r>
        <w:rPr>
          <w:rFonts w:ascii="Times New Roman" w:hAnsi="Times New Roman"/>
          <w:color w:val="000000"/>
          <w:sz w:val="20"/>
        </w:rPr>
        <w:t xml:space="preserve"> </w:t>
      </w:r>
      <w:r>
        <w:rPr>
          <w:rFonts w:ascii="Arial" w:hAnsi="Arial"/>
          <w:color w:val="000000"/>
          <w:sz w:val="20"/>
        </w:rPr>
        <w:t>shares of common stock and warrants to purchase an aggregate of 3,826,750</w:t>
      </w:r>
      <w:r>
        <w:rPr>
          <w:rFonts w:ascii="Times New Roman" w:hAnsi="Times New Roman"/>
          <w:color w:val="000000"/>
          <w:sz w:val="20"/>
        </w:rPr>
        <w:t xml:space="preserve"> </w:t>
      </w:r>
      <w:r>
        <w:rPr>
          <w:rFonts w:ascii="Arial" w:hAnsi="Arial"/>
          <w:color w:val="000000"/>
          <w:sz w:val="20"/>
        </w:rPr>
        <w:t xml:space="preserve">shares of common stock. Each pre-funded warrant has an initial exercise price per share of $0.00001, subject to certain adjustments. The pre-funded warrants are exercisable immediately and may be exercised at any time until all of the pre-funded warrants are exercised in full. Each common stock warrant has an initial exercise price per share of $4.90, subject to certain adjustments. The common stock warrants are immediately exercisable from the date of issuance until expiration five years after the date of issuance. Pursuant to ASC 815-40, </w:t>
      </w:r>
      <w:r>
        <w:rPr>
          <w:rFonts w:ascii="Arial" w:hAnsi="Arial"/>
          <w:i/>
          <w:color w:val="000000"/>
          <w:sz w:val="20"/>
        </w:rPr>
        <w:t>Accounting for Derivative Financial Instruments Indexed to, and Potentially Settled in, a Company’s Own Stock</w:t>
      </w:r>
      <w:r>
        <w:rPr>
          <w:rFonts w:ascii="Arial" w:hAnsi="Arial"/>
          <w:color w:val="000000"/>
          <w:sz w:val="20"/>
        </w:rPr>
        <w:t>, the pre-funded warrants and common stock warrants were classified within permanent equity. As of March 31, 2026, 3,571,435</w:t>
      </w:r>
      <w:r>
        <w:rPr>
          <w:rFonts w:ascii="Times New Roman" w:hAnsi="Times New Roman"/>
          <w:color w:val="000000"/>
          <w:sz w:val="20"/>
        </w:rPr>
        <w:t xml:space="preserve"> </w:t>
      </w:r>
      <w:r>
        <w:rPr>
          <w:rFonts w:ascii="Arial" w:hAnsi="Arial"/>
          <w:color w:val="000000"/>
          <w:sz w:val="20"/>
        </w:rPr>
        <w:t>pre-funded warrants and 3,801,750</w:t>
      </w:r>
      <w:r>
        <w:rPr>
          <w:rFonts w:ascii="Times New Roman" w:hAnsi="Times New Roman"/>
          <w:color w:val="000000"/>
          <w:sz w:val="20"/>
        </w:rPr>
        <w:t xml:space="preserve"> </w:t>
      </w:r>
      <w:r>
        <w:rPr>
          <w:rFonts w:ascii="Arial" w:hAnsi="Arial"/>
          <w:color w:val="000000"/>
          <w:sz w:val="20"/>
        </w:rPr>
        <w:t>common stock warrants remained outstanding.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In February 2015 and May 2015, the Company issued warrants to purchase 1,650,098</w:t>
      </w:r>
      <w:r>
        <w:rPr>
          <w:rFonts w:ascii="Times New Roman" w:hAnsi="Times New Roman"/>
          <w:color w:val="000000"/>
          <w:sz w:val="20"/>
        </w:rPr>
        <w:t xml:space="preserve"> </w:t>
      </w:r>
      <w:r>
        <w:rPr>
          <w:rFonts w:ascii="Arial" w:hAnsi="Arial"/>
          <w:color w:val="000000"/>
          <w:sz w:val="20"/>
        </w:rPr>
        <w:t>and 887,536</w:t>
      </w:r>
      <w:r>
        <w:rPr>
          <w:rFonts w:ascii="Times New Roman" w:hAnsi="Times New Roman"/>
          <w:color w:val="000000"/>
          <w:sz w:val="20"/>
        </w:rPr>
        <w:t xml:space="preserve"> </w:t>
      </w:r>
      <w:r>
        <w:rPr>
          <w:rFonts w:ascii="Arial" w:hAnsi="Arial"/>
          <w:color w:val="000000"/>
          <w:sz w:val="20"/>
        </w:rPr>
        <w:t>shares of Series B convertible preferred stock, respectively, at an exercise price of $1.24235</w:t>
      </w:r>
      <w:r>
        <w:rPr>
          <w:rFonts w:ascii="Times New Roman" w:hAnsi="Times New Roman"/>
          <w:color w:val="000000"/>
          <w:sz w:val="20"/>
        </w:rPr>
        <w:t xml:space="preserve"> </w:t>
      </w:r>
      <w:r>
        <w:rPr>
          <w:rFonts w:ascii="Arial" w:hAnsi="Arial"/>
          <w:color w:val="000000"/>
          <w:sz w:val="20"/>
        </w:rPr>
        <w:t>per share, or the Series B Warrants. Each Series B Warrant was immediately exercisable and expired ten years</w:t>
      </w:r>
      <w:r>
        <w:rPr>
          <w:rFonts w:ascii="Times New Roman" w:hAnsi="Times New Roman"/>
          <w:color w:val="000000"/>
          <w:sz w:val="20"/>
        </w:rPr>
        <w:t xml:space="preserve"> </w:t>
      </w:r>
      <w:r>
        <w:rPr>
          <w:rFonts w:ascii="Arial" w:hAnsi="Arial"/>
          <w:color w:val="000000"/>
          <w:sz w:val="20"/>
        </w:rPr>
        <w:t xml:space="preserve">from the original date of issuance. Pursuant to ASC 480, </w:t>
      </w:r>
      <w:r>
        <w:rPr>
          <w:rFonts w:ascii="Arial" w:hAnsi="Arial"/>
          <w:i/>
          <w:color w:val="000000"/>
          <w:sz w:val="20"/>
        </w:rPr>
        <w:t>Distinguishing Liabilities from Equity</w:t>
      </w:r>
      <w:r>
        <w:rPr>
          <w:rFonts w:ascii="Arial" w:hAnsi="Arial"/>
          <w:color w:val="000000"/>
          <w:sz w:val="20"/>
        </w:rPr>
        <w:t>, the Series B Warrants were classified as a liability and were re-measured to fair value at each balance sheet date. A total of 173,827</w:t>
      </w:r>
      <w:r>
        <w:rPr>
          <w:rFonts w:ascii="Times New Roman" w:hAnsi="Times New Roman"/>
          <w:color w:val="000000"/>
          <w:sz w:val="20"/>
        </w:rPr>
        <w:t xml:space="preserve"> </w:t>
      </w:r>
      <w:r>
        <w:rPr>
          <w:rFonts w:ascii="Arial" w:hAnsi="Arial"/>
          <w:color w:val="000000"/>
          <w:sz w:val="20"/>
        </w:rPr>
        <w:t>of the Series B Warrants were outstanding and were converted into warrants to purchase 12,686</w:t>
      </w:r>
      <w:r>
        <w:rPr>
          <w:rFonts w:ascii="Times New Roman" w:hAnsi="Times New Roman"/>
          <w:color w:val="000000"/>
          <w:sz w:val="20"/>
        </w:rPr>
        <w:t xml:space="preserve"> </w:t>
      </w:r>
      <w:r>
        <w:rPr>
          <w:rFonts w:ascii="Arial" w:hAnsi="Arial"/>
          <w:color w:val="000000"/>
          <w:sz w:val="20"/>
        </w:rPr>
        <w:t>shares of common stock with an exercise price of $17.03</w:t>
      </w:r>
      <w:r>
        <w:rPr>
          <w:rFonts w:ascii="Times New Roman" w:hAnsi="Times New Roman"/>
          <w:color w:val="000000"/>
          <w:sz w:val="20"/>
        </w:rPr>
        <w:t xml:space="preserve"> </w:t>
      </w:r>
      <w:r>
        <w:rPr>
          <w:rFonts w:ascii="Arial" w:hAnsi="Arial"/>
          <w:color w:val="000000"/>
          <w:sz w:val="20"/>
        </w:rPr>
        <w:t>upon the completion of the IPO in November 2021. As a result, the 12,686</w:t>
      </w:r>
      <w:r>
        <w:rPr>
          <w:rFonts w:ascii="Times New Roman" w:hAnsi="Times New Roman"/>
          <w:color w:val="000000"/>
          <w:sz w:val="20"/>
        </w:rPr>
        <w:t xml:space="preserve"> </w:t>
      </w:r>
      <w:r>
        <w:rPr>
          <w:rFonts w:ascii="Arial" w:hAnsi="Arial"/>
          <w:color w:val="000000"/>
          <w:sz w:val="20"/>
        </w:rPr>
        <w:t>common stock warrants were converted into equity instruments. All of these common stock warrants expired in 2025, and none remain outstanding as of March 31, 2026.</w:t>
      </w:r>
    </w:p>
    <w:p>
      <w:pPr>
        <w:pStyle w:val="TextBody"/>
        <w:bidi w:val="0"/>
        <w:spacing w:before="80" w:after="283"/>
        <w:jc w:val="both"/>
        <w:rPr>
          <w:rFonts w:ascii="Arial" w:hAnsi="Arial"/>
          <w:color w:val="000000"/>
          <w:sz w:val="20"/>
        </w:rPr>
      </w:pPr>
      <w:r>
        <w:rPr>
          <w:rFonts w:ascii="Arial" w:hAnsi="Arial"/>
          <w:color w:val="000000"/>
          <w:sz w:val="20"/>
        </w:rPr>
        <w:t>The following is a summary of warrant activity for the three months ended March 31, 2026:</w:t>
      </w:r>
    </w:p>
    <w:p>
      <w:pPr>
        <w:pStyle w:val="TextBody"/>
        <w:bidi w:val="0"/>
        <w:spacing w:before="80" w:after="283"/>
        <w:jc w:val="both"/>
        <w:rPr/>
      </w:pPr>
      <w:r>
        <w:rPr/>
        <w:t> </w:t>
      </w:r>
    </w:p>
    <w:tbl>
      <w:tblPr>
        <w:tblW w:w="6742" w:type="dxa"/>
        <w:jc w:val="left"/>
        <w:tblInd w:w="0" w:type="dxa"/>
        <w:tblLayout w:type="fixed"/>
        <w:tblCellMar>
          <w:top w:w="28" w:type="dxa"/>
          <w:left w:w="28" w:type="dxa"/>
          <w:bottom w:w="28" w:type="dxa"/>
          <w:right w:w="28" w:type="dxa"/>
        </w:tblCellMar>
      </w:tblPr>
      <w:tblGrid>
        <w:gridCol w:w="3421"/>
        <w:gridCol w:w="146"/>
        <w:gridCol w:w="203"/>
        <w:gridCol w:w="1342"/>
        <w:gridCol w:w="166"/>
        <w:gridCol w:w="146"/>
        <w:gridCol w:w="146"/>
        <w:gridCol w:w="961"/>
        <w:gridCol w:w="21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Number of Warrants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Equity classified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7,398,185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7,373,185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7,373,185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Arial" w:hAnsi="Arial"/>
          <w:b/>
          <w:color w:val="000000"/>
          <w:sz w:val="20"/>
        </w:rPr>
      </w:pPr>
      <w:r>
        <w:rPr>
          <w:rFonts w:ascii="Arial" w:hAnsi="Arial"/>
          <w:b/>
          <w:color w:val="000000"/>
          <w:sz w:val="20"/>
        </w:rPr>
        <w:t>11. Compensation</w:t>
      </w:r>
    </w:p>
    <w:p>
      <w:pPr>
        <w:pStyle w:val="TextBody"/>
        <w:bidi w:val="0"/>
        <w:spacing w:before="80" w:after="283"/>
        <w:jc w:val="both"/>
        <w:rPr>
          <w:rFonts w:ascii="Times New Roman" w:hAnsi="Times New Roman"/>
          <w:sz w:val="20"/>
        </w:rPr>
      </w:pPr>
      <w:r>
        <w:rPr>
          <w:rFonts w:ascii="Arial" w:hAnsi="Arial"/>
          <w:color w:val="000000"/>
          <w:sz w:val="20"/>
        </w:rPr>
        <w:t>In January 2012, the Company adopted the Aura Biosciences 401(k) Profit Sharing Plan and Trust (the “401(k) Plan”) for its employees, which is designed to be qualified under Section 401(k) of the Code. Eligible employees are permitted to contribute to the 401(k) Plan within statutory and 401(k) Plan limits. The Company makes matching contributions of 100% of the first 6% of employee contributions. The Company made matching contributions of $0.4</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for the three months ended March 31, 2026 and 2025, respectively.</w:t>
      </w:r>
    </w:p>
    <w:p>
      <w:pPr>
        <w:pStyle w:val="TextBody"/>
        <w:bidi w:val="0"/>
        <w:spacing w:before="240" w:after="283"/>
        <w:jc w:val="left"/>
        <w:rPr>
          <w:rFonts w:ascii="Arial" w:hAnsi="Arial"/>
          <w:b/>
          <w:color w:val="000000"/>
          <w:sz w:val="20"/>
        </w:rPr>
      </w:pPr>
      <w:r>
        <w:rPr>
          <w:rFonts w:ascii="Arial" w:hAnsi="Arial"/>
          <w:b/>
          <w:color w:val="000000"/>
          <w:sz w:val="20"/>
        </w:rPr>
        <w:t>12. Commitments and Contingencies</w:t>
      </w:r>
    </w:p>
    <w:p>
      <w:pPr>
        <w:pStyle w:val="TextBody"/>
        <w:bidi w:val="0"/>
        <w:spacing w:before="80" w:after="283"/>
        <w:jc w:val="left"/>
        <w:rPr>
          <w:rFonts w:ascii="Times New Roman" w:hAnsi="Times New Roman"/>
          <w:sz w:val="20"/>
        </w:rPr>
      </w:pPr>
      <w:r>
        <w:rPr>
          <w:rFonts w:ascii="Arial" w:hAnsi="Arial"/>
          <w:b/>
          <w:i/>
          <w:color w:val="000000"/>
          <w:sz w:val="20"/>
        </w:rPr>
        <w:t>Lease Commitments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historically entered into lease arrangements for its facilities. The Company has one</w:t>
      </w:r>
      <w:r>
        <w:rPr>
          <w:rFonts w:ascii="Times New Roman" w:hAnsi="Times New Roman"/>
          <w:color w:val="000000"/>
          <w:sz w:val="20"/>
        </w:rPr>
        <w:t xml:space="preserve"> </w:t>
      </w:r>
      <w:r>
        <w:rPr>
          <w:rFonts w:ascii="Arial" w:hAnsi="Arial"/>
          <w:color w:val="000000"/>
          <w:sz w:val="20"/>
        </w:rPr>
        <w:t>operating lease for its office and laboratory facility with required future minimum payments as of March 31, 2026.</w:t>
      </w:r>
    </w:p>
    <w:p>
      <w:pPr>
        <w:pStyle w:val="TextBody"/>
        <w:bidi w:val="0"/>
        <w:spacing w:before="240" w:after="283"/>
        <w:jc w:val="both"/>
        <w:rPr>
          <w:rFonts w:ascii="Times New Roman" w:hAnsi="Times New Roman"/>
          <w:sz w:val="20"/>
        </w:rPr>
      </w:pPr>
      <w:r>
        <w:rPr>
          <w:rFonts w:ascii="Arial" w:hAnsi="Arial"/>
          <w:color w:val="000000"/>
          <w:sz w:val="20"/>
        </w:rPr>
        <w:t>On May 16, 2022, the Company entered into an office and laboratory lease in Boston, Massachusetts with an initial 10-year term and one renewal option to extend the lease for an additional seven years</w:t>
      </w:r>
      <w:r>
        <w:rPr>
          <w:rFonts w:ascii="Times New Roman" w:hAnsi="Times New Roman"/>
          <w:color w:val="000000"/>
          <w:sz w:val="20"/>
        </w:rPr>
        <w:t xml:space="preserve"> </w:t>
      </w:r>
      <w:r>
        <w:rPr>
          <w:rFonts w:ascii="Arial" w:hAnsi="Arial"/>
          <w:color w:val="000000"/>
          <w:sz w:val="20"/>
        </w:rPr>
        <w:t>which has not been deemed probable of being exercised by the Company as of March 31, 2026. The lease commenced on August 1, 2022, and estimated payments due under the initial term are approximately $35.2</w:t>
      </w:r>
      <w:r>
        <w:rPr>
          <w:rFonts w:ascii="Times New Roman" w:hAnsi="Times New Roman"/>
          <w:color w:val="000000"/>
          <w:sz w:val="20"/>
        </w:rPr>
        <w:t xml:space="preserve"> </w:t>
      </w:r>
      <w:r>
        <w:rPr>
          <w:rFonts w:ascii="Arial" w:hAnsi="Arial"/>
          <w:color w:val="000000"/>
          <w:sz w:val="20"/>
        </w:rPr>
        <w:t>million. The lease requires a letter of credit totaling $0.8</w:t>
      </w:r>
      <w:r>
        <w:rPr>
          <w:rFonts w:ascii="Times New Roman" w:hAnsi="Times New Roman"/>
          <w:color w:val="000000"/>
          <w:sz w:val="20"/>
        </w:rPr>
        <w:t xml:space="preserve"> </w:t>
      </w:r>
      <w:r>
        <w:rPr>
          <w:rFonts w:ascii="Arial" w:hAnsi="Arial"/>
          <w:color w:val="000000"/>
          <w:sz w:val="20"/>
        </w:rPr>
        <w:t>million which is classified as long-term restricted cash and deposits on the unaudited condensed consolidated balance sheets.</w:t>
      </w:r>
    </w:p>
    <w:p>
      <w:pPr>
        <w:pStyle w:val="TextBody"/>
        <w:bidi w:val="0"/>
        <w:spacing w:before="240" w:after="283"/>
        <w:jc w:val="both"/>
        <w:rPr>
          <w:rFonts w:ascii="Arial" w:hAnsi="Arial"/>
          <w:color w:val="000000"/>
          <w:sz w:val="20"/>
        </w:rPr>
      </w:pPr>
      <w:r>
        <w:rPr>
          <w:rFonts w:ascii="Arial" w:hAnsi="Arial"/>
          <w:color w:val="000000"/>
          <w:sz w:val="20"/>
        </w:rPr>
        <w:t>The following table contains a summary of the lease costs recognized under ASC 842 and other information pertaining to the Company’s leases for the three months ended March 31, 2026 and 2025 (in thousands):</w:t>
      </w:r>
    </w:p>
    <w:tbl>
      <w:tblPr>
        <w:tblW w:w="4547" w:type="dxa"/>
        <w:jc w:val="left"/>
        <w:tblInd w:w="0" w:type="dxa"/>
        <w:tblLayout w:type="fixed"/>
        <w:tblCellMar>
          <w:top w:w="28" w:type="dxa"/>
          <w:left w:w="28" w:type="dxa"/>
          <w:bottom w:w="28" w:type="dxa"/>
          <w:right w:w="28" w:type="dxa"/>
        </w:tblCellMar>
      </w:tblPr>
      <w:tblGrid>
        <w:gridCol w:w="2026"/>
        <w:gridCol w:w="146"/>
        <w:gridCol w:w="228"/>
        <w:gridCol w:w="634"/>
        <w:gridCol w:w="157"/>
        <w:gridCol w:w="157"/>
        <w:gridCol w:w="228"/>
        <w:gridCol w:w="634"/>
        <w:gridCol w:w="146"/>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1,403</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64"/>
        <w:gridCol w:w="146"/>
        <w:gridCol w:w="146"/>
        <w:gridCol w:w="146"/>
        <w:gridCol w:w="146"/>
        <w:gridCol w:w="211"/>
        <w:gridCol w:w="586"/>
        <w:gridCol w:w="286"/>
        <w:gridCol w:w="146"/>
        <w:gridCol w:w="211"/>
        <w:gridCol w:w="586"/>
        <w:gridCol w:w="331"/>
      </w:tblGrid>
      <w:tr>
        <w:trPr/>
        <w:tc>
          <w:tcPr>
            <w:tcW w:w="7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in the measurement of lease liabilities—operating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term—operating leases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following table reconciles the future minimum commitments to the Company’s operating lease liabilities at March 31, 2026 (in thousands):</w:t>
      </w:r>
    </w:p>
    <w:tbl>
      <w:tblPr>
        <w:tblW w:w="8207" w:type="dxa"/>
        <w:jc w:val="left"/>
        <w:tblInd w:w="0" w:type="dxa"/>
        <w:tblLayout w:type="fixed"/>
        <w:tblCellMar>
          <w:top w:w="28" w:type="dxa"/>
          <w:left w:w="28" w:type="dxa"/>
          <w:bottom w:w="28" w:type="dxa"/>
          <w:right w:w="28" w:type="dxa"/>
        </w:tblCellMar>
      </w:tblPr>
      <w:tblGrid>
        <w:gridCol w:w="3526"/>
        <w:gridCol w:w="1042"/>
        <w:gridCol w:w="3428"/>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Operating lease payments as of March 31,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payments</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March 31, 2026</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16,991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lease liabilities</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net of current portion</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License Agreements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Company has entered into the following key agreements that relate to the core technology under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Rakuten License and Supply Agreement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pStyle w:val="TextBody"/>
        <w:bidi w:val="0"/>
        <w:jc w:val="both"/>
        <w:rPr/>
      </w:pPr>
      <w:r>
        <w:rPr/>
        <w:t> </w:t>
      </w:r>
    </w:p>
    <w:p>
      <w:pPr>
        <w:pStyle w:val="TextBody"/>
        <w:bidi w:val="0"/>
        <w:jc w:val="both"/>
        <w:rPr>
          <w:rFonts w:ascii="Arial" w:hAnsi="Arial"/>
          <w:color w:val="000000"/>
          <w:sz w:val="20"/>
          <w:u w:val="single"/>
        </w:rPr>
      </w:pPr>
      <w:r>
        <w:rPr>
          <w:rFonts w:ascii="Arial" w:hAnsi="Arial"/>
          <w:color w:val="000000"/>
          <w:sz w:val="20"/>
          <w:u w:val="single"/>
        </w:rPr>
        <w:t>2014 Exclusive Agreement</w:t>
      </w:r>
    </w:p>
    <w:p>
      <w:pPr>
        <w:pStyle w:val="TextBody"/>
        <w:bidi w:val="0"/>
        <w:spacing w:before="80" w:after="283"/>
        <w:jc w:val="both"/>
        <w:rPr>
          <w:rFonts w:ascii="Times New Roman" w:hAnsi="Times New Roman"/>
          <w:sz w:val="20"/>
        </w:rPr>
      </w:pPr>
      <w:r>
        <w:rPr>
          <w:rFonts w:ascii="Arial" w:hAnsi="Arial"/>
          <w:color w:val="000000"/>
          <w:sz w:val="20"/>
        </w:rPr>
        <w:t>In January 2014, the Company entered into an Exclusive License and Supply Agreement, or the 2014 Exclusive Agreement, with LI-COR for the license of IRDye 700DX and related licensed patent (now expired) for the treatment and diagnosis of ocular cancers in humans, as amended in January 2016, July 2017, April 2018 and April 2019. The 2014 Exclusive Agreement required a one-time upfront license issue fee of $0.1</w:t>
      </w:r>
      <w:r>
        <w:rPr>
          <w:rFonts w:ascii="Times New Roman" w:hAnsi="Times New Roman"/>
          <w:color w:val="000000"/>
          <w:sz w:val="20"/>
        </w:rPr>
        <w:t xml:space="preserve"> </w:t>
      </w:r>
      <w:r>
        <w:rPr>
          <w:rFonts w:ascii="Arial" w:hAnsi="Arial"/>
          <w:color w:val="000000"/>
          <w:sz w:val="20"/>
        </w:rPr>
        <w:t>million and aggregate milestone payments of up to $0.2</w:t>
      </w:r>
      <w:r>
        <w:rPr>
          <w:rFonts w:ascii="Times New Roman" w:hAnsi="Times New Roman"/>
          <w:color w:val="000000"/>
          <w:sz w:val="20"/>
        </w:rPr>
        <w:t xml:space="preserve"> </w:t>
      </w:r>
      <w:r>
        <w:rPr>
          <w:rFonts w:ascii="Arial" w:hAnsi="Arial"/>
          <w:color w:val="000000"/>
          <w:sz w:val="20"/>
        </w:rPr>
        <w:t>million upon certain regulatory and development milestones. The Company is also required to pay Rakuten low-single digit royalties on net sales. The term of the 2014 Exclusive Agreement expires on a country-by-country basis, until the longer of (i) ten years</w:t>
      </w:r>
      <w:r>
        <w:rPr>
          <w:rFonts w:ascii="Times New Roman" w:hAnsi="Times New Roman"/>
          <w:color w:val="000000"/>
          <w:sz w:val="20"/>
        </w:rPr>
        <w:t xml:space="preserve"> </w:t>
      </w:r>
      <w:r>
        <w:rPr>
          <w:rFonts w:ascii="Arial" w:hAnsi="Arial"/>
          <w:color w:val="000000"/>
          <w:sz w:val="20"/>
        </w:rPr>
        <w:t>from the first commercial sale of a licensed product in such country and (ii) the last to expire valid claim in such country.</w:t>
      </w:r>
    </w:p>
    <w:p>
      <w:pPr>
        <w:pStyle w:val="TextBody"/>
        <w:bidi w:val="0"/>
        <w:spacing w:before="80" w:after="283"/>
        <w:jc w:val="both"/>
        <w:rPr>
          <w:rFonts w:ascii="Times New Roman" w:hAnsi="Times New Roman"/>
          <w:sz w:val="20"/>
        </w:rPr>
      </w:pPr>
      <w:r>
        <w:rPr>
          <w:rFonts w:ascii="Arial" w:hAnsi="Arial"/>
          <w:color w:val="000000"/>
          <w:sz w:val="20"/>
        </w:rPr>
        <w:t>The Company recognized no</w:t>
      </w:r>
      <w:r>
        <w:rPr>
          <w:rFonts w:ascii="Times New Roman" w:hAnsi="Times New Roman"/>
          <w:color w:val="000000"/>
          <w:sz w:val="20"/>
        </w:rPr>
        <w:t xml:space="preserve"> </w:t>
      </w:r>
      <w:r>
        <w:rPr>
          <w:rFonts w:ascii="Arial" w:hAnsi="Arial"/>
          <w:color w:val="000000"/>
          <w:sz w:val="20"/>
        </w:rPr>
        <w:t>expenses related to this agreement and related amendments for the three months ended March 31, 2026 and 2025, respectively.</w:t>
      </w:r>
    </w:p>
    <w:p>
      <w:pPr>
        <w:pStyle w:val="TextBody"/>
        <w:bidi w:val="0"/>
        <w:spacing w:before="240" w:after="283"/>
        <w:jc w:val="both"/>
        <w:rPr>
          <w:rFonts w:ascii="Times New Roman" w:hAnsi="Times New Roman"/>
          <w:sz w:val="20"/>
        </w:rPr>
      </w:pPr>
      <w:r>
        <w:rPr>
          <w:rFonts w:ascii="Arial" w:hAnsi="Arial"/>
          <w:color w:val="000000"/>
          <w:sz w:val="20"/>
          <w:u w:val="single"/>
        </w:rPr>
        <w:t>2014 Non-Exclusive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w:t>
      </w:r>
      <w:r>
        <w:rPr>
          <w:rFonts w:ascii="Times New Roman" w:hAnsi="Times New Roman"/>
          <w:color w:val="000000"/>
          <w:sz w:val="20"/>
        </w:rPr>
        <w:t xml:space="preserve"> </w:t>
      </w:r>
      <w:r>
        <w:rPr>
          <w:rFonts w:ascii="Arial" w:hAnsi="Arial"/>
          <w:color w:val="000000"/>
          <w:sz w:val="20"/>
        </w:rPr>
        <w:t>million on the effective date. The Company must also pay Rakuten a non-refundable, non-creditable fee of $0.03</w:t>
      </w:r>
      <w:r>
        <w:rPr>
          <w:rFonts w:ascii="Times New Roman" w:hAnsi="Times New Roman"/>
          <w:color w:val="000000"/>
          <w:sz w:val="20"/>
        </w:rPr>
        <w:t xml:space="preserve"> </w:t>
      </w:r>
      <w:r>
        <w:rPr>
          <w:rFonts w:ascii="Arial" w:hAnsi="Arial"/>
          <w:color w:val="000000"/>
          <w:sz w:val="20"/>
        </w:rPr>
        <w:t>million per each licensed product upon pre-IND designation, as defined of such licensed product, aggregate milestone payments of up to $0.3</w:t>
      </w:r>
      <w:r>
        <w:rPr>
          <w:rFonts w:ascii="Times New Roman" w:hAnsi="Times New Roman"/>
          <w:color w:val="000000"/>
          <w:sz w:val="20"/>
        </w:rPr>
        <w:t xml:space="preserve"> </w:t>
      </w:r>
      <w:r>
        <w:rPr>
          <w:rFonts w:ascii="Arial" w:hAnsi="Arial"/>
          <w:color w:val="000000"/>
          <w:sz w:val="20"/>
        </w:rPr>
        <w:t>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w:t>
      </w:r>
      <w:r>
        <w:rPr>
          <w:rFonts w:ascii="Times New Roman" w:hAnsi="Times New Roman"/>
          <w:color w:val="000000"/>
          <w:sz w:val="20"/>
        </w:rPr>
        <w:t xml:space="preserve"> </w:t>
      </w:r>
      <w:r>
        <w:rPr>
          <w:rFonts w:ascii="Arial" w:hAnsi="Arial"/>
          <w:color w:val="000000"/>
          <w:sz w:val="20"/>
        </w:rPr>
        <w:t>million in aggregate. During the three months ended March 31, 2026 and 2025,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expenses related to milestones associated with this agreement.</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Life Technologies Corporation License Agreements</w:t>
      </w:r>
    </w:p>
    <w:p>
      <w:pPr>
        <w:pStyle w:val="TextBody"/>
        <w:bidi w:val="0"/>
        <w:spacing w:before="80" w:after="283"/>
        <w:jc w:val="both"/>
        <w:rPr>
          <w:rFonts w:ascii="Times New Roman" w:hAnsi="Times New Roman"/>
          <w:sz w:val="20"/>
        </w:rPr>
      </w:pPr>
      <w:r>
        <w:rPr>
          <w:rFonts w:ascii="Arial" w:hAnsi="Arial"/>
          <w:color w:val="000000"/>
          <w:sz w:val="20"/>
        </w:rPr>
        <w:t>In December 2014, the Company entered into a non-exclusive, perpetual license agreement with Life Technologies Corporation, or the Life Technologies, which allows for five</w:t>
      </w:r>
      <w:r>
        <w:rPr>
          <w:rFonts w:ascii="Times New Roman" w:hAnsi="Times New Roman"/>
          <w:color w:val="000000"/>
          <w:sz w:val="20"/>
        </w:rPr>
        <w:t xml:space="preserve"> </w:t>
      </w:r>
      <w:r>
        <w:rPr>
          <w:rFonts w:ascii="Arial" w:hAnsi="Arial"/>
          <w:color w:val="000000"/>
          <w:sz w:val="20"/>
        </w:rPr>
        <w:t>licensed products. Under this agreement the Company is required to pay an initial license fee of $0.1</w:t>
      </w:r>
      <w:r>
        <w:rPr>
          <w:rFonts w:ascii="Times New Roman" w:hAnsi="Times New Roman"/>
          <w:color w:val="000000"/>
          <w:sz w:val="20"/>
        </w:rPr>
        <w:t xml:space="preserve"> </w:t>
      </w:r>
      <w:r>
        <w:rPr>
          <w:rFonts w:ascii="Arial" w:hAnsi="Arial"/>
          <w:color w:val="000000"/>
          <w:sz w:val="20"/>
        </w:rPr>
        <w:t>million for each product. An annual development fee of $0.1</w:t>
      </w:r>
      <w:r>
        <w:rPr>
          <w:rFonts w:ascii="Times New Roman" w:hAnsi="Times New Roman"/>
          <w:color w:val="000000"/>
          <w:sz w:val="20"/>
        </w:rPr>
        <w:t xml:space="preserve"> </w:t>
      </w:r>
      <w:r>
        <w:rPr>
          <w:rFonts w:ascii="Arial" w:hAnsi="Arial"/>
          <w:color w:val="000000"/>
          <w:sz w:val="20"/>
        </w:rPr>
        <w:t>million is due within a year from payment of the initial license fee and due annually or earlier of (i) payment of a commercialization fee or (ii) all development work is terminated. The commercialization fee is a one-time, non-refundable, non-creditable fee of $0.3</w:t>
      </w:r>
      <w:r>
        <w:rPr>
          <w:rFonts w:ascii="Times New Roman" w:hAnsi="Times New Roman"/>
          <w:color w:val="000000"/>
          <w:sz w:val="20"/>
        </w:rPr>
        <w:t xml:space="preserve"> </w:t>
      </w:r>
      <w:r>
        <w:rPr>
          <w:rFonts w:ascii="Arial" w:hAnsi="Arial"/>
          <w:color w:val="000000"/>
          <w:sz w:val="20"/>
        </w:rPr>
        <w:t>million due upon receipt of approval of a licensed product. In the event of a change of control, there will be a change of control fee of $0.2</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January 2022, the Company entered into the First Amendment to the non-exclusive, perpetual license agreement with Life Technologies for use of the license in an additional indication. The cost of this amendment was a one-time fee of $0.05</w:t>
      </w:r>
      <w:r>
        <w:rPr>
          <w:rFonts w:ascii="Times New Roman" w:hAnsi="Times New Roman"/>
          <w:color w:val="000000"/>
          <w:sz w:val="20"/>
        </w:rPr>
        <w:t xml:space="preserve"> </w:t>
      </w:r>
      <w:r>
        <w:rPr>
          <w:rFonts w:ascii="Arial" w:hAnsi="Arial"/>
          <w:color w:val="000000"/>
          <w:sz w:val="20"/>
        </w:rPr>
        <w:t>million. During the three months ended March 31, 2026 and 2025, the Company recognized</w:t>
      </w:r>
      <w:r>
        <w:rPr>
          <w:rFonts w:ascii="Times New Roman" w:hAnsi="Times New Roman"/>
          <w:color w:val="000000"/>
          <w:sz w:val="20"/>
        </w:rPr>
        <w:t xml:space="preserve"> </w:t>
      </w: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milestones related to this agreement.</w:t>
      </w:r>
    </w:p>
    <w:p>
      <w:pPr>
        <w:pStyle w:val="TextBody"/>
        <w:bidi w:val="0"/>
        <w:spacing w:before="240" w:after="283"/>
        <w:jc w:val="both"/>
        <w:rPr>
          <w:rFonts w:ascii="Times New Roman" w:hAnsi="Times New Roman"/>
          <w:sz w:val="20"/>
        </w:rPr>
      </w:pPr>
      <w:r>
        <w:rPr>
          <w:rFonts w:ascii="Arial" w:hAnsi="Arial"/>
          <w:color w:val="000000"/>
          <w:sz w:val="20"/>
        </w:rPr>
        <w:t>Effective in September 2022, the Company entered into a new non-exclusive, perpetual license agreement with Life Technologies for licensed products. Under this agreement, the Company is required to pay an initial license fee of $0.4</w:t>
      </w:r>
      <w:r>
        <w:rPr>
          <w:rFonts w:ascii="Times New Roman" w:hAnsi="Times New Roman"/>
          <w:color w:val="000000"/>
          <w:sz w:val="20"/>
        </w:rPr>
        <w:t xml:space="preserve"> </w:t>
      </w:r>
      <w:r>
        <w:rPr>
          <w:rFonts w:ascii="Arial" w:hAnsi="Arial"/>
          <w:color w:val="000000"/>
          <w:sz w:val="20"/>
        </w:rPr>
        <w:t>million for the first licensed product and $0.5</w:t>
      </w:r>
      <w:r>
        <w:rPr>
          <w:rFonts w:ascii="Times New Roman" w:hAnsi="Times New Roman"/>
          <w:color w:val="000000"/>
          <w:sz w:val="20"/>
        </w:rPr>
        <w:t xml:space="preserve"> </w:t>
      </w:r>
      <w:r>
        <w:rPr>
          <w:rFonts w:ascii="Arial" w:hAnsi="Arial"/>
          <w:color w:val="000000"/>
          <w:sz w:val="20"/>
        </w:rPr>
        <w:t>million for each additional licensed product. In addition, the agreement allows the Company the right to sublicense which would lead to a $0.2</w:t>
      </w:r>
      <w:r>
        <w:rPr>
          <w:rFonts w:ascii="Times New Roman" w:hAnsi="Times New Roman"/>
          <w:color w:val="000000"/>
          <w:sz w:val="20"/>
        </w:rPr>
        <w:t xml:space="preserve"> </w:t>
      </w:r>
      <w:r>
        <w:rPr>
          <w:rFonts w:ascii="Arial" w:hAnsi="Arial"/>
          <w:color w:val="000000"/>
          <w:sz w:val="20"/>
        </w:rPr>
        <w:t>million payment for each sublicense per licensed product and a $0.03</w:t>
      </w:r>
      <w:r>
        <w:rPr>
          <w:rFonts w:ascii="Times New Roman" w:hAnsi="Times New Roman"/>
          <w:color w:val="000000"/>
          <w:sz w:val="20"/>
        </w:rPr>
        <w:t xml:space="preserve"> </w:t>
      </w:r>
      <w:r>
        <w:rPr>
          <w:rFonts w:ascii="Arial" w:hAnsi="Arial"/>
          <w:color w:val="000000"/>
          <w:sz w:val="20"/>
        </w:rPr>
        <w:t>million payment for use of the cell line document package. In the event of a change of control, there will be a change of control fee of $0.5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During the three months ended March 31, 2026 and 2025, the Company recognized no</w:t>
      </w:r>
      <w:r>
        <w:rPr>
          <w:rFonts w:ascii="Times New Roman" w:hAnsi="Times New Roman"/>
          <w:color w:val="000000"/>
          <w:sz w:val="20"/>
        </w:rPr>
        <w:t xml:space="preserve"> </w:t>
      </w:r>
      <w:r>
        <w:rPr>
          <w:rFonts w:ascii="Arial" w:hAnsi="Arial"/>
          <w:color w:val="000000"/>
          <w:sz w:val="20"/>
        </w:rPr>
        <w:t>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(NIH)-Collaboration Research and Development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July 2011, the Company entered into a Collaboration Research and Development Agreement, or CRADA, with Dr. John Schiller at the NIH, for a period of two years</w:t>
      </w:r>
      <w:r>
        <w:rPr>
          <w:rFonts w:ascii="Times New Roman" w:hAnsi="Times New Roman"/>
          <w:color w:val="000000"/>
          <w:sz w:val="20"/>
        </w:rPr>
        <w:t xml:space="preserve"> </w:t>
      </w:r>
      <w:r>
        <w:rPr>
          <w:rFonts w:ascii="Arial" w:hAnsi="Arial"/>
          <w:color w:val="000000"/>
          <w:sz w:val="20"/>
        </w:rPr>
        <w:t>with the rights to an exclusive license to all technology generated within the collaboration. Under this agreement, the Company is required to make annual payments of $0.03</w:t>
      </w:r>
      <w:r>
        <w:rPr>
          <w:rFonts w:ascii="Times New Roman" w:hAnsi="Times New Roman"/>
          <w:color w:val="000000"/>
          <w:sz w:val="20"/>
        </w:rPr>
        <w:t xml:space="preserve"> </w:t>
      </w:r>
      <w:r>
        <w:rPr>
          <w:rFonts w:ascii="Arial" w:hAnsi="Arial"/>
          <w:color w:val="000000"/>
          <w:sz w:val="20"/>
        </w:rPr>
        <w:t>million to fund the research activities, the first payment of which was paid within 30</w:t>
      </w:r>
      <w:r>
        <w:rPr>
          <w:rFonts w:ascii="Times New Roman" w:hAnsi="Times New Roman"/>
          <w:color w:val="000000"/>
          <w:sz w:val="20"/>
        </w:rPr>
        <w:t xml:space="preserve"> </w:t>
      </w:r>
      <w:r>
        <w:rPr>
          <w:rFonts w:ascii="Arial" w:hAnsi="Arial"/>
          <w:color w:val="000000"/>
          <w:sz w:val="20"/>
        </w:rPr>
        <w:t>days of the effective date. Subsequent payments are due within 30</w:t>
      </w:r>
      <w:r>
        <w:rPr>
          <w:rFonts w:ascii="Times New Roman" w:hAnsi="Times New Roman"/>
          <w:color w:val="000000"/>
          <w:sz w:val="20"/>
        </w:rPr>
        <w:t xml:space="preserve"> </w:t>
      </w:r>
      <w:r>
        <w:rPr>
          <w:rFonts w:ascii="Arial" w:hAnsi="Arial"/>
          <w:color w:val="000000"/>
          <w:sz w:val="20"/>
        </w:rPr>
        <w:t>days of the anniversary of the effective date. This agreement was previously amended in 2012, 2013, 2014, 2015, 2016, 2018, 2020, and 2022. During the three months ended March 31, 2026 and 2025, the Company paid no</w:t>
      </w:r>
      <w:r>
        <w:rPr>
          <w:rFonts w:ascii="Times New Roman" w:hAnsi="Times New Roman"/>
          <w:color w:val="000000"/>
          <w:sz w:val="20"/>
        </w:rPr>
        <w:t xml:space="preserve"> </w:t>
      </w:r>
      <w:r>
        <w:rPr>
          <w:rFonts w:ascii="Arial" w:hAnsi="Arial"/>
          <w:color w:val="000000"/>
          <w:sz w:val="20"/>
        </w:rPr>
        <w:t>research collaboration fees related to this agreement.</w:t>
      </w:r>
    </w:p>
    <w:p>
      <w:pPr>
        <w:pStyle w:val="TextBody"/>
        <w:bidi w:val="0"/>
        <w:spacing w:before="80" w:after="283"/>
        <w:jc w:val="both"/>
        <w:rPr>
          <w:rFonts w:ascii="Times New Roman" w:hAnsi="Times New Roman"/>
          <w:sz w:val="20"/>
        </w:rPr>
      </w:pPr>
      <w:r>
        <w:rPr>
          <w:rFonts w:ascii="Arial" w:hAnsi="Arial"/>
          <w:color w:val="000000"/>
          <w:sz w:val="20"/>
        </w:rPr>
        <w:t>A ninth amendment was effective in September 2024, requiring payment of $0.06</w:t>
      </w:r>
      <w:r>
        <w:rPr>
          <w:rFonts w:ascii="Times New Roman" w:hAnsi="Times New Roman"/>
          <w:color w:val="000000"/>
          <w:sz w:val="20"/>
        </w:rPr>
        <w:t xml:space="preserve"> </w:t>
      </w:r>
      <w:r>
        <w:rPr>
          <w:rFonts w:ascii="Arial" w:hAnsi="Arial"/>
          <w:color w:val="000000"/>
          <w:sz w:val="20"/>
        </w:rPr>
        <w:t>million within 30 days of November 30, 2024, and payment of another $0.05</w:t>
      </w:r>
      <w:r>
        <w:rPr>
          <w:rFonts w:ascii="Times New Roman" w:hAnsi="Times New Roman"/>
          <w:color w:val="000000"/>
          <w:sz w:val="20"/>
        </w:rPr>
        <w:t xml:space="preserve"> </w:t>
      </w:r>
      <w:r>
        <w:rPr>
          <w:rFonts w:ascii="Arial" w:hAnsi="Arial"/>
          <w:color w:val="000000"/>
          <w:sz w:val="20"/>
        </w:rPr>
        <w:t>million within 30</w:t>
      </w:r>
      <w:r>
        <w:rPr>
          <w:rFonts w:ascii="Times New Roman" w:hAnsi="Times New Roman"/>
          <w:color w:val="000000"/>
          <w:sz w:val="20"/>
        </w:rPr>
        <w:t xml:space="preserve"> </w:t>
      </w:r>
      <w:r>
        <w:rPr>
          <w:rFonts w:ascii="Arial" w:hAnsi="Arial"/>
          <w:color w:val="000000"/>
          <w:sz w:val="20"/>
        </w:rPr>
        <w:t>days of September 30, 2025. This ninth amendment extended the term of the CRADA to September 30, 2026. During the three months ended March 31, 2026 and 2025, the Company did not recognize any expenses related to this agreement.</w:t>
      </w:r>
    </w:p>
    <w:p>
      <w:pPr>
        <w:pStyle w:val="TextBody"/>
        <w:bidi w:val="0"/>
        <w:spacing w:before="240" w:after="283"/>
        <w:jc w:val="both"/>
        <w:rPr>
          <w:rFonts w:ascii="Times New Roman" w:hAnsi="Times New Roman"/>
          <w:sz w:val="20"/>
        </w:rPr>
      </w:pPr>
      <w:r>
        <w:rPr>
          <w:rFonts w:ascii="Arial" w:hAnsi="Arial"/>
          <w:i/>
          <w:color w:val="000000"/>
          <w:sz w:val="20"/>
        </w:rPr>
        <w:t>National Institute of Health (NIH)-Exclusive Patent License Agreement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 September 2013, the Company entered into an exclusive patent license agreement, or the NIH Exclusive License Agreement, with the NIH, that required the Company to pay a license issue royalty of $0.1</w:t>
      </w:r>
      <w:r>
        <w:rPr>
          <w:rFonts w:ascii="Times New Roman" w:hAnsi="Times New Roman"/>
          <w:color w:val="000000"/>
          <w:sz w:val="20"/>
        </w:rPr>
        <w:t xml:space="preserve"> </w:t>
      </w:r>
      <w:r>
        <w:rPr>
          <w:rFonts w:ascii="Arial" w:hAnsi="Arial"/>
          <w:color w:val="000000"/>
          <w:sz w:val="20"/>
        </w:rPr>
        <w:t>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w:t>
      </w:r>
      <w:r>
        <w:rPr>
          <w:rFonts w:ascii="Times New Roman" w:hAnsi="Times New Roman"/>
          <w:color w:val="000000"/>
          <w:sz w:val="20"/>
        </w:rPr>
        <w:t xml:space="preserve"> </w:t>
      </w:r>
      <w:r>
        <w:rPr>
          <w:rFonts w:ascii="Arial" w:hAnsi="Arial"/>
          <w:color w:val="000000"/>
          <w:sz w:val="20"/>
        </w:rPr>
        <w:t>million in aggregate and sales milestone payments up to $0.6</w:t>
      </w:r>
      <w:r>
        <w:rPr>
          <w:rFonts w:ascii="Times New Roman" w:hAnsi="Times New Roman"/>
          <w:color w:val="000000"/>
          <w:sz w:val="20"/>
        </w:rPr>
        <w:t xml:space="preserve"> </w:t>
      </w:r>
      <w:r>
        <w:rPr>
          <w:rFonts w:ascii="Arial" w:hAnsi="Arial"/>
          <w:color w:val="000000"/>
          <w:sz w:val="20"/>
        </w:rPr>
        <w:t>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did not recognize</w:t>
      </w:r>
      <w:r>
        <w:rPr>
          <w:rFonts w:ascii="Times New Roman" w:hAnsi="Times New Roman"/>
          <w:color w:val="000000"/>
          <w:sz w:val="20"/>
        </w:rPr>
        <w:t xml:space="preserve"> </w:t>
      </w:r>
      <w:r>
        <w:rPr>
          <w:rFonts w:ascii="Arial" w:hAnsi="Arial"/>
          <w:color w:val="000000"/>
          <w:sz w:val="20"/>
        </w:rPr>
        <w:t>any patent licensing fees for the three months ended March 31, 2026 and 2025.</w:t>
      </w:r>
    </w:p>
    <w:p>
      <w:pPr>
        <w:pStyle w:val="TextBody"/>
        <w:bidi w:val="0"/>
        <w:spacing w:before="240" w:after="283"/>
        <w:jc w:val="both"/>
        <w:rPr>
          <w:rFonts w:ascii="Times New Roman" w:hAnsi="Times New Roman"/>
          <w:sz w:val="20"/>
        </w:rPr>
      </w:pPr>
      <w:r>
        <w:rPr>
          <w:rFonts w:ascii="Arial" w:hAnsi="Arial"/>
          <w:color w:val="000000"/>
          <w:sz w:val="20"/>
        </w:rPr>
        <w:t>In 2015, 2018 and 2019, the Company amended its exclusive patent license to include updates on the status of the commercial development and update/expand the list of licensed patents and patent applications. Each of those amendments required a $0.03</w:t>
      </w:r>
      <w:r>
        <w:rPr>
          <w:rFonts w:ascii="Times New Roman" w:hAnsi="Times New Roman"/>
          <w:color w:val="000000"/>
          <w:sz w:val="20"/>
        </w:rPr>
        <w:t xml:space="preserve"> </w:t>
      </w:r>
      <w:r>
        <w:rPr>
          <w:rFonts w:ascii="Arial" w:hAnsi="Arial"/>
          <w:color w:val="000000"/>
          <w:sz w:val="20"/>
        </w:rPr>
        <w:t>million payment that the Company paid.</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Arial" w:hAnsi="Arial"/>
          <w:i/>
          <w:color w:val="000000"/>
          <w:sz w:val="20"/>
        </w:rPr>
      </w:pPr>
      <w:r>
        <w:rPr>
          <w:rFonts w:ascii="Arial" w:hAnsi="Arial"/>
          <w:i/>
          <w:color w:val="000000"/>
          <w:sz w:val="20"/>
        </w:rPr>
        <w:t>Inserm-Transfert License Agreement</w:t>
      </w:r>
    </w:p>
    <w:p>
      <w:pPr>
        <w:pStyle w:val="TextBody"/>
        <w:bidi w:val="0"/>
        <w:spacing w:before="80" w:after="283"/>
        <w:jc w:val="both"/>
        <w:rPr>
          <w:rFonts w:ascii="Times New Roman" w:hAnsi="Times New Roman"/>
          <w:sz w:val="20"/>
        </w:rPr>
      </w:pPr>
      <w:r>
        <w:rPr>
          <w:rFonts w:ascii="Arial" w:hAnsi="Arial"/>
          <w:color w:val="000000"/>
          <w:sz w:val="20"/>
        </w:rPr>
        <w:t>In November 2009, the Company entered into an exclusive, royalty-bearing patent license agreement with Inserm-Transfert of France. The agreement expires on a country-by-country basis based on the last to expire of any patent encompassed within the scope of the patent rights or 10</w:t>
      </w:r>
      <w:r>
        <w:rPr>
          <w:rFonts w:ascii="Times New Roman" w:hAnsi="Times New Roman"/>
          <w:color w:val="000000"/>
          <w:sz w:val="20"/>
        </w:rPr>
        <w:t xml:space="preserve"> </w:t>
      </w:r>
      <w:r>
        <w:rPr>
          <w:rFonts w:ascii="Arial" w:hAnsi="Arial"/>
          <w:color w:val="000000"/>
          <w:sz w:val="20"/>
        </w:rPr>
        <w:t>years from the date of the first commercial sales by the Company, whichever is later. The IND filing milestone of €0.01</w:t>
      </w:r>
      <w:r>
        <w:rPr>
          <w:rFonts w:ascii="Times New Roman" w:hAnsi="Times New Roman"/>
          <w:color w:val="000000"/>
          <w:sz w:val="20"/>
        </w:rPr>
        <w:t xml:space="preserve"> </w:t>
      </w:r>
      <w:r>
        <w:rPr>
          <w:rFonts w:ascii="Arial" w:hAnsi="Arial"/>
          <w:color w:val="000000"/>
          <w:sz w:val="20"/>
        </w:rPr>
        <w:t>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March 31, 2026.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expenses related to milestones in the three months ended March 31, 2026 and 2025.</w:t>
      </w:r>
    </w:p>
    <w:p>
      <w:pPr>
        <w:pStyle w:val="TextBody"/>
        <w:bidi w:val="0"/>
        <w:spacing w:before="240" w:after="283"/>
        <w:jc w:val="left"/>
        <w:rPr>
          <w:rFonts w:ascii="Arial" w:hAnsi="Arial"/>
          <w:i/>
          <w:color w:val="000000"/>
          <w:sz w:val="20"/>
        </w:rPr>
      </w:pPr>
      <w:r>
        <w:rPr>
          <w:rFonts w:ascii="Arial" w:hAnsi="Arial"/>
          <w:i/>
          <w:color w:val="000000"/>
          <w:sz w:val="20"/>
        </w:rPr>
        <w:t>Clearside License Agreement</w:t>
      </w:r>
    </w:p>
    <w:p>
      <w:pPr>
        <w:pStyle w:val="TextBody"/>
        <w:bidi w:val="0"/>
        <w:spacing w:before="80" w:after="283"/>
        <w:jc w:val="both"/>
        <w:rPr>
          <w:rFonts w:ascii="Times New Roman" w:hAnsi="Times New Roman"/>
          <w:sz w:val="20"/>
        </w:rPr>
      </w:pPr>
      <w:r>
        <w:rPr>
          <w:rFonts w:ascii="Arial" w:hAnsi="Arial"/>
          <w:color w:val="000000"/>
          <w:sz w:val="20"/>
        </w:rPr>
        <w:t>In July 2019, the Company entered into an exclusive license agreement, as amended, or the Clearside License Agreement, with Clearside Biomedical, Inc., or Clearside Biomedical, for the license of Clearside Biomedical’s Suprachoroidal Microneedle Technology for use in the treatment of indeterminate lesions and choroidal tumors. The Clearside License Agreement was subsequently assigned by Clearside Biomedical to Clearside Royalty LLC, or Clearside. Upon execution of the Clearside License Agreement, the Company paid Clearside Biomedical an upfront payment of $0.1</w:t>
      </w:r>
      <w:r>
        <w:rPr>
          <w:rFonts w:ascii="Times New Roman" w:hAnsi="Times New Roman"/>
          <w:color w:val="000000"/>
          <w:sz w:val="20"/>
        </w:rPr>
        <w:t xml:space="preserve"> </w:t>
      </w:r>
      <w:r>
        <w:rPr>
          <w:rFonts w:ascii="Arial" w:hAnsi="Arial"/>
          <w:color w:val="000000"/>
          <w:sz w:val="20"/>
        </w:rPr>
        <w:t>million which was expensed as incurred. Pursuant to an amendment to the Clearside License Agreement in March 2026, the Company paid Clearside an upfront payment of $1.0</w:t>
      </w:r>
      <w:r>
        <w:rPr>
          <w:rFonts w:ascii="Times New Roman" w:hAnsi="Times New Roman"/>
          <w:color w:val="000000"/>
          <w:sz w:val="20"/>
        </w:rPr>
        <w:t xml:space="preserve"> </w:t>
      </w:r>
      <w:r>
        <w:rPr>
          <w:rFonts w:ascii="Arial" w:hAnsi="Arial"/>
          <w:color w:val="000000"/>
          <w:sz w:val="20"/>
        </w:rPr>
        <w:t>million, and is required to make a one-time payment of $1.5</w:t>
      </w:r>
      <w:r>
        <w:rPr>
          <w:rFonts w:ascii="Times New Roman" w:hAnsi="Times New Roman"/>
          <w:color w:val="000000"/>
          <w:sz w:val="20"/>
        </w:rPr>
        <w:t xml:space="preserve"> </w:t>
      </w:r>
      <w:r>
        <w:rPr>
          <w:rFonts w:ascii="Arial" w:hAnsi="Arial"/>
          <w:color w:val="000000"/>
          <w:sz w:val="20"/>
        </w:rPr>
        <w:t>million upon the occurrence of a specified regulatory achievement. Under the Clearside License Agreement, the Company is also required to pay milestones up to $21.0</w:t>
      </w:r>
      <w:r>
        <w:rPr>
          <w:rFonts w:ascii="Times New Roman" w:hAnsi="Times New Roman"/>
          <w:color w:val="000000"/>
          <w:sz w:val="20"/>
        </w:rPr>
        <w:t xml:space="preserve"> </w:t>
      </w:r>
      <w:r>
        <w:rPr>
          <w:rFonts w:ascii="Arial" w:hAnsi="Arial"/>
          <w:color w:val="000000"/>
          <w:sz w:val="20"/>
        </w:rPr>
        <w:t>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pStyle w:val="TextBody"/>
        <w:bidi w:val="0"/>
        <w:spacing w:before="240" w:after="283"/>
        <w:jc w:val="both"/>
        <w:rPr>
          <w:rFonts w:ascii="Times New Roman" w:hAnsi="Times New Roman"/>
          <w:sz w:val="20"/>
        </w:rPr>
      </w:pPr>
      <w:r>
        <w:rPr>
          <w:rFonts w:ascii="Arial" w:hAnsi="Arial"/>
          <w:color w:val="000000"/>
          <w:sz w:val="20"/>
        </w:rPr>
        <w:t>The Clearside License Agreement expires on a country-by-country basis upon the later of the last to expire patent or ten years</w:t>
      </w:r>
      <w:r>
        <w:rPr>
          <w:rFonts w:ascii="Times New Roman" w:hAnsi="Times New Roman"/>
          <w:color w:val="000000"/>
          <w:sz w:val="20"/>
        </w:rPr>
        <w:t xml:space="preserve"> </w:t>
      </w:r>
      <w:r>
        <w:rPr>
          <w:rFonts w:ascii="Arial" w:hAnsi="Arial"/>
          <w:color w:val="000000"/>
          <w:sz w:val="20"/>
        </w:rPr>
        <w:t>from the date of the first commercial sale of a product.</w:t>
      </w:r>
    </w:p>
    <w:p>
      <w:pPr>
        <w:pStyle w:val="TextBody"/>
        <w:bidi w:val="0"/>
        <w:spacing w:before="240" w:after="283"/>
        <w:jc w:val="both"/>
        <w:rPr>
          <w:rFonts w:ascii="Times New Roman" w:hAnsi="Times New Roman"/>
          <w:sz w:val="20"/>
        </w:rPr>
      </w:pPr>
      <w:r>
        <w:rPr>
          <w:rFonts w:ascii="Arial" w:hAnsi="Arial"/>
          <w:color w:val="000000"/>
          <w:sz w:val="20"/>
        </w:rPr>
        <w:t>The Company recognized $1.0</w:t>
      </w:r>
      <w:r>
        <w:rPr>
          <w:rFonts w:ascii="Times New Roman" w:hAnsi="Times New Roman"/>
          <w:color w:val="000000"/>
          <w:sz w:val="20"/>
        </w:rPr>
        <w:t xml:space="preserve"> </w:t>
      </w:r>
      <w:r>
        <w:rPr>
          <w:rFonts w:ascii="Arial" w:hAnsi="Arial"/>
          <w:color w:val="000000"/>
          <w:sz w:val="20"/>
        </w:rPr>
        <w:t>million in expenses related to the Clearside License Agreement for the three months ended March 31, 2026. The Company did not incur any expenses related to the Clearside License Agreement for the three months ended March 31, 2025.</w:t>
      </w:r>
    </w:p>
    <w:p>
      <w:pPr>
        <w:pStyle w:val="TextBody"/>
        <w:bidi w:val="0"/>
        <w:spacing w:before="240" w:after="283"/>
        <w:jc w:val="left"/>
        <w:rPr>
          <w:rFonts w:ascii="Arial" w:hAnsi="Arial"/>
          <w:b/>
          <w:color w:val="000000"/>
          <w:sz w:val="20"/>
        </w:rPr>
      </w:pPr>
      <w:r>
        <w:rPr>
          <w:rFonts w:ascii="Arial" w:hAnsi="Arial"/>
          <w:b/>
          <w:color w:val="000000"/>
          <w:sz w:val="20"/>
        </w:rPr>
        <w:t>13. Net Loss Per Share</w:t>
      </w:r>
    </w:p>
    <w:p>
      <w:pPr>
        <w:pStyle w:val="TextBody"/>
        <w:bidi w:val="0"/>
        <w:spacing w:before="80" w:after="283"/>
        <w:jc w:val="both"/>
        <w:rPr>
          <w:rFonts w:ascii="Times New Roman" w:hAnsi="Times New Roman"/>
          <w:sz w:val="20"/>
        </w:rPr>
      </w:pPr>
      <w:r>
        <w:rPr>
          <w:rFonts w:ascii="Arial" w:hAnsi="Arial"/>
          <w:color w:val="000000"/>
          <w:sz w:val="20"/>
        </w:rPr>
        <w:t>Basic net loss per share is calculated by dividing the net loss attributable to common stockholders by the weighted average number of shares of common stock outstanding during the period, without consideration for potentially dilutive securities. The Company has included the pre-funded warrants to purchase 3,571,435</w:t>
      </w:r>
      <w:r>
        <w:rPr>
          <w:rFonts w:ascii="Times New Roman" w:hAnsi="Times New Roman"/>
          <w:color w:val="000000"/>
          <w:sz w:val="20"/>
        </w:rPr>
        <w:t xml:space="preserve"> </w:t>
      </w:r>
      <w:r>
        <w:rPr>
          <w:rFonts w:ascii="Arial" w:hAnsi="Arial"/>
          <w:color w:val="000000"/>
          <w:sz w:val="20"/>
        </w:rPr>
        <w:t>shares of common stock issued at an exercise price of $0.00001</w:t>
      </w:r>
      <w:r>
        <w:rPr>
          <w:rFonts w:ascii="Times New Roman" w:hAnsi="Times New Roman"/>
          <w:color w:val="000000"/>
          <w:sz w:val="20"/>
        </w:rPr>
        <w:t xml:space="preserve"> </w:t>
      </w:r>
      <w:r>
        <w:rPr>
          <w:rFonts w:ascii="Arial" w:hAnsi="Arial"/>
          <w:color w:val="000000"/>
          <w:sz w:val="20"/>
        </w:rPr>
        <w:t>in connection with the 2025 Follow-On Offering in its computation of basic net loss per share. Diluted net loss per share is the same as basic net loss per share for the periods presented since the effects of potentially dilutive securities are antidilutive given the net loss of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has calculated basic and diluted net loss per share for the three months ended March 31, 2026 and 2025 as follows (in thousands, except share and per share data):</w:t>
      </w:r>
      <w:r>
        <w:rPr>
          <w:rFonts w:ascii="Times New Roman" w:hAnsi="Times New Roman"/>
          <w:color w:val="000000"/>
          <w:sz w:val="20"/>
        </w:rPr>
        <w:t xml:space="preserve"> </w:t>
      </w:r>
    </w:p>
    <w:tbl>
      <w:tblPr>
        <w:tblW w:w="8740" w:type="dxa"/>
        <w:jc w:val="left"/>
        <w:tblInd w:w="0" w:type="dxa"/>
        <w:tblLayout w:type="fixed"/>
        <w:tblCellMar>
          <w:top w:w="28" w:type="dxa"/>
          <w:left w:w="28" w:type="dxa"/>
          <w:bottom w:w="28" w:type="dxa"/>
          <w:right w:w="28" w:type="dxa"/>
        </w:tblCellMar>
      </w:tblPr>
      <w:tblGrid>
        <w:gridCol w:w="5431"/>
        <w:gridCol w:w="146"/>
        <w:gridCol w:w="211"/>
        <w:gridCol w:w="1036"/>
        <w:gridCol w:w="166"/>
        <w:gridCol w:w="146"/>
        <w:gridCol w:w="211"/>
        <w:gridCol w:w="1036"/>
        <w:gridCol w:w="166"/>
        <w:gridCol w:w="1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common stock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67,447,576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50,126,148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The following potentially dilutive securities were excluded from the computation of the diluted net loss per share for the periods presented because their effect would have been antidilutive:</w:t>
      </w:r>
      <w:r>
        <w:rPr>
          <w:rFonts w:ascii="Times New Roman" w:hAnsi="Times New Roman"/>
          <w:color w:val="000000"/>
          <w:sz w:val="20"/>
        </w:rPr>
        <w:t xml:space="preserve"> </w:t>
      </w:r>
    </w:p>
    <w:tbl>
      <w:tblPr>
        <w:tblW w:w="7524" w:type="dxa"/>
        <w:jc w:val="left"/>
        <w:tblInd w:w="0" w:type="dxa"/>
        <w:tblLayout w:type="fixed"/>
        <w:tblCellMar>
          <w:top w:w="28" w:type="dxa"/>
          <w:left w:w="28" w:type="dxa"/>
          <w:bottom w:w="28" w:type="dxa"/>
          <w:right w:w="28" w:type="dxa"/>
        </w:tblCellMar>
      </w:tblPr>
      <w:tblGrid>
        <w:gridCol w:w="4576"/>
        <w:gridCol w:w="146"/>
        <w:gridCol w:w="146"/>
        <w:gridCol w:w="1066"/>
        <w:gridCol w:w="146"/>
        <w:gridCol w:w="146"/>
        <w:gridCol w:w="146"/>
        <w:gridCol w:w="961"/>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7,987,175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6,575,452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 that vest into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3,286,241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2,751,873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7,373,185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potential dilutive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18,646,601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9,332,346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14. Income Taxes</w:t>
      </w:r>
    </w:p>
    <w:p>
      <w:pPr>
        <w:pStyle w:val="TextBody"/>
        <w:bidi w:val="0"/>
        <w:spacing w:before="80" w:after="283"/>
        <w:jc w:val="both"/>
        <w:rPr>
          <w:rFonts w:ascii="Times New Roman" w:hAnsi="Times New Roman"/>
          <w:sz w:val="20"/>
        </w:rPr>
      </w:pPr>
      <w:r>
        <w:rPr>
          <w:rFonts w:ascii="Arial" w:hAnsi="Arial"/>
          <w:color w:val="000000"/>
          <w:sz w:val="20"/>
        </w:rPr>
        <w:t>For the three months ended March 31, 2026 and 2025, the Company recorded an income tax provision of $0.01</w:t>
      </w:r>
      <w:r>
        <w:rPr>
          <w:rFonts w:ascii="Times New Roman" w:hAnsi="Times New Roman"/>
          <w:color w:val="000000"/>
          <w:sz w:val="20"/>
        </w:rPr>
        <w:t xml:space="preserve"> </w:t>
      </w:r>
      <w:r>
        <w:rPr>
          <w:rFonts w:ascii="Arial" w:hAnsi="Arial"/>
          <w:color w:val="000000"/>
          <w:sz w:val="20"/>
        </w:rPr>
        <w:t>million and $0.02</w:t>
      </w:r>
      <w:r>
        <w:rPr>
          <w:rFonts w:ascii="Times New Roman" w:hAnsi="Times New Roman"/>
          <w:color w:val="000000"/>
          <w:sz w:val="20"/>
        </w:rPr>
        <w:t xml:space="preserve"> </w:t>
      </w:r>
      <w:r>
        <w:rPr>
          <w:rFonts w:ascii="Arial" w:hAnsi="Arial"/>
          <w:color w:val="000000"/>
          <w:sz w:val="20"/>
        </w:rPr>
        <w:t>million, respectively, resulting in an effective tax rate of 0.1%</w:t>
      </w:r>
      <w:r>
        <w:rPr>
          <w:rFonts w:ascii="Times New Roman" w:hAnsi="Times New Roman"/>
          <w:color w:val="000000"/>
          <w:sz w:val="20"/>
        </w:rPr>
        <w:t xml:space="preserve"> </w:t>
      </w:r>
      <w:r>
        <w:rPr>
          <w:rFonts w:ascii="Arial" w:hAnsi="Arial"/>
          <w:color w:val="000000"/>
          <w:sz w:val="20"/>
        </w:rPr>
        <w:t>in each period. The income tax provision for the three months ended March 31, 2026 is attributable to state and foreign income taxes. The difference in the statutory rate and the effective tax rate is primarily the result of the valuation allowance recorded on all deferred tax assets.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Due to the Company’s history of operating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2026, the Company had no</w:t>
      </w:r>
      <w:r>
        <w:rPr>
          <w:rFonts w:ascii="Times New Roman" w:hAnsi="Times New Roman"/>
          <w:color w:val="000000"/>
          <w:sz w:val="20"/>
        </w:rPr>
        <w:t xml:space="preserve"> </w:t>
      </w:r>
      <w:r>
        <w:rPr>
          <w:rFonts w:ascii="Arial" w:hAnsi="Arial"/>
          <w:color w:val="000000"/>
          <w:sz w:val="20"/>
        </w:rPr>
        <w:t>unrecognized income tax benefits that would reduce the Company’s effective tax rate if recognized.</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15. Segment Reporting</w:t>
      </w:r>
    </w:p>
    <w:p>
      <w:pPr>
        <w:pStyle w:val="TextBody"/>
        <w:bidi w:val="0"/>
        <w:spacing w:before="80" w:after="283"/>
        <w:jc w:val="both"/>
        <w:rPr>
          <w:rFonts w:ascii="Times New Roman" w:hAnsi="Times New Roman"/>
          <w:sz w:val="20"/>
        </w:rPr>
      </w:pPr>
      <w:r>
        <w:rPr>
          <w:rFonts w:ascii="Arial" w:hAnsi="Arial"/>
          <w:color w:val="000000"/>
          <w:sz w:val="20"/>
        </w:rPr>
        <w:t>Segment reporting is prepared on the same basis that the Company's Chief Executive Officer, who is its chief operating decision maker, or CODM, manages the business and makes operating decisions to allocate resources across departments and functions in line with the Company's strategic goals. The Company operates in one</w:t>
      </w:r>
      <w:r>
        <w:rPr>
          <w:rFonts w:ascii="Times New Roman" w:hAnsi="Times New Roman"/>
          <w:color w:val="000000"/>
          <w:sz w:val="20"/>
        </w:rPr>
        <w:t xml:space="preserve"> </w:t>
      </w:r>
      <w:r>
        <w:rPr>
          <w:rFonts w:ascii="Arial" w:hAnsi="Arial"/>
          <w:color w:val="000000"/>
          <w:sz w:val="20"/>
        </w:rPr>
        <w:t>reportable segment which includes all activities related to the research and development of ocular and urologic oncology targeted therapies for a range of cancer indications with high unmet medical need. The CODM assesses performance and allocates resources based on comparing actual consolidated net loss to the budget. The measure of segment assets used in determining how to manage and allocate resources is reported within the Company's unaudited condensed consolidated balance sheets as cash and cash equivalents and marketable securities.</w:t>
      </w:r>
    </w:p>
    <w:p>
      <w:pPr>
        <w:pStyle w:val="TextBody"/>
        <w:bidi w:val="0"/>
        <w:spacing w:before="80" w:after="283"/>
        <w:jc w:val="both"/>
        <w:rPr>
          <w:rFonts w:ascii="Times New Roman" w:hAnsi="Times New Roman"/>
          <w:sz w:val="20"/>
        </w:rPr>
      </w:pPr>
      <w:r>
        <w:rPr>
          <w:rFonts w:ascii="Arial" w:hAnsi="Arial"/>
          <w:color w:val="000000"/>
          <w:sz w:val="20"/>
        </w:rPr>
        <w:t>As a single reportable segment entity, the Company’s segment performance measure is consolidated net loss.</w:t>
      </w:r>
      <w:r>
        <w:rPr>
          <w:rFonts w:ascii="Times New Roman" w:hAnsi="Times New Roman"/>
          <w:color w:val="000000"/>
          <w:sz w:val="20"/>
        </w:rPr>
        <w:t xml:space="preserve"> </w:t>
      </w:r>
      <w:r>
        <w:rPr>
          <w:rFonts w:ascii="Arial" w:hAnsi="Arial"/>
          <w:color w:val="000000"/>
          <w:sz w:val="20"/>
        </w:rPr>
        <w:t>Significant segment expenses are presented below.</w:t>
      </w:r>
    </w:p>
    <w:tbl>
      <w:tblPr>
        <w:tblW w:w="7314" w:type="dxa"/>
        <w:jc w:val="left"/>
        <w:tblInd w:w="0" w:type="dxa"/>
        <w:tblLayout w:type="fixed"/>
        <w:tblCellMar>
          <w:top w:w="28" w:type="dxa"/>
          <w:left w:w="28" w:type="dxa"/>
          <w:bottom w:w="28" w:type="dxa"/>
          <w:right w:w="28" w:type="dxa"/>
        </w:tblCellMar>
      </w:tblPr>
      <w:tblGrid>
        <w:gridCol w:w="4181"/>
        <w:gridCol w:w="146"/>
        <w:gridCol w:w="211"/>
        <w:gridCol w:w="751"/>
        <w:gridCol w:w="166"/>
        <w:gridCol w:w="146"/>
        <w:gridCol w:w="211"/>
        <w:gridCol w:w="751"/>
        <w:gridCol w:w="751"/>
      </w:tblGrid>
      <w:tr>
        <w:trPr/>
        <w:tc>
          <w:tcPr>
            <w:tcW w:w="4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Clinical, Preclinical, and R&amp;D Operations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(16,386</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Chemistry, Manufacturing, and Controls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(6,957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General and Administrative </w:t>
            </w:r>
            <w:r>
              <w:rPr>
                <w:rFonts w:ascii="Arial" w:hAnsi="Arial"/>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 xml:space="preserve">Other Segment Items </w:t>
            </w:r>
            <w:r>
              <w:rPr>
                <w:rFonts w:ascii="Arial" w:hAnsi="Arial"/>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1,552</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18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rFonts w:ascii="Arial" w:hAnsi="Arial"/>
          <w:color w:val="000000"/>
          <w:sz w:val="15"/>
        </w:rPr>
      </w:pPr>
      <w:r>
        <w:rPr>
          <w:rFonts w:ascii="Arial" w:hAnsi="Arial"/>
          <w:color w:val="000000"/>
          <w:sz w:val="15"/>
        </w:rPr>
        <w:t>(1) Includes depreciation expense directly allocated to respective activities.</w:t>
      </w:r>
    </w:p>
    <w:p>
      <w:pPr>
        <w:pStyle w:val="TextBody"/>
        <w:bidi w:val="0"/>
        <w:jc w:val="both"/>
        <w:rPr>
          <w:rFonts w:ascii="Arial" w:hAnsi="Arial"/>
          <w:color w:val="000000"/>
          <w:sz w:val="15"/>
        </w:rPr>
      </w:pPr>
      <w:r>
        <w:rPr>
          <w:rFonts w:ascii="Arial" w:hAnsi="Arial"/>
          <w:color w:val="000000"/>
          <w:sz w:val="15"/>
        </w:rPr>
        <w:t>(2) Other segment items primarily include interest and accretion income, realized gains and losses, and income taxes.</w:t>
      </w:r>
    </w:p>
    <w:p>
      <w:pPr>
        <w:pStyle w:val="TextBody"/>
        <w:bidi w:val="0"/>
        <w:spacing w:before="240" w:after="283"/>
        <w:jc w:val="left"/>
        <w:rPr>
          <w:rFonts w:ascii="Arial" w:hAnsi="Arial"/>
          <w:b/>
          <w:color w:val="000000"/>
          <w:sz w:val="20"/>
        </w:rPr>
      </w:pPr>
      <w:r>
        <w:rPr>
          <w:rFonts w:ascii="Arial" w:hAnsi="Arial"/>
          <w:b/>
          <w:color w:val="000000"/>
          <w:sz w:val="20"/>
        </w:rPr>
        <w:t>16. Subsequent Events</w:t>
      </w:r>
    </w:p>
    <w:p>
      <w:pPr>
        <w:pStyle w:val="TextBody"/>
        <w:bidi w:val="0"/>
        <w:spacing w:before="80" w:after="283"/>
        <w:jc w:val="both"/>
        <w:rPr>
          <w:rFonts w:ascii="Arial" w:hAnsi="Arial"/>
          <w:color w:val="000000"/>
          <w:sz w:val="20"/>
        </w:rPr>
      </w:pPr>
      <w:r>
        <w:rPr>
          <w:rFonts w:ascii="Arial" w:hAnsi="Arial"/>
          <w:color w:val="000000"/>
          <w:sz w:val="20"/>
        </w:rPr>
        <w:t>Subsequent events have been evaluated through the date of filing of the unaudited condensed consolidated financial statements. The Company has identified the following subsequent events that require disclosure:</w:t>
      </w:r>
    </w:p>
    <w:p>
      <w:pPr>
        <w:pStyle w:val="TextBody"/>
        <w:bidi w:val="0"/>
        <w:spacing w:before="80" w:after="283"/>
        <w:jc w:val="both"/>
        <w:rPr>
          <w:rFonts w:ascii="Arial" w:hAnsi="Arial"/>
          <w:b/>
          <w:color w:val="000000"/>
          <w:sz w:val="20"/>
        </w:rPr>
      </w:pPr>
      <w:r>
        <w:rPr>
          <w:rFonts w:ascii="Arial" w:hAnsi="Arial"/>
          <w:b/>
          <w:color w:val="000000"/>
          <w:sz w:val="20"/>
        </w:rPr>
        <w:t>2026 Follow-On Offering</w:t>
      </w:r>
    </w:p>
    <w:p>
      <w:pPr>
        <w:pStyle w:val="TextBody"/>
        <w:bidi w:val="0"/>
        <w:spacing w:before="80" w:after="283"/>
        <w:jc w:val="both"/>
        <w:rPr>
          <w:rFonts w:ascii="Times New Roman" w:hAnsi="Times New Roman"/>
          <w:sz w:val="20"/>
        </w:rPr>
      </w:pPr>
      <w:r>
        <w:rPr>
          <w:rFonts w:ascii="Arial" w:hAnsi="Arial"/>
          <w:color w:val="000000"/>
          <w:sz w:val="20"/>
        </w:rPr>
        <w:t>In connection with the 2026 Follow-On Offering (as defined below), on May 5, 2026, the Company issued and sold (i) 46,099,650</w:t>
      </w:r>
      <w:r>
        <w:rPr>
          <w:rFonts w:ascii="Times New Roman" w:hAnsi="Times New Roman"/>
          <w:color w:val="000000"/>
          <w:sz w:val="20"/>
        </w:rPr>
        <w:t xml:space="preserve"> </w:t>
      </w:r>
      <w:r>
        <w:rPr>
          <w:rFonts w:ascii="Arial" w:hAnsi="Arial"/>
          <w:color w:val="000000"/>
          <w:sz w:val="20"/>
        </w:rPr>
        <w:t>shares of common stock, which includes 6,508,650</w:t>
      </w:r>
      <w:r>
        <w:rPr>
          <w:rFonts w:ascii="Times New Roman" w:hAnsi="Times New Roman"/>
          <w:color w:val="000000"/>
          <w:sz w:val="20"/>
        </w:rPr>
        <w:t xml:space="preserve"> </w:t>
      </w:r>
      <w:r>
        <w:rPr>
          <w:rFonts w:ascii="Arial" w:hAnsi="Arial"/>
          <w:color w:val="000000"/>
          <w:sz w:val="20"/>
        </w:rPr>
        <w:t>shares sold upon the underwriters’ exercise in full of their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option to purchase additional shares of common stock on May 4, 2026, and (ii) in lieu of common stock to certain investors, pre-funded warrants to purchase an aggregate of up to 3,800,000</w:t>
      </w:r>
      <w:r>
        <w:rPr>
          <w:rFonts w:ascii="Times New Roman" w:hAnsi="Times New Roman"/>
          <w:color w:val="000000"/>
          <w:sz w:val="20"/>
        </w:rPr>
        <w:t xml:space="preserve"> </w:t>
      </w:r>
      <w:r>
        <w:rPr>
          <w:rFonts w:ascii="Arial" w:hAnsi="Arial"/>
          <w:color w:val="000000"/>
          <w:sz w:val="20"/>
        </w:rPr>
        <w:t>shares of its common stock, or the 2026 Follow-On Offering. Each such share of common stock was sold at a price to the public of $6.00</w:t>
      </w:r>
      <w:r>
        <w:rPr>
          <w:rFonts w:ascii="Times New Roman" w:hAnsi="Times New Roman"/>
          <w:color w:val="000000"/>
          <w:sz w:val="20"/>
        </w:rPr>
        <w:t xml:space="preserve"> </w:t>
      </w:r>
      <w:r>
        <w:rPr>
          <w:rFonts w:ascii="Arial" w:hAnsi="Arial"/>
          <w:color w:val="000000"/>
          <w:sz w:val="20"/>
        </w:rPr>
        <w:t>per share and each such pre-funded warrant was offered and sold at a price to the public of $5.99999</w:t>
      </w:r>
      <w:r>
        <w:rPr>
          <w:rFonts w:ascii="Times New Roman" w:hAnsi="Times New Roman"/>
          <w:color w:val="000000"/>
          <w:sz w:val="20"/>
        </w:rPr>
        <w:t xml:space="preserve"> </w:t>
      </w:r>
      <w:r>
        <w:rPr>
          <w:rFonts w:ascii="Arial" w:hAnsi="Arial"/>
          <w:color w:val="000000"/>
          <w:sz w:val="20"/>
        </w:rPr>
        <w:t>per pre-funded warrant for aggregate gross proceeds of $299.4</w:t>
      </w:r>
      <w:r>
        <w:rPr>
          <w:rFonts w:ascii="Times New Roman" w:hAnsi="Times New Roman"/>
          <w:color w:val="000000"/>
          <w:sz w:val="20"/>
        </w:rPr>
        <w:t xml:space="preserve"> </w:t>
      </w:r>
      <w:r>
        <w:rPr>
          <w:rFonts w:ascii="Arial" w:hAnsi="Arial"/>
          <w:color w:val="000000"/>
          <w:sz w:val="20"/>
        </w:rPr>
        <w:t>million in the 2026 Follow-On Offering. The Company received approximately $280.8</w:t>
      </w:r>
      <w:r>
        <w:rPr>
          <w:rFonts w:ascii="Times New Roman" w:hAnsi="Times New Roman"/>
          <w:color w:val="000000"/>
          <w:sz w:val="20"/>
        </w:rPr>
        <w:t xml:space="preserve"> </w:t>
      </w:r>
      <w:r>
        <w:rPr>
          <w:rFonts w:ascii="Arial" w:hAnsi="Arial"/>
          <w:color w:val="000000"/>
          <w:sz w:val="20"/>
        </w:rPr>
        <w:t>million in net proceeds from the 2026 Follow-On Offering, after deducting underwriting discounts and commissions and estimated offering expenses, of which approximately $39.0</w:t>
      </w:r>
      <w:r>
        <w:rPr>
          <w:rFonts w:ascii="Times New Roman" w:hAnsi="Times New Roman"/>
          <w:color w:val="000000"/>
          <w:sz w:val="20"/>
        </w:rPr>
        <w:t xml:space="preserve"> </w:t>
      </w:r>
      <w:r>
        <w:rPr>
          <w:rFonts w:ascii="Arial" w:hAnsi="Arial"/>
          <w:color w:val="000000"/>
          <w:sz w:val="20"/>
        </w:rPr>
        <w:t>million were used to effectuate the Matrix Repurchase.</w:t>
      </w:r>
    </w:p>
    <w:p>
      <w:pPr>
        <w:pStyle w:val="TextBody"/>
        <w:bidi w:val="0"/>
        <w:spacing w:before="80" w:after="283"/>
        <w:jc w:val="both"/>
        <w:rPr>
          <w:rFonts w:ascii="Arial" w:hAnsi="Arial"/>
          <w:b/>
          <w:color w:val="000000"/>
          <w:sz w:val="20"/>
        </w:rPr>
      </w:pPr>
      <w:r>
        <w:rPr>
          <w:rFonts w:ascii="Arial" w:hAnsi="Arial"/>
          <w:b/>
          <w:color w:val="000000"/>
          <w:sz w:val="20"/>
        </w:rPr>
        <w:t>Suspension and Termination of ATM Prospectus Supplement</w:t>
      </w:r>
    </w:p>
    <w:p>
      <w:pPr>
        <w:pStyle w:val="TextBody"/>
        <w:bidi w:val="0"/>
        <w:spacing w:before="80" w:after="283"/>
        <w:jc w:val="both"/>
        <w:rPr>
          <w:rFonts w:ascii="Arial" w:hAnsi="Arial"/>
          <w:color w:val="000000"/>
          <w:sz w:val="20"/>
        </w:rPr>
      </w:pPr>
      <w:r>
        <w:rPr>
          <w:rFonts w:ascii="Arial" w:hAnsi="Arial"/>
          <w:color w:val="000000"/>
          <w:sz w:val="20"/>
        </w:rPr>
        <w:t>In connection with the 2026 Follow-On Offering, on May 4, 2026, the Company delivered written notice to Jefferies that the Company was suspending and terminating the prospectus related to the shares issuable in the ATM pursuant to the terms of the Sales Agreement. As a result, the Company will not make any sales of its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pStyle w:val="TextBody"/>
        <w:bidi w:val="0"/>
        <w:spacing w:before="80" w:after="283"/>
        <w:jc w:val="both"/>
        <w:rPr>
          <w:rFonts w:ascii="Arial" w:hAnsi="Arial"/>
          <w:b/>
          <w:color w:val="000000"/>
          <w:sz w:val="20"/>
        </w:rPr>
      </w:pPr>
      <w:r>
        <w:rPr>
          <w:rFonts w:ascii="Arial" w:hAnsi="Arial"/>
          <w:b/>
          <w:color w:val="000000"/>
          <w:sz w:val="20"/>
        </w:rPr>
        <w:t>Matrix Repurchase</w:t>
      </w:r>
    </w:p>
    <w:p>
      <w:pPr>
        <w:pStyle w:val="TextBody"/>
        <w:bidi w:val="0"/>
        <w:spacing w:before="120" w:after="283"/>
        <w:jc w:val="left"/>
        <w:rPr>
          <w:rFonts w:ascii="Times New Roman" w:hAnsi="Times New Roman"/>
          <w:sz w:val="20"/>
        </w:rPr>
      </w:pPr>
      <w:r>
        <w:rPr>
          <w:rFonts w:ascii="Arial" w:hAnsi="Arial"/>
          <w:color w:val="000000"/>
          <w:sz w:val="20"/>
        </w:rPr>
        <w:t>On April 30, 2026, the Company and Matrix entered into a stock purchase agreement, or the Repurchase Agreement, pursuant to which the Company agreed to repurchase, in a privately negotiated transaction, up to 6,922,870</w:t>
      </w:r>
      <w:r>
        <w:rPr>
          <w:rFonts w:ascii="Times New Roman" w:hAnsi="Times New Roman"/>
          <w:color w:val="000000"/>
          <w:sz w:val="20"/>
        </w:rPr>
        <w:t xml:space="preserve"> </w:t>
      </w:r>
      <w:r>
        <w:rPr>
          <w:rFonts w:ascii="Arial" w:hAnsi="Arial"/>
          <w:color w:val="000000"/>
          <w:sz w:val="20"/>
        </w:rPr>
        <w:t>shares of its common stock, which the Company believes represents all shares of its common stock held by Matrix as of such date. Pursuant to the Repurchase Agreement, on May 7, 2026, the Company used approximately $39.0</w:t>
      </w:r>
      <w:r>
        <w:rPr>
          <w:rFonts w:ascii="Times New Roman" w:hAnsi="Times New Roman"/>
          <w:color w:val="000000"/>
          <w:sz w:val="20"/>
        </w:rPr>
        <w:t xml:space="preserve"> </w:t>
      </w:r>
      <w:r>
        <w:rPr>
          <w:rFonts w:ascii="Arial" w:hAnsi="Arial"/>
          <w:color w:val="000000"/>
          <w:sz w:val="20"/>
        </w:rPr>
        <w:t>million of the net proceeds received by the Company in the 2026 Follow-On Offering to repurchase 6,922,870</w:t>
      </w:r>
      <w:r>
        <w:rPr>
          <w:rFonts w:ascii="Times New Roman" w:hAnsi="Times New Roman"/>
          <w:color w:val="000000"/>
          <w:sz w:val="20"/>
        </w:rPr>
        <w:t xml:space="preserve"> </w:t>
      </w:r>
      <w:r>
        <w:rPr>
          <w:rFonts w:ascii="Arial" w:hAnsi="Arial"/>
          <w:color w:val="000000"/>
          <w:sz w:val="20"/>
        </w:rPr>
        <w:t>shares of its common stock from Matrix at a price per share equal to $5.64, the price per share at which the underwriters purchased shares from the Company in the 2026 Follow-On Offering. Such repurchased shares have become authorized but unissued shares.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10" w:name="item_2_management_discussion_analysis"/>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both"/>
        <w:rPr>
          <w:rFonts w:ascii="Arial" w:hAnsi="Arial"/>
          <w:i/>
          <w:color w:val="000000"/>
          <w:sz w:val="20"/>
        </w:rPr>
      </w:pPr>
      <w:r>
        <w:rPr>
          <w:rFonts w:ascii="Arial" w:hAnsi="Arial"/>
          <w:i/>
          <w:color w:val="000000"/>
          <w:sz w:val="20"/>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pStyle w:val="TextBody"/>
        <w:bidi w:val="0"/>
        <w:spacing w:before="240" w:after="283"/>
        <w:jc w:val="left"/>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 clinical-stage biotechnology company developing precision therapies to treat solid tumors designed to preserve organ function. Our lead candidate bel-sar is in late-stage clinical development for the treatment of patients with early choroidal melanoma (defined as small choroidal melanoma and/or indeterminate lesions) and is also in clinical development for other ocular oncology indications and bladder cancer.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is significant unmet need for novel treatments for patients with choroidal melanoma, given the limitations of the current standard of care, or SoC, and patient reluctance to undergo radiotherapy in the form of either plaque brachytherapy or proton beam therapy, both highly-invasive therapies that result in significant vision loss, and potential legal blindness in the treated eye. Enucleation, or surgical removal of the affected eye, is another treatment option for patients with choroidal melanoma, in which patients lose all vision without the possibility of vision restoration. We are evaluating the safety and efficacy of bel-sar as a potential vision-sparing therapy in our ongoing global Phase 3 CoMpass trial for the first-line treatment of adult patients with early choroidal melanoma. Moreover, we intend to assess the safety and efficacy of bel-sar in treating a range of other solid tumors, beginning with metastases to the choroid and bladder cancer where bel-sar is in clinical development as well as cancers of the ocular surface. We believe bel-sar, if approved, has the potential to change the current treatment paradigm for patients with ocular and urologic cancers and other solid tumors.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Bel-sar has shown clinical benefit and has been generally well-tolerated in clinical trials to date. In a Phase 2 study (ClinicalTrials.gov ID: NCT04417530) evaluating suprachoroidal, or SC, administration of bel-sar for the first-line treatment of early choroidal melanoma, patients were closely monitored over a twelve-month follow-up period to assess tumor control, visual acuity preservation, and tumor growth rate. A total of 22 patients were enrolled in the study. Bel-sar achieved an 80% tumor control rate (n=8/10) among Phase 3-eligible patients who received the therapeutic regimen, with complete cessation of growth following treatment among responders (post-treatment average growth rate of 0.011 mm/yr among responders compared to 0.351 mm/yr prior to study entry; p&lt;0.0001). Visual acuity preservation was achieved in 90% of these ten patients. Importantly, 80% of these ten patients were at high risk for vision loss with tumors close to the fovea or optic disc, highlighting the potential for vision preservation with this novel class of drugs. The safety profile of bel-sar was highly favorable in all participants regardless of dose. We believe the Phase 2 results are a significant achievement considering the typically poor prognosis associated with choroidal melanoma, a rare and life-threatening ocular cancer, where there are no approved vision-preserving therapies to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believe bel-sar has the possibility to transform the field of ocular oncology beyond choroidal melanoma and we are expanding clinical development in two additional indications: metastases to the choroid and cancers of the ocular surface. We continue to enroll patients in an ongoing Phase 2 clinical trial in metastases to the choroid and are initiating a Phase 1 proof-of-concept trial in cancers of the ocular surface.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Virus-like drug conjugates, or VDCs, are a novel class of drugs with a dual mechanism of action that promote cancer cell death by both the delivery of the cytotoxic payload to generate acute necrosis and activation of a secondary immune mediated response. Bel-sar, our lead VDC candidate, consists of modified capsid proteins of the human papilloma virus, or HPV, conjugated to hundreds of light-activated molecules.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Light activation of bel-sar is designed to result in precise tumor cell killing with minimal damage to surrounding healthy tissues. In the absence of bel-sar activation or binding to the tumor cell membrane, there is no cytotoxic effect. Multiple light activations, following a single dose of bel-sar, increase antitumor activity because of the reoxygenation of the tumor and the photostability of bel-sar. Finally, acute necrosis triggers immunogenic cell death leading to the generation of an adaptive, long-term antitumor immune response. The tumor targeting specificity of VDCs is driven by the selective binding of the virus-like particles, or VLPs, to a subset of modified tumor associated glycosaminoglycans, or GAGs, that are part of the heparan sulphate chain of heparan sulfate proteoglycans, or HSPGs, expressed on the tumor cell membrane. This targeting mechanism enables the delivery of multiple types of cytotoxic payloads directly to a wide range of solid tumors.</w:t>
      </w:r>
    </w:p>
    <w:p>
      <w:pPr>
        <w:pStyle w:val="TextBody"/>
        <w:bidi w:val="0"/>
        <w:spacing w:before="240" w:after="283"/>
        <w:jc w:val="both"/>
        <w:rPr>
          <w:rFonts w:ascii="Arial" w:hAnsi="Arial"/>
          <w:color w:val="000000"/>
          <w:sz w:val="20"/>
        </w:rPr>
      </w:pPr>
      <w:r>
        <w:rPr>
          <w:rFonts w:ascii="Arial" w:hAnsi="Arial"/>
          <w:color w:val="000000"/>
          <w:sz w:val="20"/>
        </w:rPr>
        <w:t>Beyond ocular cancers, bel-sar is in clinical development in bladder cancer. Bladder cancer is the ninth most common cancer worldwide and the majority of cases are diagnosed early as non-muscle invasive bladder cancer, or NMIBC, with a prevalence of approximately 80,000 cases per year in the United States. Despite the early diagnosis, patients with NMIBC have a high risk of recurrence and progression with current SoC treatments. In 2025, we announced positive data from our Phase 1 trial in NMIBC (NCT05483868). Based on the positive results from the completed Phase 1 trial, we are advancing the clinical development of bel-sar in NMIBC. We have an ongoing Phase 1b/2 trial in NMIBC evaluating additional doses and cycles in intermediate and high-risk NMIBC patients.</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and maintaining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May 5, 2026, we have raised an aggregate of approximately $797.8 million of gross proceeds primarily from private placements of our equity and convertible preferred stock as well as through the issuance of our common stock. On May 5, 2026, we issued and sold (i) 46,099,650 shares of common stock, which includes 6,508,650 shares sold upon the underwriters’ exercise in full of their option to purchase additional shares of common stock on May 4, 2026, at a price to the public of $6.00 per share, and (ii) in lieu of common stock to certain investors, pre-funded warrants to purchase an aggregate of up to 3,800,000 shares of common stock at a price to the public of $5.99999 per pre-funded warrant, or the 2026 Follow-On Offering. We received approximately $280.8 million in net proceeds from the 2026 Follow-On Offering after deducting underwriting discounts and commissions and offering expenses, of which approximately $39.0 million was used to repurchase 6,922,870 shares from Matrix Capital Management Master Fund, LP, or Matrix, at a price per share of $5.64, on May 7, 2026, or the Matrix Repurchase. On May 16, 2025, we issued and sold 11,735,565 shares of common stock, pre-funded warrants to purchase up to 3,571,435 shares of common stock, and accompanying warrants to purchase an aggregate of 3,826,750 shares of common stock, or the 2025 Follow-On Offering.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hAnsi="Arial"/>
          <w:color w:val="000000"/>
          <w:sz w:val="13"/>
        </w:rPr>
        <w:t>SM</w:t>
      </w:r>
      <w:r>
        <w:rPr>
          <w:rFonts w:ascii="Arial" w:hAnsi="Arial"/>
          <w:color w:val="000000"/>
          <w:sz w:val="20"/>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w:t>
      </w:r>
      <w:r>
        <w:rPr>
          <w:rFonts w:ascii="Times New Roman" w:hAnsi="Times New Roman"/>
          <w:color w:val="000000"/>
          <w:sz w:val="20"/>
        </w:rPr>
        <w:t xml:space="preserve"> </w:t>
      </w:r>
      <w:r>
        <w:rPr>
          <w:rFonts w:ascii="Arial" w:hAnsi="Arial"/>
          <w:color w:val="000000"/>
          <w:sz w:val="20"/>
        </w:rPr>
        <w:t>During the year ended December 31, 2023, we issued a total of 261,807 shares of common stock at a weighted average price of $12.49 for aggregate gross proceeds of $3.3 million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In connection with the 2026 Follow-On Offering, we filed a related registration statement to the 2024 Shelf pursuant to Rule 462(b), which was filed with the SEC and effective on May 4, 2026. We did not issue any shares of common stock during the three months ended March 31, 2026 under the ATM, and issued 1,055,362 shares of common stock at a weighted average price of $6.36 for aggregate gross proceeds of $6.7 million during the year ended December 31, 2025 under the ATM. In connection with the 2026 Follow-On Offering, on May 4, 2026, we delivered written notice to Jefferies that we were suspending and terminating the prospectus related to the shares issuable in the ATM pursuant to the terms of the Sales Agreement.</w:t>
      </w:r>
    </w:p>
    <w:p>
      <w:pPr>
        <w:pStyle w:val="TextBody"/>
        <w:bidi w:val="0"/>
        <w:spacing w:before="240" w:after="283"/>
        <w:jc w:val="both"/>
        <w:rPr>
          <w:rFonts w:ascii="Times New Roman" w:hAnsi="Times New Roman"/>
          <w:sz w:val="20"/>
        </w:rPr>
      </w:pPr>
      <w:r>
        <w:rPr>
          <w:rFonts w:ascii="Arial" w:hAnsi="Arial"/>
          <w:color w:val="000000"/>
          <w:sz w:val="20"/>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$33.7 million and $27.5 million for the three months ended March 31, 2026 and 2025, respectively. As of March 31, 2026, we had an accumulated deficit of $514.1 million. In addition, our losses from operations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conduct our current and future clinical trials of bel-sar;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progress the preclinical and clinical development of new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 our manufacturing capability, including establishing and developing our contract development and manufacturing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to identify and develop additional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seek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expand our operational, financial, and management systems and increase personnel, including personnel to support our preclinical and clinical development, manufacturing and commercialization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maintain, expand and protect our intellectual property portfolio;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incur additional legal, accounting, or other expenses in operating our business, including the additional costs associated with operating as a public company. </w:t>
      </w:r>
    </w:p>
    <w:p>
      <w:pPr>
        <w:pStyle w:val="TextBody"/>
        <w:bidi w:val="0"/>
        <w:spacing w:before="240" w:after="283"/>
        <w:jc w:val="both"/>
        <w:rPr>
          <w:rFonts w:ascii="Times New Roman" w:hAnsi="Times New Roman"/>
          <w:sz w:val="20"/>
        </w:rPr>
      </w:pPr>
      <w:r>
        <w:rPr>
          <w:rFonts w:ascii="Arial" w:hAnsi="Arial"/>
          <w:color w:val="000000"/>
          <w:sz w:val="20"/>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As of March 31, 2026, we had cash and cash equivalents and marketable securities of $114.7 million. We believe that our existing cash and cash equivalents and marketable securities, including the net proceeds from the 2026 Follow-On Offering after completion of the Matrix Repurchase, will enable us to fund our operations into the second half of 2028. We have based this estimate on assumptions that may prove to be wrong, and we could exhaust our available capital resources sooner than we expect. See </w:t>
      </w:r>
      <w:r>
        <w:rPr>
          <w:rFonts w:ascii="Times New Roman" w:hAnsi="Times New Roman"/>
          <w:color w:val="000000"/>
          <w:sz w:val="20"/>
        </w:rPr>
        <w:t>“</w:t>
      </w:r>
      <w:r>
        <w:rPr>
          <w:rFonts w:ascii="Arial" w:hAnsi="Arial"/>
          <w:i/>
          <w:color w:val="000000"/>
          <w:sz w:val="20"/>
        </w:rPr>
        <w:t>Liquidity and Capital Resources</w:t>
      </w:r>
      <w:r>
        <w:rPr>
          <w:rFonts w:ascii="Times New Roman" w:hAnsi="Times New Roman"/>
          <w:color w:val="000000"/>
          <w:sz w:val="20"/>
        </w:rPr>
        <w:t xml:space="preserve">” </w:t>
      </w:r>
      <w:r>
        <w:rPr>
          <w:rFonts w:ascii="Arial" w:hAnsi="Arial"/>
          <w:color w:val="000000"/>
          <w:sz w:val="20"/>
        </w:rPr>
        <w:t>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Components of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or from collaboration or licensing agreements, if at all. We may never succeed in obtaining regulatory approval and may never enter into collaboration or licensing agreements for any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Operating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Research and development expenses consist primarily of costs incurred for our research activities, including our discovery efforts and the development of our bel-sar program, and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employee-related expenses, including salaries, benefits and stock-based compensation expense for employees engaged in research and development functions;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fees paid to consultants for services directly related to our product development and regulatory efforts;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associated with conducting preclinical studies and clinical trials performed by ourselves, outside vendors or academic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incurred under agreements with contract research organizations, or CROs, as well as consultants that conduct and provide supplies for our preclinical studies and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bel-sar, including the cost of CDMOs that manufacture product for use in our preclinical studies and clinical trials and perform analytical testing, scale-up and other services in connection with our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preclinical activities and clinical development activities;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associated with our intellectual property portfolio;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costs related to compliance with regulatory requirements;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allocated expenses for utilities and other facility-related costs. </w:t>
      </w:r>
    </w:p>
    <w:p>
      <w:pPr>
        <w:pStyle w:val="TextBody"/>
        <w:bidi w:val="0"/>
        <w:spacing w:before="240" w:after="283"/>
        <w:jc w:val="both"/>
        <w:rPr>
          <w:rFonts w:ascii="Times New Roman" w:hAnsi="Times New Roman"/>
          <w:sz w:val="20"/>
        </w:rPr>
      </w:pPr>
      <w:r>
        <w:rPr>
          <w:rFonts w:ascii="Arial" w:hAnsi="Arial"/>
          <w:color w:val="000000"/>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our general and administrative expenses will increase in the near term as we continue to build a team to support our administrative, accounting and finance, communications, commercial strategy, legal and business development efforts. We expect to incur increased expenses associated with our growth, including costs of accounting, audit, legal, regulatory and tax compliance services; director and officer insurance costs; and investor and public relations costs.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Other Income (Expense)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other income (expense) consists of accretion, interest income and realized gains and losses on marketable securities, interest income on our invested cash balances, and gains and losses on disposals of equipment.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i/>
          <w:color w:val="000000"/>
          <w:sz w:val="20"/>
        </w:rPr>
        <w:t>Income Tax Provision, Net</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For the year ended December 31, 2025, we recorded a $0.1 million income tax provision related to current state income taxes. Since our inception, we have not recorded any U.S. federal or state tax benefits for our net operating loss carryforwards or research and development tax credits due to the realizability of future taxable income to utilize these tax attributes. As of December 31, 2025, we had accumulated federal and state net operating loss carryforwards of approximately $318.9 million and $274.4 million, respectively, which may be available to offset future taxable income before applicable expiration periods. As of December 31, 2025, we had federal and state research and development credit carryforwards of $8.5 million and $3.8 million, respectively, which may be available to offset future income tax liabilities before applicable expiration periods. Additionally, we had $20.4 million of federal orphan drug credits that begin to expire in 2039. We have recorded a full valuation allowance against the tax benefits, as the determination of the realization of the deferred tax assets was not determined to be more likely than not.</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Comparison of the Three Months Ended March 31, 2026 and 2025</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following table summarizes our results of operations for the three months ended March 31, 2026 and 2025:</w:t>
      </w:r>
    </w:p>
    <w:tbl>
      <w:tblPr>
        <w:tblW w:w="9983" w:type="dxa"/>
        <w:jc w:val="left"/>
        <w:tblInd w:w="0" w:type="dxa"/>
        <w:tblLayout w:type="fixed"/>
        <w:tblCellMar>
          <w:top w:w="28" w:type="dxa"/>
          <w:left w:w="28" w:type="dxa"/>
          <w:bottom w:w="28" w:type="dxa"/>
          <w:right w:w="28" w:type="dxa"/>
        </w:tblCellMar>
      </w:tblPr>
      <w:tblGrid>
        <w:gridCol w:w="5681"/>
        <w:gridCol w:w="146"/>
        <w:gridCol w:w="211"/>
        <w:gridCol w:w="751"/>
        <w:gridCol w:w="166"/>
        <w:gridCol w:w="146"/>
        <w:gridCol w:w="211"/>
        <w:gridCol w:w="751"/>
        <w:gridCol w:w="166"/>
        <w:gridCol w:w="146"/>
        <w:gridCol w:w="211"/>
        <w:gridCol w:w="646"/>
        <w:gridCol w:w="751"/>
      </w:tblGrid>
      <w:tr>
        <w:trPr/>
        <w:tc>
          <w:tcPr>
            <w:tcW w:w="5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1,214</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(5,831</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income, including amortization and accretion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(6,209</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56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Income tax provision,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(6,202</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Arial" w:hAnsi="Arial"/>
          <w:i/>
          <w:color w:val="000000"/>
          <w:sz w:val="20"/>
        </w:rPr>
        <w:t>Research and Development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research and development expenses for the three months ended March 31, 2026 and 2025:</w:t>
      </w:r>
      <w:r>
        <w:rPr>
          <w:rFonts w:ascii="Times New Roman" w:hAnsi="Times New Roman"/>
          <w:color w:val="000000"/>
          <w:sz w:val="20"/>
        </w:rPr>
        <w:t xml:space="preserve"> </w:t>
      </w:r>
    </w:p>
    <w:tbl>
      <w:tblPr>
        <w:tblW w:w="8467" w:type="dxa"/>
        <w:jc w:val="left"/>
        <w:tblInd w:w="0" w:type="dxa"/>
        <w:tblLayout w:type="fixed"/>
        <w:tblCellMar>
          <w:top w:w="28" w:type="dxa"/>
          <w:left w:w="28" w:type="dxa"/>
          <w:bottom w:w="28" w:type="dxa"/>
          <w:right w:w="28" w:type="dxa"/>
        </w:tblCellMar>
      </w:tblPr>
      <w:tblGrid>
        <w:gridCol w:w="4371"/>
        <w:gridCol w:w="146"/>
        <w:gridCol w:w="211"/>
        <w:gridCol w:w="691"/>
        <w:gridCol w:w="146"/>
        <w:gridCol w:w="146"/>
        <w:gridCol w:w="211"/>
        <w:gridCol w:w="691"/>
        <w:gridCol w:w="146"/>
        <w:gridCol w:w="146"/>
        <w:gridCol w:w="214"/>
        <w:gridCol w:w="597"/>
        <w:gridCol w:w="751"/>
      </w:tblGrid>
      <w:tr>
        <w:trPr/>
        <w:tc>
          <w:tcPr>
            <w:tcW w:w="4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Change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3,005</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Manufacturing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Personnel/overhead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437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4,617</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Research and development expenses increased to $28.0 million for the three months ended March 31, 2026 from $23.3 million for the three months ended March 31, 2025, primarily due to ongoing clinical and CRO costs associated with the progression of our global Phase 3 trial of bel-sar in early choroidal melanoma and manufacturing and development costs for bel-sar.</w:t>
      </w:r>
    </w:p>
    <w:p>
      <w:pPr>
        <w:pStyle w:val="TextBody"/>
        <w:bidi w:val="0"/>
        <w:spacing w:before="240" w:after="283"/>
        <w:jc w:val="both"/>
        <w:rPr>
          <w:rFonts w:ascii="Times New Roman" w:hAnsi="Times New Roman"/>
          <w:sz w:val="20"/>
        </w:rPr>
      </w:pPr>
      <w:r>
        <w:rPr>
          <w:rFonts w:ascii="Arial" w:hAnsi="Arial"/>
          <w:i/>
          <w:color w:val="000000"/>
          <w:sz w:val="20"/>
        </w:rPr>
        <w:t>General and Administrative Expenses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General and administrative expenses increased to $6.9 million for the three months ended March 31, 2026 from $5.7 million for the three months ended March 31, 2025, primarily driven by higher personnel expenses related to growth of our company and increased professional fees.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To date we have funded our operations primarily through the sale of convertible preferred stock, warrants and common stock. Through May 5, 2026, we have raised an aggregate of approximately $797.8 million of gross proceeds primarily from private placements of our equity and convertible preferred stock and warrants, as well as through the issuance of our common stock. On May 5, 2026, we issued and sold (i) 46,099,650 shares of common stock, which includes 6,508,650 shares sold upon the underwriters’ exercise in full of their option to purchase additional shares of common stock on May 4, 2026, and (ii) in lieu of common stock to certain investors, pre-funded warrants to purchase an aggregate of up to 3,800,000 shares of its common stock. Each such share of common stock was sold at a price to the public of $6.00 per share and each such pre-funded warrant was offered and sold at a price to the public of $5.99999 per pre-funded warrant for aggregate gross proceeds of $299.4 million in the 2026 Follow-On Offering. We received approximately $280.8 million in net proceeds from the 2026 Follow-On Offering, after deducting underwriting discounts and commissions and estimated offering expenses, of which approximately $39.0 million were used to effectuate the Matrix Repurchase. The 2026 Follow-On Offering was made pursuant to our 2024 Shelf and a related registration statement pursuant to Rule 462(b), filed with the SEC and effective on May 4, 2026. On May 16, 2025, we issued and sold 11,735,565 shares of common stock, pre-funded warrants to purchase up to 3,571,435 shares of common stock, and accompanying warrants to purchase an aggregate of 3,826,750 shares of common stock. The common stock and pre-funded warrants were sold in the 2025 Follow-On Offering in combination with an accompanying common stock warrant to purchase 0.25 of a share of common stock for each share of common stock or pre-funded warrant sold. Each such share of common stock was offered and sold together with an accompanying common stock warrant at a combined offering price of $4.90, and each such pre-funded warrant was offered and sold together with an accompanying common stock warrant at a combined offering price of $4.89999. We received approximately $69.9 million in net proceeds from the 2025 Follow-On Offering after deducting underwriting discounts and commissions and offering expenses.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w:t>
      </w:r>
      <w:r>
        <w:rPr>
          <w:rFonts w:ascii="Times New Roman" w:hAnsi="Times New Roman"/>
          <w:color w:val="000000"/>
          <w:sz w:val="20"/>
        </w:rPr>
        <w:t xml:space="preserve"> </w:t>
      </w:r>
      <w:r>
        <w:rPr>
          <w:rFonts w:ascii="Arial" w:hAnsi="Arial"/>
          <w:color w:val="000000"/>
          <w:sz w:val="20"/>
        </w:rPr>
        <w:t>In connection with the 2023 Follow-On Offering, on November 6, 2023, we delivered written notice to Jefferies that we were suspending and terminating the prospectus related to the shares issuable in the ATM pursuant to the terms of the Sales Agreement. During the year ended December 31, 2023, we issued a total of 261,807 shares of common stock at a weighted average price of $12.49 for aggregate gross proceeds of $3.3 million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did not issue any shares of common stock during the three months ended March 31, 2026 under the ATM, and issued 1,055,362 shares of common stock at a weighted average price of $6.36 for aggregate gross proceeds of $6.7 million during the year ended December 31, 2025 under the ATM. In connection with the 2026 Follow-On Offering, on May 4, 2026, we delivered written notice to Jefferies that we were suspending and terminating the prospectus related to the shares issuable in the ATM pursuant to the terms of the Sales Agreement. As a result, we will not make any sales of our securities pursuant to the Sales Agreement, unless and until a new prospectus, prospectus supplement, or a new registration statement relating to the shares eligible to be sold in the ATM is filed. Other than the termination of the prospectus, the Sales Agreement remains in full force and effect.</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following table summarizes our cash flows for each of the periods presented:</w:t>
      </w:r>
      <w:r>
        <w:rPr>
          <w:rFonts w:ascii="Times New Roman" w:hAnsi="Times New Roman"/>
          <w:color w:val="000000"/>
          <w:sz w:val="20"/>
        </w:rPr>
        <w:t xml:space="preserve"> </w:t>
      </w:r>
    </w:p>
    <w:tbl>
      <w:tblPr>
        <w:tblW w:w="7874" w:type="dxa"/>
        <w:jc w:val="left"/>
        <w:tblInd w:w="0" w:type="dxa"/>
        <w:tblLayout w:type="fixed"/>
        <w:tblCellMar>
          <w:top w:w="28" w:type="dxa"/>
          <w:left w:w="28" w:type="dxa"/>
          <w:bottom w:w="28" w:type="dxa"/>
          <w:right w:w="28" w:type="dxa"/>
        </w:tblCellMar>
      </w:tblPr>
      <w:tblGrid>
        <w:gridCol w:w="5281"/>
        <w:gridCol w:w="146"/>
        <w:gridCol w:w="211"/>
        <w:gridCol w:w="751"/>
        <w:gridCol w:w="166"/>
        <w:gridCol w:w="146"/>
        <w:gridCol w:w="211"/>
        <w:gridCol w:w="751"/>
        <w:gridCol w:w="21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i/>
          <w:color w:val="000000"/>
          <w:sz w:val="20"/>
        </w:rPr>
        <w:t>Operating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During the three months ended March 31, 2026, net cash used in operating activities was $29.9 million primarily due to our net loss of $33.7 million and a decrease in accrued expenses and other current liabilities related to timing of vendor invoicing and payments, partially offset by stock-based compensation expense.</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2025, net cash used in operating activities was $23.4 million, primarily due to our net loss of $27.5 million and a decrease in accrued expenses related to timing of vendor invoicing and payments, partially offset by stock-based compensation expense and a decrease in prepaid expenses related to work completed for CRO activities associated with our global Phase 3 trial of bel-sar in early choroidal melanoma.</w:t>
      </w:r>
    </w:p>
    <w:p>
      <w:pPr>
        <w:pStyle w:val="TextBody"/>
        <w:bidi w:val="0"/>
        <w:spacing w:before="240" w:after="283"/>
        <w:jc w:val="both"/>
        <w:rPr>
          <w:rFonts w:ascii="Times New Roman" w:hAnsi="Times New Roman"/>
          <w:sz w:val="20"/>
        </w:rPr>
      </w:pPr>
      <w:r>
        <w:rPr>
          <w:rFonts w:ascii="Arial" w:hAnsi="Arial"/>
          <w:i/>
          <w:color w:val="000000"/>
          <w:sz w:val="20"/>
        </w:rPr>
        <w:t>Investing Activities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Net cash provided by investing activities during the three months ended March 31, 2026 was $54.9 million primarily due to maturities of marketable securities partially offset by purchases of property and equipment.</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three months ended March 31, 2025 was $29.8 million primarily due to maturities of marketable securities partially offset by purchases of property and equipment.</w:t>
      </w:r>
    </w:p>
    <w:p>
      <w:pPr>
        <w:pStyle w:val="TextBody"/>
        <w:bidi w:val="0"/>
        <w:spacing w:before="240" w:after="283"/>
        <w:jc w:val="both"/>
        <w:rPr>
          <w:rFonts w:ascii="Times New Roman" w:hAnsi="Times New Roman"/>
          <w:sz w:val="20"/>
        </w:rPr>
      </w:pPr>
      <w:r>
        <w:rPr>
          <w:rFonts w:ascii="Arial" w:hAnsi="Arial"/>
          <w:i/>
          <w:color w:val="000000"/>
          <w:sz w:val="20"/>
        </w:rPr>
        <w:t>Financing Activities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During the three months ended March 31, 2026, net cash provided by financing activities was $0.3 million primarily from proceeds from stock options and warrant exercises, and issuance of common stock under the ESPP.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three months ended March 31, 2025, net cash provided by financing activities was $0.1 million primarily from proceeds from issuance of common stock under the ESPP.</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Funding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plan of operation is to continue implementing our business strategy, continue research, development and manufacture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manufacture our current and future product candidates, and prepare to commercialize our products (if approved).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timing, progress, costs, and results of discovery, preclinical development, and clinical trials for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clinical trials required for regulatory approval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timing, and outcome of regulatory review of any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manufacturing clinical and commercial supplies of our current and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future commercialization activities, including manufacturing, marketing, sales, and distribution, for any of our product candidates for which we receive marketing approval; </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revenue, if any, received from commercial sales of our product candidates for which we receive marketing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expenses to attract, hire and retain, skilled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costs of operating as a public company;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our product candidates are approved, our ability to establish a commercially viable pricing structure and obtain approval for coverage and adequate reimbursement from third-party and government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effect of competing technological and market developments;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extent to which we acquire or invest in businesses, products, and technologies;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unfavorable global economic conditions, which may exacerbate the magnitude of the factors discussed above. </w:t>
      </w:r>
    </w:p>
    <w:p>
      <w:pPr>
        <w:pStyle w:val="TextBody"/>
        <w:bidi w:val="0"/>
        <w:spacing w:before="240" w:after="283"/>
        <w:jc w:val="both"/>
        <w:rPr>
          <w:rFonts w:ascii="Arial" w:hAnsi="Arial"/>
          <w:color w:val="000000"/>
          <w:sz w:val="20"/>
        </w:rPr>
      </w:pPr>
      <w:r>
        <w:rPr>
          <w:rFonts w:ascii="Arial" w:hAnsi="Arial"/>
          <w:color w:val="000000"/>
          <w:sz w:val="20"/>
        </w:rPr>
        <w:t>A change in the outcome of any of these variables with respect to the development of a product candidate could mean a significant change in the costs and timing associated with the development of that product candidate. As of March 31, 2026, we had cash and cash equivalents and marketable securities of $114.7 million. Based on our current operating plan, we believe that our existing cash and cash equivalents and marketable securities, including the net proceeds from the 2026 Follow-On Offering after completion of the Matrix Repurchase, are sufficient to fund our operations into the second half of 2028. We have based this estimate on assumptions that may prove to be wrong, and we could exhaust our available capital resources sooner than we expect.</w:t>
      </w:r>
    </w:p>
    <w:p>
      <w:pPr>
        <w:pStyle w:val="TextBody"/>
        <w:bidi w:val="0"/>
        <w:spacing w:before="240" w:after="283"/>
        <w:jc w:val="both"/>
        <w:rPr>
          <w:rFonts w:ascii="Arial" w:hAnsi="Arial"/>
          <w:color w:val="000000"/>
          <w:sz w:val="20"/>
        </w:rPr>
      </w:pPr>
      <w:r>
        <w:rPr>
          <w:rFonts w:ascii="Arial" w:hAnsi="Arial"/>
          <w:color w:val="000000"/>
          <w:sz w:val="20"/>
        </w:rPr>
        <w:t>Until such time we can generate significant revenue from product sales, if ever, we expect to finance our operations from the sale of additional equity or debt financings, or other capital which comes in the form of strategic collaborations, licensing, or other arrangements, or a combination of some or all thereof. We may not be able to raise additional funds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pStyle w:val="TextBody"/>
        <w:bidi w:val="0"/>
        <w:spacing w:before="240" w:after="283"/>
        <w:jc w:val="both"/>
        <w:rPr>
          <w:rFonts w:ascii="Arial" w:hAnsi="Arial"/>
          <w:color w:val="000000"/>
          <w:sz w:val="20"/>
        </w:rPr>
      </w:pPr>
      <w:r>
        <w:rPr>
          <w:rFonts w:ascii="Arial" w:hAnsi="Arial"/>
          <w:color w:val="000000"/>
          <w:sz w:val="20"/>
        </w:rPr>
        <w:t>If we raise funds through strategic collaboration, licensing or other arrangements, we may relinquish significant rights or grant licenses on terms that are not favorable to us.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may be adversely impacted by potential worsening global economic conditions and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both"/>
        <w:rPr>
          <w:rFonts w:ascii="Arial" w:hAnsi="Arial"/>
          <w:b/>
          <w:color w:val="000000"/>
          <w:sz w:val="20"/>
        </w:rPr>
      </w:pPr>
      <w:r>
        <w:rPr>
          <w:rFonts w:ascii="Arial" w:hAnsi="Arial"/>
          <w:b/>
          <w:color w:val="000000"/>
          <w:sz w:val="20"/>
        </w:rPr>
        <w:t>Material Cash Requirements</w:t>
      </w:r>
    </w:p>
    <w:p>
      <w:pPr>
        <w:pStyle w:val="TextBody"/>
        <w:bidi w:val="0"/>
        <w:spacing w:before="80" w:after="283"/>
        <w:jc w:val="both"/>
        <w:rPr>
          <w:rFonts w:ascii="Arial" w:hAnsi="Arial"/>
          <w:color w:val="000000"/>
          <w:sz w:val="20"/>
        </w:rPr>
      </w:pPr>
      <w:r>
        <w:rPr>
          <w:rFonts w:ascii="Arial" w:hAnsi="Arial"/>
          <w:color w:val="000000"/>
          <w:sz w:val="20"/>
        </w:rPr>
        <w:t>The following table summarizes our contractual obligations and commitments as of March 31, 2026.</w:t>
      </w:r>
    </w:p>
    <w:tbl>
      <w:tblPr>
        <w:tblW w:w="9917" w:type="dxa"/>
        <w:jc w:val="left"/>
        <w:tblInd w:w="0" w:type="dxa"/>
        <w:tblLayout w:type="fixed"/>
        <w:tblCellMar>
          <w:top w:w="28" w:type="dxa"/>
          <w:left w:w="28" w:type="dxa"/>
          <w:bottom w:w="28" w:type="dxa"/>
          <w:right w:w="28" w:type="dxa"/>
        </w:tblCellMar>
      </w:tblPr>
      <w:tblGrid>
        <w:gridCol w:w="3016"/>
        <w:gridCol w:w="146"/>
        <w:gridCol w:w="211"/>
        <w:gridCol w:w="146"/>
        <w:gridCol w:w="691"/>
        <w:gridCol w:w="146"/>
        <w:gridCol w:w="146"/>
        <w:gridCol w:w="211"/>
        <w:gridCol w:w="200"/>
        <w:gridCol w:w="805"/>
        <w:gridCol w:w="146"/>
        <w:gridCol w:w="146"/>
        <w:gridCol w:w="211"/>
        <w:gridCol w:w="146"/>
        <w:gridCol w:w="586"/>
        <w:gridCol w:w="146"/>
        <w:gridCol w:w="146"/>
        <w:gridCol w:w="211"/>
        <w:gridCol w:w="146"/>
        <w:gridCol w:w="586"/>
        <w:gridCol w:w="146"/>
        <w:gridCol w:w="146"/>
        <w:gridCol w:w="211"/>
        <w:gridCol w:w="206"/>
        <w:gridCol w:w="829"/>
        <w:gridCol w:w="191"/>
      </w:tblGrid>
      <w:tr>
        <w:trPr/>
        <w:tc>
          <w:tcPr>
            <w:tcW w:w="30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13"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3"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commitments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5,307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(1)</w:t>
      </w:r>
    </w:p>
    <w:p>
      <w:pPr>
        <w:pStyle w:val="TextBody"/>
        <w:bidi w:val="0"/>
        <w:spacing w:before="60" w:after="283"/>
        <w:jc w:val="both"/>
        <w:rPr>
          <w:rFonts w:ascii="Arial" w:hAnsi="Arial"/>
          <w:color w:val="000000"/>
          <w:sz w:val="20"/>
        </w:rPr>
      </w:pPr>
      <w:r>
        <w:rPr>
          <w:rFonts w:ascii="Arial" w:hAnsi="Arial"/>
          <w:color w:val="000000"/>
          <w:sz w:val="20"/>
        </w:rPr>
        <w:t xml:space="preserve">Amounts in the table above reflect payments due for our lease of office and lab space in Boston, MA, that expires in August 2032.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On May 16, 2022, we entered into an office and laboratory lease in Boston, MA with an initial 10-year term and one renewal option to extend the lease for an additional seven years. The lease commenced on August 1, 2022.</w:t>
      </w:r>
    </w:p>
    <w:p>
      <w:pPr>
        <w:pStyle w:val="TextBody"/>
        <w:bidi w:val="0"/>
        <w:spacing w:before="240" w:after="283"/>
        <w:jc w:val="both"/>
        <w:rPr>
          <w:rFonts w:ascii="Times New Roman" w:hAnsi="Times New Roman"/>
          <w:sz w:val="20"/>
        </w:rPr>
      </w:pPr>
      <w:r>
        <w:rPr>
          <w:rFonts w:ascii="Arial" w:hAnsi="Arial"/>
          <w:color w:val="000000"/>
          <w:sz w:val="20"/>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Our management’s discussion and analysis of financial condition and results of operations is based on our unaudited condensed consolidated financial statements, which have been prepared in accordance with U.S. generally accepted accounting principles.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three months ended March 31, 2026, there were no material changes to our critical accounting policies from those described in the section titled “Management’s Discussion and Analysis of Financial Condition and Operations” included in our Annual Report on Form 10-K for the year ended December 31, 2025, as filed with the SEC.</w:t>
      </w:r>
    </w:p>
    <w:p>
      <w:pPr>
        <w:pStyle w:val="TextBody"/>
        <w:bidi w:val="0"/>
        <w:spacing w:before="240" w:after="283"/>
        <w:jc w:val="both"/>
        <w:rPr>
          <w:rFonts w:ascii="Times New Roman" w:hAnsi="Times New Roman"/>
          <w:sz w:val="20"/>
        </w:rPr>
      </w:pPr>
      <w:r>
        <w:rPr>
          <w:rFonts w:ascii="Arial" w:hAnsi="Arial"/>
          <w:b/>
          <w:color w:val="000000"/>
          <w:sz w:val="20"/>
        </w:rPr>
        <w:t>Recent Accounting Pronouncements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assessed the recent accounting pronouncements for the three months ended March 31, 2026 and determined no pronouncements have material impact to the unaudited condensed consolidated financial statements.</w:t>
      </w:r>
    </w:p>
    <w:p>
      <w:pPr>
        <w:pStyle w:val="TextBody"/>
        <w:bidi w:val="0"/>
        <w:spacing w:before="240" w:after="283"/>
        <w:jc w:val="both"/>
        <w:rPr>
          <w:rFonts w:ascii="Times New Roman" w:hAnsi="Times New Roman"/>
          <w:sz w:val="20"/>
        </w:rPr>
      </w:pPr>
      <w:r>
        <w:rPr>
          <w:rFonts w:ascii="Arial" w:hAnsi="Arial"/>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pStyle w:val="TextBody"/>
        <w:bidi w:val="0"/>
        <w:spacing w:before="80" w:after="283"/>
        <w:jc w:val="both"/>
        <w:rPr>
          <w:rFonts w:ascii="Arial" w:hAnsi="Arial"/>
          <w:color w:val="000000"/>
          <w:sz w:val="20"/>
        </w:rPr>
      </w:pPr>
      <w:r>
        <w:rPr>
          <w:rFonts w:ascii="Arial" w:hAnsi="Arial"/>
          <w:color w:val="000000"/>
          <w:sz w:val="20"/>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pStyle w:val="TextBody"/>
        <w:bidi w:val="0"/>
        <w:spacing w:before="8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bookmarkStart w:id="11" w:name="item_3_quantitative_qualitative_disclosu"/>
      <w:bookmarkEnd w:id="11"/>
      <w:r>
        <w:rPr>
          <w:rFonts w:ascii="Arial" w:hAnsi="Arial"/>
          <w:b/>
          <w:color w:val="000000"/>
          <w:sz w:val="20"/>
        </w:rPr>
        <w:t>Item 3. Quantitative and Qualitative Disclosures About Market Risk.</w:t>
      </w:r>
    </w:p>
    <w:p>
      <w:pPr>
        <w:pStyle w:val="TextBody"/>
        <w:bidi w:val="0"/>
        <w:spacing w:before="80" w:after="283"/>
        <w:jc w:val="both"/>
        <w:rPr>
          <w:rFonts w:ascii="Times New Roman" w:hAnsi="Times New Roman"/>
          <w:sz w:val="20"/>
        </w:rPr>
      </w:pPr>
      <w:r>
        <w:rPr>
          <w:rFonts w:ascii="Arial" w:hAnsi="Arial"/>
          <w:color w:val="000000"/>
          <w:sz w:val="20"/>
        </w:rPr>
        <w:t>We are a smaller reporting company as defined by Rule 12b-2 of the Exchange Act and are not required to provide the information under this item.</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2" w:name="item_4_controls_and_procedures"/>
      <w:bookmarkEnd w:id="12"/>
      <w:r>
        <w:rPr>
          <w:rFonts w:ascii="Arial" w:hAnsi="Arial"/>
          <w:b/>
          <w:color w:val="000000"/>
          <w:sz w:val="20"/>
        </w:rPr>
        <w:t>Item 4. Controls and Procedures.</w:t>
      </w:r>
    </w:p>
    <w:p>
      <w:pPr>
        <w:pStyle w:val="TextBody"/>
        <w:bidi w:val="0"/>
        <w:spacing w:before="80" w:after="283"/>
        <w:jc w:val="both"/>
        <w:rPr>
          <w:rFonts w:ascii="Arial" w:hAnsi="Arial"/>
          <w:i/>
          <w:color w:val="000000"/>
          <w:sz w:val="20"/>
        </w:rPr>
      </w:pPr>
      <w:r>
        <w:rPr>
          <w:rFonts w:ascii="Arial" w:hAnsi="Arial"/>
          <w:i/>
          <w:color w:val="000000"/>
          <w:sz w:val="20"/>
        </w:rPr>
        <w:t>Disclosure Controls and Procedures</w:t>
      </w:r>
    </w:p>
    <w:p>
      <w:pPr>
        <w:pStyle w:val="TextBody"/>
        <w:bidi w:val="0"/>
        <w:spacing w:before="80" w:after="283"/>
        <w:jc w:val="both"/>
        <w:rPr>
          <w:rFonts w:ascii="Arial" w:hAnsi="Arial"/>
          <w:color w:val="000000"/>
          <w:sz w:val="20"/>
        </w:rPr>
      </w:pPr>
      <w:r>
        <w:rPr>
          <w:rFonts w:ascii="Arial" w:hAnsi="Arial"/>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Chief Executive Officer and Chief Financial and Business Officer, has evaluated the effectiveness of our disclosure controls and procedures (as defined in Rules 13a-15(e) and 15d-15(e) under the Exchange Act), as of the end of the period covered by this Quarterly Report. Based on such evaluation, our Chief Executive Officer and Chief Financial and Business Officer have concluded that as of March 31, 2026,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and Business Officer, to allow timely decisions regarding any required disclosure.</w:t>
      </w:r>
    </w:p>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Changes in Internal Control over Financial Reporting</w:t>
      </w:r>
    </w:p>
    <w:p>
      <w:pPr>
        <w:pStyle w:val="TextBody"/>
        <w:bidi w:val="0"/>
        <w:spacing w:before="8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13" w:name="part_ii_other_information"/>
      <w:bookmarkEnd w:id="13"/>
      <w:r>
        <w:rPr>
          <w:rFonts w:ascii="Arial" w:hAnsi="Arial"/>
          <w:b/>
          <w:color w:val="000000"/>
          <w:sz w:val="20"/>
        </w:rPr>
        <w:t>PART II—OTHER INFORMATION</w:t>
      </w:r>
    </w:p>
    <w:p>
      <w:pPr>
        <w:pStyle w:val="TextBody"/>
        <w:bidi w:val="0"/>
        <w:spacing w:before="240" w:after="283"/>
        <w:jc w:val="both"/>
        <w:rPr>
          <w:rFonts w:ascii="Arial" w:hAnsi="Arial"/>
          <w:b/>
          <w:color w:val="000000"/>
          <w:sz w:val="20"/>
        </w:rPr>
      </w:pPr>
      <w:bookmarkStart w:id="14" w:name="item_1_legal_proceedings"/>
      <w:bookmarkEnd w:id="14"/>
      <w:r>
        <w:rPr>
          <w:rFonts w:ascii="Arial" w:hAnsi="Arial"/>
          <w:b/>
          <w:color w:val="000000"/>
          <w:sz w:val="20"/>
        </w:rPr>
        <w:t>Item 1. Legal Proceedings.</w:t>
      </w:r>
    </w:p>
    <w:p>
      <w:pPr>
        <w:pStyle w:val="TextBody"/>
        <w:bidi w:val="0"/>
        <w:spacing w:before="80" w:after="283"/>
        <w:jc w:val="both"/>
        <w:rPr>
          <w:rFonts w:ascii="Arial" w:hAnsi="Arial"/>
          <w:color w:val="000000"/>
          <w:sz w:val="20"/>
        </w:rPr>
      </w:pPr>
      <w:r>
        <w:rPr>
          <w:rFonts w:ascii="Arial" w:hAnsi="Arial"/>
          <w:color w:val="000000"/>
          <w:sz w:val="20"/>
        </w:rPr>
        <w:t>From time to time, we may become subject to various legal proceedings and claims that arise in the ordinary course of our business activities. Although the results of litigation and claims cannot be predicted with certainty, as of March 31,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240" w:after="283"/>
        <w:jc w:val="both"/>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80" w:after="283"/>
        <w:jc w:val="both"/>
        <w:rPr>
          <w:rFonts w:ascii="Times New Roman" w:hAnsi="Times New Roman"/>
          <w:sz w:val="20"/>
        </w:rPr>
      </w:pPr>
      <w:r>
        <w:rPr>
          <w:rFonts w:ascii="Arial" w:hAnsi="Arial"/>
          <w:i/>
          <w:color w:val="000000"/>
          <w:sz w:val="20"/>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Financial Position, and Additional Capital Needs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have incurred significant net losses since our inception and anticipate that we will continue to incur losses for the foreseeable future.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$33.7 million and $27.5 million for the three months ended March 31, 2026 and 2025, respectively. As of March 31, 2026, we had an accumulated deficit of $514.1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initiating and completing research regarding, and preclinical and clinical development of, bel-sar in early choroidal melanoma and additional oncology indications, including metastases to the choroid and bladder cancer as well as any other research programs from our VDC technology platform and any future product candidates;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marketing approval for bel-sar and any future product candidates for which we complete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and maintaining it with, a CDMO for bel-sar and any future product candidates, including establishing and maintaining commercially viable supply and manufacturing relationships with third parties;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launching and commercializing bel-sar and any future product candidates for which we obtain marketing approvals, either directly or with a collaborator or distributor;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market acceptance of bel-sar and any future product candidates as viable treatment options;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technological and market developments;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acquiring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negotiating favorable terms in any collaboration, licensing, or other arrangements into which we may enter;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protecting, and expanding our portfolio of intellectual property rights, including patents, trade secrets, and know-how; and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Based on our current operating plan, we believe that our existing cash and cash equivalents and marketable securities, including the net proceeds from the 2026 Follow-On Offering after completion of the Matrix Repurchase, are sufficient to fund our operations into the second half of 2028. Advancing the development of bel-sar and other research programs will require a significant amount of capital. Our existing cash and cash equivalents and marketable securities may not be sufficient to fund bel-sar through regulatory approvals, and we anticipate needing to raise additional capital to complete the development and commercialization of bel-sar. Our estimate as to how long we expect our existing cash and cash equivalents and marketable securities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or through the exercise of the warrants that were issued in May 2025,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pStyle w:val="TextBody"/>
        <w:bidi w:val="0"/>
        <w:spacing w:before="240" w:after="283"/>
        <w:jc w:val="both"/>
        <w:rPr>
          <w:rFonts w:ascii="Arial" w:hAnsi="Arial"/>
          <w:b/>
          <w:i/>
          <w:color w:val="000000"/>
          <w:sz w:val="20"/>
        </w:rPr>
      </w:pPr>
      <w:r>
        <w:rPr>
          <w:rFonts w:ascii="Arial" w:hAnsi="Arial"/>
          <w:b/>
          <w:i/>
          <w:color w:val="000000"/>
          <w:sz w:val="20"/>
        </w:rPr>
        <w:t>Recent volatility in capital markets may affect our ability to access new capital through sales of shares of our common stock or issuance of indebtedness.</w:t>
      </w:r>
    </w:p>
    <w:p>
      <w:pPr>
        <w:pStyle w:val="TextBody"/>
        <w:bidi w:val="0"/>
        <w:spacing w:before="80" w:after="283"/>
        <w:jc w:val="both"/>
        <w:rPr>
          <w:rFonts w:ascii="Times New Roman" w:hAnsi="Times New Roman"/>
          <w:sz w:val="20"/>
        </w:rPr>
      </w:pPr>
      <w:r>
        <w:rPr>
          <w:rFonts w:ascii="Arial" w:hAnsi="Arial"/>
          <w:color w:val="000000"/>
          <w:sz w:val="20"/>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finance unanticipated working capital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 or enhance our technological infrastructure and our existing solutions;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pursue acquisitions or other strategic relationships;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respond to competitive pressures.</w:t>
      </w:r>
    </w:p>
    <w:p>
      <w:pPr>
        <w:pStyle w:val="TextBody"/>
        <w:bidi w:val="0"/>
        <w:spacing w:before="240" w:after="283"/>
        <w:jc w:val="both"/>
        <w:rPr>
          <w:rFonts w:ascii="Arial" w:hAnsi="Arial"/>
          <w:color w:val="000000"/>
          <w:sz w:val="20"/>
        </w:rPr>
      </w:pPr>
      <w:r>
        <w:rPr>
          <w:rFonts w:ascii="Arial" w:hAnsi="Arial"/>
          <w:color w:val="000000"/>
          <w:sz w:val="20"/>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pStyle w:val="TextBody"/>
        <w:bidi w:val="0"/>
        <w:spacing w:before="240" w:after="283"/>
        <w:jc w:val="both"/>
        <w:rPr>
          <w:rFonts w:ascii="Times New Roman" w:hAnsi="Times New Roman"/>
          <w:sz w:val="20"/>
        </w:rPr>
      </w:pPr>
      <w:r>
        <w:rPr>
          <w:rFonts w:ascii="Arial" w:hAnsi="Arial"/>
          <w:b/>
          <w:i/>
          <w:color w:val="000000"/>
          <w:sz w:val="20"/>
        </w:rPr>
        <w:t>Raising additional capital may cause dilution to our existing stockholders, restrict our operations or require us to relinquish proprietary rights to our technologies or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or through the exercise of warrants we have issued,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our objectives relating to the discovery, development, regulatory approval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relationships with CROs and clinical sites for the clinical development of bel-sar, other research programs from our VDC technology platform, and any other future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timely receipt of marketing approvals from applicable regulatory authorities for any product candidates for which we successfully complete clinical development;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transferring our manufacturing process to, and developing or maintaining it with, a CDMO including obtaining finished products that are appropriately packaged for sale;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continued acceptable safety profile following any marketing approval of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commercial acceptance of our product candidates by patients, the medical community and third-party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satisfying any required post-marketing approval commitments to applicable regulatory authorities;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identifying, assessing and developing new product candidates from our VDC technology platform;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maintaining and expanding patent protection, trade secret protection and regulatory exclusivity, both in the United States and internationally;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defending against third-party interference or infringement claims, if any;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obtaining coverage and adequate reimbursement by third-party payors for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addressing any competing therapies and technological and market developments;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attracting, hiring and retaining qualified personnel. </w:t>
      </w:r>
    </w:p>
    <w:p>
      <w:pPr>
        <w:pStyle w:val="TextBody"/>
        <w:bidi w:val="0"/>
        <w:spacing w:before="240" w:after="283"/>
        <w:jc w:val="both"/>
        <w:rPr>
          <w:rFonts w:ascii="Times New Roman" w:hAnsi="Times New Roman"/>
          <w:sz w:val="20"/>
        </w:rPr>
      </w:pPr>
      <w:r>
        <w:rPr>
          <w:rFonts w:ascii="Arial" w:hAnsi="Arial"/>
          <w:color w:val="000000"/>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heavily dependent on the success of bel-sar, our only product candidate to date.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 not utilize a device, which creates uncertainties in the requirements for regulatory approval. Our product candidates could be delayed in receiving, or fail to receive, regulatory approval for many reasons, including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the design or implementation of our clinical trials;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to the satisfaction of the FDA or comparable foreign regulatory authorities that a product candidate is safe and effective for its proposed indication;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results of clinical trials may not meet the level of statistical significance required by the FDA or comparable foreign regulatory authorities for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unable to demonstrate that a product candidate’s clinical and other benefits outweigh its safety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disagree with our interpretation of data from preclinical studies or clinical trials;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data collected from clinical trials of our product candidates may not be sufficient to support the submission of an BLA or other submission or to obtain regulatory approval in the United States or elsewhere;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FDA or comparable foreign regulatory authorities may fail to approve our manufacturing processes or facilities or those of third-party manufacturers with which we contract for clinical and commercial supplies;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policies or regulations of the FDA or comparable foreign regulatory authorities may significantly change in a manner rendering our clinical data insufficient for approval. </w:t>
      </w:r>
    </w:p>
    <w:p>
      <w:pPr>
        <w:pStyle w:val="TextBody"/>
        <w:bidi w:val="0"/>
        <w:spacing w:before="240" w:after="283"/>
        <w:jc w:val="both"/>
        <w:rPr>
          <w:rFonts w:ascii="Times New Roman" w:hAnsi="Times New Roman"/>
          <w:sz w:val="20"/>
        </w:rPr>
      </w:pPr>
      <w:r>
        <w:rPr>
          <w:rFonts w:ascii="Arial" w:hAnsi="Arial"/>
          <w:color w:val="000000"/>
          <w:sz w:val="20"/>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initiated but not yet completed a pivotal clinical trial nor have we commercialized any pharmaceutical products, which may make it difficult to evaluate our future prospects.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Although we have an ongoing global Phase 3 trial in small choroidal melanomas and indeterminate lesions, we have not yet demonstrated an ability to successfully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such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external CDMO manufacturer, but transfers to additional CDMOs may occur in the future. Further, some modifications to our manufacturing process or a manufacturing facility change may be needed, including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our ocular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fail to develop additional product candidates, or obtain additional indications of our first product candidate, our commercial opportunity could be limited.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Bel-sar is a biologic that requires the use of multiple medical devices, which may result in additional regulatory risks.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bear a CE marking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Changes in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For example, the EMA required additional testing to support drug substance characterization which led to a later than anticipated authorization to commence enrolling patients in our Phase 3 clinical trial under the EU Clinical Trial Regulation process.</w:t>
      </w:r>
    </w:p>
    <w:p>
      <w:pPr>
        <w:pStyle w:val="TextBody"/>
        <w:bidi w:val="0"/>
        <w:spacing w:before="240" w:after="283"/>
        <w:jc w:val="both"/>
        <w:rPr>
          <w:rFonts w:ascii="Times New Roman" w:hAnsi="Times New Roman"/>
          <w:sz w:val="20"/>
        </w:rPr>
      </w:pPr>
      <w:r>
        <w:rPr>
          <w:rFonts w:ascii="Arial" w:hAnsi="Arial"/>
          <w:color w:val="000000"/>
          <w:sz w:val="20"/>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 choroidal melanoma is a rare disease and as such clinical trial recruitment estimates may be inaccurate and such recruitment may take longer than expected.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Patient enrollment may be affected by other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severity of the disease under investigation;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clinicians’ and patients’ awareness of, and perceptions as to the potential advantages and risks of bel-sar in relation to other available therapies, including any new drugs that may be approved for the indications we are investigating;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efforts to obtain and maintain patient consents and facilitate timely enrollment in clinical trials; </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monitor patients adequately during and after treatment;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risk that patients enrolled in clinical trials will drop out of the clinical trials before clinical trial completion;</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competing studies or trials with similar eligibility criteria;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ability to recruit clinical trial investigators with the appropriate competencies and experience;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reporting of the preliminary results of any of our clinical trials;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factors we may not be able to control that may limit patients, principal investigators or staff or clinical site availability. </w:t>
      </w:r>
    </w:p>
    <w:p>
      <w:pPr>
        <w:pStyle w:val="TextBody"/>
        <w:bidi w:val="0"/>
        <w:spacing w:before="240" w:after="283"/>
        <w:jc w:val="both"/>
        <w:rPr>
          <w:rFonts w:ascii="Times New Roman" w:hAnsi="Times New Roman"/>
          <w:sz w:val="20"/>
        </w:rPr>
      </w:pPr>
      <w:r>
        <w:rPr>
          <w:rFonts w:ascii="Arial" w:hAnsi="Arial"/>
          <w:b/>
          <w:i/>
          <w:color w:val="000000"/>
          <w:sz w:val="20"/>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currently conducting a Phase 3 clinical trial and have, or anticipate to have, sites in the United States as well as in some or all of the following countries, among others: the UK, Canada, Australia, Austria, Italy, Israel, Germany, France, Spain, Denmark, Belgium, New Zealand, the Netherlands,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Additionally, recent policy proposals in the United States, if enacted in the future, may make acceptance by the FDA or inclusion in a marketing application of foreign data more difficult or costly.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marketing approval for our current or future product candidates in the United States, we may never receive regulatory approval to market our current or future product candidates outside of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results of preclinical studies and early clinical trials may not be predictive of future results.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Interim, “top-line,” and preliminary or early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From time to time, we may publicly disclose preliminary, early,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early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withdraw approvals of such product or require additional warnings on the label;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additional clinical trials or post-approval studies;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be subject to regulatory investigations and government enforcement actions;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reputation may suffer. </w:t>
      </w:r>
    </w:p>
    <w:p>
      <w:pPr>
        <w:pStyle w:val="TextBody"/>
        <w:bidi w:val="0"/>
        <w:spacing w:before="240" w:after="283"/>
        <w:jc w:val="both"/>
        <w:rPr>
          <w:rFonts w:ascii="Times New Roman" w:hAnsi="Times New Roman"/>
          <w:sz w:val="20"/>
        </w:rPr>
      </w:pPr>
      <w:r>
        <w:rPr>
          <w:rFonts w:ascii="Arial" w:hAnsi="Arial"/>
          <w:color w:val="000000"/>
          <w:sz w:val="20"/>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of these events could prevent us from achieving or maintaining market acceptance of the particular product candidate, if approved, and could materially affect our business, financial condition, results of operations, and growth prospects.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incur additional costs or experience delays in initiating or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receive feedback from regulatory authorities that require us to modify the design or implementation of our preclinical studies or clinical trials or to delay or terminate a clinical trial;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regulators or institutional review board, or IRBs, or ethics committees may delay or may not authorize us or our investigators to commence a clinical trial or conduct a clinical trial at a prospective trial site;</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experience delays in reaching, or fail to reach, agreement on acceptable terms with prospective trial sites and prospective CROs, the terms of which can be subject to extensive negotiation and may vary significantly among different CROs and trial sites;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preclinical studies or clinical trials of our product candidates may not produce differentiated or clinically significant results across tumor types or indications;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clinical trials of our product candidates may be greater than we anticipate;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regulators may revise the requirements for approving our product candidates, or such requirements may not be as we anticipate. </w:t>
      </w:r>
    </w:p>
    <w:p>
      <w:pPr>
        <w:pStyle w:val="TextBody"/>
        <w:bidi w:val="0"/>
        <w:spacing w:before="240" w:after="283"/>
        <w:jc w:val="both"/>
        <w:rPr>
          <w:rFonts w:ascii="Times New Roman" w:hAnsi="Times New Roman"/>
          <w:sz w:val="20"/>
        </w:rPr>
      </w:pPr>
      <w:r>
        <w:rPr>
          <w:rFonts w:ascii="Arial" w:hAnsi="Arial"/>
          <w:color w:val="000000"/>
          <w:sz w:val="20"/>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Sponsors of approved drugs and biologics must provide six months’ notice to the FDA of any changes in marketing status or for discontinuing or interrupting supply of certain drugs, including the withdrawal of a drug, and failure to do so could result in the FDA issuing a letter citing such failure to comply and public posting of such letter and redacted company response, which could damage the company’s reputation.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restrictions on the marketing or manufacturing of the product, withdrawal of the product from the market, or voluntary or mandatory product recalls;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manufacturing delays and supply disruptions where regulatory inspections identify observations of noncompliance requiring remediation;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revisions to the labeling, including limitation on approved uses or the inclusion of additional warnings, contraindications or other safety information, including boxed warnings;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imposition of a REMS which may include distribution or use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requirements to conduct additional post-market clinical trials to assess the safety of the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clinical trial holds;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fines, warning letters or other regulatory enforcement action;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refusal by the FDA to approve pending applications or supplements to approved applications filed by us or suspension or revocation of approvals;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seizure or detention, or refusal to permit the import or export of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injunctions or the imposition of civil or criminal penalties.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pStyle w:val="TextBody"/>
        <w:bidi w:val="0"/>
        <w:spacing w:before="240" w:after="283"/>
        <w:jc w:val="both"/>
        <w:rPr>
          <w:rFonts w:ascii="Times New Roman" w:hAnsi="Times New Roman"/>
          <w:sz w:val="20"/>
        </w:rPr>
      </w:pPr>
      <w:r>
        <w:rPr>
          <w:rFonts w:ascii="Arial" w:hAnsi="Arial"/>
          <w:b/>
          <w:i/>
          <w:color w:val="000000"/>
          <w:sz w:val="20"/>
        </w:rPr>
        <w:t>We may be unable to obtain ODD for additional indications, or to maintain the benefits associated with orphan drug status, including market exclusivity, which may cause our revenue, if any, to be reduced.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product that has ODD subsequently receives the first FDA approval for a particular active ingredient for the indication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approved use or condition. Furthermore, the FDA can waive orphan exclusivity if we are unable to manufacture sufficient supply of our product.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orphan designation for bel-sar for the treatment of uveal melanoma from the FDA and the European Commission,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five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and competent authorities of the EU Member States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which could reduce the current ten-year marketing exclusivity period in the EU for certain orphan medicines, remain to be adopted, and are not expected to become applicable before 2028.</w:t>
      </w:r>
    </w:p>
    <w:p>
      <w:pPr>
        <w:pStyle w:val="TextBody"/>
        <w:bidi w:val="0"/>
        <w:spacing w:before="240" w:after="283"/>
        <w:jc w:val="both"/>
        <w:rPr>
          <w:rFonts w:ascii="Times New Roman" w:hAnsi="Times New Roman"/>
          <w:sz w:val="20"/>
        </w:rPr>
      </w:pPr>
      <w:r>
        <w:rPr>
          <w:rFonts w:ascii="Arial" w:hAnsi="Arial"/>
          <w:b/>
          <w:i/>
          <w:color w:val="000000"/>
          <w:sz w:val="20"/>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the Food and Drug Omnibus Reform Act of 2022, or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The FDA’s agreement to a Special Protocol Assessment, or SPA, with respect to the study design of our global Phase 3 trial of bel-sar for the treatment of early choroidal melanoma does not guarantee any particular outcome from regulatory review, including ultimate approval, and may not lead to a successful review or approval process.</w:t>
      </w:r>
    </w:p>
    <w:p>
      <w:pPr>
        <w:pStyle w:val="TextBody"/>
        <w:bidi w:val="0"/>
        <w:spacing w:before="80" w:after="283"/>
        <w:jc w:val="both"/>
        <w:rPr>
          <w:rFonts w:ascii="Arial" w:hAnsi="Arial"/>
          <w:color w:val="000000"/>
          <w:sz w:val="20"/>
        </w:rPr>
      </w:pPr>
      <w:r>
        <w:rPr>
          <w:rFonts w:ascii="Arial" w:hAnsi="Arial"/>
          <w:color w:val="000000"/>
          <w:sz w:val="20"/>
        </w:rPr>
        <w:t>We obtained agreement from the FDA on the design and planned analysis of our global Phase 3 trial of bel-sar for the treatment of early choroidal melanoma through an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pStyle w:val="TextBody"/>
        <w:bidi w:val="0"/>
        <w:spacing w:before="240" w:after="283"/>
        <w:jc w:val="both"/>
        <w:rPr>
          <w:rFonts w:ascii="Arial" w:hAnsi="Arial"/>
          <w:color w:val="000000"/>
          <w:sz w:val="20"/>
        </w:rPr>
      </w:pPr>
      <w:r>
        <w:rPr>
          <w:rFonts w:ascii="Arial" w:hAnsi="Arial"/>
          <w:color w:val="000000"/>
          <w:sz w:val="20"/>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pStyle w:val="TextBody"/>
        <w:bidi w:val="0"/>
        <w:spacing w:before="240" w:after="283"/>
        <w:jc w:val="both"/>
        <w:rPr>
          <w:rFonts w:ascii="Times New Roman" w:hAnsi="Times New Roman"/>
          <w:sz w:val="20"/>
        </w:rPr>
      </w:pPr>
      <w:r>
        <w:rPr>
          <w:rFonts w:ascii="Arial" w:hAnsi="Arial"/>
          <w:color w:val="000000"/>
          <w:sz w:val="20"/>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pStyle w:val="TextBody"/>
        <w:bidi w:val="0"/>
        <w:spacing w:before="240" w:after="283"/>
        <w:jc w:val="both"/>
        <w:rPr>
          <w:rFonts w:ascii="Arial" w:hAnsi="Arial"/>
          <w:color w:val="000000"/>
          <w:sz w:val="20"/>
        </w:rPr>
      </w:pPr>
      <w:r>
        <w:rPr>
          <w:rFonts w:ascii="Arial" w:hAnsi="Arial"/>
          <w:color w:val="000000"/>
          <w:sz w:val="20"/>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color w:val="000000"/>
          <w:sz w:val="20"/>
        </w:rPr>
        <w:t>Risks Related to Our Reliance on Third Parties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 choroidal melanoma. Any of these third parties may terminate their engagements with us or be unable to fulfill their contractual obligations. If we need to enter into alternative arrangements, our product development activities would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Any delays or disruptions in the operations of our existing CDMOs or third-party suppliers, or finding new CDMOs or third-party suppliers, would involve additional cost and require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an existing or new CDMO could delay completion of clinical trials, require the conduct of bridging clinical trials or studies, require the repetition of one or more clinical trials, increase clinical trial and commercial costs, delay approval of bel-sar and future product candidates and jeopardize our ability to commence product sales and generate revenue.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of third-party manufacturers to comply with regulatory requirements and maintain quality assurance;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breach of the manufacturing agreement by the third-party manufacturers;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specifications;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lack of qualified backup suppliers for those components or materials that are currently purchased from a sole or single source supplier;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failure to manufacture our product according to our schedule or at all;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production difficulties caused by unforeseen events that may delay the availability of one or more of the necessary raw materials or delay the manufacture of bel-sar or any future product candidates for use in clinical trials or for commercial supply;</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supply or service disruptions or increased costs that are beyond our control;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misappropriation of our proprietary information, including our trade secrets and know-how;</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changes to manufacturing costs or processes implemented by third-party manufacturers;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termination or nonrenewal of the agreement by the third party at a time that is costly or inconvenient for us. </w:t>
      </w:r>
    </w:p>
    <w:p>
      <w:pPr>
        <w:pStyle w:val="TextBody"/>
        <w:bidi w:val="0"/>
        <w:spacing w:before="240" w:after="283"/>
        <w:jc w:val="both"/>
        <w:rPr>
          <w:rFonts w:ascii="Times New Roman" w:hAnsi="Times New Roman"/>
          <w:sz w:val="20"/>
        </w:rPr>
      </w:pPr>
      <w:r>
        <w:rPr>
          <w:rFonts w:ascii="Arial" w:hAnsi="Arial"/>
          <w:color w:val="000000"/>
          <w:sz w:val="20"/>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renegotiate agreements with existing third-party manufacturers on less attractive terms or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Commercialization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bel-sar or any future product candidates do not achieve broad market acceptance, the revenue that we generate from their sales may be limited, and we may never become profitable.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efficacy of bel-sar and our VLP technology,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prevalence and severity of adverse events associated with bel-sar and any future product candidates or those products with which they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the clinical indications for which bel-sar are approved and the approved claims that we may make for the products;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limitations or warnings contained in the product’s FDA-approved labeling or those of comparable foreign regulatory authorities, including potential limitations or warnings for bel-sar and any future product candidates that may be more restrictive than other competitive products;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SoC for the targeted indications for bel-sar and any future product candidates, which could reduce the marketing impact of any claims that we could make following FDA approval or approval by comparable foreign regulatory authorities, if obtained;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relative convenience and ease of administration of bel-sar and any future product candidates and any products with which they are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cost of treatment compared with the economic and clinical benefit of alternative treatments or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adequate coverage or reimbursement by third-party payors, including government healthcare programs such as Medicare and Medicaid and other healthcare payors;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price concessions required by third-party payors to obtain coverage;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perception of physicians, patients, third-party payors and others in the medical community of the relative safety, efficacy, convenience, effect on quality of life and cost effectiveness of bel-sar compared to those of other available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patients to pay out-of-pocket in the absence of adequate coverage and reimbursement;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marketing and distribution of bel-sar and any future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safety, efficacy, and other potential advantages over, and availability of, alternative treatments already used or that may later be approved;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distribution and use restrictions imposed by the FDA or comparable foreign regulatory authorities with respect to bel-sar and any future product candidates or to which we agree as part of a REMS or voluntary risk management plan;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timing of market introduction of bel-sar and any future product candidates, as well as competitive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offer bel-sar and any future product candidates for sale at competitive prices;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willingness of the target patient population to try new therapies and of physicians to prescribe these therapies;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extent and strength of our third-party manufacturer and supplier support;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publicity concerning our bel-sar or competing products and treatments;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actions of companies that market any products with which bel-sar and any future product candidates may be co-administered;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approval of other new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adverse publicity about bel-sar and any future product candidates or any products with which they are co-administered, or favorable publicity about competitive products;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product liability claims. </w:t>
      </w:r>
    </w:p>
    <w:p>
      <w:pPr>
        <w:pStyle w:val="TextBody"/>
        <w:bidi w:val="0"/>
        <w:spacing w:before="240" w:after="283"/>
        <w:jc w:val="both"/>
        <w:rPr>
          <w:rFonts w:ascii="Times New Roman" w:hAnsi="Times New Roman"/>
          <w:sz w:val="20"/>
        </w:rPr>
      </w:pPr>
      <w:r>
        <w:rPr>
          <w:rFonts w:ascii="Arial" w:hAnsi="Arial"/>
          <w:b/>
          <w:i/>
          <w:color w:val="000000"/>
          <w:sz w:val="20"/>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developing a sales and marketing organization requires significant investment, is time-consuming and could delay the launch of our product candidate. We may not be able to build an effective sales and marketing organization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the United States, the EU or other key global markets. If we are unable to build our own distribution and marketing capabilities or to find suitable partners for the commercialization of our product candidate, we may have difficulties generating revenue from them.</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There can be no assurance that we will be able to develop in-house sales and distribution capabilities or establish or maintain relationships with third-party collaborators to commercialize any product in the United States or overseas.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face competition, which may result in others discovering, developing or commercializing drugs before or more successfully than we do.</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biopharmaceutical industry is characterized by intense competition and rapid innovation. While we are not aware of anyone currently developing a treatment for early choroidal melanoma, in the future our competitors may be able to develop other compounds or drugs that are able to achieve similar or better results than us. There are multiple companies that have drugs in clinical development for the treatment of NMIBC, such as Johnson &amp; Johnson, UroGen Pharma Ltd., CG Oncology, Inc., ImmunityBio, Inc. and Ferring Pharmaceuticals.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 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pStyle w:val="TextBody"/>
        <w:bidi w:val="0"/>
        <w:spacing w:before="240" w:after="283"/>
        <w:jc w:val="both"/>
        <w:rPr>
          <w:rFonts w:ascii="Times New Roman" w:hAnsi="Times New Roman"/>
          <w:sz w:val="20"/>
        </w:rPr>
      </w:pPr>
      <w:r>
        <w:rPr>
          <w:rFonts w:ascii="Arial" w:hAnsi="Arial"/>
          <w:color w:val="000000"/>
          <w:sz w:val="20"/>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2025 titled “Business—Competition.”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2025 titled “Business—Government Regulation—Coverage and Reimbursement.”</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incidence and prevalence for target patient populations of bel-sar and any future product candidates has not been established with precision. Bel-sar is a VDC product candidate being developed for the first line treatment of early choroidal melanoma. Our projections of both the number of people who have choroidal melanoma, as well as additional ocular oncology and bladder cancer indications, are based on our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pStyle w:val="TextBody"/>
        <w:bidi w:val="0"/>
        <w:spacing w:before="80" w:after="283"/>
        <w:jc w:val="both"/>
        <w:rPr>
          <w:rFonts w:ascii="Arial" w:hAnsi="Arial"/>
          <w:color w:val="000000"/>
          <w:sz w:val="20"/>
        </w:rPr>
      </w:pPr>
      <w:r>
        <w:rPr>
          <w:rFonts w:ascii="Arial" w:hAnsi="Arial"/>
          <w:color w:val="000000"/>
          <w:sz w:val="20"/>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2025 titled “Business—Government Regulation—Health Care Laws and Regulations.”</w:t>
      </w:r>
    </w:p>
    <w:p>
      <w:pPr>
        <w:pStyle w:val="TextBody"/>
        <w:bidi w:val="0"/>
        <w:spacing w:before="240" w:after="283"/>
        <w:jc w:val="both"/>
        <w:rPr>
          <w:rFonts w:ascii="Arial" w:hAnsi="Arial"/>
          <w:color w:val="000000"/>
          <w:sz w:val="20"/>
        </w:rPr>
      </w:pPr>
      <w:r>
        <w:rPr>
          <w:rFonts w:ascii="Arial" w:hAnsi="Arial"/>
          <w:color w:val="000000"/>
          <w:sz w:val="20"/>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Current and future 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2025 titled “Business—Government Regulation—Health Care Reform &amp; Legislative Updates.”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significant number of legislative initiatives to contain healthcare costs. The United States has also sought to implement legislation at the state level, and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demand for our current or future product candidates, if we obtain regulatory approval;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set a price that we believe is fair for our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obtain coverage and reimbursement approval for a product;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to generate revenue and achieve or maintain profitability;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level of taxes that we are required to pay; and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availability of capital. </w:t>
      </w:r>
    </w:p>
    <w:p>
      <w:pPr>
        <w:pStyle w:val="TextBody"/>
        <w:bidi w:val="0"/>
        <w:spacing w:before="240" w:after="283"/>
        <w:jc w:val="both"/>
        <w:rPr>
          <w:rFonts w:ascii="Times New Roman" w:hAnsi="Times New Roman"/>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Intellectual Property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Our ability to compete may decline if we do not adequately protect our proprietary rights, and our proprietary rights do not necessarily address all potential threats to our competitive advantage.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others may design around our patent claims to produce competitive technologies, products or methods that fall outside of the scope of our patents;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we may not obtain patent protection in all jurisdictions that may eventually provide us a significant business opportunity;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patents issued to us may be successfully challenged by third parties. </w:t>
      </w:r>
    </w:p>
    <w:p>
      <w:pPr>
        <w:pStyle w:val="TextBody"/>
        <w:bidi w:val="0"/>
        <w:spacing w:before="240" w:after="283"/>
        <w:jc w:val="both"/>
        <w:rPr>
          <w:rFonts w:ascii="Times New Roman" w:hAnsi="Times New Roman"/>
          <w:sz w:val="20"/>
        </w:rPr>
      </w:pPr>
      <w:r>
        <w:rPr>
          <w:rFonts w:ascii="Arial" w:hAnsi="Arial"/>
          <w:color w:val="000000"/>
          <w:sz w:val="20"/>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may need to license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Disputes may also arise between us and our licensors regarding intellectual property subject to a license agreement,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scope of rights granted and related obligations under the license agreement and other interpretation-related issues;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licensor’s right to license or sublicense patent and other rights to us, and whether and the extent to which the right is retained by a third party;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whether and the extent to which our technology infringes on intellectual property of the licensor that is not subject to the licensing agreement;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right to sublicense patent and other rights to third parties under collaborative development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diligence obligations with respect to the use of the licensed technology in relation to our development and commercialization of bel-sar or any future product candidates, and what activities satisfy those diligence obligations;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ownership of inventions and know-how resulting from the joint creation or use of intellectual property by our licensors and us. </w:t>
      </w:r>
    </w:p>
    <w:p>
      <w:pPr>
        <w:pStyle w:val="TextBody"/>
        <w:bidi w:val="0"/>
        <w:spacing w:before="240" w:after="283"/>
        <w:jc w:val="both"/>
        <w:rPr>
          <w:rFonts w:ascii="Times New Roman" w:hAnsi="Times New Roman"/>
          <w:sz w:val="20"/>
        </w:rPr>
      </w:pPr>
      <w:r>
        <w:rPr>
          <w:rFonts w:ascii="Arial" w:hAnsi="Arial"/>
          <w:color w:val="000000"/>
          <w:sz w:val="20"/>
        </w:rPr>
        <w:t>If disputes over intellectual property that we have licensed prevent or impair our ability to maintain our current licensing arrangements on acceptable terms, we may be unable to successfully develop and commercialize the affected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pStyle w:val="TextBody"/>
        <w:bidi w:val="0"/>
        <w:spacing w:before="240" w:after="283"/>
        <w:jc w:val="both"/>
        <w:rPr>
          <w:rFonts w:ascii="Times New Roman" w:hAnsi="Times New Roman"/>
          <w:sz w:val="20"/>
        </w:rPr>
      </w:pPr>
      <w:r>
        <w:rPr>
          <w:rFonts w:ascii="Arial" w:hAnsi="Arial"/>
          <w:b/>
          <w:i/>
          <w:color w:val="000000"/>
          <w:sz w:val="20"/>
        </w:rPr>
        <w:t>Patents and patent applications involve highly complex legal and factual questions, which, if determined adversely to us, could negatively impact our patent position.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 xml:space="preserve">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hAnsi="Arial"/>
          <w:i/>
          <w:color w:val="000000"/>
          <w:sz w:val="20"/>
        </w:rPr>
        <w:t xml:space="preserve">inter partes </w:t>
      </w:r>
      <w:r>
        <w:rPr>
          <w:rFonts w:ascii="Arial" w:hAnsi="Arial"/>
          <w:color w:val="000000"/>
          <w:sz w:val="20"/>
        </w:rPr>
        <w:t>review and opposition proceedings may be costly. Accordingly, rights under any issued patents may not provide us with sufficient protection against competitive products or processes.</w:t>
      </w:r>
    </w:p>
    <w:p>
      <w:pPr>
        <w:pStyle w:val="TextBody"/>
        <w:bidi w:val="0"/>
        <w:spacing w:before="240" w:after="283"/>
        <w:jc w:val="both"/>
        <w:rPr>
          <w:rFonts w:ascii="Times New Roman" w:hAnsi="Times New Roman"/>
          <w:sz w:val="20"/>
        </w:rPr>
      </w:pPr>
      <w:r>
        <w:rPr>
          <w:rFonts w:ascii="Arial" w:hAnsi="Arial"/>
          <w:color w:val="000000"/>
          <w:sz w:val="20"/>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changes in, or different interpretations of, patent laws in the United States and other countries may permit others to use our discoveries or to develop and commercialize our technology without providing any compensation to us and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hAnsi="Arial"/>
          <w:i/>
          <w:color w:val="000000"/>
          <w:sz w:val="20"/>
        </w:rPr>
        <w:t>inter partes</w:t>
      </w:r>
      <w:r>
        <w:rPr>
          <w:rFonts w:ascii="Times New Roman" w:hAnsi="Times New Roman"/>
          <w:color w:val="000000"/>
          <w:sz w:val="20"/>
        </w:rPr>
        <w:t xml:space="preserve"> </w:t>
      </w:r>
      <w:r>
        <w:rPr>
          <w:rFonts w:ascii="Arial" w:hAnsi="Arial"/>
          <w:color w:val="000000"/>
          <w:sz w:val="20"/>
        </w:rPr>
        <w:t>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before="240" w:after="283"/>
        <w:jc w:val="both"/>
        <w:rPr>
          <w:rFonts w:ascii="Times New Roman" w:hAnsi="Times New Roman"/>
          <w:sz w:val="20"/>
        </w:rPr>
      </w:pPr>
      <w:r>
        <w:rPr>
          <w:rFonts w:ascii="Arial" w:hAnsi="Arial"/>
          <w:color w:val="000000"/>
          <w:sz w:val="20"/>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If we or our licensors are unable to protect the confidentiality of the proprietary information related to our product or process, our business and competitive position would be harmed.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hAnsi="Arial"/>
          <w:color w:val="000000"/>
          <w:sz w:val="13"/>
        </w:rPr>
        <w:t xml:space="preserve">® </w:t>
      </w:r>
      <w:r>
        <w:rPr>
          <w:rFonts w:ascii="Arial" w:hAnsi="Arial"/>
          <w:color w:val="000000"/>
          <w:sz w:val="20"/>
        </w:rPr>
        <w:t>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data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Risks Related to our Business and Industry</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If we lose key management personnel, or if we fail to recruit additional highly skilled personnel, our ability to pursue our business strategy will be impaired, could result in loss of markets or market share and could make us less competitive.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Changes in funding, leadership, personnel, policies or priorities of, or other disruptions at federal governmental agencies, including from government shut downs or layoffs of federal agency employees or other disruptions to these agencies’ operations, funding or staffing, could hinder their ability to hire and retain key leadership and other personnel, prevent, delay, or hinder the research, development or commercialization of new products and services or otherwise prevent those agencies from performing normal business functions on which the operation of our business may rely, which could negatively impact our business.</w:t>
      </w:r>
    </w:p>
    <w:p>
      <w:pPr>
        <w:pStyle w:val="TextBody"/>
        <w:bidi w:val="0"/>
        <w:spacing w:before="8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80" w:after="283"/>
        <w:jc w:val="both"/>
        <w:rPr>
          <w:rFonts w:ascii="Arial" w:hAnsi="Arial"/>
          <w:color w:val="000000"/>
          <w:sz w:val="20"/>
        </w:rPr>
      </w:pPr>
      <w:r>
        <w:rPr>
          <w:rFonts w:ascii="Arial" w:hAnsi="Arial"/>
          <w:color w:val="000000"/>
          <w:sz w:val="20"/>
        </w:rPr>
        <w:t>Disruptions in staffing, funding or operations at the FDA, SEC, NIH, USPTO and other government agencies, including leadership departures, personnel cuts, and potential or actual government shutdowns or any changes and/or additional policies or regulations relating to federal agencies as a result of the current U.S. presidential administration, may also prevent, delay or hinder the research, development or commercialization of new products, including review and/or approval of new products by necessary government agencies, any of which would adversely affect our business. Changes and cuts in FDA staffing have also been reported as resulting in delays in the FDA’s responsiveness or in its ability to review IND submissions or marketing applications.</w:t>
      </w:r>
    </w:p>
    <w:p>
      <w:pPr>
        <w:pStyle w:val="TextBody"/>
        <w:bidi w:val="0"/>
        <w:spacing w:before="80" w:after="283"/>
        <w:jc w:val="both"/>
        <w:rPr>
          <w:rFonts w:ascii="Arial" w:hAnsi="Arial"/>
          <w:color w:val="000000"/>
          <w:sz w:val="20"/>
        </w:rPr>
      </w:pPr>
      <w:r>
        <w:rPr>
          <w:rFonts w:ascii="Arial" w:hAnsi="Arial"/>
          <w:color w:val="000000"/>
          <w:sz w:val="20"/>
        </w:rPr>
        <w:t>In addition, over the last several years, the U.S. government has shut down at times, including for a 43-day period that began on October 1, 2025, and certain federal agencies, such as the FDA, have had to furlough critical employees and stop critical activities. If a prolonged government shutdown occurs, including as a result of reaching the debt ceiling, it could significantly impact the ability of federal agencies to perform normal business functions on which the operation of our business may rely, including the FDA’s ability to timely review and process our regulatory submissions, any of which could have a material adverse effect on our business. Further, future government shutdowns or other disruption of the operations of federal agencies could impact our ability to access the public markets and obtain necessary capital in order to properly capitalize and continue our operations.</w:t>
      </w:r>
    </w:p>
    <w:p>
      <w:pPr>
        <w:pStyle w:val="TextBody"/>
        <w:bidi w:val="0"/>
        <w:spacing w:before="24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Changes in tax laws or in their implementation or interpretation may adversely affect us or our investors.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including with respect to net operating losses and research and development tax credits, could adversely affect us or holders of our common stock. In recent years, many changes have been made and changes are likely to continue to occur in the future. For example, under Section 174 of the Internal Revenue Code of 1986, as amended, or the Code, in taxable years beginning after December 31, 2021, expenses that are incurred for research and development outside the United States will be capitalized and amortized, which may have an adverse effect on our cash flow. Additionally, on July 4, 2025, the One Big Beautiful Bill Act, or OBBBA, was signed into law and made significant changes to U.S. federal tax law. The OBBBA provides that for taxable years beginning after December 31, 2024, expenses that are incurred for research and development performed in the United States may, at the taxpayer’s election, be immediately deducted or capitalized and amortized. The OBBBA also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Future changes in tax law could have a material adverse effect on our business, cash flow, financial condition or results of operations.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pStyle w:val="TextBody"/>
        <w:bidi w:val="0"/>
        <w:spacing w:before="80" w:after="283"/>
        <w:jc w:val="both"/>
        <w:rPr>
          <w:rFonts w:ascii="Times New Roman" w:hAnsi="Times New Roman"/>
          <w:sz w:val="20"/>
        </w:rPr>
      </w:pPr>
      <w:r>
        <w:rPr>
          <w:rFonts w:ascii="Arial" w:hAnsi="Arial"/>
          <w:color w:val="000000"/>
          <w:sz w:val="20"/>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data breaches from inadvertent or intentional actions (such as error or theft) by our employees, contractors, consultants, business partners, and/or other third parties, ransomware, denial-of-service attacks, social engineering schemes (including phishing attacks), attacks enhanced or facilitated by artificial intelligence, or AI, and other means that affect service reliability and threaten the confidentiality, integrity and availability of information), which may compromise our system infrastructure as well as lead to unauthorized access, disclosure, misuse or acquisition of information. We and/or our service providers have from time to time and may in the future continue to experience threats, data breaches and cybersecurity incidents relating to our and our third-party vendors' information systems.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data breach or other data and cybersecurity issues. To the extent that any disruption or cybersecurity incident or data breach results in a loss of, or damage to, our data or applications, or inappropriate disclosure or misuse of or access to confidential or proprietary information, we could incur liability and the further development of our future product candidates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data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data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data breach were to occur and the confidentiality, integrity or availability of our data or the data of our collaborators were disrupted, we could incur significant liability, which could negatively affect our business and damage our reputation. Our contracts may or may not contain data protection requirements and/or limitations of liability, and where they do, there can be no assurance that such provisions will be sufficient to protect us from liabilities, damages, or claims related to our privacy and data security obligations or afford us sufficient rights to recover from third parties for their failures related to such obligations.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Furthermore, we may not have adequate insurance coverage or otherwise to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At the state level, the CCPA, as amended by the California Privacy Rights Act (CPRA), established a comprehensive privacy framework for covered businesses by creating an expanded definition of personal information, established new individual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The CCPA requires covered companies to provide certain disclosures to consumers about its data collection, use and sharing practices, and to provide affected California residents with ways to opt-out of certain sales or transfers of personal information. Although there are limited exemptions for protected health information covered under HIPAA and clinical trial data, the CCPA may increase our compliance costs and potential liability.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Similar comprehensive consumer privacy laws have been passed or proposed in numerous other states. Proposed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Washington’s My Health My Data Act, which became effective on March 31, 2024, regulates the collection, processing and sale of consumer health information. The law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These various privacy and security laws may impact our business activities. In addition,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of personal data. These obligations include, without limitation, several transparency requirements relating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Although the UK is regarded as one of the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Despite Brexit, the UK and EEA data protection regimes remain largely aligned. However, going forward, there is increasing risk for divergence in application, interpretation and enforcement of the data protection laws as between the UK and EEA, creating additional regulatory uncertainty. For example, the UK Data (Use and Access) Act 2025, or the UK Act, now in force, further differentiates the UK’s data protection regime. In December 2025, the European Commission adopted a decision determining that the UK continues to provide a level of data protection that is “essentially equivalent” to the EU standards and extended the validity of the UK adequacy decision for six years, through December 2031. While this renewal reduces immediate adequacy concerns, uncertainty remains regarding how UK data protection laws will evolve in the medium to longer term.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w:t>
      </w:r>
    </w:p>
    <w:p>
      <w:pPr>
        <w:pStyle w:val="TextBody"/>
        <w:bidi w:val="0"/>
        <w:spacing w:before="240" w:after="283"/>
        <w:jc w:val="both"/>
        <w:rPr>
          <w:rFonts w:ascii="Times New Roman" w:hAnsi="Times New Roman"/>
          <w:sz w:val="20"/>
        </w:rPr>
      </w:pPr>
      <w:r>
        <w:rPr>
          <w:rFonts w:ascii="Arial" w:hAnsi="Arial"/>
          <w:color w:val="000000"/>
          <w:sz w:val="20"/>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Additionally in the EU, the NIS 2 Directive (NIS 2) is replacing the cybersecurity legal framework under the current NIS framework, aiming to ensure a high level of cybersecurity in the region. NIS 2 brings new medium and large organizations providing services in the EU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17 October 2024 to transpose NIS 2 into national legislation, although many countries have still not completed the transposition. As such, the cybersecurity regulatory landscape in the EU is currently fragmented and uncertain. To the extent we are subject to NIS 2, we will require additional investment of our resources in compliance programs and will potentially come under greater regulatory scrutiny. Under NIS 2 companies may be subject to administrative fines of up to the higher amount of €10 million or 2% of worldwide turnover.</w:t>
      </w:r>
    </w:p>
    <w:p>
      <w:pPr>
        <w:pStyle w:val="TextBody"/>
        <w:bidi w:val="0"/>
        <w:spacing w:before="240" w:after="283"/>
        <w:jc w:val="both"/>
        <w:rPr>
          <w:rFonts w:ascii="Arial" w:hAnsi="Arial"/>
          <w:color w:val="000000"/>
          <w:sz w:val="20"/>
        </w:rPr>
      </w:pPr>
      <w:r>
        <w:rPr>
          <w:rFonts w:ascii="Arial" w:hAnsi="Arial"/>
          <w:color w:val="000000"/>
          <w:sz w:val="20"/>
        </w:rPr>
        <w:t>Regulators and legislators in the United States are increasingly scrutinizing and restricting certain personal data transfers and transactions involving foreign countries. For example, the Department of Justice’s January 8, 2025 final rule on “Preventing Access to Americans’ Bulk Sensitive Personal Data and United States Government-Related Data by Countries of Concern”,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pStyle w:val="TextBody"/>
        <w:bidi w:val="0"/>
        <w:spacing w:before="240" w:after="283"/>
        <w:jc w:val="both"/>
        <w:rPr>
          <w:rFonts w:ascii="Arial" w:hAnsi="Arial"/>
          <w:b/>
          <w:i/>
          <w:color w:val="000000"/>
          <w:sz w:val="20"/>
        </w:rPr>
      </w:pPr>
      <w:r>
        <w:rPr>
          <w:rFonts w:ascii="Arial" w:hAnsi="Arial"/>
          <w:b/>
          <w:i/>
          <w:color w:val="000000"/>
          <w:sz w:val="20"/>
        </w:rPr>
        <w:t>AI presents risks and challenges that can impact our business including by posing security risks to our confidential information, proprietary information, and personal data.</w:t>
      </w:r>
    </w:p>
    <w:p>
      <w:pPr>
        <w:pStyle w:val="TextBody"/>
        <w:bidi w:val="0"/>
        <w:spacing w:before="80" w:after="283"/>
        <w:jc w:val="both"/>
        <w:rPr>
          <w:rFonts w:ascii="Arial" w:hAnsi="Arial"/>
          <w:color w:val="000000"/>
          <w:sz w:val="20"/>
        </w:rPr>
      </w:pPr>
      <w:r>
        <w:rPr>
          <w:rFonts w:ascii="Arial" w:hAnsi="Arial"/>
          <w:color w:val="000000"/>
          <w:sz w:val="20"/>
        </w:rPr>
        <w:t>We may use and integrate AI into our business processes both in our own development and implementation of AI and through the adoption of commercially available tools.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w:t>
      </w:r>
    </w:p>
    <w:p>
      <w:pPr>
        <w:pStyle w:val="TextBody"/>
        <w:bidi w:val="0"/>
        <w:spacing w:before="80" w:after="283"/>
        <w:jc w:val="both"/>
        <w:rPr>
          <w:rFonts w:ascii="Arial" w:hAnsi="Arial"/>
          <w:color w:val="000000"/>
          <w:sz w:val="20"/>
        </w:rPr>
      </w:pPr>
      <w:r>
        <w:rPr>
          <w:rFonts w:ascii="Arial" w:hAnsi="Arial"/>
          <w:color w:val="000000"/>
          <w:sz w:val="20"/>
        </w:rPr>
        <w:t>The rapid evolution of AI will require the application of significant resources to design, develop, test and maintain such systems to help ensure that AI is implemented in accordance with applicable law and regulation and in a socially responsible manner and to minimize any real or perceived unintended harmful impacts. If we enable or offer solutions that draw controversy due to perceived or actual negative societal impact, we may experience brand or reputational harm, competitive harm or legal liability. Additionally, the use of certain AI technology can give rise to intellectual property risks, including by disclosing or otherwise compromising our confidential or proprietary intellectual property and intellectual property infringement, or by undermining our ability to assert or defend ownership rights in intellectual property created with the assistance of AI tools.</w:t>
      </w:r>
    </w:p>
    <w:p>
      <w:pPr>
        <w:pStyle w:val="TextBody"/>
        <w:bidi w:val="0"/>
        <w:spacing w:before="80" w:after="283"/>
        <w:jc w:val="both"/>
        <w:rPr>
          <w:rFonts w:ascii="Times New Roman" w:hAnsi="Times New Roman"/>
          <w:sz w:val="20"/>
        </w:rPr>
      </w:pPr>
      <w:r>
        <w:rPr>
          <w:rFonts w:ascii="Arial" w:hAnsi="Arial"/>
          <w:color w:val="000000"/>
          <w:sz w:val="20"/>
        </w:rPr>
        <w:t>Moreover,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 predict. For example, the EU began implementing the Artificial Intelligence Act, or the AI Act, on August 1, 2024, with a significant part of the law scheduled to come into effect in August 2026. As currently enacted, the AI Act, which may be amended as part of the EU’s Digital Omnibus, imposes significant obligations on providers and deployers of high-risk AI systems, and encourages providers and deployers of AI systems to account for EU ethical principles in their development and use of these systems. The scope of requirements depends on judicial interpretations and forthcoming legislative amendments, and non-compliance can lead to significant fines.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Arial" w:hAnsi="Arial"/>
          <w:color w:val="000000"/>
          <w:sz w:val="20"/>
        </w:rPr>
        <w:t>In the U.S., the AI regulatory environment is complex and uncertain. Over the past year, states have advanced, and in some cases passed, dozens of laws focusing on AI governance and regulation, including on deployment of AI in healthcare settings. At the federal level, the FDA has advanced guidance and proposed frameworks for regulating AI in drug discovery, marketing submissions, and medical device development. At the same time, the Trump Administration has endorsed a federal moratorium on the enforcement of state AI laws, including through a December 11,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If we develop or use AI systems that are governed by these laws or regulations, we will need to meet higher standards of data quality, transparency, and human oversight, and we would need to adhere to specific and potentially burdensome and costly ethical, accountability, and administrative requirements. We may also be subject to significant enforcement or litigation in the event of any perceived non-compliance.</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offerings, and the providers of these AI tools may not meet existing or rapidly evolving regulatory or industry standards, including with respect to privacy and data security. Any of these effects could damage our reputation, result in the loss of valuable property and information, cause us to breach applicable laws and regulations, and adversely impact our business. Bad actors around the world also use increasingly sophisticated methods, including the use of AI, to engage in illegal activities involving the theft and misuse of personal information, confidential information and intellectual property. In addition, the use of generative AI models in our internal or third-party systems may create new attack surfaces or methods for adversaries, which could impact us and our vendors. Any of these effects could damage our reputation, result in the loss of valuable property and information, cause us to breach applicable laws and regulations, and adversely impact our business.</w:t>
      </w:r>
    </w:p>
    <w:p>
      <w:pPr>
        <w:pStyle w:val="TextBody"/>
        <w:bidi w:val="0"/>
        <w:spacing w:before="240" w:after="283"/>
        <w:jc w:val="both"/>
        <w:rPr>
          <w:rFonts w:ascii="Times New Roman" w:hAnsi="Times New Roman"/>
          <w:sz w:val="20"/>
        </w:rPr>
      </w:pPr>
      <w:r>
        <w:rPr>
          <w:rFonts w:ascii="Arial" w:hAnsi="Arial"/>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Any future acquisitions, in-licensing or strategic partnerships may increase our capital requirements, dilute our stockholders, divert our management’s attention, cause us to incur debt or assume contingent liabilities and subject us to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increased operating expenses and cash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assumption of indebtedness or contingent liabilities;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issuance of our equity securities which would result in dilution to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assimilation of operations, intellectual property, products and product candidates of an acquired company, including difficulties associated with integrating new personnel;</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diversion of our management’s attention from our existing product candidates and initiatives in pursuing such an acquisition or strategic partnership;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spend substantial operational, financial and management resources in integrating new businesses, technologies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retention of key employees, the loss of key personnel, and uncertainties in our ability to maintain key business relationships;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addition, if we undertake such a transaction, we may incur large one-time expenses and acquire intangible assets that could result in significant future amortization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or the third parties upon whom we depend on may be adversely affected by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Product liability lawsuits against us could cause us to incur substantial liabilities and could limit commercialization of any current or future product candidates that we may develop.</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decreased demand for any current or future product candidates that we may develop;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injury to our reputation and significant negative media attention;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significant costs to defend the related litigation;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diversion of management’s time and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substantial monetary awards to trial participants or patients;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product recalls, withdrawals or labeling, marketing or promotional restrictions;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revenue;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decline in our stock price;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inability to commercialize any current or future product candidates that we may develop. </w:t>
      </w:r>
    </w:p>
    <w:p>
      <w:pPr>
        <w:pStyle w:val="TextBody"/>
        <w:bidi w:val="0"/>
        <w:spacing w:before="240" w:after="283"/>
        <w:jc w:val="both"/>
        <w:rPr>
          <w:rFonts w:ascii="Times New Roman" w:hAnsi="Times New Roman"/>
          <w:sz w:val="20"/>
        </w:rPr>
      </w:pPr>
      <w:r>
        <w:rPr>
          <w:rFonts w:ascii="Arial" w:hAnsi="Arial"/>
          <w:color w:val="000000"/>
          <w:sz w:val="20"/>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employees and independent contractors, including principal investigators, consultants, commercial collaborators, academic collaborators, service providers, partners and other vendors may engage in misconduct or other improper activities, including noncompliance with regulatory standards and requirements, which could have an adverse effect on our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exposed to the risk that our employees and independent contractors, including principal investigators, consultants, any future commercial collaborators, academic collaborators, service providers, partners and other vendors may engage in misconduct or other illegal activity. Misconduct by these parties could include intentional, reckless and/or negligent conduct or other unauthorized activities that violate the laws and regulations of the FDA, the EMA and comparable foreign regulatory authorities,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We have adopted a code of business conduct and ethics, but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Risks Related to Our Common Stock</w:t>
      </w:r>
    </w:p>
    <w:p>
      <w:pPr>
        <w:pStyle w:val="TextBody"/>
        <w:bidi w:val="0"/>
        <w:spacing w:before="80" w:after="283"/>
        <w:jc w:val="both"/>
        <w:rPr>
          <w:rFonts w:ascii="Times New Roman" w:hAnsi="Times New Roman"/>
          <w:sz w:val="20"/>
        </w:rPr>
      </w:pPr>
      <w:r>
        <w:rPr>
          <w:rFonts w:ascii="Arial" w:hAnsi="Arial"/>
          <w:b/>
          <w:i/>
          <w:color w:val="000000"/>
          <w:sz w:val="20"/>
        </w:rPr>
        <w:t>If securities or industry analysts do not publish research or publish inaccurate or unfavorable research about our business, our stock price and trading volume could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principal stockholders and management own a significant percentage of our stock and will be able to exert significant influence over matters subject to stockholder approval.</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Based on the beneficial ownership of our common stock as of March 31, 2026, our executive officers, directors, holders of 5% or more of our capital stock and their respective affiliates beneficially owned approximately 44.2%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80" w:after="283"/>
        <w:jc w:val="both"/>
        <w:rPr>
          <w:rFonts w:ascii="Arial" w:hAnsi="Arial"/>
          <w:color w:val="000000"/>
          <w:sz w:val="20"/>
        </w:rPr>
      </w:pPr>
      <w:r>
        <w:rPr>
          <w:rFonts w:ascii="Arial" w:hAnsi="Arial"/>
          <w:color w:val="000000"/>
          <w:sz w:val="20"/>
        </w:rPr>
        <w:t>Under Section 382 of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As of December 31, 2025, we had accumulated federal and state NOL carryforwards of approximately $318.9 million and $274.4 million, respectively. Furthermore, our ability to utilize our NOLs or credits is conditioned upon our attaining profitability and generating the U.S. federal and state taxable income. As a result, the amount of the NOL and tax credit carryforwards presented in our financial statements could be limited and may expire unutilized. Under current law, unused U.S. federal NOL carryforwards generated in taxable years beginning after December 31, 2017 are not subject to expiration and may be carried forward indefinitely. For taxable years beginning after December 31, 2020, however, the deductibility of such U.S. federal NOLs generated for tax years beginning after December 31, 2017 is limited to 80% of our taxable income in any future taxable year.</w:t>
      </w:r>
    </w:p>
    <w:p>
      <w:pPr>
        <w:pStyle w:val="TextBody"/>
        <w:bidi w:val="0"/>
        <w:spacing w:before="240" w:after="283"/>
        <w:jc w:val="both"/>
        <w:rPr>
          <w:rFonts w:ascii="Arial" w:hAnsi="Arial"/>
          <w:b/>
          <w:i/>
          <w:color w:val="000000"/>
          <w:sz w:val="20"/>
        </w:rPr>
      </w:pPr>
      <w:r>
        <w:rPr>
          <w:rFonts w:ascii="Arial" w:hAnsi="Arial"/>
          <w:b/>
          <w:i/>
          <w:color w:val="000000"/>
          <w:sz w:val="20"/>
        </w:rPr>
        <w:t>Because we do not anticipate paying any cash dividends on our capital stock in the foreseeable future, capital appreciation, if any, will be your sole source of gain.</w:t>
      </w:r>
    </w:p>
    <w:p>
      <w:pPr>
        <w:pStyle w:val="TextBody"/>
        <w:bidi w:val="0"/>
        <w:spacing w:before="80" w:after="283"/>
        <w:jc w:val="both"/>
        <w:rPr>
          <w:rFonts w:ascii="Times New Roman" w:hAnsi="Times New Roman"/>
          <w:sz w:val="20"/>
        </w:rPr>
      </w:pPr>
      <w:r>
        <w:rPr>
          <w:rFonts w:ascii="Arial" w:hAnsi="Arial"/>
          <w:color w:val="000000"/>
          <w:sz w:val="20"/>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expect our operating results to be subject to quarterly fluctuations. Our net loss and other operating results will be affected by numerous factors, including: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variations in the level of expense related to the ongoing development of bel-sar or future development programs;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clinical trials, or the addition or termination of clinical trials or funding support by us, or existing or future collaborators or licensing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execution of any additional collaboration, licensing or similar arrangements, and the timing of payments we may make or receive under existing or future arrangements or the termination or modification of any such existing or future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any intellectual property infringement lawsuit or opposition, interference or cancellation proceeding in which we may become involved;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additions and departures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strategic decisions by us or our competitors, such as acquisitions, divestitures, spin-offs, joint ventures, strategic investments or changes in business strategy;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if any of our product candidates receives regulatory approval, the terms of such approval and market acceptance and demand for such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developments affecting our product candidates or those of our competitors;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general market and economic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Our amended and restated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Board divided into three classes serving staggered three-year terms, such that not all members of the Board will be elected at one time;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prohibition on stockholder action through written consent, which requires that all stockholder actions be taken at a meeting of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advance notice requirements for stockholder proposals and nominations for election to our Board;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authority of the Board to issue preferred stock on terms determined by the Board without stockholder approval, which preferred stock may include rights superior to the rights of the holders of common stock. </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pStyle w:val="TextBody"/>
        <w:bidi w:val="0"/>
        <w:spacing w:before="240" w:after="283"/>
        <w:jc w:val="both"/>
        <w:rPr>
          <w:rFonts w:ascii="Arial" w:hAnsi="Arial"/>
          <w:b/>
          <w:i/>
          <w:color w:val="000000"/>
          <w:sz w:val="20"/>
        </w:rPr>
      </w:pPr>
      <w:r>
        <w:rPr>
          <w:rFonts w:ascii="Arial" w:hAnsi="Arial"/>
          <w:b/>
          <w:i/>
          <w:color w:val="000000"/>
          <w:sz w:val="20"/>
        </w:rPr>
        <w:t>Future sales and issuances of our common stock or rights to acquire shares of our common stock, could result in additional dilution to the ownership of our stockholders and cause the market price of our common stock to decline significantly.</w:t>
      </w:r>
    </w:p>
    <w:p>
      <w:pPr>
        <w:pStyle w:val="TextBody"/>
        <w:bidi w:val="0"/>
        <w:spacing w:before="80" w:after="283"/>
        <w:jc w:val="both"/>
        <w:rPr>
          <w:rFonts w:ascii="Arial" w:hAnsi="Arial"/>
          <w:color w:val="000000"/>
          <w:sz w:val="20"/>
        </w:rPr>
      </w:pPr>
      <w:r>
        <w:rPr>
          <w:rFonts w:ascii="Arial" w:hAnsi="Arial"/>
          <w:color w:val="000000"/>
          <w:sz w:val="20"/>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Any sale or issuance of securities may also cause the market price of our stock to decline.</w:t>
      </w:r>
    </w:p>
    <w:p>
      <w:pPr>
        <w:pStyle w:val="TextBody"/>
        <w:bidi w:val="0"/>
        <w:spacing w:before="240" w:after="283"/>
        <w:jc w:val="both"/>
        <w:rPr>
          <w:rFonts w:ascii="Arial" w:hAnsi="Arial"/>
          <w:color w:val="000000"/>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March 31, 2026, we have 64,150,468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pStyle w:val="TextBody"/>
        <w:bidi w:val="0"/>
        <w:spacing w:before="240" w:after="283"/>
        <w:jc w:val="both"/>
        <w:rPr>
          <w:rFonts w:ascii="Times New Roman" w:hAnsi="Times New Roman"/>
          <w:sz w:val="20"/>
        </w:rPr>
      </w:pPr>
      <w:r>
        <w:rPr>
          <w:rFonts w:ascii="Arial" w:hAnsi="Arial"/>
          <w:b/>
          <w:color w:val="000000"/>
          <w:sz w:val="20"/>
        </w:rPr>
        <w:t>General Risk Factors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TextBody"/>
        <w:bidi w:val="0"/>
        <w:spacing w:before="240" w:after="283"/>
        <w:jc w:val="both"/>
        <w:rPr>
          <w:rFonts w:ascii="Arial" w:hAnsi="Arial"/>
          <w:color w:val="000000"/>
          <w:sz w:val="20"/>
        </w:rPr>
      </w:pPr>
      <w:r>
        <w:rPr>
          <w:rFonts w:ascii="Arial" w:hAnsi="Arial"/>
          <w:color w:val="000000"/>
          <w:sz w:val="20"/>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pStyle w:val="TextBody"/>
        <w:bidi w:val="0"/>
        <w:spacing w:before="240" w:after="283"/>
        <w:jc w:val="both"/>
        <w:rPr>
          <w:rFonts w:ascii="Arial" w:hAnsi="Arial"/>
          <w:color w:val="000000"/>
          <w:sz w:val="20"/>
        </w:rPr>
      </w:pPr>
      <w:r>
        <w:rPr>
          <w:rFonts w:ascii="Arial" w:hAnsi="Arial"/>
          <w:color w:val="000000"/>
          <w:sz w:val="20"/>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delayed access to deposits or other financial assets or the uninsured loss of deposits or other financial assets;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loss of access to revolving existing credit facilities or other working capital sources and/or the inability to refund, roll over or extend the maturity of, or enter into new credit facilities or other working capital resources;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contractual obligations that require us to maintain letters of credit or other credit support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breach of financial covenants in our credit agreements or credit arrangements;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potential or actual cross-defaults in other credit agreements, credit arrangements or operating or financing agreements; or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termination of cash management arrangements and/or delays in accessing or actual loss of funds subject to cash management arrangements.</w:t>
      </w:r>
    </w:p>
    <w:p>
      <w:pPr>
        <w:pStyle w:val="TextBody"/>
        <w:bidi w:val="0"/>
        <w:spacing w:before="240" w:after="283"/>
        <w:jc w:val="both"/>
        <w:rPr>
          <w:rFonts w:ascii="Arial" w:hAnsi="Arial"/>
          <w:color w:val="000000"/>
          <w:sz w:val="20"/>
        </w:rPr>
      </w:pPr>
      <w:r>
        <w:rPr>
          <w:rFonts w:ascii="Arial" w:hAnsi="Arial"/>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pStyle w:val="TextBody"/>
        <w:bidi w:val="0"/>
        <w:spacing w:before="240" w:after="283"/>
        <w:jc w:val="both"/>
        <w:rPr>
          <w:rFonts w:ascii="Times New Roman" w:hAnsi="Times New Roman"/>
          <w:sz w:val="20"/>
        </w:rPr>
      </w:pPr>
      <w:r>
        <w:rPr>
          <w:rFonts w:ascii="Arial" w:hAnsi="Arial"/>
          <w:b/>
          <w:i/>
          <w:color w:val="000000"/>
          <w:sz w:val="20"/>
        </w:rPr>
        <w:t>We are an “emerging growth company” and a “smaller reporting company” and we cannot be certain if the reduced reporting requirements applicable to “emerging growth companies” and “smaller reporting companies” will make our common stock less attractive to investors.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r>
        <w:rPr>
          <w:rFonts w:ascii="Times New Roman" w:hAnsi="Times New Roman"/>
          <w:color w:val="000000"/>
          <w:sz w:val="2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results of preclinical studies and results or enrollment of clinical trials of bel-sar or our future product candidates, or those of our potential future competitors or our existing or future collaborators;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regulatory or legal developments in the United States and other countries, especially changes in laws or regulations applicable to our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future competitive products or technologies;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introductions and announcements of new products by us, our future commercialization partners, or our competitors, and the timing of these introductions or announcements;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actions taken by regulatory agencies with respect to our products, clinical trials, manufacturing process or sales and marketing terms;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variations in our financial results or those of companies that are perceived to be similar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success of our efforts to acquire or in-license additional technologies, products or product candidates;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concerning any future collaborations, including but not limited to those with our sources of manufacturing supply and our commercialization partners;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market conditions in the pharmaceutical and biotechnology sectors;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announcements by us or our competitors of significant acquisitions, strategic collaborations, joint ventures or capital commitments;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developments or disputes concerning patents or other proprietary rights, including patents, litigation matters and our ability to obtain patent protection for bel-sar or our future product candidates and products;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ability or inability to raise additional capital and the terms on which we raise it;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actual or anticipated changes in earnings estimates or changes in stock market analyst recommendations regarding our common stock, other comparable companies or our industry generally;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our failure or the failure of our competitors to meet analysts’ projections or guidance that we or our competitors may give to the market;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fluctuations in the valuation of companies perceived by investors to be comparable to us;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announcement and expectation of additional financing efforts;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speculation in the press or investment community;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trading volume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sales of our common stock by us 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the concentrated ownership of our common stock;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changes in accounting principles; </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natural disasters, pandemics and other calamities;</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acts of war or periods of widespread civil unrest, including the increasingly volatile global economic conditions resulting from the Russia-Ukraine conflict and the conflict in the Middle East; and</w:t>
      </w:r>
    </w:p>
    <w:p>
      <w:pPr>
        <w:pStyle w:val="TextBody"/>
        <w:bidi w:val="0"/>
        <w:spacing w:before="40" w:after="283"/>
        <w:jc w:val="both"/>
        <w:rPr>
          <w:color w:val="000000"/>
        </w:rPr>
      </w:pPr>
      <w:r>
        <w:rPr>
          <w:color w:val="000000"/>
        </w:rPr>
        <w:t>▪</w:t>
      </w:r>
    </w:p>
    <w:p>
      <w:pPr>
        <w:pStyle w:val="TextBody"/>
        <w:bidi w:val="0"/>
        <w:spacing w:before="40" w:after="283"/>
        <w:jc w:val="both"/>
        <w:rPr>
          <w:rFonts w:ascii="Arial" w:hAnsi="Arial"/>
          <w:color w:val="000000"/>
          <w:sz w:val="20"/>
        </w:rPr>
      </w:pPr>
      <w:r>
        <w:rPr>
          <w:rFonts w:ascii="Arial" w:hAnsi="Arial"/>
          <w:color w:val="000000"/>
          <w:sz w:val="20"/>
        </w:rPr>
        <w:t xml:space="preserve">general economic, industry, and market conditions, including inflationary pressures. </w:t>
      </w:r>
    </w:p>
    <w:p>
      <w:pPr>
        <w:pStyle w:val="TextBody"/>
        <w:bidi w:val="0"/>
        <w:spacing w:before="240" w:after="283"/>
        <w:jc w:val="both"/>
        <w:rPr>
          <w:rFonts w:ascii="Times New Roman" w:hAnsi="Times New Roman"/>
          <w:sz w:val="20"/>
        </w:rPr>
      </w:pPr>
      <w:r>
        <w:rPr>
          <w:rFonts w:ascii="Arial" w:hAnsi="Arial"/>
          <w:color w:val="000000"/>
          <w:sz w:val="20"/>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b/>
          <w:i/>
          <w:color w:val="000000"/>
          <w:sz w:val="20"/>
        </w:rPr>
        <w:t>We have incurred and will continue to incur increased costs as a result of operating as a public company, and our management devotes substantial time to compliance initiatives.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Global economic uncertainty and unfavorable global economic conditions caused by political instability, changes in trade agreements and conflicts, such as the Russia-Ukraine conflict and the conflict in the Middle East, could adversely affect our business, financial condition, results of operations or prospects.</w:t>
      </w:r>
    </w:p>
    <w:p>
      <w:pPr>
        <w:pStyle w:val="TextBody"/>
        <w:bidi w:val="0"/>
        <w:spacing w:before="80" w:after="283"/>
        <w:jc w:val="both"/>
        <w:rPr>
          <w:rFonts w:ascii="Arial" w:hAnsi="Arial"/>
          <w:color w:val="000000"/>
          <w:sz w:val="20"/>
        </w:rPr>
      </w:pPr>
      <w:r>
        <w:rPr>
          <w:rFonts w:ascii="Arial" w:hAnsi="Arial"/>
          <w:color w:val="000000"/>
          <w:sz w:val="20"/>
        </w:rPr>
        <w:t>Our business, financial condition, results of operations or prospects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For example, during the prior Trump administration, increased tariffs were implemented on goods imported into the United States, particularly from China, Canada, and Mexico. Additionally, on April 2, 2025, the United States imposed substantial tariffs on most countries throughout the world. Such tariffs were struck down in February 2026 by a U.S. Supreme Court ruling and new global tariffs were subsequently imposed. Although these new tariffs may be temporary and may be subject to legal challenge, the Trump administration has threatened to continue to broadly impose tariffs, which could lead to corresponding punitive actions by countries with which the United States trades.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80" w:after="283"/>
        <w:jc w:val="both"/>
        <w:rPr>
          <w:rFonts w:ascii="Arial" w:hAnsi="Arial"/>
          <w:color w:val="000000"/>
          <w:sz w:val="20"/>
        </w:rPr>
      </w:pPr>
      <w:r>
        <w:rPr>
          <w:rFonts w:ascii="Arial" w:hAnsi="Arial"/>
          <w:color w:val="000000"/>
          <w:sz w:val="20"/>
        </w:rPr>
        <w:t>In addition, the current military conflicts between Russia and Ukraine and in the Middle East and elsewhere,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political and economic climate and financial market conditions could adversely impact our business.</w:t>
      </w:r>
    </w:p>
    <w:p>
      <w:pPr>
        <w:pStyle w:val="TextBody"/>
        <w:bidi w:val="0"/>
        <w:spacing w:before="240" w:after="283"/>
        <w:jc w:val="both"/>
        <w:rPr>
          <w:rFonts w:ascii="Arial" w:hAnsi="Arial"/>
          <w:b/>
          <w:color w:val="000000"/>
          <w:sz w:val="20"/>
        </w:rPr>
      </w:pPr>
      <w:bookmarkStart w:id="16" w:name="item_2_unregistered_sales"/>
      <w:bookmarkEnd w:id="16"/>
      <w:r>
        <w:rPr>
          <w:rFonts w:ascii="Arial" w:hAnsi="Arial"/>
          <w:b/>
          <w:color w:val="000000"/>
          <w:sz w:val="20"/>
        </w:rPr>
        <w:t>Item 2. Unregistered Sales of Equity Securities and Use of Proceeds.</w:t>
      </w:r>
    </w:p>
    <w:p>
      <w:pPr>
        <w:pStyle w:val="TextBody"/>
        <w:bidi w:val="0"/>
        <w:spacing w:before="80" w:after="283"/>
        <w:jc w:val="both"/>
        <w:rPr>
          <w:rFonts w:ascii="Arial" w:hAnsi="Arial"/>
          <w:b/>
          <w:color w:val="000000"/>
          <w:sz w:val="20"/>
        </w:rPr>
      </w:pPr>
      <w:r>
        <w:rPr>
          <w:rFonts w:ascii="Arial" w:hAnsi="Arial"/>
          <w:b/>
          <w:color w:val="000000"/>
          <w:sz w:val="20"/>
        </w:rPr>
        <w:t>(a) Recent Sales of Unregistered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(b) Use of Proceeds from the Initial Public Offering of Common Stock</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r>
        <w:rPr>
          <w:rFonts w:ascii="Arial" w:hAnsi="Arial"/>
          <w:b/>
          <w:color w:val="000000"/>
          <w:sz w:val="20"/>
        </w:rPr>
        <w:t>(c) Issuer Purchases of Equity Securities</w:t>
      </w:r>
    </w:p>
    <w:p>
      <w:pPr>
        <w:pStyle w:val="TextBody"/>
        <w:bidi w:val="0"/>
        <w:spacing w:before="8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_3_defaults_upon_senior_securities"/>
      <w:bookmarkEnd w:id="17"/>
      <w:r>
        <w:rPr>
          <w:rFonts w:ascii="Arial" w:hAnsi="Arial"/>
          <w:b/>
          <w:color w:val="000000"/>
          <w:sz w:val="20"/>
        </w:rPr>
        <w:t>Item 3. Defaults Upon Senior Securities.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8" w:name="item_4_mine_safety_disclosures"/>
      <w:bookmarkEnd w:id="18"/>
      <w:r>
        <w:rPr>
          <w:rFonts w:ascii="Arial" w:hAnsi="Arial"/>
          <w:b/>
          <w:color w:val="000000"/>
          <w:sz w:val="20"/>
        </w:rPr>
        <w:t>Item 4. Mine Safety Disclosures.</w:t>
      </w:r>
    </w:p>
    <w:p>
      <w:pPr>
        <w:pStyle w:val="TextBody"/>
        <w:bidi w:val="0"/>
        <w:spacing w:before="80" w:after="283"/>
        <w:jc w:val="both"/>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20"/>
        </w:rPr>
      </w:pPr>
      <w:bookmarkStart w:id="19" w:name="item_5_other_information"/>
      <w:bookmarkEnd w:id="19"/>
      <w:r>
        <w:rPr>
          <w:rFonts w:ascii="Arial" w:hAnsi="Arial"/>
          <w:b/>
          <w:color w:val="000000"/>
          <w:sz w:val="20"/>
        </w:rPr>
        <w:t>Item 5. Other Information.</w:t>
      </w:r>
    </w:p>
    <w:p>
      <w:pPr>
        <w:pStyle w:val="TextBody"/>
        <w:bidi w:val="0"/>
        <w:spacing w:before="80" w:after="283"/>
        <w:jc w:val="both"/>
        <w:rPr>
          <w:rFonts w:ascii="Arial" w:hAnsi="Arial"/>
          <w:b/>
          <w:color w:val="000000"/>
          <w:sz w:val="20"/>
        </w:rPr>
      </w:pPr>
      <w:r>
        <w:rPr>
          <w:rFonts w:ascii="Arial" w:hAnsi="Arial"/>
          <w:b/>
          <w:color w:val="000000"/>
          <w:sz w:val="20"/>
        </w:rPr>
        <w:t>(a) Matrix Repurchase</w:t>
      </w:r>
    </w:p>
    <w:p>
      <w:pPr>
        <w:pStyle w:val="TextBody"/>
        <w:bidi w:val="0"/>
        <w:spacing w:before="80" w:after="283"/>
        <w:jc w:val="left"/>
        <w:rPr>
          <w:rFonts w:ascii="Arial" w:hAnsi="Arial"/>
          <w:color w:val="000000"/>
          <w:sz w:val="20"/>
        </w:rPr>
      </w:pPr>
      <w:r>
        <w:rPr>
          <w:rFonts w:ascii="Arial" w:hAnsi="Arial"/>
          <w:color w:val="000000"/>
          <w:sz w:val="20"/>
        </w:rPr>
        <w:t>As previously disclosed, on April 30, 2026, we and Matrix entered into a stock purchase agreement pursuant to which we agreed to repurchase, in a privately negotiated transaction, up to 6,922,870 shares of our common stock held by Matrix. On May 7, 2026, we completed the repurchase of all 6,922,870 shares of our common stock from Matrix.</w:t>
      </w:r>
    </w:p>
    <w:p>
      <w:pPr>
        <w:pStyle w:val="TextBody"/>
        <w:bidi w:val="0"/>
        <w:spacing w:before="240" w:after="283"/>
        <w:jc w:val="both"/>
        <w:rPr>
          <w:rFonts w:ascii="Times New Roman" w:hAnsi="Times New Roman"/>
          <w:sz w:val="20"/>
        </w:rPr>
      </w:pPr>
      <w:r>
        <w:rPr>
          <w:rFonts w:ascii="Arial" w:hAnsi="Arial"/>
          <w:b/>
          <w:color w:val="000000"/>
          <w:sz w:val="20"/>
        </w:rPr>
        <w:t>(c) Insider Trading Arrangements</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20"/>
        </w:rPr>
        <w:t>None of our directors or officers, as defined in Rule 16a-1(f) under the Securities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as defined in Item 408(c) of Regulation S-K, during the quarter ended March 31, 2026.</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7"/>
        <w:gridCol w:w="146"/>
        <w:gridCol w:w="9262"/>
      </w:tblGrid>
      <w:tr>
        <w:trPr/>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2" w:type="dxa"/>
            <w:tcBorders/>
            <w:vAlign w:val="center"/>
          </w:tcPr>
          <w:p>
            <w:pPr>
              <w:pStyle w:val="TableContents"/>
              <w:bidi w:val="0"/>
              <w:spacing w:before="0" w:after="283"/>
              <w:jc w:val="left"/>
              <w:rPr>
                <w:sz w:val="4"/>
                <w:szCs w:val="4"/>
              </w:rPr>
            </w:pPr>
            <w:r>
              <w:rPr>
                <w:sz w:val="4"/>
                <w:szCs w:val="4"/>
              </w:rPr>
            </w:r>
          </w:p>
        </w:tc>
      </w:tr>
      <w:tr>
        <w:trPr/>
        <w:tc>
          <w:tcPr>
            <w:tcW w:w="797"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Tenth Amended and Restated Certificate of Incorporation of the Registrant, as currently in effect, as amended by the Certificate of Amendment, dated June 20, 2024 (incorporated by reference to Exhibit 3.1 of the Registrant’s Quarterly Report on Form 10-Q (File No. 001-40971) filed on August 8, 2024).</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 of the Registrant, as currently in effect (incorporated by reference to Exhibit 3.2 of the Registrant’s Annual Report on Form 10-K (File No. 001-40971) filed on March 23, 2022).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Fifth Amended and Restated Investors’ Rights Agreement (incorporated by reference to Exhibit 4.2 to the Registrant’s Registration Statement on Form S-1, as amended (File No. 333-260156) filed on October 8, 2021)</w:t>
              </w:r>
            </w:hyperlink>
            <w:r>
              <w:rPr>
                <w:rFonts w:ascii="Arial" w:hAnsi="Arial"/>
                <w:color w:val="000000"/>
                <w:sz w:val="20"/>
              </w:rPr>
              <w:t>.</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10_1.htm">
              <w:r>
                <w:rPr>
                  <w:rStyle w:val="InternetLink"/>
                  <w:rFonts w:ascii="Arial" w:hAnsi="Arial"/>
                  <w:color w:val="0000FF"/>
                  <w:sz w:val="20"/>
                  <w:u w:val="single"/>
                </w:rPr>
                <w:t>Second Amendment to License Agreement with Clearside Biomedical, Inc., dated March 25, 2026.</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ura-ex32_1.htm">
              <w:r>
                <w:rPr>
                  <w:rStyle w:val="InternetLink"/>
                  <w:rFonts w:ascii="Arial" w:hAnsi="Arial"/>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because XBRL tags are embedded within the Inline XBRL document.</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7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60" w:after="283"/>
        <w:jc w:val="both"/>
        <w:rPr>
          <w:rFonts w:ascii="Arial" w:hAnsi="Arial"/>
          <w:color w:val="000000"/>
          <w:sz w:val="20"/>
        </w:rPr>
      </w:pPr>
      <w:r>
        <w:rPr>
          <w:rFonts w:ascii="Arial" w:hAnsi="Arial"/>
          <w:color w:val="000000"/>
          <w:sz w:val="20"/>
        </w:rPr>
        <w:t>* Filed herewith.</w:t>
      </w:r>
    </w:p>
    <w:p>
      <w:pPr>
        <w:pStyle w:val="TextBody"/>
        <w:bidi w:val="0"/>
        <w:spacing w:before="60" w:after="283"/>
        <w:jc w:val="both"/>
        <w:rPr>
          <w:rFonts w:ascii="Arial" w:hAnsi="Arial"/>
          <w:color w:val="000000"/>
          <w:sz w:val="20"/>
        </w:rPr>
      </w:pPr>
      <w:r>
        <w:rPr>
          <w:rFonts w:ascii="Arial" w:hAnsi="Arial"/>
          <w:color w:val="000000"/>
          <w:sz w:val="20"/>
        </w:rPr>
        <w:t># 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as amended, except as shall be expressly set forth by specific reference in such filing.</w:t>
      </w:r>
    </w:p>
    <w:p>
      <w:pPr>
        <w:pStyle w:val="TextBody"/>
        <w:bidi w:val="0"/>
        <w:spacing w:before="60" w:after="283"/>
        <w:jc w:val="both"/>
        <w:rPr>
          <w:rFonts w:ascii="Arial" w:hAnsi="Arial"/>
          <w:color w:val="000000"/>
          <w:sz w:val="20"/>
        </w:rPr>
      </w:pPr>
      <w:r>
        <w:rPr>
          <w:rFonts w:ascii="Arial" w:hAnsi="Arial"/>
          <w:color w:val="000000"/>
          <w:sz w:val="20"/>
        </w:rPr>
        <w:t>% Portions of this exhibit have been omitted pursuant to Item 601(b)(10)(iv) of Regulation S-K under the Securities Act of 1933, as amended, because they are both (i) not material and (ii) the type that the Registrant treats as private or confidential. A copy of the omitted portions will be furnished to the SEC upon its request.</w:t>
      </w:r>
    </w:p>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1831"/>
        <w:gridCol w:w="146"/>
        <w:gridCol w:w="406"/>
        <w:gridCol w:w="36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Aura Biosciences, Inc.</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Natalie Holles</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Natalie Holles</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Executive Officer and President</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Executive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Anthony Gibney</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Anthony Gibney</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Chief Financial and Business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Financial Officer)</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3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Amy Elazzouzi</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Amy Elazzouzi</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Senior Vice President, Finance</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(Principal Accounting Officer)</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ind w:left="0" w:right="0" w:hanging="0"/>
        <w:jc w:val="right"/>
        <w:rPr/>
      </w:pPr>
      <w:bookmarkStart w:id="22" w:name="aura-ex10_1.htm"/>
      <w:bookmarkStart w:id="23" w:name="ksauraex10_1"/>
      <w:bookmarkEnd w:id="22"/>
      <w:bookmarkEnd w:id="23"/>
      <w:r>
        <w:rPr/>
        <w:t> </w:t>
      </w:r>
      <w:r>
        <w:br w:type="page"/>
      </w:r>
    </w:p>
    <w:p>
      <w:pPr>
        <w:pStyle w:val="TextBody"/>
        <w:bidi w:val="0"/>
        <w:jc w:val="right"/>
        <w:rPr/>
      </w:pPr>
      <w:r>
        <w:rPr/>
        <w:t> </w:t>
      </w:r>
    </w:p>
    <w:p>
      <w:pPr>
        <w:pStyle w:val="TextBody"/>
        <w:bidi w:val="0"/>
        <w:jc w:val="right"/>
        <w:rPr/>
      </w:pPr>
      <w:r>
        <w:rPr/>
        <w:t> </w:t>
      </w:r>
    </w:p>
    <w:p>
      <w:pPr>
        <w:pStyle w:val="TextBody"/>
        <w:bidi w:val="0"/>
        <w:spacing w:before="73" w:after="283"/>
        <w:ind w:left="0" w:right="388" w:hanging="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240" w:after="283"/>
        <w:ind w:left="0" w:right="389" w:hanging="0"/>
        <w:jc w:val="center"/>
        <w:rPr>
          <w:rFonts w:ascii="Times New Roman" w:hAnsi="Times New Roman"/>
          <w:b/>
          <w:i/>
          <w:color w:val="000000"/>
          <w:sz w:val="24"/>
        </w:rPr>
      </w:pPr>
      <w:r>
        <w:rPr>
          <w:rFonts w:ascii="Times New Roman" w:hAnsi="Times New Roman"/>
          <w:b/>
          <w:i/>
          <w:color w:val="000000"/>
          <w:sz w:val="24"/>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pStyle w:val="TextBody"/>
        <w:bidi w:val="0"/>
        <w:spacing w:before="73" w:after="283"/>
        <w:ind w:left="0" w:right="388" w:hanging="0"/>
        <w:jc w:val="center"/>
        <w:rPr/>
      </w:pPr>
      <w:r>
        <w:rPr/>
        <w:t> </w:t>
      </w:r>
    </w:p>
    <w:p>
      <w:pPr>
        <w:pStyle w:val="TextBody"/>
        <w:bidi w:val="0"/>
        <w:spacing w:before="73" w:after="283"/>
        <w:ind w:left="0" w:right="388" w:hanging="0"/>
        <w:jc w:val="center"/>
        <w:rPr>
          <w:rFonts w:ascii="Times New Roman" w:hAnsi="Times New Roman"/>
          <w:color w:val="000000"/>
          <w:sz w:val="24"/>
          <w:u w:val="single"/>
        </w:rPr>
      </w:pPr>
      <w:r>
        <w:rPr>
          <w:rFonts w:ascii="Times New Roman" w:hAnsi="Times New Roman"/>
          <w:color w:val="000000"/>
          <w:sz w:val="24"/>
          <w:u w:val="single"/>
        </w:rPr>
        <w:t>SECOND AMENDMENT TO LICENSE AGREEMENT</w:t>
      </w:r>
    </w:p>
    <w:p>
      <w:pPr>
        <w:pStyle w:val="TextBody"/>
        <w:bidi w:val="0"/>
        <w:spacing w:before="49" w:after="283"/>
        <w:jc w:val="left"/>
        <w:rPr/>
      </w:pPr>
      <w:r>
        <w:rPr/>
        <w:t> </w:t>
      </w:r>
    </w:p>
    <w:p>
      <w:pPr>
        <w:pStyle w:val="TextBody"/>
        <w:bidi w:val="0"/>
        <w:ind w:left="1077" w:right="0" w:hanging="0"/>
        <w:jc w:val="left"/>
        <w:rPr>
          <w:rFonts w:ascii="Times New Roman" w:hAnsi="Times New Roman"/>
          <w:sz w:val="20"/>
        </w:rPr>
      </w:pPr>
      <w:r>
        <w:rPr>
          <w:rFonts w:ascii="Times New Roman" w:hAnsi="Times New Roman"/>
          <w:b/>
          <w:color w:val="000000"/>
          <w:sz w:val="24"/>
        </w:rPr>
        <w:t xml:space="preserve">TIDS SECOND AMENDMENT TO THE LICENSE AGREEMENT </w:t>
      </w:r>
      <w:r>
        <w:rPr>
          <w:rFonts w:ascii="Times New Roman" w:hAnsi="Times New Roman"/>
          <w:color w:val="000000"/>
          <w:sz w:val="24"/>
        </w:rPr>
        <w:t xml:space="preserve">(the </w:t>
      </w:r>
      <w:r>
        <w:rPr>
          <w:rFonts w:ascii="Times New Roman" w:hAnsi="Times New Roman"/>
          <w:b/>
          <w:i/>
          <w:color w:val="000000"/>
          <w:sz w:val="23"/>
        </w:rPr>
        <w:t>"Second</w:t>
      </w:r>
    </w:p>
    <w:p>
      <w:pPr>
        <w:pStyle w:val="TextBody"/>
        <w:pBdr/>
        <w:bidi w:val="0"/>
        <w:spacing w:before="2" w:after="283"/>
        <w:ind w:left="349" w:right="715" w:hanging="7"/>
        <w:jc w:val="both"/>
        <w:rPr>
          <w:rFonts w:ascii="Times New Roman" w:hAnsi="Times New Roman"/>
          <w:sz w:val="20"/>
        </w:rPr>
      </w:pPr>
      <w:r>
        <w:rPr>
          <w:rFonts w:ascii="Times New Roman" w:hAnsi="Times New Roman"/>
          <w:b/>
          <w:i/>
          <w:color w:val="000000"/>
          <w:sz w:val="23"/>
        </w:rPr>
        <w:t xml:space="preserve">Amendment") </w:t>
      </w:r>
      <w:r>
        <w:rPr>
          <w:rFonts w:ascii="Times New Roman" w:hAnsi="Times New Roman"/>
          <w:color w:val="000000"/>
          <w:sz w:val="24"/>
        </w:rPr>
        <w:t xml:space="preserve">is entered into as of March 25, 2026 and effective as of the Second Amendment Effective Date (as defined below) by and between </w:t>
      </w:r>
      <w:r>
        <w:rPr>
          <w:rFonts w:ascii="Times New Roman" w:hAnsi="Times New Roman"/>
          <w:b/>
          <w:color w:val="000000"/>
          <w:sz w:val="24"/>
        </w:rPr>
        <w:t xml:space="preserve">AURA BIOSCIENCES, INC. </w:t>
      </w:r>
      <w:r>
        <w:rPr>
          <w:rFonts w:ascii="Times New Roman" w:hAnsi="Times New Roman"/>
          <w:b/>
          <w:i/>
          <w:color w:val="000000"/>
          <w:sz w:val="23"/>
        </w:rPr>
        <w:t xml:space="preserve">("Aura") </w:t>
      </w:r>
      <w:r>
        <w:rPr>
          <w:rFonts w:ascii="Times New Roman" w:hAnsi="Times New Roman"/>
          <w:color w:val="000000"/>
          <w:sz w:val="24"/>
        </w:rPr>
        <w:t xml:space="preserve">and </w:t>
      </w:r>
      <w:r>
        <w:rPr>
          <w:rFonts w:ascii="Times New Roman" w:hAnsi="Times New Roman"/>
          <w:b/>
          <w:color w:val="000000"/>
          <w:sz w:val="24"/>
        </w:rPr>
        <w:t xml:space="preserve">CLEARSIDE ROYALTY LLC </w:t>
      </w:r>
      <w:r>
        <w:rPr>
          <w:rFonts w:ascii="Times New Roman" w:hAnsi="Times New Roman"/>
          <w:b/>
          <w:i/>
          <w:color w:val="000000"/>
          <w:sz w:val="23"/>
        </w:rPr>
        <w:t xml:space="preserve">("Clearside"), </w:t>
      </w:r>
      <w:r>
        <w:rPr>
          <w:rFonts w:ascii="Times New Roman" w:hAnsi="Times New Roman"/>
          <w:color w:val="000000"/>
          <w:sz w:val="24"/>
        </w:rPr>
        <w:t xml:space="preserve">as assignee of the Agreement (as defined below) from </w:t>
      </w:r>
      <w:r>
        <w:rPr>
          <w:rFonts w:ascii="Times New Roman" w:hAnsi="Times New Roman"/>
          <w:b/>
          <w:color w:val="000000"/>
          <w:sz w:val="24"/>
        </w:rPr>
        <w:t xml:space="preserve">CLEARSIDE BIOMEDICAL, INC. </w:t>
      </w:r>
      <w:r>
        <w:rPr>
          <w:rFonts w:ascii="Times New Roman" w:hAnsi="Times New Roman"/>
          <w:b/>
          <w:i/>
          <w:color w:val="000000"/>
          <w:sz w:val="23"/>
        </w:rPr>
        <w:t xml:space="preserve">("Clearside Inc."). </w:t>
      </w:r>
      <w:r>
        <w:rPr>
          <w:rFonts w:ascii="Times New Roman" w:hAnsi="Times New Roman"/>
          <w:color w:val="000000"/>
          <w:sz w:val="24"/>
        </w:rPr>
        <w:t>Aura and Clearside are each hereinafter referred to as a Party and both hereinafter referred to as the "Parties".</w:t>
      </w:r>
    </w:p>
    <w:p>
      <w:pPr>
        <w:pStyle w:val="TextBody"/>
        <w:bidi w:val="0"/>
        <w:spacing w:before="6" w:after="283"/>
        <w:jc w:val="left"/>
        <w:rPr/>
      </w:pPr>
      <w:r>
        <w:rPr/>
        <w:t> </w:t>
      </w:r>
    </w:p>
    <w:p>
      <w:pPr>
        <w:pStyle w:val="Heading1"/>
        <w:bidi w:val="0"/>
        <w:ind w:left="11" w:right="388" w:hanging="0"/>
        <w:jc w:val="center"/>
        <w:rPr>
          <w:rFonts w:ascii="Times New Roman" w:hAnsi="Times New Roman"/>
          <w:color w:val="000000"/>
          <w:sz w:val="24"/>
        </w:rPr>
      </w:pPr>
      <w:r>
        <w:rPr>
          <w:rFonts w:ascii="Times New Roman" w:hAnsi="Times New Roman"/>
          <w:color w:val="000000"/>
          <w:sz w:val="24"/>
        </w:rPr>
        <w:t>RECITALS</w:t>
      </w:r>
    </w:p>
    <w:p>
      <w:pPr>
        <w:pStyle w:val="TextBody"/>
        <w:bidi w:val="0"/>
        <w:spacing w:before="15" w:after="283"/>
        <w:jc w:val="left"/>
        <w:rPr/>
      </w:pPr>
      <w:r>
        <w:rPr/>
        <w:t> </w:t>
      </w:r>
    </w:p>
    <w:p>
      <w:pPr>
        <w:pStyle w:val="TextBody"/>
        <w:bidi w:val="0"/>
        <w:ind w:left="356" w:right="795" w:firstLine="723"/>
        <w:jc w:val="both"/>
        <w:rPr>
          <w:rFonts w:ascii="Times New Roman" w:hAnsi="Times New Roman"/>
          <w:sz w:val="20"/>
        </w:rPr>
      </w:pPr>
      <w:r>
        <w:rPr>
          <w:rFonts w:ascii="Times New Roman" w:hAnsi="Times New Roman"/>
          <w:b/>
          <w:color w:val="000000"/>
          <w:sz w:val="24"/>
        </w:rPr>
        <w:t xml:space="preserve">WHEREAS, </w:t>
      </w:r>
      <w:r>
        <w:rPr>
          <w:rFonts w:ascii="Times New Roman" w:hAnsi="Times New Roman"/>
          <w:color w:val="000000"/>
          <w:sz w:val="24"/>
        </w:rPr>
        <w:t xml:space="preserve">the Parties previously entered into that certain License Agreement effective July 3, 2019, as amended by that First Amendment to the License Agreement, dated February 23, 2022 (as so amended, the </w:t>
      </w:r>
      <w:r>
        <w:rPr>
          <w:rFonts w:ascii="Times New Roman" w:hAnsi="Times New Roman"/>
          <w:b/>
          <w:i/>
          <w:color w:val="000000"/>
          <w:sz w:val="23"/>
        </w:rPr>
        <w:t>''Agreement');</w:t>
      </w:r>
    </w:p>
    <w:p>
      <w:pPr>
        <w:pStyle w:val="TextBody"/>
        <w:bidi w:val="0"/>
        <w:spacing w:before="243" w:after="283"/>
        <w:ind w:left="358" w:right="792" w:firstLine="720"/>
        <w:jc w:val="both"/>
        <w:rPr>
          <w:rFonts w:ascii="Times New Roman" w:hAnsi="Times New Roman"/>
          <w:sz w:val="20"/>
        </w:rPr>
      </w:pPr>
      <w:r>
        <w:rPr>
          <w:rFonts w:ascii="Times New Roman" w:hAnsi="Times New Roman"/>
          <w:b/>
          <w:color w:val="000000"/>
          <w:sz w:val="24"/>
        </w:rPr>
        <w:t xml:space="preserve">WHEREAS, </w:t>
      </w:r>
      <w:r>
        <w:rPr>
          <w:rFonts w:ascii="Times New Roman" w:hAnsi="Times New Roman"/>
          <w:color w:val="000000"/>
          <w:sz w:val="24"/>
        </w:rPr>
        <w:t>the Parties desire to enter into this Second Amendment, to amend certain terms in the Agreement, including relating to Manufacturing thereunder, and set forth their mutual understandings with respect thereto.</w:t>
      </w:r>
    </w:p>
    <w:p>
      <w:pPr>
        <w:pStyle w:val="TextBody"/>
        <w:bidi w:val="0"/>
        <w:spacing w:before="239" w:after="283"/>
        <w:ind w:left="353" w:right="793" w:firstLine="724"/>
        <w:jc w:val="both"/>
        <w:rPr>
          <w:rFonts w:ascii="Times New Roman" w:hAnsi="Times New Roman"/>
          <w:sz w:val="20"/>
        </w:rPr>
      </w:pPr>
      <w:r>
        <w:rPr>
          <w:rFonts w:ascii="Times New Roman" w:hAnsi="Times New Roman"/>
          <w:b/>
          <w:color w:val="000000"/>
          <w:sz w:val="24"/>
        </w:rPr>
        <w:t xml:space="preserve">Now, THEREFORE, </w:t>
      </w:r>
      <w:r>
        <w:rPr>
          <w:rFonts w:ascii="Times New Roman" w:hAnsi="Times New Roman"/>
          <w:color w:val="000000"/>
          <w:sz w:val="24"/>
        </w:rPr>
        <w:t>in consideration of the foregoing and other good and valuable consideration, the receipt and sufficiency of which is hereby acknowledged, the Parties agree that the Agreement shall be amended, effective as of the Second Amendment Effective Date, as set forth below.</w:t>
      </w:r>
    </w:p>
    <w:p>
      <w:pPr>
        <w:pStyle w:val="TextBody"/>
        <w:bidi w:val="0"/>
        <w:spacing w:before="234" w:after="283"/>
        <w:ind w:left="360" w:right="720" w:hanging="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234" w:after="283"/>
        <w:jc w:val="both"/>
        <w:rPr/>
      </w:pPr>
      <w:r>
        <w:rPr>
          <w:rFonts w:ascii="Times New Roman" w:hAnsi="Times New Roman"/>
          <w:b/>
          <w:color w:val="000000"/>
          <w:sz w:val="24"/>
        </w:rPr>
        <w:t xml:space="preserve">Amendment of Section 1. </w:t>
      </w:r>
      <w:r>
        <w:rPr>
          <w:rFonts w:ascii="Times New Roman" w:hAnsi="Times New Roman"/>
          <w:color w:val="000000"/>
          <w:sz w:val="24"/>
        </w:rPr>
        <w:t>The Parties agree that Section 1 of the Agreement is hereby amended to amend and restate each of the following defined terms in their entirety as set forth herein:</w:t>
      </w:r>
    </w:p>
    <w:p>
      <w:pPr>
        <w:pStyle w:val="TextBody"/>
        <w:bidi w:val="0"/>
        <w:spacing w:before="239" w:after="283"/>
        <w:ind w:left="1080" w:right="72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239" w:after="283"/>
        <w:jc w:val="both"/>
        <w:rPr/>
      </w:pPr>
      <w:r>
        <w:rPr>
          <w:rFonts w:ascii="Times New Roman" w:hAnsi="Times New Roman"/>
          <w:b/>
          <w:color w:val="000000"/>
          <w:sz w:val="24"/>
        </w:rPr>
        <w:t xml:space="preserve">"1.11 "Clearside Manufacturing Technology" </w:t>
      </w:r>
      <w:r>
        <w:rPr>
          <w:rFonts w:ascii="Times New Roman" w:hAnsi="Times New Roman"/>
          <w:color w:val="000000"/>
          <w:sz w:val="24"/>
        </w:rPr>
        <w:t>means all Patent Rights, Know</w:t>
        <w:softHyphen/>
        <w:t xml:space="preserve"> How and Improvements owned or Controlled by Clearside or its Affiliates (including all technology and patent rights with respect to the Manufacturing process), which is necessary or useful to Manufacture and have Manufactured the Clearside Product, including access to or rights of reference to the complete design history file for the United States and the technical dossier for any country or region outside of the United States, including the device master record."</w:t>
      </w:r>
    </w:p>
    <w:p>
      <w:pPr>
        <w:pStyle w:val="TextBody"/>
        <w:bidi w:val="0"/>
        <w:spacing w:before="243" w:after="283"/>
        <w:ind w:left="1080" w:right="706"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243" w:after="283"/>
        <w:jc w:val="both"/>
        <w:rPr/>
      </w:pPr>
      <w:r>
        <w:rPr>
          <w:rFonts w:ascii="Times New Roman" w:hAnsi="Times New Roman"/>
          <w:b/>
          <w:color w:val="000000"/>
          <w:sz w:val="24"/>
        </w:rPr>
        <w:t xml:space="preserve">"1.33 "Licensed Know-How" </w:t>
      </w:r>
      <w:r>
        <w:rPr>
          <w:rFonts w:ascii="Times New Roman" w:hAnsi="Times New Roman"/>
          <w:color w:val="000000"/>
          <w:sz w:val="24"/>
        </w:rPr>
        <w:t xml:space="preserve">means all Know-How that is Controlled by Clearside or its Affiliates (including the Sublicensed Know-How) and is useful or necessary in connection with the Development, Manufacture and Commercialization of a Licensed Product and in the event Aura makes an Alternative Manufacturing Election or in connection with Aura's exercise of its </w:t>
      </w:r>
    </w:p>
    <w:p>
      <w:pPr>
        <w:pStyle w:val="TextBody"/>
        <w:bidi w:val="0"/>
        <w:jc w:val="left"/>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jc w:val="right"/>
        <w:rPr/>
      </w:pPr>
      <w:r>
        <w:rPr/>
        <w:t> </w:t>
      </w:r>
    </w:p>
    <w:p>
      <w:pPr>
        <w:pStyle w:val="TextBody"/>
        <w:bidi w:val="0"/>
        <w:jc w:val="right"/>
        <w:rPr/>
      </w:pPr>
      <w:r>
        <w:rPr/>
        <w:t> </w:t>
      </w:r>
    </w:p>
    <w:p>
      <w:pPr>
        <w:pStyle w:val="TextBody"/>
        <w:bidi w:val="0"/>
        <w:spacing w:before="243" w:after="283"/>
        <w:ind w:left="1080" w:right="706" w:hanging="0"/>
        <w:jc w:val="both"/>
        <w:rPr>
          <w:rFonts w:ascii="Times New Roman" w:hAnsi="Times New Roman"/>
          <w:color w:val="000000"/>
          <w:sz w:val="24"/>
        </w:rPr>
      </w:pPr>
      <w:r>
        <w:rPr>
          <w:rFonts w:ascii="Times New Roman" w:hAnsi="Times New Roman"/>
          <w:color w:val="000000"/>
          <w:sz w:val="24"/>
        </w:rPr>
        <w:t>rights under Section 5.5, the Manufacture of Clearside Products."</w:t>
      </w:r>
    </w:p>
    <w:p>
      <w:pPr>
        <w:pStyle w:val="TextBody"/>
        <w:bidi w:val="0"/>
        <w:spacing w:before="242" w:after="283"/>
        <w:ind w:left="1080" w:right="706"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242" w:after="283"/>
        <w:jc w:val="both"/>
        <w:rPr/>
      </w:pPr>
      <w:r>
        <w:rPr>
          <w:rFonts w:ascii="Times New Roman" w:hAnsi="Times New Roman"/>
          <w:b/>
          <w:color w:val="000000"/>
          <w:sz w:val="24"/>
        </w:rPr>
        <w:t xml:space="preserve">"1.37 "Manufacturing" or "Manufacture" </w:t>
      </w:r>
      <w:r>
        <w:rPr>
          <w:rFonts w:ascii="Times New Roman" w:hAnsi="Times New Roman"/>
          <w:color w:val="000000"/>
          <w:sz w:val="24"/>
        </w:rPr>
        <w:t>means, as applicable, all activities associated with the production, manufacture, processing, filling, finishing, packaging, labeling, shipping, and storage of the Licensed Product and the Clearside Product component of the Licensed Product, including process and formulation development, process validation, stability testing, manufacturing scale-</w:t>
      </w:r>
    </w:p>
    <w:p>
      <w:pPr>
        <w:pStyle w:val="TextBody"/>
        <w:bidi w:val="0"/>
        <w:spacing w:before="67" w:after="283"/>
        <w:ind w:left="1791" w:right="716" w:firstLine="10"/>
        <w:jc w:val="both"/>
        <w:rPr>
          <w:rFonts w:ascii="Times New Roman" w:hAnsi="Times New Roman"/>
          <w:color w:val="000000"/>
          <w:sz w:val="24"/>
        </w:rPr>
      </w:pPr>
      <w:r>
        <w:rPr>
          <w:rFonts w:ascii="Times New Roman" w:hAnsi="Times New Roman"/>
          <w:color w:val="000000"/>
          <w:sz w:val="24"/>
        </w:rPr>
        <w:t>up, pre-clinical, clinical and commercial manufacture and analytical development, product characterization, quality assurance and quality control development, testing, release, sterilization, bioburden testing, endotoxin testing, procurement of components, and component specifications. For the avoidance of doubt, the term "Manufacture" does not include Aura's right to manufacture the Clearside Product component of the Licensed Product except in the event Aura makes an Alternative Manufacturing Election or in connection with Aura's exercise of its rights under Section 5.5."</w:t>
      </w:r>
    </w:p>
    <w:p>
      <w:pPr>
        <w:pStyle w:val="TextBody"/>
        <w:bidi w:val="0"/>
        <w:spacing w:before="242" w:after="283"/>
        <w:ind w:left="1080" w:right="706" w:hanging="0"/>
        <w:jc w:val="both"/>
        <w:rPr>
          <w:rFonts w:ascii="Times New Roman" w:hAnsi="Times New Roman"/>
          <w:color w:val="000000"/>
          <w:sz w:val="24"/>
        </w:rPr>
      </w:pPr>
      <w:r>
        <w:rPr>
          <w:rFonts w:ascii="Times New Roman" w:hAnsi="Times New Roman"/>
          <w:color w:val="000000"/>
          <w:sz w:val="24"/>
        </w:rPr>
        <w:t>(d)</w:t>
      </w:r>
    </w:p>
    <w:p>
      <w:pPr>
        <w:pStyle w:val="TextBody"/>
        <w:bidi w:val="0"/>
        <w:spacing w:before="242" w:after="283"/>
        <w:jc w:val="both"/>
        <w:rPr/>
      </w:pPr>
      <w:r>
        <w:rPr>
          <w:rFonts w:ascii="Times New Roman" w:hAnsi="Times New Roman"/>
          <w:b/>
          <w:color w:val="000000"/>
          <w:sz w:val="24"/>
        </w:rPr>
        <w:t xml:space="preserve">"1.38 "Manufacture of Clearside Product," or "Manufacture Clearside Product" </w:t>
      </w:r>
      <w:r>
        <w:rPr>
          <w:rFonts w:ascii="Times New Roman" w:hAnsi="Times New Roman"/>
          <w:color w:val="000000"/>
          <w:sz w:val="24"/>
        </w:rPr>
        <w:t>means, as applicable, all activities associated with the production, manufacture, processing, filling, finishing, packaging, labeling, shipping, and storage of the Clearside Product, including process and formulation development, process validation, stability testing, manufacturing scale-up, pre-clinical, clinical and commercial manufacture and analytical development, product characterization, quality assurance and quality control development, testing, release, sterilization, bioburden testing, endotoxin testing, procurement of components, and component specifications."</w:t>
      </w:r>
    </w:p>
    <w:p>
      <w:pPr>
        <w:pStyle w:val="TextBody"/>
        <w:bidi w:val="0"/>
        <w:spacing w:before="239" w:after="283"/>
        <w:ind w:left="360" w:right="706" w:hanging="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39" w:after="283"/>
        <w:jc w:val="left"/>
        <w:rPr/>
      </w:pPr>
      <w:r>
        <w:rPr>
          <w:rFonts w:ascii="Times New Roman" w:hAnsi="Times New Roman"/>
          <w:b/>
          <w:color w:val="000000"/>
          <w:sz w:val="24"/>
        </w:rPr>
        <w:t xml:space="preserve">Amendment and Restatement of Section 2.1. </w:t>
      </w:r>
      <w:r>
        <w:rPr>
          <w:rFonts w:ascii="Times New Roman" w:hAnsi="Times New Roman"/>
          <w:color w:val="000000"/>
          <w:sz w:val="24"/>
        </w:rPr>
        <w:t>The Parties agree that Section 2.1 of the Agreement is hereby deleted in its entirety and replaced with the following:</w:t>
      </w:r>
    </w:p>
    <w:p>
      <w:pPr>
        <w:pStyle w:val="TextBody"/>
        <w:bidi w:val="0"/>
        <w:spacing w:before="36" w:after="283"/>
        <w:jc w:val="left"/>
        <w:rPr/>
      </w:pPr>
      <w:r>
        <w:rPr/>
        <w:t> </w:t>
      </w:r>
    </w:p>
    <w:p>
      <w:pPr>
        <w:pStyle w:val="Heading1"/>
        <w:bidi w:val="0"/>
        <w:ind w:left="1066" w:right="0" w:hanging="0"/>
        <w:jc w:val="both"/>
        <w:rPr>
          <w:rFonts w:ascii="Times New Roman" w:hAnsi="Times New Roman"/>
          <w:color w:val="000000"/>
          <w:sz w:val="24"/>
        </w:rPr>
      </w:pPr>
      <w:r>
        <w:rPr>
          <w:rFonts w:ascii="Times New Roman" w:hAnsi="Times New Roman"/>
          <w:color w:val="000000"/>
          <w:sz w:val="24"/>
        </w:rPr>
        <w:t>"2.1 License Grants.</w:t>
      </w:r>
    </w:p>
    <w:p>
      <w:pPr>
        <w:pStyle w:val="TextBody"/>
        <w:bidi w:val="0"/>
        <w:spacing w:before="5" w:after="283"/>
        <w:jc w:val="left"/>
        <w:rPr/>
      </w:pPr>
      <w:r>
        <w:rPr/>
        <w:t> </w:t>
      </w:r>
    </w:p>
    <w:p>
      <w:pPr>
        <w:pStyle w:val="TextBody"/>
        <w:bidi w:val="0"/>
        <w:spacing w:before="0" w:after="0"/>
        <w:ind w:left="1080" w:right="360" w:firstLine="720"/>
        <w:jc w:val="both"/>
        <w:rPr>
          <w:rFonts w:ascii="Times New Roman" w:hAnsi="Times New Roman"/>
          <w:b/>
          <w:color w:val="000000"/>
          <w:sz w:val="24"/>
        </w:rPr>
      </w:pPr>
      <w:r>
        <w:rPr>
          <w:rFonts w:ascii="Times New Roman" w:hAnsi="Times New Roman"/>
          <w:b/>
          <w:color w:val="000000"/>
          <w:sz w:val="24"/>
        </w:rPr>
        <w:t>2.1.1</w:t>
      </w:r>
    </w:p>
    <w:p>
      <w:pPr>
        <w:pStyle w:val="TextBody"/>
        <w:bidi w:val="0"/>
        <w:jc w:val="both"/>
        <w:rPr/>
      </w:pPr>
      <w:r>
        <w:rPr>
          <w:rFonts w:ascii="Times New Roman" w:hAnsi="Times New Roman"/>
          <w:b/>
          <w:color w:val="000000"/>
          <w:sz w:val="24"/>
        </w:rPr>
        <w:t xml:space="preserve">Licensed IP. </w:t>
      </w:r>
      <w:r>
        <w:rPr>
          <w:rFonts w:ascii="Times New Roman" w:hAnsi="Times New Roman"/>
          <w:color w:val="000000"/>
          <w:sz w:val="24"/>
        </w:rPr>
        <w:t>Subject to the terms and conditions of this Agreement, Clearside hereby grants Aura an exclusive (even as to Clearside), royalty-bearing license under and to the Licensed IP (other than the Sublicensed IP which is set forth in Section 2.1.2), with the right to sublicense through multiple tiers (as set forth below), to Develop and Commercialize Licensed Products in the Territory for use in the Field and, in the event Aura makes an Alternative Manufacturing Election or in connection with Aura's exercise of its rights under Section 5.5, Manufacture or have Manufactured Licensed Products in the Territory for use in the Field.</w:t>
      </w:r>
    </w:p>
    <w:p>
      <w:pPr>
        <w:pStyle w:val="TextBody"/>
        <w:bidi w:val="0"/>
        <w:spacing w:before="43" w:after="283"/>
        <w:jc w:val="left"/>
        <w:rPr/>
      </w:pPr>
      <w:r>
        <w:rPr/>
        <w:t> </w:t>
      </w:r>
    </w:p>
    <w:p>
      <w:pPr>
        <w:pStyle w:val="TextBody"/>
        <w:bidi w:val="0"/>
        <w:spacing w:before="0" w:after="0"/>
        <w:ind w:left="1080" w:right="346" w:firstLine="720"/>
        <w:jc w:val="both"/>
        <w:rPr>
          <w:rFonts w:ascii="Times New Roman" w:hAnsi="Times New Roman"/>
          <w:b/>
          <w:color w:val="000000"/>
          <w:sz w:val="24"/>
        </w:rPr>
      </w:pPr>
      <w:r>
        <w:rPr>
          <w:rFonts w:ascii="Times New Roman" w:hAnsi="Times New Roman"/>
          <w:b/>
          <w:color w:val="000000"/>
          <w:sz w:val="24"/>
        </w:rPr>
        <w:t>2.1.2</w:t>
      </w:r>
    </w:p>
    <w:p>
      <w:pPr>
        <w:pStyle w:val="TextBody"/>
        <w:bidi w:val="0"/>
        <w:jc w:val="both"/>
        <w:rPr/>
      </w:pPr>
      <w:r>
        <w:rPr>
          <w:rFonts w:ascii="Times New Roman" w:hAnsi="Times New Roman"/>
          <w:b/>
          <w:color w:val="000000"/>
          <w:sz w:val="24"/>
        </w:rPr>
        <w:t xml:space="preserve">Sublicensed IP. </w:t>
      </w:r>
      <w:r>
        <w:rPr>
          <w:rFonts w:ascii="Times New Roman" w:hAnsi="Times New Roman"/>
          <w:color w:val="000000"/>
          <w:sz w:val="24"/>
        </w:rPr>
        <w:t>Subject to the terms and conditions of this Agreement and the Emory/GTRC License Agreement, Clearside hereby grants Aura an exclusive (even as to Clearside), royalty-bearing sublicense under and to the Sublicensed IP, with the right to further sublicense through multiple tiers (as set forth below), to Develop and Commercialize Licensed Products in the Territory for use in the Field and, in the event Aura makes an Alternative Manufacturing Election or in connection with Aura's exercise of its rights under Section 5.5, Manufacture or have Manufactured Licensed Products in the Territory for use in the Field."</w:t>
      </w:r>
    </w:p>
    <w:p>
      <w:pPr>
        <w:pStyle w:val="TextBody"/>
        <w:bidi w:val="0"/>
        <w:jc w:val="left"/>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jc w:val="right"/>
        <w:rPr/>
      </w:pPr>
      <w:r>
        <w:rPr/>
        <w:t> </w:t>
      </w:r>
    </w:p>
    <w:p>
      <w:pPr>
        <w:pStyle w:val="TextBody"/>
        <w:bidi w:val="0"/>
        <w:jc w:val="right"/>
        <w:rPr/>
      </w:pPr>
      <w:r>
        <w:rPr/>
        <w:t> </w:t>
      </w:r>
    </w:p>
    <w:p>
      <w:pPr>
        <w:pStyle w:val="TextBody"/>
        <w:bidi w:val="0"/>
        <w:spacing w:before="246" w:after="283"/>
        <w:ind w:left="360" w:right="706" w:hanging="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246" w:after="283"/>
        <w:jc w:val="left"/>
        <w:rPr/>
      </w:pPr>
      <w:r>
        <w:rPr>
          <w:rFonts w:ascii="Times New Roman" w:hAnsi="Times New Roman"/>
          <w:b/>
          <w:color w:val="000000"/>
          <w:sz w:val="24"/>
        </w:rPr>
        <w:t xml:space="preserve">Amendment and Restatement of Section 5.2. </w:t>
      </w:r>
      <w:r>
        <w:rPr>
          <w:rFonts w:ascii="Times New Roman" w:hAnsi="Times New Roman"/>
          <w:color w:val="000000"/>
          <w:sz w:val="24"/>
        </w:rPr>
        <w:t>The Parties agree that Section 5.2 of the Agreement is hereby deleted in its entirety and replaced with the following:</w:t>
      </w:r>
    </w:p>
    <w:p>
      <w:pPr>
        <w:pStyle w:val="TextBody"/>
        <w:pBdr/>
        <w:bidi w:val="0"/>
        <w:spacing w:before="244" w:after="283"/>
        <w:ind w:left="1066" w:right="711" w:hanging="12"/>
        <w:jc w:val="both"/>
        <w:rPr>
          <w:rFonts w:ascii="Times New Roman" w:hAnsi="Times New Roman"/>
          <w:sz w:val="20"/>
        </w:rPr>
      </w:pPr>
      <w:r>
        <w:rPr>
          <w:rFonts w:ascii="Times New Roman" w:hAnsi="Times New Roman"/>
          <w:b/>
          <w:color w:val="000000"/>
          <w:sz w:val="24"/>
        </w:rPr>
        <w:t xml:space="preserve">"5.2 Commercial Supply Agreement. </w:t>
      </w:r>
      <w:r>
        <w:rPr>
          <w:rFonts w:ascii="Times New Roman" w:hAnsi="Times New Roman"/>
          <w:color w:val="000000"/>
          <w:sz w:val="24"/>
        </w:rPr>
        <w:t>Not later than six (6) months prior to Aura's filing of an NDA/BLA covering a Licensed Product, upon Aura's written request, the Parties will negotiate in good faith and execute a manufacturing and supply agreement pursuant to which Clearside will supply Aura with its requirements (subject to Aura's rights under</w:t>
      </w:r>
    </w:p>
    <w:p>
      <w:pPr>
        <w:pStyle w:val="TextBody"/>
        <w:pBdr/>
        <w:bidi w:val="0"/>
        <w:spacing w:before="67" w:after="283"/>
        <w:ind w:left="1075" w:right="704" w:hanging="1"/>
        <w:jc w:val="both"/>
        <w:rPr>
          <w:rFonts w:ascii="Times New Roman" w:hAnsi="Times New Roman"/>
          <w:sz w:val="20"/>
        </w:rPr>
      </w:pPr>
      <w:r>
        <w:rPr>
          <w:rFonts w:ascii="Times New Roman" w:hAnsi="Times New Roman"/>
          <w:color w:val="000000"/>
          <w:sz w:val="24"/>
        </w:rPr>
        <w:t xml:space="preserve">Sections 5.3 through 5.5) of microinjectors and microneedles </w:t>
      </w:r>
      <w:r>
        <w:rPr>
          <w:rFonts w:ascii="Times New Roman" w:hAnsi="Times New Roman"/>
          <w:b/>
          <w:i/>
          <w:color w:val="000000"/>
          <w:sz w:val="23"/>
        </w:rPr>
        <w:t xml:space="preserve">("Clearside Products") </w:t>
      </w:r>
      <w:r>
        <w:rPr>
          <w:rFonts w:ascii="Times New Roman" w:hAnsi="Times New Roman"/>
          <w:color w:val="000000"/>
          <w:sz w:val="24"/>
        </w:rPr>
        <w:t xml:space="preserve">for Aura's commercial use in the Field (the </w:t>
      </w:r>
      <w:r>
        <w:rPr>
          <w:rFonts w:ascii="Times New Roman" w:hAnsi="Times New Roman"/>
          <w:b/>
          <w:i/>
          <w:color w:val="000000"/>
          <w:sz w:val="23"/>
        </w:rPr>
        <w:t xml:space="preserve">"Commercial Supply Agreement" </w:t>
      </w:r>
      <w:r>
        <w:rPr>
          <w:rFonts w:ascii="Times New Roman" w:hAnsi="Times New Roman"/>
          <w:color w:val="000000"/>
          <w:sz w:val="24"/>
        </w:rPr>
        <w:t xml:space="preserve">and together with the Initial Supply Agreement, the </w:t>
      </w:r>
      <w:r>
        <w:rPr>
          <w:rFonts w:ascii="Times New Roman" w:hAnsi="Times New Roman"/>
          <w:b/>
          <w:i/>
          <w:color w:val="000000"/>
          <w:sz w:val="23"/>
        </w:rPr>
        <w:t xml:space="preserve">"Supply Agreements"). </w:t>
      </w:r>
      <w:r>
        <w:rPr>
          <w:rFonts w:ascii="Times New Roman" w:hAnsi="Times New Roman"/>
          <w:color w:val="000000"/>
          <w:sz w:val="24"/>
        </w:rPr>
        <w:t>Aura's cost of the Clearside Products under the Commercial Supply Agreement shall equal Clearside's Cost of Goods (as defined) (reasonably documented to Aura) plus a reasonable direct markup amount to be negotiated at the time. The Commercial Supply Agreement shall require Aura to provide written notice to Clearside with rolling quarterly forecasts of its commercial needs of Clearside Products. In connection with the Commercial Supply Agreement, the Parties shall also enter into a written quality agreement and a written pharmacovigilance agreement on reasonable and customary terms and conditions."</w:t>
      </w:r>
    </w:p>
    <w:p>
      <w:pPr>
        <w:pStyle w:val="TextBody"/>
        <w:bidi w:val="0"/>
        <w:spacing w:before="244" w:after="283"/>
        <w:ind w:left="360" w:right="706" w:hanging="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4" w:after="283"/>
        <w:jc w:val="left"/>
        <w:rPr/>
      </w:pPr>
      <w:r>
        <w:rPr>
          <w:rFonts w:ascii="Times New Roman" w:hAnsi="Times New Roman"/>
          <w:b/>
          <w:color w:val="000000"/>
          <w:sz w:val="24"/>
        </w:rPr>
        <w:t xml:space="preserve">Amendment and Restatement of Section 5.3. </w:t>
      </w:r>
      <w:r>
        <w:rPr>
          <w:rFonts w:ascii="Times New Roman" w:hAnsi="Times New Roman"/>
          <w:color w:val="000000"/>
          <w:sz w:val="24"/>
        </w:rPr>
        <w:t>The Parties agree that Section 5.3 of the Agreement is hereby amended and restated in its entirety as follows:</w:t>
      </w:r>
    </w:p>
    <w:p>
      <w:pPr>
        <w:pStyle w:val="TextBody"/>
        <w:pBdr/>
        <w:bidi w:val="0"/>
        <w:spacing w:before="244" w:after="283"/>
        <w:ind w:left="1065" w:right="705" w:hanging="9"/>
        <w:jc w:val="both"/>
        <w:rPr>
          <w:rFonts w:ascii="Times New Roman" w:hAnsi="Times New Roman"/>
          <w:sz w:val="20"/>
        </w:rPr>
      </w:pPr>
      <w:r>
        <w:rPr>
          <w:rFonts w:ascii="Times New Roman" w:hAnsi="Times New Roman"/>
          <w:b/>
          <w:color w:val="000000"/>
          <w:sz w:val="24"/>
        </w:rPr>
        <w:t xml:space="preserve">"5.3 Supply Failure/Change in Legal Manufacturer. </w:t>
      </w:r>
      <w:r>
        <w:rPr>
          <w:rFonts w:ascii="Times New Roman" w:hAnsi="Times New Roman"/>
          <w:color w:val="000000"/>
          <w:sz w:val="24"/>
        </w:rPr>
        <w:t xml:space="preserve">If during the term of either of the Supply Agreements, (a) Clearside ceases to be the legal manufacturer of the Clearside Product, (b) Clearside fails to supply Aura with at least [***] of the quantities of Clearside Product meeting the specifications which have been accepted by Clearside and which Clearside is obligated to supply under the relevant Supply Agreement, cumulatively, in any consecutive six (6) month period for any reason other than due to a Force Majeure event or due to the material breach by Aura of, as applicable, the Supply Agreements (a </w:t>
      </w:r>
      <w:r>
        <w:rPr>
          <w:rFonts w:ascii="Times New Roman" w:hAnsi="Times New Roman"/>
          <w:b/>
          <w:i/>
          <w:color w:val="000000"/>
          <w:sz w:val="23"/>
        </w:rPr>
        <w:t xml:space="preserve">"Supply Failure'"), </w:t>
      </w:r>
      <w:r>
        <w:rPr>
          <w:rFonts w:ascii="Times New Roman" w:hAnsi="Times New Roman"/>
          <w:color w:val="000000"/>
          <w:sz w:val="24"/>
        </w:rPr>
        <w:t xml:space="preserve">(c) there is a change to a Clearside CMO (as defined below) at any time on or after the Second Amendment Effective Date </w:t>
      </w:r>
      <w:r>
        <w:rPr>
          <w:rFonts w:ascii="Times New Roman" w:hAnsi="Times New Roman"/>
          <w:b/>
          <w:i/>
          <w:color w:val="000000"/>
          <w:sz w:val="23"/>
        </w:rPr>
        <w:t xml:space="preserve">("Clearside CMO Change"), </w:t>
      </w:r>
      <w:r>
        <w:rPr>
          <w:rFonts w:ascii="Times New Roman" w:hAnsi="Times New Roman"/>
          <w:color w:val="000000"/>
          <w:sz w:val="24"/>
        </w:rPr>
        <w:t xml:space="preserve">or (d) following Clearside's receipt of the notice of a Manufacturing Election, any of Clearside CMOs is unable or unwilling to supply Aura or has committed the equivalence of a "Supply Failure" under any agreement between Aura and such Clearside CMO, Aura may, at its discretion, upon not less than thirty (30) days' written notice to Clearside (a </w:t>
      </w:r>
      <w:r>
        <w:rPr>
          <w:rFonts w:ascii="Times New Roman" w:hAnsi="Times New Roman"/>
          <w:b/>
          <w:i/>
          <w:color w:val="000000"/>
          <w:sz w:val="23"/>
        </w:rPr>
        <w:t xml:space="preserve">"Supply Notice"): </w:t>
      </w:r>
      <w:r>
        <w:rPr>
          <w:rFonts w:ascii="Times New Roman" w:hAnsi="Times New Roman"/>
          <w:color w:val="000000"/>
          <w:sz w:val="24"/>
        </w:rPr>
        <w:t xml:space="preserve">either (i) require Clearside to supply the undelivered Clearside Product at a future date to be agreed upon by the Parties, and/or (ii) exercise its right to have one or more Third Parties identified by Aura to Manufacture Clearside Product (an </w:t>
      </w:r>
      <w:r>
        <w:rPr>
          <w:rFonts w:ascii="Times New Roman" w:hAnsi="Times New Roman"/>
          <w:b/>
          <w:i/>
          <w:color w:val="000000"/>
          <w:sz w:val="23"/>
        </w:rPr>
        <w:t xml:space="preserve">''Alternative Manufacturer Election'') </w:t>
      </w:r>
      <w:r>
        <w:rPr>
          <w:rFonts w:ascii="Times New Roman" w:hAnsi="Times New Roman"/>
          <w:color w:val="000000"/>
          <w:sz w:val="24"/>
        </w:rPr>
        <w:t>and Aura shall covenant that it will require that its Third Party Manufacturer to only sell such Clearside Product in the Field, utilizing trade dress, trade name(s), and NDC number(s) (in the US) that are unique to Aura and different from Clearside's. Clearside shall provide Aura prompt written notice if it becomes aware of an actual or pending Clearside CMO Change, including if Clearside receives notice from a Clearside CMO of an actual or pending termination, expiration or non-renewal of its agreement with such Clearside CMO."</w:t>
      </w:r>
    </w:p>
    <w:p>
      <w:pPr>
        <w:pStyle w:val="TextBody"/>
        <w:bidi w:val="0"/>
        <w:spacing w:before="242" w:after="283"/>
        <w:ind w:left="360" w:right="706" w:hanging="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2" w:after="283"/>
        <w:jc w:val="left"/>
        <w:rPr/>
      </w:pPr>
      <w:r>
        <w:rPr>
          <w:rFonts w:ascii="Times New Roman" w:hAnsi="Times New Roman"/>
          <w:b/>
          <w:color w:val="000000"/>
          <w:sz w:val="24"/>
        </w:rPr>
        <w:t xml:space="preserve">Amendment and Restatement of Section 5.4. </w:t>
      </w:r>
      <w:r>
        <w:rPr>
          <w:rFonts w:ascii="Times New Roman" w:hAnsi="Times New Roman"/>
          <w:color w:val="000000"/>
          <w:sz w:val="24"/>
        </w:rPr>
        <w:t>The Parties agree that Section 5.4 of the Agreement is hereby amended and restated in its entirety as follows:</w:t>
      </w:r>
    </w:p>
    <w:p>
      <w:pPr>
        <w:pStyle w:val="TextBody"/>
        <w:bidi w:val="0"/>
        <w:jc w:val="left"/>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jc w:val="right"/>
        <w:rPr/>
      </w:pPr>
      <w:r>
        <w:rPr/>
        <w:t> </w:t>
      </w:r>
    </w:p>
    <w:p>
      <w:pPr>
        <w:pStyle w:val="TextBody"/>
        <w:bidi w:val="0"/>
        <w:jc w:val="right"/>
        <w:rPr/>
      </w:pPr>
      <w:r>
        <w:rPr/>
        <w:t> </w:t>
      </w:r>
    </w:p>
    <w:p>
      <w:pPr>
        <w:pStyle w:val="TextBody"/>
        <w:pBdr/>
        <w:bidi w:val="0"/>
        <w:spacing w:before="235" w:after="283"/>
        <w:ind w:left="1065" w:right="714" w:hanging="2"/>
        <w:jc w:val="both"/>
        <w:rPr>
          <w:rFonts w:ascii="Times New Roman" w:hAnsi="Times New Roman"/>
          <w:sz w:val="20"/>
        </w:rPr>
      </w:pPr>
      <w:r>
        <w:rPr>
          <w:rFonts w:ascii="Times New Roman" w:hAnsi="Times New Roman"/>
          <w:b/>
          <w:color w:val="000000"/>
          <w:sz w:val="24"/>
        </w:rPr>
        <w:t xml:space="preserve">"5.4 Manufacturing License and Manufacturing Technology Transfer. </w:t>
      </w:r>
      <w:r>
        <w:rPr>
          <w:rFonts w:ascii="Times New Roman" w:hAnsi="Times New Roman"/>
          <w:color w:val="000000"/>
          <w:sz w:val="24"/>
        </w:rPr>
        <w:t xml:space="preserve">Effective upon delivery of a Supply Notice in which Aura makes an Alternative Manufacturer Election, Clearside (a) hereby grants to Aura a worldwide, exclusive license in the Field, with the right to grant sublicenses (through multiple tiers), under the Clearside Manufacturing Technology, to Manufacture Clearside Product and have Manufactured Clearside Product on behalf of itself, its Affiliates and licensees in the Field (the </w:t>
      </w:r>
      <w:r>
        <w:rPr>
          <w:rFonts w:ascii="Times New Roman" w:hAnsi="Times New Roman"/>
          <w:b/>
          <w:i/>
          <w:color w:val="000000"/>
          <w:sz w:val="23"/>
        </w:rPr>
        <w:t xml:space="preserve">"Manufacturing License''), </w:t>
      </w:r>
      <w:r>
        <w:rPr>
          <w:rFonts w:ascii="Times New Roman" w:hAnsi="Times New Roman"/>
          <w:color w:val="000000"/>
          <w:sz w:val="24"/>
        </w:rPr>
        <w:t>and (b) shall provide reasonable assistance for the transfer of</w:t>
      </w:r>
    </w:p>
    <w:p>
      <w:pPr>
        <w:pStyle w:val="TextBody"/>
        <w:bidi w:val="0"/>
        <w:spacing w:before="67" w:after="283"/>
        <w:ind w:left="1074" w:right="702" w:hanging="0"/>
        <w:jc w:val="both"/>
        <w:rPr>
          <w:rFonts w:ascii="Times New Roman" w:hAnsi="Times New Roman"/>
          <w:sz w:val="20"/>
        </w:rPr>
      </w:pPr>
      <w:r>
        <w:rPr>
          <w:rFonts w:ascii="Times New Roman" w:hAnsi="Times New Roman"/>
          <w:color w:val="000000"/>
          <w:sz w:val="24"/>
        </w:rPr>
        <w:t xml:space="preserve">the Manufacturing of Clearside Product (the </w:t>
      </w:r>
      <w:r>
        <w:rPr>
          <w:rFonts w:ascii="Times New Roman" w:hAnsi="Times New Roman"/>
          <w:b/>
          <w:i/>
          <w:color w:val="000000"/>
          <w:sz w:val="23"/>
        </w:rPr>
        <w:t xml:space="preserve">"Manufacturing Technology Transfer") </w:t>
      </w:r>
      <w:r>
        <w:rPr>
          <w:rFonts w:ascii="Times New Roman" w:hAnsi="Times New Roman"/>
          <w:color w:val="000000"/>
          <w:sz w:val="24"/>
        </w:rPr>
        <w:t>to Aura and any Third Party Manufacturers identified by Aura as follows: Clearside shall (i) promptly disclose to Aura and any such Third Party Manufacturer all Clearside Manufacturing Technology; (ii) provide Aura or any such Third Party Manufacturer with the training, documentation and other information relating to the use of the process for Manufacturing Clearside Products as may be necessary or reasonably useful for Aura and such Third Party Manufacturers to exercise the Manufacturing License and Manufacture Clearside Products; and (iii) make appropriately trained personnel available for consultation and advice upon Aura's request to provide technical assistance to the extent necessary or reasonably useful to enable Aura or such Third Party Manufacturers to Manufacture Clearside Products. Clearside shall provide all other assistance reasonably required by Aura and any of its Third Party Manufacturers in connection with the conduct of the Manufacturing Technology Transfer. For clarity, Clearside shall not be obligated to purchase or obtain control of any new Manufacturing equipment at its expense as part of any Manufacturing Technology Transfer. Aura shall not be obligated to pay to Clearside the transfer price on quantities of Clearside Products so manufactured by or on behalf of Aura by third parties. In such event, (i) Aura shall assume the obligations of, and receive all rights as, a legal manufacturer of the Clearside Product that is included in the Licensed Products including rights to and responsibility for the associated regulatory filings and all global post-market surveillance requirements for all such Clearside Products Manufactured and introduced into commerce as part of the Licensed Products, and (ii) Aura and Clearside will (a) provide each other with regular updates of their global post-market surveillance data on Clearside Products and (b) promptly inform each other of any adverse events involving the Clearside Products, in each case, in accordance with the timelines and other terms of the written pharmacovigilance agreement between the Parties."</w:t>
      </w:r>
    </w:p>
    <w:p>
      <w:pPr>
        <w:pStyle w:val="TextBody"/>
        <w:bidi w:val="0"/>
        <w:spacing w:before="247" w:after="283"/>
        <w:ind w:left="360" w:right="734" w:hanging="0"/>
        <w:jc w:val="left"/>
        <w:rPr>
          <w:rFonts w:ascii="Times New Roman" w:hAnsi="Times New Roman"/>
          <w:b/>
          <w:color w:val="000000"/>
          <w:sz w:val="24"/>
        </w:rPr>
      </w:pPr>
      <w:r>
        <w:rPr>
          <w:rFonts w:ascii="Times New Roman" w:hAnsi="Times New Roman"/>
          <w:b/>
          <w:color w:val="000000"/>
          <w:sz w:val="24"/>
        </w:rPr>
        <w:t>6.</w:t>
      </w:r>
    </w:p>
    <w:p>
      <w:pPr>
        <w:pStyle w:val="TextBody"/>
        <w:bidi w:val="0"/>
        <w:spacing w:before="247" w:after="283"/>
        <w:jc w:val="left"/>
        <w:rPr/>
      </w:pPr>
      <w:r>
        <w:rPr>
          <w:rFonts w:ascii="Times New Roman" w:hAnsi="Times New Roman"/>
          <w:b/>
          <w:color w:val="000000"/>
          <w:sz w:val="24"/>
        </w:rPr>
        <w:t xml:space="preserve">New Section 5.5. </w:t>
      </w:r>
      <w:r>
        <w:rPr>
          <w:rFonts w:ascii="Times New Roman" w:hAnsi="Times New Roman"/>
          <w:color w:val="000000"/>
          <w:sz w:val="24"/>
        </w:rPr>
        <w:t>The Parties agree that a new Section 5.5 is hereby added to the Agreement as follows:</w:t>
      </w:r>
    </w:p>
    <w:p>
      <w:pPr>
        <w:pStyle w:val="TextBody"/>
        <w:pBdr/>
        <w:bidi w:val="0"/>
        <w:spacing w:before="235" w:after="283"/>
        <w:ind w:left="1065" w:right="706" w:hanging="9"/>
        <w:jc w:val="both"/>
        <w:rPr>
          <w:rFonts w:ascii="Times New Roman" w:hAnsi="Times New Roman"/>
          <w:sz w:val="20"/>
        </w:rPr>
      </w:pPr>
      <w:r>
        <w:rPr>
          <w:rFonts w:ascii="Times New Roman" w:hAnsi="Times New Roman"/>
          <w:b/>
          <w:color w:val="000000"/>
          <w:sz w:val="24"/>
        </w:rPr>
        <w:t xml:space="preserve">"5.5 Manufacturing Equipment. </w:t>
      </w:r>
      <w:r>
        <w:rPr>
          <w:rFonts w:ascii="Times New Roman" w:hAnsi="Times New Roman"/>
          <w:color w:val="000000"/>
          <w:sz w:val="24"/>
        </w:rPr>
        <w:t xml:space="preserve">Upon Aura's election at any time, effective upon Clearside's receipt of written notice (the </w:t>
      </w:r>
      <w:r>
        <w:rPr>
          <w:rFonts w:ascii="Times New Roman" w:hAnsi="Times New Roman"/>
          <w:b/>
          <w:i/>
          <w:color w:val="000000"/>
          <w:sz w:val="23"/>
        </w:rPr>
        <w:t xml:space="preserve">"Manufacturing Election"), </w:t>
      </w:r>
      <w:r>
        <w:rPr>
          <w:rFonts w:ascii="Times New Roman" w:hAnsi="Times New Roman"/>
          <w:color w:val="000000"/>
          <w:sz w:val="24"/>
        </w:rPr>
        <w:t xml:space="preserve">Aura or its Affiliates and licensees shall have the right and license, and Clearside shall take all necessary actions to notify each of Clearside's contract manufacturing organizations involved in the Manufacturing process (a </w:t>
      </w:r>
      <w:r>
        <w:rPr>
          <w:rFonts w:ascii="Times New Roman" w:hAnsi="Times New Roman"/>
          <w:b/>
          <w:i/>
          <w:color w:val="000000"/>
          <w:sz w:val="23"/>
        </w:rPr>
        <w:t xml:space="preserve">"Clearside CMO") </w:t>
      </w:r>
      <w:r>
        <w:rPr>
          <w:rFonts w:ascii="Times New Roman" w:hAnsi="Times New Roman"/>
          <w:color w:val="000000"/>
          <w:sz w:val="24"/>
        </w:rPr>
        <w:t>of such right and enable Aura or its Affiliates and licensees to utilize or have utilized on its behalf without further cost to Aura or its Affiliates or licensees any Manufacturing devices or equipment owned, leased or controlled by Clearside to Manufacture or have Manufactured Clearside Product that is included as part of or incorporated in such Licensed Products and to be permitted to directly place purchase orders for such Clearside Products with such Clearside CMO. Clearside shall provide all other assistance necessary or reasonably useful in connection with the foregoing, including any authorizations and the facilitation of any agreement between Aura</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jc w:val="right"/>
        <w:rPr/>
      </w:pPr>
      <w:r>
        <w:rPr/>
        <w:t> </w:t>
      </w:r>
    </w:p>
    <w:p>
      <w:pPr>
        <w:pStyle w:val="TextBody"/>
        <w:bidi w:val="0"/>
        <w:jc w:val="right"/>
        <w:rPr/>
      </w:pPr>
      <w:r>
        <w:rPr/>
        <w:t> </w:t>
      </w:r>
    </w:p>
    <w:p>
      <w:pPr>
        <w:pStyle w:val="TextBody"/>
        <w:bidi w:val="0"/>
        <w:spacing w:before="235" w:after="283"/>
        <w:ind w:left="1074" w:right="706" w:hanging="0"/>
        <w:jc w:val="both"/>
        <w:rPr>
          <w:rFonts w:ascii="Times New Roman" w:hAnsi="Times New Roman"/>
          <w:sz w:val="20"/>
        </w:rPr>
      </w:pPr>
      <w:r>
        <w:rPr>
          <w:rFonts w:ascii="Times New Roman" w:hAnsi="Times New Roman"/>
          <w:color w:val="000000"/>
          <w:sz w:val="24"/>
        </w:rPr>
        <w:t xml:space="preserve">and any of Clearside's Third Party Manufacturers. In addition, Clearside shall, at Aura's written request, perform all Manufacturing services performed by Clearside (and not a Clearside CMO) under the then-current Manufacturing process, including quality control services and release activities (the </w:t>
      </w:r>
      <w:r>
        <w:rPr>
          <w:rFonts w:ascii="Times New Roman" w:hAnsi="Times New Roman"/>
          <w:b/>
          <w:i/>
          <w:color w:val="000000"/>
          <w:sz w:val="23"/>
        </w:rPr>
        <w:t xml:space="preserve">''Additional Manufacturing Services"). </w:t>
      </w:r>
      <w:r>
        <w:rPr>
          <w:rFonts w:ascii="Times New Roman" w:hAnsi="Times New Roman"/>
          <w:color w:val="000000"/>
          <w:sz w:val="24"/>
        </w:rPr>
        <w:t xml:space="preserve">The Additional Manufacturing Services shall be provided by Clearside at [***]. Following a Manufacturing Election, Aura shall make an annual payment to Clearside of [***] payable within ten (10) business days of Clearside's receipt of the first Direct Order Notice (as defined below) and each subsequent year on or before the anniversary of the first Direct Order Notice unless and until Aura provides Clearside with written notice terminating its Manufacturing Election under this section 5.5. For clarity, Aura and its Affiliates and licensees shall have the right and license, and Clearside hereby grants such right and license, to perform or have performed some or all of the Additional Manufacturing Services, and Clearside shall provide all assistance necessary or reasonably useful in connection with the foregoing. Aura shall provide Clearside with written contemporaneous confirmation of any such direct orders for Clearside Product placed with such Clearside CMO (each, a </w:t>
      </w:r>
      <w:r>
        <w:rPr>
          <w:rFonts w:ascii="Times New Roman" w:hAnsi="Times New Roman"/>
          <w:b/>
          <w:i/>
          <w:color w:val="000000"/>
          <w:sz w:val="23"/>
        </w:rPr>
        <w:t xml:space="preserve">"Direct Order Notice"). </w:t>
      </w:r>
      <w:r>
        <w:rPr>
          <w:rFonts w:ascii="Times New Roman" w:hAnsi="Times New Roman"/>
          <w:color w:val="000000"/>
          <w:sz w:val="24"/>
        </w:rPr>
        <w:t>Aura shall also provide Clearside with written confirmation within thirty (30) business days of Aura's receipt and acceptance of such Clearside Product. In the event that Aura purchases Clearside Products from a Clearside CMO pursuant to this Section 5.5, each Party shall use commercially reasonable efforts and cooperate in good faith to [***], provided that no Party shall be required to [***]. For clarity, Aura shall not be obligated to pay to Clearside the transfer price on quantities of Clearside Products so manufactured by or on behalf of Aura by third parties under this section 5.5."</w:t>
      </w:r>
    </w:p>
    <w:p>
      <w:pPr>
        <w:pStyle w:val="TextBody"/>
        <w:bidi w:val="0"/>
        <w:spacing w:before="241" w:after="283"/>
        <w:ind w:left="346" w:right="691" w:hanging="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241" w:after="283"/>
        <w:jc w:val="both"/>
        <w:rPr/>
      </w:pPr>
      <w:r>
        <w:rPr>
          <w:rFonts w:ascii="Times New Roman" w:hAnsi="Times New Roman"/>
          <w:b/>
          <w:color w:val="000000"/>
          <w:sz w:val="24"/>
        </w:rPr>
        <w:t xml:space="preserve">Amendment Payments. </w:t>
      </w:r>
      <w:r>
        <w:rPr>
          <w:rFonts w:ascii="Times New Roman" w:hAnsi="Times New Roman"/>
          <w:color w:val="000000"/>
          <w:sz w:val="24"/>
        </w:rPr>
        <w:t xml:space="preserve">Aura shall make a one-time payment of One Million Dollars ($1,000,000) to Clearside (the </w:t>
      </w:r>
      <w:r>
        <w:rPr>
          <w:rFonts w:ascii="Times New Roman" w:hAnsi="Times New Roman"/>
          <w:b/>
          <w:i/>
          <w:color w:val="000000"/>
          <w:sz w:val="23"/>
        </w:rPr>
        <w:t xml:space="preserve">"Initial Amendment Payment") </w:t>
      </w:r>
      <w:r>
        <w:rPr>
          <w:rFonts w:ascii="Times New Roman" w:hAnsi="Times New Roman"/>
          <w:color w:val="000000"/>
          <w:sz w:val="24"/>
        </w:rPr>
        <w:t xml:space="preserve">within ten (10) Business Days of the date of this Second Amendment, and (2) a one-time payment of One Million Five Hundred Thousand Dollars ($1,500,000) to Clearside (the </w:t>
      </w:r>
      <w:r>
        <w:rPr>
          <w:rFonts w:ascii="Times New Roman" w:hAnsi="Times New Roman"/>
          <w:b/>
          <w:i/>
          <w:color w:val="000000"/>
          <w:sz w:val="23"/>
        </w:rPr>
        <w:t xml:space="preserve">"Manufacturing Achievement Payment") </w:t>
      </w:r>
      <w:r>
        <w:rPr>
          <w:rFonts w:ascii="Times New Roman" w:hAnsi="Times New Roman"/>
          <w:color w:val="000000"/>
          <w:sz w:val="24"/>
        </w:rPr>
        <w:t xml:space="preserve">on the date which is </w:t>
      </w:r>
      <w:r>
        <w:rPr>
          <w:rFonts w:ascii="Times New Roman" w:hAnsi="Times New Roman"/>
          <w:color w:val="000000"/>
          <w:sz w:val="22"/>
        </w:rPr>
        <w:t>[***] days</w:t>
      </w:r>
      <w:r>
        <w:rPr>
          <w:color w:val="000000"/>
        </w:rPr>
        <w:t xml:space="preserve"> </w:t>
      </w:r>
      <w:r>
        <w:rPr>
          <w:rFonts w:ascii="Times New Roman" w:hAnsi="Times New Roman"/>
          <w:color w:val="000000"/>
          <w:sz w:val="24"/>
        </w:rPr>
        <w:t xml:space="preserve">following the earlier to occur of (a) </w:t>
      </w:r>
      <w:r>
        <w:rPr>
          <w:rFonts w:ascii="Times New Roman" w:hAnsi="Times New Roman"/>
          <w:color w:val="000000"/>
          <w:sz w:val="22"/>
        </w:rPr>
        <w:t xml:space="preserve">[***] and (b) [***] </w:t>
      </w:r>
      <w:r>
        <w:rPr>
          <w:rFonts w:ascii="Times New Roman" w:hAnsi="Times New Roman"/>
          <w:color w:val="000000"/>
          <w:sz w:val="24"/>
        </w:rPr>
        <w:t xml:space="preserve">(the first to occur of (a) and (b), the </w:t>
      </w:r>
      <w:r>
        <w:rPr>
          <w:rFonts w:ascii="Times New Roman" w:hAnsi="Times New Roman"/>
          <w:b/>
          <w:i/>
          <w:color w:val="000000"/>
          <w:sz w:val="23"/>
        </w:rPr>
        <w:t xml:space="preserve">"Manufacturing Achievement"). </w:t>
      </w:r>
      <w:r>
        <w:rPr>
          <w:rFonts w:ascii="Times New Roman" w:hAnsi="Times New Roman"/>
          <w:color w:val="000000"/>
          <w:sz w:val="24"/>
        </w:rPr>
        <w:t xml:space="preserve">Aura shall notify Clearside in writing of the Manufacturing Achievement within thirty (30) days of achievement. For purposes hereof, </w:t>
      </w:r>
      <w:r>
        <w:rPr>
          <w:rFonts w:ascii="Times New Roman" w:hAnsi="Times New Roman"/>
          <w:b/>
          <w:i/>
          <w:color w:val="000000"/>
          <w:sz w:val="23"/>
        </w:rPr>
        <w:t xml:space="preserve">"FDA" </w:t>
      </w:r>
      <w:r>
        <w:rPr>
          <w:rFonts w:ascii="Times New Roman" w:hAnsi="Times New Roman"/>
          <w:color w:val="000000"/>
          <w:sz w:val="24"/>
        </w:rPr>
        <w:t xml:space="preserve">shall mean the U.S. Food and Drug Administration and </w:t>
      </w:r>
      <w:r>
        <w:rPr>
          <w:rFonts w:ascii="Times New Roman" w:hAnsi="Times New Roman"/>
          <w:b/>
          <w:i/>
          <w:color w:val="000000"/>
          <w:sz w:val="23"/>
        </w:rPr>
        <w:t xml:space="preserve">"EMA" </w:t>
      </w:r>
      <w:r>
        <w:rPr>
          <w:rFonts w:ascii="Times New Roman" w:hAnsi="Times New Roman"/>
          <w:color w:val="000000"/>
          <w:sz w:val="24"/>
        </w:rPr>
        <w:t xml:space="preserve">shall mean the European Medicines Agency. Notwithstanding anything to the contrary herein, this Second Amendment shall not become effective, binding, or of any force or effect unless and until the Initial Amendment Payment is paid to Clearside using the payment instructions set forth in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 xml:space="preserve">to this Second Amendment. The date on which the Initial Amendment Payment is so paid by Aura shall be the effective date of this Second Amendment (the </w:t>
      </w:r>
      <w:r>
        <w:rPr>
          <w:rFonts w:ascii="Times New Roman" w:hAnsi="Times New Roman"/>
          <w:b/>
          <w:i/>
          <w:color w:val="000000"/>
          <w:sz w:val="23"/>
        </w:rPr>
        <w:t xml:space="preserve">"Second Amendment Effective Date"). </w:t>
      </w:r>
      <w:r>
        <w:rPr>
          <w:rFonts w:ascii="Times New Roman" w:hAnsi="Times New Roman"/>
          <w:color w:val="000000"/>
          <w:sz w:val="24"/>
        </w:rPr>
        <w:t>Prior to the Second Amendment Effective Date, neither Party shall have any obligation or liability to the other under this Second Amendment, and no rights, duties, or remedies shall arise hereunder.</w:t>
      </w:r>
    </w:p>
    <w:p>
      <w:pPr>
        <w:pStyle w:val="TextBody"/>
        <w:bidi w:val="0"/>
        <w:spacing w:before="249" w:after="283"/>
        <w:ind w:left="360" w:right="706" w:hanging="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249" w:after="283"/>
        <w:jc w:val="both"/>
        <w:rPr/>
      </w:pPr>
      <w:r>
        <w:rPr>
          <w:rFonts w:ascii="Times New Roman" w:hAnsi="Times New Roman"/>
          <w:b/>
          <w:color w:val="000000"/>
          <w:sz w:val="24"/>
        </w:rPr>
        <w:t xml:space="preserve">Existing Agreements. </w:t>
      </w:r>
      <w:r>
        <w:rPr>
          <w:rFonts w:ascii="Times New Roman" w:hAnsi="Times New Roman"/>
          <w:color w:val="000000"/>
          <w:sz w:val="24"/>
        </w:rPr>
        <w:t xml:space="preserve">Should any Existing Agreement (as defined below) no longer be in full force and effect between Aura and Clearside (or an Affiliate of Clearside), Clearside shall, within thirty (30) days of Aura's written request, enter into an agreement with Aura on the same terms without modification. </w:t>
      </w:r>
      <w:r>
        <w:rPr>
          <w:rFonts w:ascii="Times New Roman" w:hAnsi="Times New Roman"/>
          <w:b/>
          <w:i/>
          <w:color w:val="000000"/>
          <w:sz w:val="23"/>
        </w:rPr>
        <w:t xml:space="preserve">"Existing Agreement" </w:t>
      </w:r>
      <w:r>
        <w:rPr>
          <w:rFonts w:ascii="Times New Roman" w:hAnsi="Times New Roman"/>
          <w:color w:val="000000"/>
          <w:sz w:val="24"/>
        </w:rPr>
        <w:t>means, as amended, (i) that certain Quality Agreement, dated March 19, 2020, between Clearside Inc. and Aura;</w:t>
      </w:r>
    </w:p>
    <w:p>
      <w:pPr>
        <w:pStyle w:val="TextBody"/>
        <w:bidi w:val="0"/>
        <w:spacing w:before="6" w:after="283"/>
        <w:ind w:left="1076" w:right="730" w:hanging="0"/>
        <w:jc w:val="both"/>
        <w:rPr>
          <w:rFonts w:ascii="Times New Roman" w:hAnsi="Times New Roman"/>
          <w:sz w:val="20"/>
        </w:rPr>
      </w:pPr>
      <w:r>
        <w:rPr>
          <w:rFonts w:ascii="Times New Roman" w:hAnsi="Times New Roman"/>
          <w:color w:val="000000"/>
          <w:sz w:val="24"/>
        </w:rPr>
        <w:t>(ii) that certain Pharmacovigilance Agreement For Handling of Safety Information, dated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jc w:val="right"/>
        <w:rPr/>
      </w:pPr>
      <w:r>
        <w:rPr/>
        <w:t> </w:t>
      </w:r>
    </w:p>
    <w:p>
      <w:pPr>
        <w:pStyle w:val="TextBody"/>
        <w:bidi w:val="0"/>
        <w:jc w:val="right"/>
        <w:rPr/>
      </w:pPr>
      <w:r>
        <w:rPr/>
        <w:t> </w:t>
      </w:r>
    </w:p>
    <w:p>
      <w:pPr>
        <w:pStyle w:val="TextBody"/>
        <w:bidi w:val="0"/>
        <w:spacing w:before="6" w:after="283"/>
        <w:ind w:left="1076" w:right="730" w:hanging="0"/>
        <w:jc w:val="both"/>
        <w:rPr>
          <w:rFonts w:ascii="Times New Roman" w:hAnsi="Times New Roman"/>
          <w:color w:val="000000"/>
          <w:sz w:val="24"/>
        </w:rPr>
      </w:pPr>
      <w:r>
        <w:rPr>
          <w:rFonts w:ascii="Times New Roman" w:hAnsi="Times New Roman"/>
          <w:color w:val="000000"/>
          <w:sz w:val="24"/>
        </w:rPr>
        <w:t>June 15, 2020, between Clearside Inc. and Aura; (iii) that certain Initial Supply Agreement</w:t>
      </w:r>
    </w:p>
    <w:p>
      <w:pPr>
        <w:pStyle w:val="TextBody"/>
        <w:bidi w:val="0"/>
        <w:jc w:val="both"/>
        <w:rPr/>
      </w:pPr>
      <w:r>
        <w:rPr/>
        <w:t> </w:t>
      </w:r>
    </w:p>
    <w:p>
      <w:pPr>
        <w:pStyle w:val="TextBody"/>
        <w:pBdr/>
        <w:bidi w:val="0"/>
        <w:spacing w:before="69" w:after="283"/>
        <w:ind w:left="1062" w:right="240" w:hanging="16"/>
        <w:jc w:val="left"/>
        <w:rPr>
          <w:rFonts w:ascii="Times New Roman" w:hAnsi="Times New Roman"/>
          <w:color w:val="000000"/>
          <w:sz w:val="24"/>
        </w:rPr>
      </w:pPr>
      <w:r>
        <w:rPr>
          <w:rFonts w:ascii="Times New Roman" w:hAnsi="Times New Roman"/>
          <w:color w:val="000000"/>
          <w:sz w:val="24"/>
        </w:rPr>
        <w:t>- Clinical Supply, dated June 11, 2020, between Clearside Inc. and Aura; and (iv) that certain Services Agreement, dated April 1, 2022, between Clearside Inc. and Aura.</w:t>
      </w:r>
    </w:p>
    <w:p>
      <w:pPr>
        <w:pStyle w:val="TextBody"/>
        <w:bidi w:val="0"/>
        <w:spacing w:before="244" w:after="283"/>
        <w:ind w:left="360" w:right="720" w:hanging="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244" w:after="283"/>
        <w:jc w:val="both"/>
        <w:rPr/>
      </w:pPr>
      <w:r>
        <w:rPr>
          <w:rFonts w:ascii="Times New Roman" w:hAnsi="Times New Roman"/>
          <w:b/>
          <w:color w:val="000000"/>
          <w:sz w:val="24"/>
        </w:rPr>
        <w:t xml:space="preserve">No Other Amendments. </w:t>
      </w:r>
      <w:r>
        <w:rPr>
          <w:rFonts w:ascii="Times New Roman" w:hAnsi="Times New Roman"/>
          <w:color w:val="000000"/>
          <w:sz w:val="24"/>
        </w:rPr>
        <w:t>Except as amended hereby, the Agreement shall remain in full force and effect. Those amendments made herein shall be effective as of the Second Amendment Effective Date. This Second Amendment, together with the Agreement, and with all appendices and exhibits attached thereto, constitutes the final, complete and exclusive agreement of the Parties with respect to the subject hereof and supersedes all prior understandings and agreements relating to its subject matter. This Second Amendment may not be changed, modified, amended or supplemented except by a written instrument signed by both Parties.</w:t>
      </w:r>
    </w:p>
    <w:p>
      <w:pPr>
        <w:pStyle w:val="TextBody"/>
        <w:bidi w:val="0"/>
        <w:jc w:val="left"/>
        <w:rPr/>
      </w:pPr>
      <w:r>
        <w:rPr/>
        <w:t> </w:t>
      </w:r>
    </w:p>
    <w:p>
      <w:pPr>
        <w:pStyle w:val="TextBody"/>
        <w:bidi w:val="0"/>
        <w:spacing w:before="11" w:after="283"/>
        <w:jc w:val="left"/>
        <w:rPr/>
      </w:pPr>
      <w:r>
        <w:rPr/>
        <w:t> </w:t>
      </w:r>
    </w:p>
    <w:p>
      <w:pPr>
        <w:pStyle w:val="TextBody"/>
        <w:bidi w:val="0"/>
        <w:ind w:left="383" w:right="388" w:hanging="0"/>
        <w:jc w:val="center"/>
        <w:rPr>
          <w:rFonts w:ascii="Times New Roman" w:hAnsi="Times New Roman"/>
          <w:i/>
          <w:color w:val="000000"/>
          <w:sz w:val="23"/>
        </w:rPr>
      </w:pPr>
      <w:r>
        <w:rPr>
          <w:rFonts w:ascii="Times New Roman" w:hAnsi="Times New Roman"/>
          <w:i/>
          <w:color w:val="000000"/>
          <w:sz w:val="23"/>
        </w:rPr>
        <w:t>[Remainder of Page Intentionally Left Blank.]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ind w:left="0" w:right="0" w:firstLine="383"/>
        <w:jc w:val="left"/>
        <w:rPr>
          <w:rFonts w:ascii="Times New Roman" w:hAnsi="Times New Roman"/>
          <w:sz w:val="20"/>
        </w:rPr>
      </w:pPr>
      <w:r>
        <w:rPr>
          <w:rFonts w:ascii="Times New Roman" w:hAnsi="Times New Roman"/>
          <w:b/>
          <w:color w:val="444649"/>
          <w:sz w:val="22"/>
        </w:rPr>
        <w:t xml:space="preserve">IN WITNESS WHEREOF, </w:t>
      </w:r>
      <w:r>
        <w:rPr>
          <w:rFonts w:ascii="Times New Roman" w:hAnsi="Times New Roman"/>
          <w:color w:val="444649"/>
          <w:sz w:val="22"/>
        </w:rPr>
        <w:t>the Parties have caused this Second Amendment to be executed by their respective duly authorized representatives as of the date first written above.</w:t>
      </w:r>
    </w:p>
    <w:p>
      <w:pPr>
        <w:pStyle w:val="TextBody"/>
        <w:bidi w:val="0"/>
        <w:ind w:left="0" w:right="0" w:firstLine="3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smallCaps/>
          <w:color w:val="444649"/>
          <w:sz w:val="22"/>
        </w:rPr>
      </w:pPr>
      <w:r>
        <w:rPr>
          <w:rFonts w:ascii="Times New Roman" w:hAnsi="Times New Roman"/>
          <w:b/>
          <w:smallCaps/>
          <w:color w:val="444649"/>
          <w:sz w:val="22"/>
        </w:rPr>
        <w:t>Clearside Royalty LLC Aura Biosciences, Inc.</w:t>
      </w:r>
    </w:p>
    <w:p>
      <w:pPr>
        <w:pStyle w:val="TextBody"/>
        <w:bidi w:val="0"/>
        <w:ind w:left="0" w:right="0" w:firstLine="383"/>
        <w:jc w:val="left"/>
        <w:rPr/>
      </w:pPr>
      <w:r>
        <w:rPr/>
        <w:t> </w:t>
      </w:r>
    </w:p>
    <w:p>
      <w:pPr>
        <w:pStyle w:val="TextBody"/>
        <w:bidi w:val="0"/>
        <w:ind w:left="0" w:right="0" w:firstLine="383"/>
        <w:jc w:val="left"/>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By: /s/ George Lasezkay By: /s/ Elisabet de los Pinos</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Name: George Lasezkay Name: Elisabet de los Pinos</w:t>
      </w:r>
    </w:p>
    <w:p>
      <w:pPr>
        <w:pStyle w:val="TextBody"/>
        <w:bidi w:val="0"/>
        <w:jc w:val="left"/>
        <w:rPr>
          <w:rFonts w:ascii="Times New Roman" w:hAnsi="Times New Roman"/>
          <w:sz w:val="20"/>
        </w:rPr>
      </w:pPr>
      <w:r>
        <w:rPr>
          <w:rFonts w:ascii="Times New Roman" w:hAnsi="Times New Roman"/>
          <w:color w:val="000000"/>
          <w:sz w:val="22"/>
          <w:u w:val="single"/>
        </w:rPr>
        <w:t>Title: Chief Executive Officer Title: CEO</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center"/>
        <w:rPr>
          <w:rFonts w:ascii="Times New Roman" w:hAnsi="Times New Roman"/>
          <w:color w:val="000000"/>
          <w:sz w:val="22"/>
          <w:u w:val="single"/>
        </w:rPr>
      </w:pPr>
      <w:r>
        <w:rPr>
          <w:rFonts w:ascii="Times New Roman" w:hAnsi="Times New Roman"/>
          <w:color w:val="000000"/>
          <w:sz w:val="22"/>
          <w:u w:val="single"/>
        </w:rPr>
        <w:t>Exhibit A</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aura-ex31_1.htm"/>
      <w:bookmarkStart w:id="25" w:name="ksauraex31_1"/>
      <w:bookmarkEnd w:id="24"/>
      <w:bookmarkEnd w:id="25"/>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Natalie Holles,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5494" w:type="dxa"/>
        <w:jc w:val="left"/>
        <w:tblInd w:w="0" w:type="dxa"/>
        <w:tblLayout w:type="fixed"/>
        <w:tblCellMar>
          <w:top w:w="28" w:type="dxa"/>
          <w:left w:w="28" w:type="dxa"/>
          <w:bottom w:w="28" w:type="dxa"/>
          <w:right w:w="28" w:type="dxa"/>
        </w:tblCellMar>
      </w:tblPr>
      <w:tblGrid>
        <w:gridCol w:w="556"/>
        <w:gridCol w:w="1216"/>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18"/>
              </w:rPr>
              <w:t>Chief Executive Officer and President</w:t>
            </w:r>
            <w:r>
              <w:rPr>
                <w:rFonts w:ascii="Times New Roman" w:hAnsi="Times New Roman"/>
                <w:b/>
                <w:color w:val="000000"/>
                <w:sz w:val="20"/>
              </w:rPr>
              <w:br/>
            </w:r>
            <w:r>
              <w:rPr>
                <w:rFonts w:ascii="Arial" w:hAnsi="Arial"/>
                <w:b/>
                <w:color w:val="000000"/>
                <w:sz w:val="18"/>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aura-ex31_2.htm"/>
      <w:bookmarkStart w:id="27" w:name="ksauraex31_2"/>
      <w:bookmarkEnd w:id="26"/>
      <w:bookmarkEnd w:id="27"/>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rFonts w:ascii="Arial" w:hAnsi="Arial"/>
          <w:b/>
          <w:color w:val="000000"/>
          <w:sz w:val="18"/>
        </w:rPr>
      </w:pPr>
      <w:r>
        <w:rPr>
          <w:rFonts w:ascii="Arial" w:hAnsi="Arial"/>
          <w:b/>
          <w:color w:val="000000"/>
          <w:sz w:val="18"/>
        </w:rPr>
        <w:t>CERTIFICATION</w:t>
      </w:r>
    </w:p>
    <w:p>
      <w:pPr>
        <w:pStyle w:val="TextBody"/>
        <w:bidi w:val="0"/>
        <w:spacing w:before="240" w:after="283"/>
        <w:jc w:val="left"/>
        <w:rPr>
          <w:rFonts w:ascii="Arial" w:hAnsi="Arial"/>
          <w:color w:val="000000"/>
          <w:sz w:val="18"/>
        </w:rPr>
      </w:pPr>
      <w:r>
        <w:rPr>
          <w:rFonts w:ascii="Arial" w:hAnsi="Arial"/>
          <w:color w:val="000000"/>
          <w:sz w:val="18"/>
        </w:rPr>
        <w:t>I, Anthony Gibney, certify that: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1. I have reviewed this Quarterly Report on Form 10-Q of Aura Biosciences, Inc;</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(b) Any fraud, whether or not material, that involves management or other employees who have a significant role in the registrant’s internal control over financial reporting.</w:t>
      </w:r>
    </w:p>
    <w:tbl>
      <w:tblPr>
        <w:tblW w:w="5449" w:type="dxa"/>
        <w:jc w:val="left"/>
        <w:tblInd w:w="0" w:type="dxa"/>
        <w:tblLayout w:type="fixed"/>
        <w:tblCellMar>
          <w:top w:w="28" w:type="dxa"/>
          <w:left w:w="28" w:type="dxa"/>
          <w:bottom w:w="28" w:type="dxa"/>
          <w:right w:w="28" w:type="dxa"/>
        </w:tblCellMar>
      </w:tblPr>
      <w:tblGrid>
        <w:gridCol w:w="556"/>
        <w:gridCol w:w="1276"/>
        <w:gridCol w:w="361"/>
        <w:gridCol w:w="3256"/>
      </w:tblGrid>
      <w:tr>
        <w:trPr/>
        <w:tc>
          <w:tcPr>
            <w:tcW w:w="55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May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and Business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aura-ex32_1.htm"/>
      <w:bookmarkStart w:id="29" w:name="ksauraex32_1"/>
      <w:bookmarkEnd w:id="28"/>
      <w:bookmarkEnd w:id="29"/>
      <w:r>
        <w:rPr/>
        <w:t> </w:t>
      </w:r>
      <w:r>
        <w:br w:type="page"/>
      </w:r>
    </w:p>
    <w:p>
      <w:pPr>
        <w:pStyle w:val="TextBody"/>
        <w:bidi w:val="0"/>
        <w:jc w:val="right"/>
        <w:rPr>
          <w:rFonts w:ascii="Arial" w:hAnsi="Arial"/>
          <w:b/>
          <w:color w:val="000000"/>
          <w:sz w:val="18"/>
        </w:rPr>
      </w:pPr>
      <w:r>
        <w:rPr>
          <w:rFonts w:ascii="Arial" w:hAnsi="Arial"/>
          <w:b/>
          <w:color w:val="000000"/>
          <w:sz w:val="18"/>
        </w:rPr>
        <w:t>Exhibit 32.1</w:t>
      </w:r>
    </w:p>
    <w:p>
      <w:pPr>
        <w:pStyle w:val="TextBody"/>
        <w:bidi w:val="0"/>
        <w:spacing w:before="360" w:after="283"/>
        <w:jc w:val="center"/>
        <w:rPr>
          <w:rFonts w:ascii="Arial" w:hAnsi="Arial"/>
          <w:b/>
          <w:color w:val="000000"/>
          <w:sz w:val="18"/>
        </w:rPr>
      </w:pPr>
      <w:r>
        <w:rPr>
          <w:rFonts w:ascii="Arial" w:hAnsi="Arial"/>
          <w:b/>
          <w:color w:val="000000"/>
          <w:sz w:val="18"/>
        </w:rPr>
        <w:t>CERTIFICATION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on Form 10-Q of Aura Biosciences, Inc. (the “Company”) for the period ended March 31, 2026 as filed with the Securities and Exchange Commission on the date hereof (the “Report”), each of the undersigned certifies, pursuant to 18 U.S.C. §1350, as adopted pursuant to §906 of the Sarbanes-Oxley Act of 2002, that, to the best of his or her knowledge:</w:t>
      </w:r>
    </w:p>
    <w:p>
      <w:pPr>
        <w:pStyle w:val="TextBody"/>
        <w:bidi w:val="0"/>
        <w:spacing w:before="24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18"/>
        </w:rPr>
      </w:pPr>
      <w:r>
        <w:rPr>
          <w:rFonts w:ascii="Arial" w:hAnsi="Arial"/>
          <w:color w:val="000000"/>
          <w:sz w:val="18"/>
        </w:rPr>
        <w:t>The Report fully complies with the requirements of section 13(a) or 15(d) of the Securities Exchange Act of 1934, as amended; and</w:t>
      </w:r>
    </w:p>
    <w:p>
      <w:pPr>
        <w:pStyle w:val="TextBody"/>
        <w:bidi w:val="0"/>
        <w:jc w:val="left"/>
        <w:rPr/>
      </w:pPr>
      <w:r>
        <w:rPr/>
        <w:t> </w:t>
      </w:r>
    </w:p>
    <w:p>
      <w:pPr>
        <w:pStyle w:val="TextBody"/>
        <w:bidi w:val="0"/>
        <w:spacing w:before="0" w:after="0"/>
        <w:jc w:val="left"/>
        <w:rPr>
          <w:rFonts w:ascii="Arial" w:hAnsi="Arial"/>
          <w:color w:val="000000"/>
          <w:sz w:val="20"/>
        </w:rPr>
      </w:pPr>
      <w:r>
        <w:rPr>
          <w:rFonts w:ascii="Arial" w:hAnsi="Arial"/>
          <w:color w:val="000000"/>
          <w:sz w:val="20"/>
        </w:rPr>
        <w:t>(2)</w:t>
      </w:r>
    </w:p>
    <w:p>
      <w:pPr>
        <w:pStyle w:val="TextBody"/>
        <w:bidi w:val="0"/>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494" w:type="dxa"/>
        <w:jc w:val="left"/>
        <w:tblInd w:w="0" w:type="dxa"/>
        <w:tblLayout w:type="fixed"/>
        <w:tblCellMar>
          <w:top w:w="28" w:type="dxa"/>
          <w:left w:w="28" w:type="dxa"/>
          <w:bottom w:w="28" w:type="dxa"/>
          <w:right w:w="28" w:type="dxa"/>
        </w:tblCellMar>
      </w:tblPr>
      <w:tblGrid>
        <w:gridCol w:w="556"/>
        <w:gridCol w:w="1216"/>
        <w:gridCol w:w="361"/>
        <w:gridCol w:w="33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Aura Biosciences,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Natalie Holles</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Executive Officer and President</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Executive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May 11, 2026</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 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Anthony Gibney</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Chief Financial and Business Officer</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(Principal Financial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1796/000095017024093308/aura-ex3_1.htm" TargetMode="External"/><Relationship Id="rId3" Type="http://schemas.openxmlformats.org/officeDocument/2006/relationships/hyperlink" Target="https://www.sec.gov/Archives/edgar/data/1501796/000095017022004425/aura-ex3_2.htm" TargetMode="External"/><Relationship Id="rId4" Type="http://schemas.openxmlformats.org/officeDocument/2006/relationships/hyperlink" Target="https://www.sec.gov/Archives/edgar/data/1501796/000119312521295543/d209588dex4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59903</Words>
  <Characters>332580</Characters>
  <CharactersWithSpaces>392560</CharactersWithSpaces>
  <Paragraphs>4420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