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60" w:right="1520" w:hanging="34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p>
      <w:pPr>
        <w:spacing w:after="0" w:line="234"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spacing w:after="0" w:line="5"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32-0271970</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8" w:lineRule="exact"/>
        <w:rPr>
          <w:sz w:val="24"/>
          <w:szCs w:val="24"/>
          <w:color w:val="auto"/>
        </w:rPr>
      </w:pPr>
    </w:p>
    <w:p>
      <w:pPr>
        <w:sectPr>
          <w:pgSz w:w="11900" w:h="16838" w:orient="portrait"/>
          <w:cols w:equalWidth="0" w:num="2">
            <w:col w:w="7180" w:space="720"/>
            <w:col w:w="3340"/>
          </w:cols>
          <w:pgMar w:left="320" w:top="101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16"/>
        </w:trPr>
        <w:tc>
          <w:tcPr>
            <w:tcW w:w="4400" w:type="dxa"/>
            <w:vAlign w:val="bottom"/>
          </w:tcPr>
          <w:p>
            <w:pPr>
              <w:jc w:val="center"/>
              <w:ind w:right="1999"/>
              <w:spacing w:after="0"/>
              <w:rPr>
                <w:sz w:val="20"/>
                <w:szCs w:val="20"/>
                <w:color w:val="auto"/>
              </w:rPr>
            </w:pPr>
            <w:r>
              <w:rPr>
                <w:rFonts w:ascii="Arial" w:cs="Arial" w:eastAsia="Arial" w:hAnsi="Arial"/>
                <w:sz w:val="18"/>
                <w:szCs w:val="18"/>
                <w:b w:val="1"/>
                <w:bCs w:val="1"/>
                <w:color w:val="auto"/>
                <w:w w:val="99"/>
              </w:rPr>
              <w:t>80 Guest Street</w:t>
            </w:r>
          </w:p>
        </w:tc>
        <w:tc>
          <w:tcPr>
            <w:tcW w:w="2700" w:type="dxa"/>
            <w:vAlign w:val="bottom"/>
          </w:tcPr>
          <w:p>
            <w:pPr>
              <w:spacing w:after="0"/>
              <w:rPr>
                <w:sz w:val="18"/>
                <w:szCs w:val="18"/>
                <w:color w:val="auto"/>
              </w:rPr>
            </w:pPr>
          </w:p>
        </w:tc>
      </w:tr>
      <w:tr>
        <w:trPr>
          <w:trHeight w:val="217"/>
        </w:trPr>
        <w:tc>
          <w:tcPr>
            <w:tcW w:w="44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7"/>
              </w:rPr>
              <w:t>Boston, MA</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2"/>
        </w:trPr>
        <w:tc>
          <w:tcPr>
            <w:tcW w:w="4400" w:type="dxa"/>
            <w:vAlign w:val="bottom"/>
          </w:tcPr>
          <w:p>
            <w:pPr>
              <w:jc w:val="center"/>
              <w:ind w:right="1979"/>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00" w:type="dxa"/>
            <w:vAlign w:val="bottom"/>
          </w:tcPr>
          <w:p>
            <w:pPr>
              <w:jc w:val="center"/>
              <w:ind w:left="2004"/>
              <w:spacing w:after="0"/>
              <w:rPr>
                <w:sz w:val="20"/>
                <w:szCs w:val="20"/>
                <w:color w:val="auto"/>
              </w:rPr>
            </w:pPr>
            <w:r>
              <w:rPr>
                <w:rFonts w:ascii="Arial" w:cs="Arial" w:eastAsia="Arial" w:hAnsi="Arial"/>
                <w:sz w:val="13"/>
                <w:szCs w:val="13"/>
                <w:b w:val="1"/>
                <w:bCs w:val="1"/>
                <w:color w:val="auto"/>
                <w:w w:val="96"/>
              </w:rPr>
              <w:t>(Zip Code)</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r>
    </w:tbl>
    <w:p>
      <w:pPr>
        <w:spacing w:after="0" w:line="6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10, 2025, the Registrant had 63,503,269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9" w:lineRule="exact"/>
        <w:rPr>
          <w:sz w:val="20"/>
          <w:szCs w:val="20"/>
          <w:color w:val="auto"/>
        </w:rPr>
      </w:pPr>
    </w:p>
    <w:p>
      <w:pPr>
        <w:jc w:val="both"/>
        <w:ind w:right="540"/>
        <w:spacing w:after="0" w:line="252"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Part II, “Item 1A—Risk Factors,” in this Quarterly Report on Form 10-Q and include, but are not limited to, the following:</w:t>
      </w:r>
    </w:p>
    <w:p>
      <w:pPr>
        <w:spacing w:after="0" w:line="21" w:lineRule="exact"/>
        <w:rPr>
          <w:sz w:val="20"/>
          <w:szCs w:val="20"/>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regulatory approval and commercialization of our product candidates.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belzupacap sarotalocan, or bel-sar, our only product candidate to date.</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ind w:left="1020" w:right="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3"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9" w:lineRule="exact"/>
        <w:rPr>
          <w:sz w:val="20"/>
          <w:szCs w:val="20"/>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inflation, capital market disruptions, changes in governmental agencies, government shutdowns, international tariffs, trade protection measures, economic sanctions and economic slowdowns or recessions, on our business operations; and</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80" w:type="dxa"/>
            <w:vAlign w:val="bottom"/>
            <w:gridSpan w:val="8"/>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SUMMARY OF RISKS</w:t>
            </w: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80" w:type="dxa"/>
            <w:vAlign w:val="bottom"/>
            <w:gridSpan w:val="10"/>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8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320" w:type="dxa"/>
            <w:vAlign w:val="bottom"/>
            <w:gridSpan w:val="11"/>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0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8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740" w:type="dxa"/>
            <w:vAlign w:val="bottom"/>
            <w:gridSpan w:val="2"/>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4860" w:type="dxa"/>
            <w:vAlign w:val="bottom"/>
            <w:gridSpan w:val="15"/>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48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960" w:type="dxa"/>
            <w:vAlign w:val="bottom"/>
            <w:gridSpan w:val="3"/>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5340" w:type="dxa"/>
            <w:vAlign w:val="bottom"/>
            <w:gridSpan w:val="1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6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5"/>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6"/>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840" w:type="dxa"/>
            <w:vAlign w:val="bottom"/>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540" w:type="dxa"/>
            <w:vAlign w:val="bottom"/>
            <w:gridSpan w:val="9"/>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5.</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380" w:type="dxa"/>
            <w:vAlign w:val="bottom"/>
            <w:gridSpan w:val="1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92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6.</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2025</w:t>
            </w:r>
          </w:p>
        </w:tc>
        <w:tc>
          <w:tcPr>
            <w:tcW w:w="180" w:type="dxa"/>
            <w:vAlign w:val="bottom"/>
          </w:tcPr>
          <w:p>
            <w:pPr>
              <w:spacing w:after="0"/>
              <w:rPr>
                <w:sz w:val="19"/>
                <w:szCs w:val="19"/>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 2024</w:t>
            </w: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47,553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31,693</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114,313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8,254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170,120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160,623</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 and deposits</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Right-of-use assets - operating lease</w:t>
            </w:r>
          </w:p>
        </w:tc>
        <w:tc>
          <w:tcPr>
            <w:tcW w:w="16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16,230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17,379</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3,215</w:t>
            </w:r>
          </w:p>
        </w:tc>
        <w:tc>
          <w:tcPr>
            <w:tcW w:w="100" w:type="dxa"/>
            <w:vAlign w:val="bottom"/>
          </w:tcPr>
          <w:p>
            <w:pPr>
              <w:spacing w:after="0"/>
              <w:rPr>
                <w:sz w:val="17"/>
                <w:szCs w:val="17"/>
                <w:color w:val="auto"/>
              </w:rPr>
            </w:pPr>
          </w:p>
        </w:tc>
      </w:tr>
      <w:tr>
        <w:trPr>
          <w:trHeight w:val="236"/>
        </w:trPr>
        <w:tc>
          <w:tcPr>
            <w:tcW w:w="66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190,024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64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2,304</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operating lease liability</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9,460</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18,823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14,913</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Long-term operating lease liability</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14,534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15,620</w:t>
            </w:r>
          </w:p>
        </w:tc>
        <w:tc>
          <w:tcPr>
            <w:tcW w:w="100" w:type="dxa"/>
            <w:vAlign w:val="bottom"/>
          </w:tcPr>
          <w:p>
            <w:pPr>
              <w:spacing w:after="0"/>
              <w:rPr>
                <w:sz w:val="17"/>
                <w:szCs w:val="17"/>
                <w:color w:val="auto"/>
              </w:rPr>
            </w:pPr>
          </w:p>
        </w:tc>
      </w:tr>
      <w:tr>
        <w:trPr>
          <w:trHeight w:val="196"/>
        </w:trPr>
        <w:tc>
          <w:tcPr>
            <w:tcW w:w="66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33,357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Commitments and Contingencies (Note 12)</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6640" w:type="dxa"/>
            <w:vAlign w:val="bottom"/>
          </w:tcPr>
          <w:p>
            <w:pPr>
              <w:spacing w:after="0" w:line="183" w:lineRule="exact"/>
              <w:rPr>
                <w:sz w:val="20"/>
                <w:szCs w:val="20"/>
                <w:color w:val="auto"/>
              </w:rPr>
            </w:pPr>
            <w:r>
              <w:rPr>
                <w:rFonts w:ascii="Arial" w:cs="Arial" w:eastAsia="Arial" w:hAnsi="Arial"/>
                <w:sz w:val="18"/>
                <w:szCs w:val="18"/>
                <w:color w:val="auto"/>
              </w:rPr>
              <w:t>Common stock, $0.00001 par value, 150,000,000 authorized at September 30,</w:t>
            </w: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2025 and December 31, 2024, and 62,985,569 and 49,998,279 shares issued</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640" w:type="dxa"/>
            <w:vAlign w:val="bottom"/>
          </w:tcPr>
          <w:p>
            <w:pPr>
              <w:spacing w:after="0"/>
              <w:rPr>
                <w:sz w:val="20"/>
                <w:szCs w:val="20"/>
                <w:color w:val="auto"/>
              </w:rPr>
            </w:pPr>
            <w:r>
              <w:rPr>
                <w:rFonts w:ascii="Arial" w:cs="Arial" w:eastAsia="Arial" w:hAnsi="Arial"/>
                <w:sz w:val="18"/>
                <w:szCs w:val="18"/>
                <w:color w:val="auto"/>
              </w:rPr>
              <w:t>and outstanding at September 30, 2025 and December 31, 2024, respectively</w:t>
            </w:r>
          </w:p>
        </w:tc>
        <w:tc>
          <w:tcPr>
            <w:tcW w:w="160" w:type="dxa"/>
            <w:vAlign w:val="bottom"/>
          </w:tcPr>
          <w:p>
            <w:pPr>
              <w:spacing w:after="0"/>
              <w:rPr>
                <w:sz w:val="19"/>
                <w:szCs w:val="19"/>
                <w:color w:val="auto"/>
              </w:rPr>
            </w:pPr>
          </w:p>
        </w:tc>
        <w:tc>
          <w:tcPr>
            <w:tcW w:w="2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611,457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525,934</w:t>
            </w:r>
          </w:p>
        </w:tc>
        <w:tc>
          <w:tcPr>
            <w:tcW w:w="100" w:type="dxa"/>
            <w:vAlign w:val="bottom"/>
            <w:shd w:val="clear" w:color="auto" w:fill="CFF0FC"/>
          </w:tcPr>
          <w:p>
            <w:pPr>
              <w:spacing w:after="0"/>
              <w:rPr>
                <w:sz w:val="17"/>
                <w:szCs w:val="17"/>
                <w:color w:val="auto"/>
              </w:rPr>
            </w:pPr>
          </w:p>
        </w:tc>
      </w:tr>
      <w:tr>
        <w:trPr>
          <w:trHeight w:val="202"/>
        </w:trPr>
        <w:tc>
          <w:tcPr>
            <w:tcW w:w="66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2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(454,859)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(374,227)</w:t>
            </w: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156,667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151,970</w:t>
            </w:r>
          </w:p>
        </w:tc>
        <w:tc>
          <w:tcPr>
            <w:tcW w:w="100" w:type="dxa"/>
            <w:vAlign w:val="bottom"/>
          </w:tcPr>
          <w:p>
            <w:pPr>
              <w:spacing w:after="0"/>
              <w:rPr>
                <w:sz w:val="17"/>
                <w:szCs w:val="17"/>
                <w:color w:val="auto"/>
              </w:rPr>
            </w:pPr>
          </w:p>
        </w:tc>
      </w:tr>
      <w:tr>
        <w:trPr>
          <w:trHeight w:val="236"/>
        </w:trPr>
        <w:tc>
          <w:tcPr>
            <w:tcW w:w="664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190,024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-3196590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-2407920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-2390775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-1336675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-299720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7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17,036</w:t>
            </w: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68,403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50,968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6,196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17,151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23,232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68,309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operating loss</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(27,906)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(23,232)</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(85,554)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(68,309)</w:t>
            </w: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(26,104)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(20,999)</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(80,539)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(60,997)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tax provision, net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(26,130)</w:t>
            </w:r>
          </w:p>
        </w:tc>
        <w:tc>
          <w:tcPr>
            <w:tcW w:w="1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(21,042)</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(80,632)</w:t>
            </w:r>
          </w:p>
        </w:tc>
        <w:tc>
          <w:tcPr>
            <w:tcW w:w="10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(61,085)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common share—basic and diluted</w:t>
            </w:r>
          </w:p>
        </w:tc>
        <w:tc>
          <w:tcPr>
            <w:tcW w:w="26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(0.40)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(0.42)</w:t>
            </w:r>
          </w:p>
        </w:tc>
        <w:tc>
          <w:tcPr>
            <w:tcW w:w="26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64"/>
        </w:trPr>
        <w:tc>
          <w:tcPr>
            <w:tcW w:w="520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 average common stock outstanding—basic and</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65,936,672</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49,663,532</w:t>
            </w: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58,084,093</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49,554,930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line="161"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(26,130)</w:t>
            </w: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(21,042)</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(80,632)</w:t>
            </w: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(61,085)</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comprehensive items: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Unrealized gain (loss) on marketable securities</w:t>
            </w: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Currency translation adjustment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Total other comprehensive gain (loss)</w:t>
            </w: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comprehensive loss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(26,086)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(20,252)</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(80,826)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(61,017)</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-2596515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-2596515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-2596515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-2322195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-2322195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-2322195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-1791335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-1791335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-1791335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-1516380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-1516380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-1516380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-1225550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-1207770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-1225550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-1207770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-1225550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-1207770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-299720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-299720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Aura Biosciences, Inc.</w:t>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jc w:val="center"/>
        <w:ind w:right="20"/>
        <w:spacing w:after="0"/>
        <w:rPr>
          <w:sz w:val="20"/>
          <w:szCs w:val="20"/>
          <w:color w:val="auto"/>
        </w:rPr>
      </w:pPr>
      <w:r>
        <w:rPr>
          <w:rFonts w:ascii="Arial" w:cs="Arial" w:eastAsia="Arial" w:hAnsi="Arial"/>
          <w:sz w:val="17"/>
          <w:szCs w:val="17"/>
          <w:b w:val="1"/>
          <w:bCs w:val="1"/>
          <w:color w:val="auto"/>
        </w:rPr>
        <w:t>(in thousands, except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gridSpan w:val="3"/>
            <w:vMerge w:val="restart"/>
          </w:tcPr>
          <w:p>
            <w:pPr>
              <w:jc w:val="right"/>
              <w:ind w:right="11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1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Other Comprehensive</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December 31, 2024</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49,998,279</w:t>
            </w:r>
          </w:p>
        </w:tc>
        <w:tc>
          <w:tcPr>
            <w:tcW w:w="440" w:type="dxa"/>
            <w:vAlign w:val="bottom"/>
            <w:gridSpan w:val="2"/>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18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525,934</w:t>
            </w:r>
          </w:p>
        </w:tc>
        <w:tc>
          <w:tcPr>
            <w:tcW w:w="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(374,227)</w:t>
            </w:r>
          </w:p>
        </w:tc>
        <w:tc>
          <w:tcPr>
            <w:tcW w:w="22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13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263</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151,970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3,514</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3,514</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Employee Stock Purchase Plan issuance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15,263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200" w:type="dxa"/>
            <w:vAlign w:val="bottom"/>
          </w:tcPr>
          <w:p>
            <w:pPr>
              <w:jc w:val="right"/>
              <w:spacing w:after="0"/>
              <w:rPr>
                <w:sz w:val="20"/>
                <w:szCs w:val="20"/>
                <w:color w:val="auto"/>
              </w:rPr>
            </w:pPr>
            <w:r>
              <w:rPr>
                <w:rFonts w:ascii="Arial" w:cs="Arial" w:eastAsia="Arial" w:hAnsi="Arial"/>
                <w:sz w:val="13"/>
                <w:szCs w:val="13"/>
                <w:color w:val="auto"/>
              </w:rPr>
              <w:t>211,770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marketable securities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Other</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(27,483)</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(27,483)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5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March 31, 2025</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50,225,312</w:t>
            </w:r>
          </w:p>
        </w:tc>
        <w:tc>
          <w:tcPr>
            <w:tcW w:w="440" w:type="dxa"/>
            <w:vAlign w:val="bottom"/>
            <w:gridSpan w:val="2"/>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18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529,571</w:t>
            </w:r>
          </w:p>
        </w:tc>
        <w:tc>
          <w:tcPr>
            <w:tcW w:w="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(401,710)</w:t>
            </w:r>
          </w:p>
        </w:tc>
        <w:tc>
          <w:tcPr>
            <w:tcW w:w="22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13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105</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127,966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3,833</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3,833</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Stock option exercises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200" w:type="dxa"/>
            <w:vAlign w:val="bottom"/>
          </w:tcPr>
          <w:p>
            <w:pPr>
              <w:jc w:val="right"/>
              <w:spacing w:after="0"/>
              <w:rPr>
                <w:sz w:val="20"/>
                <w:szCs w:val="20"/>
                <w:color w:val="auto"/>
              </w:rPr>
            </w:pPr>
            <w:r>
              <w:rPr>
                <w:rFonts w:ascii="Arial" w:cs="Arial" w:eastAsia="Arial" w:hAnsi="Arial"/>
                <w:sz w:val="13"/>
                <w:szCs w:val="13"/>
                <w:color w:val="auto"/>
              </w:rPr>
              <w:t>108,749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marketable securities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60" w:type="dxa"/>
            <w:vAlign w:val="bottom"/>
          </w:tcPr>
          <w:p>
            <w:pPr>
              <w:spacing w:after="0" w:line="136" w:lineRule="exact"/>
              <w:rPr>
                <w:sz w:val="20"/>
                <w:szCs w:val="20"/>
                <w:color w:val="auto"/>
              </w:rPr>
            </w:pPr>
            <w:r>
              <w:rPr>
                <w:rFonts w:ascii="Arial" w:cs="Arial" w:eastAsia="Arial" w:hAnsi="Arial"/>
                <w:sz w:val="13"/>
                <w:szCs w:val="13"/>
                <w:color w:val="auto"/>
              </w:rPr>
              <w:t>Issuance of common stock through follow-on offering, net</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11,735,565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46,517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46,517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580" w:type="dxa"/>
            <w:vAlign w:val="bottom"/>
            <w:gridSpan w:val="2"/>
            <w:vMerge w:val="restart"/>
          </w:tcPr>
          <w:p>
            <w:pPr>
              <w:spacing w:after="0"/>
              <w:rPr>
                <w:sz w:val="20"/>
                <w:szCs w:val="20"/>
                <w:color w:val="auto"/>
              </w:rPr>
            </w:pPr>
            <w:r>
              <w:rPr>
                <w:rFonts w:ascii="Arial" w:cs="Arial" w:eastAsia="Arial" w:hAnsi="Arial"/>
                <w:sz w:val="13"/>
                <w:szCs w:val="13"/>
                <w:color w:val="auto"/>
              </w:rPr>
              <w:t>of issuance costs of $384</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pre-funded warrants through follow-on offering,</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14,156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14,156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of issuance costs of $117</w:t>
            </w:r>
          </w:p>
        </w:tc>
        <w:tc>
          <w:tcPr>
            <w:tcW w:w="12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40" w:type="dxa"/>
            <w:vAlign w:val="bottom"/>
            <w:tcBorders>
              <w:right w:val="single" w:sz="8" w:color="CFF0FC"/>
            </w:tcBorders>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tcBorders>
              <w:right w:val="single" w:sz="8" w:color="CFF0FC"/>
            </w:tcBorders>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560" w:type="dxa"/>
            <w:vAlign w:val="bottom"/>
            <w:vMerge w:val="continue"/>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00" w:type="dxa"/>
            <w:vAlign w:val="bottom"/>
            <w:tcBorders>
              <w:right w:val="single" w:sz="8" w:color="CFF0FC"/>
            </w:tcBorders>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340" w:type="dxa"/>
            <w:vAlign w:val="bottom"/>
            <w:shd w:val="clear" w:color="auto" w:fill="CFF0FC"/>
          </w:tcPr>
          <w:p>
            <w:pPr>
              <w:spacing w:after="0"/>
              <w:rPr>
                <w:sz w:val="5"/>
                <w:szCs w:val="5"/>
                <w:color w:val="auto"/>
              </w:rPr>
            </w:pPr>
          </w:p>
        </w:tc>
        <w:tc>
          <w:tcPr>
            <w:tcW w:w="100" w:type="dxa"/>
            <w:vAlign w:val="bottom"/>
            <w:tcBorders>
              <w:righ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60" w:type="dxa"/>
            <w:vAlign w:val="bottom"/>
          </w:tcPr>
          <w:p>
            <w:pPr>
              <w:spacing w:after="0" w:line="136" w:lineRule="exact"/>
              <w:rPr>
                <w:sz w:val="20"/>
                <w:szCs w:val="20"/>
                <w:color w:val="auto"/>
              </w:rPr>
            </w:pPr>
            <w:r>
              <w:rPr>
                <w:rFonts w:ascii="Arial" w:cs="Arial" w:eastAsia="Arial" w:hAnsi="Arial"/>
                <w:sz w:val="13"/>
                <w:szCs w:val="13"/>
                <w:color w:val="auto"/>
              </w:rPr>
              <w:t>Issuance of common stock warrants through follow-on</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9,254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9,254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580" w:type="dxa"/>
            <w:vAlign w:val="bottom"/>
            <w:gridSpan w:val="2"/>
            <w:vMerge w:val="restart"/>
          </w:tcPr>
          <w:p>
            <w:pPr>
              <w:spacing w:after="0"/>
              <w:rPr>
                <w:sz w:val="20"/>
                <w:szCs w:val="20"/>
                <w:color w:val="auto"/>
              </w:rPr>
            </w:pPr>
            <w:r>
              <w:rPr>
                <w:rFonts w:ascii="Arial" w:cs="Arial" w:eastAsia="Arial" w:hAnsi="Arial"/>
                <w:sz w:val="13"/>
                <w:szCs w:val="13"/>
                <w:color w:val="auto"/>
              </w:rPr>
              <w:t>offering, net of issuance costs of $76</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Currency translation adjustment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(27,019)</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(27,019)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June 30, 2025</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62,071,050</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603,333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(428,729)</w:t>
            </w: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25</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174,629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Employee Stock Purchase Plan issuance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12,862</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Stock option exercises</w:t>
            </w:r>
          </w:p>
        </w:tc>
        <w:tc>
          <w:tcPr>
            <w:tcW w:w="1200" w:type="dxa"/>
            <w:vAlign w:val="bottom"/>
          </w:tcPr>
          <w:p>
            <w:pPr>
              <w:jc w:val="right"/>
              <w:spacing w:after="0"/>
              <w:rPr>
                <w:sz w:val="20"/>
                <w:szCs w:val="20"/>
                <w:color w:val="auto"/>
              </w:rPr>
            </w:pPr>
            <w:r>
              <w:rPr>
                <w:rFonts w:ascii="Arial" w:cs="Arial" w:eastAsia="Arial" w:hAnsi="Arial"/>
                <w:sz w:val="13"/>
                <w:szCs w:val="13"/>
                <w:color w:val="auto"/>
              </w:rPr>
              <w:t>236,621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Vesting of restricted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59,451</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Unrealized gain on marketable securities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common stock under ATM facility, net of</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605,585</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3,360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issuance costs of $452</w:t>
            </w:r>
          </w:p>
        </w:tc>
        <w:tc>
          <w:tcPr>
            <w:tcW w:w="12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40" w:type="dxa"/>
            <w:vAlign w:val="bottom"/>
            <w:tcBorders>
              <w:right w:val="single" w:sz="8" w:color="CFF0FC"/>
            </w:tcBorders>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tcBorders>
              <w:right w:val="single" w:sz="8" w:color="CFF0FC"/>
            </w:tcBorders>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560" w:type="dxa"/>
            <w:vAlign w:val="bottom"/>
            <w:vMerge w:val="continue"/>
            <w:shd w:val="clear" w:color="auto" w:fill="CFF0FC"/>
          </w:tcPr>
          <w:p>
            <w:pPr>
              <w:spacing w:after="0"/>
              <w:rPr>
                <w:sz w:val="5"/>
                <w:szCs w:val="5"/>
                <w:color w:val="auto"/>
              </w:rPr>
            </w:pPr>
          </w:p>
        </w:tc>
        <w:tc>
          <w:tcPr>
            <w:tcW w:w="1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00" w:type="dxa"/>
            <w:vAlign w:val="bottom"/>
            <w:tcBorders>
              <w:right w:val="single" w:sz="8" w:color="CFF0FC"/>
            </w:tcBorders>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340" w:type="dxa"/>
            <w:vAlign w:val="bottom"/>
            <w:shd w:val="clear" w:color="auto" w:fill="CFF0FC"/>
          </w:tcPr>
          <w:p>
            <w:pPr>
              <w:spacing w:after="0"/>
              <w:rPr>
                <w:sz w:val="5"/>
                <w:szCs w:val="5"/>
                <w:color w:val="auto"/>
              </w:rPr>
            </w:pPr>
          </w:p>
        </w:tc>
        <w:tc>
          <w:tcPr>
            <w:tcW w:w="100" w:type="dxa"/>
            <w:vAlign w:val="bottom"/>
            <w:tcBorders>
              <w:righ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(26,130)</w:t>
            </w:r>
          </w:p>
        </w:tc>
        <w:tc>
          <w:tcPr>
            <w:tcW w:w="220" w:type="dxa"/>
            <w:vAlign w:val="bottom"/>
            <w:shd w:val="clear" w:color="auto" w:fill="CFF0FC"/>
          </w:tcPr>
          <w:p>
            <w:pPr>
              <w:spacing w:after="0"/>
              <w:rPr>
                <w:sz w:val="12"/>
                <w:szCs w:val="12"/>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(26,130)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3"/>
                <w:szCs w:val="13"/>
                <w:b w:val="1"/>
                <w:bCs w:val="1"/>
                <w:color w:val="auto"/>
              </w:rPr>
              <w:t>Balance, September 30, 2025</w:t>
            </w:r>
          </w:p>
        </w:tc>
        <w:tc>
          <w:tcPr>
            <w:tcW w:w="1200" w:type="dxa"/>
            <w:vAlign w:val="bottom"/>
          </w:tcPr>
          <w:p>
            <w:pPr>
              <w:jc w:val="right"/>
              <w:spacing w:after="0"/>
              <w:rPr>
                <w:sz w:val="20"/>
                <w:szCs w:val="20"/>
                <w:color w:val="auto"/>
              </w:rPr>
            </w:pPr>
            <w:r>
              <w:rPr>
                <w:rFonts w:ascii="Arial" w:cs="Arial" w:eastAsia="Arial" w:hAnsi="Arial"/>
                <w:sz w:val="13"/>
                <w:szCs w:val="13"/>
                <w:color w:val="auto"/>
              </w:rPr>
              <w:t>62,985,569</w:t>
            </w:r>
          </w:p>
        </w:tc>
        <w:tc>
          <w:tcPr>
            <w:tcW w:w="44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611,457</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(454,859)</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156,667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-3023870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-3006725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-3023870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-3006725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-3023870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-3006725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-3023870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-3006725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-3023870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-3006725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-3023870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-3006725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-2235200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-2218055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-2235200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-2218055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-2235200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-2218055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-2235200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-2218055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-2235200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-2218055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-2235200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-2218055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-126365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-126365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-126365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-126365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-126365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-126365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gridSpan w:val="3"/>
            <w:vMerge w:val="restart"/>
          </w:tcPr>
          <w:p>
            <w:pPr>
              <w:jc w:val="right"/>
              <w:ind w:right="11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1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Other Comprehensive</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53"/>
              <w:spacing w:after="0" w:line="142" w:lineRule="exact"/>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December 31, 2023</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49,350,788</w:t>
            </w:r>
          </w:p>
        </w:tc>
        <w:tc>
          <w:tcPr>
            <w:tcW w:w="440" w:type="dxa"/>
            <w:vAlign w:val="bottom"/>
            <w:gridSpan w:val="2"/>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18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512,617</w:t>
            </w:r>
          </w:p>
        </w:tc>
        <w:tc>
          <w:tcPr>
            <w:tcW w:w="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(287,308)</w:t>
            </w:r>
          </w:p>
        </w:tc>
        <w:tc>
          <w:tcPr>
            <w:tcW w:w="20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539</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225,848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2,909</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2,909</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Employee Stock Purchase Plan issuance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12,314</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Stock option exercises</w:t>
            </w:r>
          </w:p>
        </w:tc>
        <w:tc>
          <w:tcPr>
            <w:tcW w:w="1200" w:type="dxa"/>
            <w:vAlign w:val="bottom"/>
          </w:tcPr>
          <w:p>
            <w:pPr>
              <w:jc w:val="right"/>
              <w:spacing w:after="0"/>
              <w:rPr>
                <w:sz w:val="20"/>
                <w:szCs w:val="20"/>
                <w:color w:val="auto"/>
              </w:rPr>
            </w:pPr>
            <w:r>
              <w:rPr>
                <w:rFonts w:ascii="Arial" w:cs="Arial" w:eastAsia="Arial" w:hAnsi="Arial"/>
                <w:sz w:val="13"/>
                <w:szCs w:val="13"/>
                <w:color w:val="auto"/>
              </w:rPr>
              <w:t>51,180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Vesting of restricted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90,123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Unrealized loss on marketable securities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3"/>
                <w:szCs w:val="13"/>
                <w:color w:val="auto"/>
              </w:rPr>
              <w:t>(521)</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(19,706)</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(19,706)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March 31, 2024</w:t>
            </w: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49,504,405</w:t>
            </w:r>
          </w:p>
        </w:tc>
        <w:tc>
          <w:tcPr>
            <w:tcW w:w="440" w:type="dxa"/>
            <w:vAlign w:val="bottom"/>
            <w:gridSpan w:val="2"/>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ind w:left="18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515,779</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(307,014)</w:t>
            </w:r>
          </w:p>
        </w:tc>
        <w:tc>
          <w:tcPr>
            <w:tcW w:w="200" w:type="dxa"/>
            <w:vAlign w:val="bottom"/>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208,783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ind w:left="18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3,126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46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3,126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Stock option exercises</w:t>
            </w:r>
          </w:p>
        </w:tc>
        <w:tc>
          <w:tcPr>
            <w:tcW w:w="1200" w:type="dxa"/>
            <w:vAlign w:val="bottom"/>
          </w:tcPr>
          <w:p>
            <w:pPr>
              <w:jc w:val="right"/>
              <w:spacing w:after="0"/>
              <w:rPr>
                <w:sz w:val="20"/>
                <w:szCs w:val="20"/>
                <w:color w:val="auto"/>
              </w:rPr>
            </w:pPr>
            <w:r>
              <w:rPr>
                <w:rFonts w:ascii="Arial" w:cs="Arial" w:eastAsia="Arial" w:hAnsi="Arial"/>
                <w:sz w:val="13"/>
                <w:szCs w:val="13"/>
                <w:color w:val="auto"/>
              </w:rPr>
              <w:t>24,245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Vesting of restricted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54,708</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Unrealized loss on marketable securities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(20,337)</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(20,337)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June 30, 2024</w:t>
            </w: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49,583,358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518,988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(327,351)</w:t>
            </w:r>
          </w:p>
        </w:tc>
        <w:tc>
          <w:tcPr>
            <w:tcW w:w="200" w:type="dxa"/>
            <w:vAlign w:val="bottom"/>
          </w:tcPr>
          <w:p>
            <w:pPr>
              <w:spacing w:after="0"/>
              <w:rPr>
                <w:sz w:val="12"/>
                <w:szCs w:val="12"/>
                <w:color w:val="auto"/>
              </w:rPr>
            </w:pPr>
          </w:p>
        </w:tc>
        <w:tc>
          <w:tcPr>
            <w:tcW w:w="1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(183)</w:t>
            </w: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191,454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Employee Stock Purchase Plan issuance</w:t>
            </w:r>
          </w:p>
        </w:tc>
        <w:tc>
          <w:tcPr>
            <w:tcW w:w="1200" w:type="dxa"/>
            <w:vAlign w:val="bottom"/>
          </w:tcPr>
          <w:p>
            <w:pPr>
              <w:jc w:val="right"/>
              <w:spacing w:after="0"/>
              <w:rPr>
                <w:sz w:val="20"/>
                <w:szCs w:val="20"/>
                <w:color w:val="auto"/>
              </w:rPr>
            </w:pPr>
            <w:r>
              <w:rPr>
                <w:rFonts w:ascii="Arial" w:cs="Arial" w:eastAsia="Arial" w:hAnsi="Arial"/>
                <w:sz w:val="13"/>
                <w:szCs w:val="13"/>
                <w:color w:val="auto"/>
              </w:rPr>
              <w:t>12,163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Stock option exercises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127,433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200" w:type="dxa"/>
            <w:vAlign w:val="bottom"/>
          </w:tcPr>
          <w:p>
            <w:pPr>
              <w:jc w:val="right"/>
              <w:spacing w:after="0"/>
              <w:rPr>
                <w:sz w:val="20"/>
                <w:szCs w:val="20"/>
                <w:color w:val="auto"/>
              </w:rPr>
            </w:pPr>
            <w:r>
              <w:rPr>
                <w:rFonts w:ascii="Arial" w:cs="Arial" w:eastAsia="Arial" w:hAnsi="Arial"/>
                <w:sz w:val="13"/>
                <w:szCs w:val="13"/>
                <w:color w:val="auto"/>
              </w:rPr>
              <w:t>55,907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3"/>
                <w:szCs w:val="13"/>
                <w:color w:val="auto"/>
              </w:rPr>
              <w:t>Unrealized gain on marketable securities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(21,042)</w:t>
            </w:r>
          </w:p>
        </w:tc>
        <w:tc>
          <w:tcPr>
            <w:tcW w:w="20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(21,042)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September 30, 2024</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49,778,861</w:t>
            </w:r>
          </w:p>
        </w:tc>
        <w:tc>
          <w:tcPr>
            <w:tcW w:w="440" w:type="dxa"/>
            <w:vAlign w:val="bottom"/>
            <w:gridSpan w:val="2"/>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18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522,454</w:t>
            </w:r>
          </w:p>
        </w:tc>
        <w:tc>
          <w:tcPr>
            <w:tcW w:w="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(348,393)</w:t>
            </w:r>
          </w:p>
        </w:tc>
        <w:tc>
          <w:tcPr>
            <w:tcW w:w="20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607</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174,668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-1962150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-1945005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-1962150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-1945005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-1962150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-1945005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-1962150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-1945005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-1962150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-1945005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-1962150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-1945005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-1370965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-1370965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-1370965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-1370965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-1370965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-1370965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-770890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-770890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-770890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-770890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-770890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-770890</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5"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right"/>
              <w:ind w:right="960"/>
              <w:spacing w:after="0"/>
              <w:rPr>
                <w:sz w:val="20"/>
                <w:szCs w:val="20"/>
                <w:color w:val="auto"/>
              </w:rPr>
            </w:pPr>
            <w:r>
              <w:rPr>
                <w:rFonts w:ascii="Arial" w:cs="Arial" w:eastAsia="Arial" w:hAnsi="Arial"/>
                <w:sz w:val="17"/>
                <w:szCs w:val="17"/>
                <w:b w:val="1"/>
                <w:bCs w:val="1"/>
                <w:color w:val="auto"/>
              </w:rPr>
              <w:t>Nine Months Ended</w:t>
            </w:r>
          </w:p>
        </w:tc>
      </w:tr>
      <w:tr>
        <w:trPr>
          <w:trHeight w:val="211"/>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r>
      <w:tr>
        <w:trPr>
          <w:trHeight w:val="183"/>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320" w:type="dxa"/>
            <w:vAlign w:val="bottom"/>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(80,632)</w:t>
            </w:r>
          </w:p>
        </w:tc>
        <w:tc>
          <w:tcPr>
            <w:tcW w:w="6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(61,085)</w:t>
            </w: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200"/>
              <w:spacing w:after="0" w:line="189" w:lineRule="exact"/>
              <w:rPr>
                <w:sz w:val="20"/>
                <w:szCs w:val="20"/>
                <w:color w:val="auto"/>
              </w:rPr>
            </w:pPr>
            <w:r>
              <w:rPr>
                <w:rFonts w:ascii="Arial" w:cs="Arial" w:eastAsia="Arial" w:hAnsi="Arial"/>
                <w:sz w:val="17"/>
                <w:szCs w:val="17"/>
                <w:color w:val="auto"/>
              </w:rPr>
              <w:t>Depreciation expense</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857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932</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Accretion income on marketable securities</w:t>
            </w:r>
          </w:p>
        </w:tc>
        <w:tc>
          <w:tcPr>
            <w:tcW w:w="3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(1,122)</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(3,890)</w:t>
            </w:r>
          </w:p>
        </w:tc>
      </w:tr>
      <w:tr>
        <w:trPr>
          <w:trHeight w:val="189"/>
        </w:trPr>
        <w:tc>
          <w:tcPr>
            <w:tcW w:w="7860" w:type="dxa"/>
            <w:vAlign w:val="bottom"/>
          </w:tcPr>
          <w:p>
            <w:pPr>
              <w:ind w:left="200"/>
              <w:spacing w:after="0" w:line="189" w:lineRule="exact"/>
              <w:rPr>
                <w:sz w:val="20"/>
                <w:szCs w:val="20"/>
                <w:color w:val="auto"/>
              </w:rPr>
            </w:pPr>
            <w:r>
              <w:rPr>
                <w:rFonts w:ascii="Arial" w:cs="Arial" w:eastAsia="Arial" w:hAnsi="Arial"/>
                <w:sz w:val="17"/>
                <w:szCs w:val="17"/>
                <w:color w:val="auto"/>
              </w:rPr>
              <w:t>Stock-based compensation expense</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11,035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8,785</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Other non-cash items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(5)</w:t>
            </w:r>
          </w:p>
        </w:tc>
      </w:tr>
      <w:tr>
        <w:trPr>
          <w:trHeight w:val="189"/>
        </w:trPr>
        <w:tc>
          <w:tcPr>
            <w:tcW w:w="7860" w:type="dxa"/>
            <w:vAlign w:val="bottom"/>
          </w:tcPr>
          <w:p>
            <w:pPr>
              <w:ind w:left="200"/>
              <w:spacing w:after="0" w:line="189" w:lineRule="exact"/>
              <w:rPr>
                <w:sz w:val="20"/>
                <w:szCs w:val="20"/>
                <w:color w:val="auto"/>
              </w:rPr>
            </w:pPr>
            <w:r>
              <w:rPr>
                <w:rFonts w:ascii="Arial" w:cs="Arial" w:eastAsia="Arial" w:hAnsi="Arial"/>
                <w:sz w:val="17"/>
                <w:szCs w:val="17"/>
                <w:color w:val="auto"/>
              </w:rPr>
              <w:t>Non-cash lease expense</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1,149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1,110</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600"/>
              <w:spacing w:after="0" w:line="189" w:lineRule="exact"/>
              <w:rPr>
                <w:sz w:val="20"/>
                <w:szCs w:val="20"/>
                <w:color w:val="auto"/>
              </w:rPr>
            </w:pPr>
            <w:r>
              <w:rPr>
                <w:rFonts w:ascii="Arial" w:cs="Arial" w:eastAsia="Arial" w:hAnsi="Arial"/>
                <w:sz w:val="17"/>
                <w:szCs w:val="17"/>
                <w:color w:val="auto"/>
              </w:rPr>
              <w:t>Prepaid expenses and other assets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1,348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(3,479)</w:t>
            </w:r>
          </w:p>
        </w:tc>
      </w:tr>
      <w:tr>
        <w:trPr>
          <w:trHeight w:val="189"/>
        </w:trPr>
        <w:tc>
          <w:tcPr>
            <w:tcW w:w="786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Other long-term assets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241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486</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600"/>
              <w:spacing w:after="0" w:line="189" w:lineRule="exact"/>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172</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Accrued expenses and other liabilities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4,255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1,594</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600"/>
              <w:spacing w:after="0" w:line="189" w:lineRule="exact"/>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(1,015)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(473)</w:t>
            </w:r>
          </w:p>
        </w:tc>
      </w:tr>
      <w:tr>
        <w:trPr>
          <w:trHeight w:val="20"/>
        </w:trPr>
        <w:tc>
          <w:tcPr>
            <w:tcW w:w="7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60" w:type="dxa"/>
            <w:vAlign w:val="bottom"/>
            <w:shd w:val="clear" w:color="auto" w:fill="CFF0FC"/>
          </w:tcPr>
          <w:p>
            <w:pPr>
              <w:ind w:left="400"/>
              <w:spacing w:after="0" w:line="183" w:lineRule="exact"/>
              <w:rPr>
                <w:sz w:val="20"/>
                <w:szCs w:val="20"/>
                <w:color w:val="auto"/>
              </w:rPr>
            </w:pPr>
            <w:r>
              <w:rPr>
                <w:rFonts w:ascii="Arial" w:cs="Arial" w:eastAsia="Arial" w:hAnsi="Arial"/>
                <w:sz w:val="17"/>
                <w:szCs w:val="17"/>
                <w:b w:val="1"/>
                <w:bCs w:val="1"/>
                <w:color w:val="auto"/>
              </w:rPr>
              <w:t>Net cash used in operating activities</w:t>
            </w: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(64,273)</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(55,853)</w:t>
            </w:r>
          </w:p>
        </w:tc>
      </w:tr>
      <w:tr>
        <w:trPr>
          <w:trHeight w:val="183"/>
        </w:trPr>
        <w:tc>
          <w:tcPr>
            <w:tcW w:w="786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Purchases of property and equipment</w:t>
            </w:r>
          </w:p>
        </w:tc>
        <w:tc>
          <w:tcPr>
            <w:tcW w:w="3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(271)</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(954)</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Purchases of marketable securities</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(83,958)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(59,103)</w:t>
            </w: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Maturities of marketable securities</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90,000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99,183</w:t>
            </w:r>
          </w:p>
        </w:tc>
        <w:tc>
          <w:tcPr>
            <w:tcW w:w="100" w:type="dxa"/>
            <w:vAlign w:val="bottom"/>
            <w:shd w:val="clear" w:color="auto" w:fill="CFF0FC"/>
          </w:tcPr>
          <w:p>
            <w:pPr>
              <w:spacing w:after="0"/>
              <w:rPr>
                <w:sz w:val="16"/>
                <w:szCs w:val="16"/>
                <w:color w:val="auto"/>
              </w:rPr>
            </w:pPr>
          </w:p>
        </w:tc>
      </w:tr>
      <w:tr>
        <w:trPr>
          <w:trHeight w:val="183"/>
        </w:trPr>
        <w:tc>
          <w:tcPr>
            <w:tcW w:w="7860" w:type="dxa"/>
            <w:vAlign w:val="bottom"/>
          </w:tcPr>
          <w:p>
            <w:pPr>
              <w:ind w:left="400"/>
              <w:spacing w:after="0" w:line="183" w:lineRule="exact"/>
              <w:rPr>
                <w:sz w:val="20"/>
                <w:szCs w:val="20"/>
                <w:color w:val="auto"/>
              </w:rPr>
            </w:pPr>
            <w:r>
              <w:rPr>
                <w:rFonts w:ascii="Arial" w:cs="Arial" w:eastAsia="Arial" w:hAnsi="Arial"/>
                <w:sz w:val="17"/>
                <w:szCs w:val="17"/>
                <w:b w:val="1"/>
                <w:bCs w:val="1"/>
                <w:color w:val="auto"/>
              </w:rPr>
              <w:t>Net cash provided by investing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5,771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39,126</w:t>
            </w:r>
          </w:p>
        </w:tc>
        <w:tc>
          <w:tcPr>
            <w:tcW w:w="100" w:type="dxa"/>
            <w:vAlign w:val="bottom"/>
          </w:tcPr>
          <w:p>
            <w:pPr>
              <w:spacing w:after="0"/>
              <w:rPr>
                <w:sz w:val="15"/>
                <w:szCs w:val="15"/>
                <w:color w:val="auto"/>
              </w:rPr>
            </w:pPr>
          </w:p>
        </w:tc>
      </w:tr>
      <w:tr>
        <w:trPr>
          <w:trHeight w:val="182"/>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Proceeds from exercise of stock options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1,010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875</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issuance of common stock from follow-on offering, net of issuance costs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46,517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Proceeds from issuance of pre-funded warrants from follow-on offering, net of issuance costs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14,156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issuance of common stock warrants from follow-on offering, net of issuance costs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9,254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Proceeds from issuance of common stock under ATM facility, net of issuance costs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3,287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Proceeds from ESPP purchases</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164</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177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860" w:type="dxa"/>
            <w:vAlign w:val="bottom"/>
          </w:tcPr>
          <w:p>
            <w:pPr>
              <w:ind w:left="400"/>
              <w:spacing w:after="0" w:line="183" w:lineRule="exact"/>
              <w:rPr>
                <w:sz w:val="20"/>
                <w:szCs w:val="20"/>
                <w:color w:val="auto"/>
              </w:rPr>
            </w:pPr>
            <w:r>
              <w:rPr>
                <w:rFonts w:ascii="Arial" w:cs="Arial" w:eastAsia="Arial" w:hAnsi="Arial"/>
                <w:sz w:val="17"/>
                <w:szCs w:val="17"/>
                <w:b w:val="1"/>
                <w:bCs w:val="1"/>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74,388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1,052</w:t>
            </w:r>
          </w:p>
        </w:tc>
        <w:tc>
          <w:tcPr>
            <w:tcW w:w="100" w:type="dxa"/>
            <w:vAlign w:val="bottom"/>
          </w:tcPr>
          <w:p>
            <w:pPr>
              <w:spacing w:after="0"/>
              <w:rPr>
                <w:sz w:val="15"/>
                <w:szCs w:val="15"/>
                <w:color w:val="auto"/>
              </w:rPr>
            </w:pPr>
          </w:p>
        </w:tc>
      </w:tr>
      <w:tr>
        <w:trPr>
          <w:trHeight w:val="183"/>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15,886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(15,675)</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b w:val="1"/>
                <w:bCs w:val="1"/>
                <w:color w:val="auto"/>
              </w:rPr>
              <w:t>Effect of exchange rate changes on cash and cash equivalents</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32,461</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41,850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860" w:type="dxa"/>
            <w:vAlign w:val="bottom"/>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20" w:type="dxa"/>
            <w:vAlign w:val="bottom"/>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48,321</w:t>
            </w:r>
          </w:p>
        </w:tc>
        <w:tc>
          <w:tcPr>
            <w:tcW w:w="160" w:type="dxa"/>
            <w:vAlign w:val="bottom"/>
          </w:tcPr>
          <w:p>
            <w:pPr>
              <w:spacing w:after="0"/>
              <w:rPr>
                <w:sz w:val="15"/>
                <w:szCs w:val="15"/>
                <w:color w:val="auto"/>
              </w:rPr>
            </w:pPr>
          </w:p>
        </w:tc>
        <w:tc>
          <w:tcPr>
            <w:tcW w:w="620" w:type="dxa"/>
            <w:vAlign w:val="bottom"/>
            <w:gridSpan w:val="2"/>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7"/>
                <w:szCs w:val="17"/>
                <w:color w:val="auto"/>
              </w:rPr>
              <w:t>26,175</w:t>
            </w:r>
          </w:p>
        </w:tc>
        <w:tc>
          <w:tcPr>
            <w:tcW w:w="100" w:type="dxa"/>
            <w:vAlign w:val="bottom"/>
          </w:tcPr>
          <w:p>
            <w:pPr>
              <w:spacing w:after="0"/>
              <w:rPr>
                <w:sz w:val="15"/>
                <w:szCs w:val="15"/>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860" w:type="dxa"/>
            <w:vAlign w:val="bottom"/>
            <w:shd w:val="clear" w:color="auto" w:fill="CFF0FC"/>
          </w:tcPr>
          <w:p>
            <w:pPr>
              <w:spacing w:after="0" w:line="170"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7"/>
        </w:trPr>
        <w:tc>
          <w:tcPr>
            <w:tcW w:w="7860" w:type="dxa"/>
            <w:vAlign w:val="bottom"/>
          </w:tcPr>
          <w:p>
            <w:pPr>
              <w:spacing w:after="0" w:line="167" w:lineRule="exact"/>
              <w:rPr>
                <w:sz w:val="20"/>
                <w:szCs w:val="20"/>
                <w:color w:val="auto"/>
              </w:rPr>
            </w:pPr>
            <w:r>
              <w:rPr>
                <w:rFonts w:ascii="Arial" w:cs="Arial" w:eastAsia="Arial" w:hAnsi="Arial"/>
                <w:sz w:val="17"/>
                <w:szCs w:val="17"/>
                <w:color w:val="auto"/>
              </w:rPr>
              <w:t>Purchases of property and equipment in accounts payable and accrued expenses and other liabilities</w:t>
            </w:r>
          </w:p>
        </w:tc>
        <w:tc>
          <w:tcPr>
            <w:tcW w:w="320" w:type="dxa"/>
            <w:vAlign w:val="bottom"/>
          </w:tcPr>
          <w:p>
            <w:pPr>
              <w:spacing w:after="0"/>
              <w:rPr>
                <w:sz w:val="14"/>
                <w:szCs w:val="14"/>
                <w:color w:val="auto"/>
              </w:rPr>
            </w:pPr>
          </w:p>
        </w:tc>
        <w:tc>
          <w:tcPr>
            <w:tcW w:w="1340" w:type="dxa"/>
            <w:vAlign w:val="bottom"/>
            <w:gridSpan w:val="2"/>
          </w:tcPr>
          <w:p>
            <w:pPr>
              <w:jc w:val="right"/>
              <w:ind w:right="160"/>
              <w:spacing w:after="0" w:line="167"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line="167" w:lineRule="exact"/>
              <w:rPr>
                <w:sz w:val="20"/>
                <w:szCs w:val="20"/>
                <w:color w:val="auto"/>
              </w:rPr>
            </w:pPr>
            <w:r>
              <w:rPr>
                <w:rFonts w:ascii="Arial" w:cs="Arial" w:eastAsia="Arial" w:hAnsi="Arial"/>
                <w:sz w:val="17"/>
                <w:szCs w:val="17"/>
                <w:color w:val="auto"/>
              </w:rPr>
              <w:t>152</w:t>
            </w:r>
          </w:p>
        </w:tc>
        <w:tc>
          <w:tcPr>
            <w:tcW w:w="100" w:type="dxa"/>
            <w:vAlign w:val="bottom"/>
          </w:tcPr>
          <w:p>
            <w:pPr>
              <w:spacing w:after="0"/>
              <w:rPr>
                <w:sz w:val="14"/>
                <w:szCs w:val="14"/>
                <w:color w:val="auto"/>
              </w:rPr>
            </w:pPr>
          </w:p>
        </w:tc>
      </w:tr>
      <w:tr>
        <w:trPr>
          <w:trHeight w:val="205"/>
        </w:trPr>
        <w:tc>
          <w:tcPr>
            <w:tcW w:w="7860" w:type="dxa"/>
            <w:vAlign w:val="bottom"/>
          </w:tcPr>
          <w:p>
            <w:pPr>
              <w:spacing w:after="0"/>
              <w:rPr>
                <w:sz w:val="20"/>
                <w:szCs w:val="20"/>
                <w:color w:val="auto"/>
              </w:rPr>
            </w:pPr>
            <w:r>
              <w:rPr>
                <w:rFonts w:ascii="Arial" w:cs="Arial" w:eastAsia="Arial" w:hAnsi="Arial"/>
                <w:sz w:val="17"/>
                <w:szCs w:val="17"/>
                <w:color w:val="auto"/>
              </w:rPr>
              <w:t>Common stock issued under ATM facility settled in future period</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-2472690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-2472690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-1997075</wp:posOffset>
            </wp:positionV>
            <wp:extent cx="939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-1997075</wp:posOffset>
            </wp:positionV>
            <wp:extent cx="939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-1007110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-1007110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-509905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-509905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280"/>
        <w:spacing w:after="0" w:line="232"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(in</w:t>
      </w: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20"/>
                <w:szCs w:val="20"/>
                <w:color w:val="auto"/>
              </w:rPr>
            </w:pPr>
            <w:r>
              <w:rPr>
                <w:rFonts w:ascii="Arial" w:cs="Arial" w:eastAsia="Arial" w:hAnsi="Arial"/>
                <w:sz w:val="17"/>
                <w:szCs w:val="17"/>
                <w:color w:val="auto"/>
              </w:rPr>
              <w:t>thousands):</w:t>
            </w:r>
          </w:p>
        </w:tc>
        <w:tc>
          <w:tcPr>
            <w:tcW w:w="960" w:type="dxa"/>
            <w:vAlign w:val="bottom"/>
          </w:tcPr>
          <w:p>
            <w:pPr>
              <w:spacing w:after="0"/>
              <w:rPr>
                <w:sz w:val="19"/>
                <w:szCs w:val="19"/>
                <w:color w:val="auto"/>
              </w:rPr>
            </w:pPr>
          </w:p>
        </w:tc>
        <w:tc>
          <w:tcPr>
            <w:tcW w:w="1320" w:type="dxa"/>
            <w:vAlign w:val="bottom"/>
            <w:gridSpan w:val="3"/>
            <w:vMerge w:val="restart"/>
          </w:tcPr>
          <w:p>
            <w:pPr>
              <w:jc w:val="right"/>
              <w:ind w:right="60"/>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8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2025</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Cash and cash equivalents, end of period</w:t>
            </w:r>
          </w:p>
        </w:tc>
        <w:tc>
          <w:tcPr>
            <w:tcW w:w="960" w:type="dxa"/>
            <w:vAlign w:val="bottom"/>
            <w:shd w:val="clear" w:color="auto" w:fill="CFF0FC"/>
          </w:tcPr>
          <w:p>
            <w:pPr>
              <w:jc w:val="right"/>
              <w:ind w:right="775"/>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99"/>
              </w:rPr>
              <w:t>47,553</w:t>
            </w:r>
          </w:p>
        </w:tc>
        <w:tc>
          <w:tcPr>
            <w:tcW w:w="780" w:type="dxa"/>
            <w:vAlign w:val="bottom"/>
            <w:gridSpan w:val="2"/>
            <w:shd w:val="clear" w:color="auto" w:fill="CFF0FC"/>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25,407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Long-term restricted cash, end of period</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768</w:t>
            </w:r>
          </w:p>
        </w:tc>
        <w:tc>
          <w:tcPr>
            <w:tcW w:w="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960" w:type="dxa"/>
            <w:vAlign w:val="bottom"/>
            <w:shd w:val="clear" w:color="auto" w:fill="CFF0FC"/>
          </w:tcPr>
          <w:p>
            <w:pPr>
              <w:jc w:val="right"/>
              <w:ind w:right="775"/>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99"/>
              </w:rPr>
              <w:t>48,321</w:t>
            </w:r>
          </w:p>
        </w:tc>
        <w:tc>
          <w:tcPr>
            <w:tcW w:w="780" w:type="dxa"/>
            <w:vAlign w:val="bottom"/>
            <w:gridSpan w:val="2"/>
            <w:shd w:val="clear" w:color="auto" w:fill="CFF0FC"/>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26,175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or indeterminate lesions, or early choroidal melanoma. Bel-sar is also in clinical development in metastases to the choroid and bladder cancer and is being explored for cancers of the ocular surface. The Company envisions the potential for development of bel-sar in additional therapeutic areas. Aura’s headquarters are located in Boston, Massachusetts.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6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September 30, 2025, the Company has funded its operations primarily with proceeds from the initial and additional closings of its convertible preferred stock financings, and through its initial public offering, or IPO, follow-on offerings and at-the-market offering, or ATM. On May 16, 2025, the Company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 million in net proceeds from the 2025 Follow-On Offering after deducting underwriting discounts and commissions and offering expenses.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605,585 shares of common stock at a weighted average price of $6.49 for aggregate gross proceeds of $3.9 million during the three and nine months ended September 30, 2025 under the ATM.</w:t>
      </w:r>
    </w:p>
    <w:p>
      <w:pPr>
        <w:spacing w:after="0" w:line="20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the issuance date of these unaudited condensed consolidated financial statements for the three and nine months ended September 30, 2025, the Company expects that its cash and cash equivalents and marketable securities will be sufficient to fund its operating expenses and capital expenditure requirements through at least 12 months from the issuance of these unaudited condensed consolidated financial statements. The future viability of the Company beyond that point is dependent on its ability to raise additional capital to finance its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nine months ended September 30, 2025 and 2024 are also unaudited. The unaudited condensed results of operations are not necessarily indicative of the operating results that may occur for the full fiscal year ending December 31, 2025.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2024, in the Company’s Annual Report on Form 10-K filed with the SEC on March 24, 2025. There have been no changes to the Company’s significant accounting policies except as noted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8"/>
          <w:szCs w:val="18"/>
          <w:i w:val="1"/>
          <w:iCs w:val="1"/>
          <w:color w:val="auto"/>
        </w:rPr>
        <w:t>Accounting for Certain Financial Instruments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Characteristics of both Liabilities and Equity</w:t>
      </w:r>
      <w:r>
        <w:rPr>
          <w:rFonts w:ascii="Arial" w:cs="Arial" w:eastAsia="Arial" w:hAnsi="Arial"/>
          <w:sz w:val="18"/>
          <w:szCs w:val="18"/>
          <w:color w:val="auto"/>
        </w:rPr>
        <w:t>, and then in accordance with ASC 815-40,</w:t>
      </w:r>
      <w:r>
        <w:rPr>
          <w:rFonts w:ascii="Arial" w:cs="Arial" w:eastAsia="Arial" w:hAnsi="Arial"/>
          <w:sz w:val="18"/>
          <w:szCs w:val="18"/>
          <w:i w:val="1"/>
          <w:iCs w:val="1"/>
          <w:color w:val="auto"/>
        </w:rPr>
        <w:t xml:space="preserve"> Accounting for Derivative Financial Instruments Indexed to, and Potentially Settled in, a Company’s Own Stock</w:t>
      </w:r>
      <w:r>
        <w:rPr>
          <w:rFonts w:ascii="Arial" w:cs="Arial" w:eastAsia="Arial" w:hAnsi="Arial"/>
          <w:sz w:val="18"/>
          <w:szCs w:val="18"/>
          <w:color w:val="auto"/>
        </w:rPr>
        <w:t>. Under ASC 480, warrants are considered liability classified if the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are mandatorily redeemable, obligate the issuer to settle the warrants or the underlying shares by paying cash or other assets, or must or may require settlement by issuing a variable number of shares.</w:t>
      </w:r>
    </w:p>
    <w:p>
      <w:pPr>
        <w:spacing w:after="0" w:line="4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consolidated statements of operations as a gain or loss. The Company's outstanding warrants are accounted for at fair value on the issuance date and not subject to changes in fair value recognized after the issuance date.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The ASU updates reportable segment disclosure requirements, primarily through requiring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and information used to assess segment performance. The amendments do not change how segments are determined, aggregated, or how thresholds are applied to determine reportable segments. The standard became effective for interim reporting periods in fiscal years beginning after December 15, 2024. The Company adopted ASU No. 2023-07 during the year ended December 31, 2024 and the standard did not have a material impact on its results of operations. The Company's segment reporting disclosure is included within the unaudited condensed consolidated financial statements at Note 15 "Segment Reporting".</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standard requires the Company to provide further disaggregated income tax disclosures for specific categories on the effective tax rate reconciliation, as well as additional information about federal, state/local and foreign income taxes. The standard also requires the Company to annually disclose its income taxes paid (net of refunds received), disaggregated by jurisdiction. The Company adopted the standard on January 1, 2025 for fiscal year reporting. The standard is to be applied on a prospective basis although optional retrospective application is permitted. While the standard will require additional disclosures related to the Company’s income taxes within the Company’s Annual Report on Form 10-K for the year ending December 31, 2025, the standard is not expected to have any impact on the Company’s consolidated operating results, financial condition or cash flows for such period.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standard requires the Company to provide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information of relevant expense captions within its consolidated statements of operations, including employee compensation and depreciation, as well as the inclusion of other specific expenses, gains and losses required by existing U.S. GAAP. The standard is effective for fiscal years beginning after December 15, 2026 and interim periods within fiscal years beginning after December 15, 2027, with early adoption permitted. The standard may be applied prospectively or retrospectively. While the standard will require additional disclosures related to certain expenses included in the consolidated statements of operations, the standard is not expected to have any impact on the Company’s consolidated operating results, financial condition or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September 30, 2025 and December 31, 2024 (in thousands):</w:t>
      </w: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center"/>
              <w:ind w:right="110"/>
              <w:spacing w:after="0" w:line="187" w:lineRule="exact"/>
              <w:rPr>
                <w:sz w:val="20"/>
                <w:szCs w:val="20"/>
                <w:color w:val="auto"/>
              </w:rPr>
            </w:pPr>
            <w:r>
              <w:rPr>
                <w:rFonts w:ascii="Arial" w:cs="Arial" w:eastAsia="Arial" w:hAnsi="Arial"/>
                <w:sz w:val="18"/>
                <w:szCs w:val="18"/>
                <w:b w:val="1"/>
                <w:bCs w:val="1"/>
                <w:color w:val="auto"/>
                <w:w w:val="99"/>
              </w:rPr>
              <w:t>Quoted prices in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70"/>
              <w:spacing w:after="0" w:line="187" w:lineRule="exact"/>
              <w:rPr>
                <w:sz w:val="20"/>
                <w:szCs w:val="20"/>
                <w:color w:val="auto"/>
              </w:rPr>
            </w:pPr>
            <w:r>
              <w:rPr>
                <w:rFonts w:ascii="Arial" w:cs="Arial" w:eastAsia="Arial" w:hAnsi="Arial"/>
                <w:sz w:val="18"/>
                <w:szCs w:val="18"/>
                <w:b w:val="1"/>
                <w:bCs w:val="1"/>
                <w:color w:val="auto"/>
                <w:w w:val="99"/>
              </w:rPr>
              <w:t>Significant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other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observable</w:t>
            </w:r>
          </w:p>
        </w:tc>
        <w:tc>
          <w:tcPr>
            <w:tcW w:w="220" w:type="dxa"/>
            <w:vAlign w:val="bottom"/>
          </w:tcPr>
          <w:p>
            <w:pPr>
              <w:spacing w:after="0"/>
              <w:rPr>
                <w:sz w:val="17"/>
                <w:szCs w:val="17"/>
                <w:color w:val="auto"/>
              </w:rPr>
            </w:pPr>
          </w:p>
        </w:tc>
        <w:tc>
          <w:tcPr>
            <w:tcW w:w="146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inputs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8"/>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(Level 3)</w:t>
            </w:r>
          </w:p>
        </w:tc>
      </w:tr>
      <w:tr>
        <w:trPr>
          <w:trHeight w:val="189"/>
        </w:trPr>
        <w:tc>
          <w:tcPr>
            <w:tcW w:w="39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Financial assets</w:t>
            </w: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46,820</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46,820</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U.S. Government agencies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114,313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114,313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36"/>
        </w:trPr>
        <w:tc>
          <w:tcPr>
            <w:tcW w:w="39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financial assets</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161,133</w:t>
            </w:r>
          </w:p>
        </w:tc>
        <w:tc>
          <w:tcPr>
            <w:tcW w:w="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46,820</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114,313</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1000"/>
              <w:spacing w:after="0" w:line="196" w:lineRule="exact"/>
              <w:rPr>
                <w:sz w:val="20"/>
                <w:szCs w:val="20"/>
                <w:color w:val="auto"/>
              </w:rPr>
            </w:pPr>
            <w:r>
              <w:rPr>
                <w:rFonts w:ascii="Arial" w:cs="Arial" w:eastAsia="Arial" w:hAnsi="Arial"/>
                <w:sz w:val="18"/>
                <w:szCs w:val="18"/>
                <w:color w:val="auto"/>
              </w:rPr>
              <w:t>—</w:t>
            </w:r>
          </w:p>
        </w:tc>
      </w:tr>
      <w:tr>
        <w:trPr>
          <w:trHeight w:val="448"/>
        </w:trPr>
        <w:tc>
          <w:tcPr>
            <w:tcW w:w="1000" w:type="dxa"/>
            <w:vAlign w:val="bottom"/>
            <w:tcBorders>
              <w:top w:val="single" w:sz="8" w:color="CFF0FC"/>
            </w:tcBorders>
          </w:tcPr>
          <w:p>
            <w:pPr>
              <w:spacing w:after="0"/>
              <w:rPr>
                <w:sz w:val="24"/>
                <w:szCs w:val="24"/>
                <w:color w:val="auto"/>
              </w:rPr>
            </w:pPr>
          </w:p>
        </w:tc>
        <w:tc>
          <w:tcPr>
            <w:tcW w:w="29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Quoted prices in</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Significant</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other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observable</w:t>
            </w:r>
          </w:p>
        </w:tc>
        <w:tc>
          <w:tcPr>
            <w:tcW w:w="220" w:type="dxa"/>
            <w:vAlign w:val="bottom"/>
          </w:tcPr>
          <w:p>
            <w:pPr>
              <w:spacing w:after="0"/>
              <w:rPr>
                <w:sz w:val="17"/>
                <w:szCs w:val="17"/>
                <w:color w:val="auto"/>
              </w:rPr>
            </w:pPr>
          </w:p>
        </w:tc>
        <w:tc>
          <w:tcPr>
            <w:tcW w:w="146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inputs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15"/>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3"/>
        </w:trPr>
        <w:tc>
          <w:tcPr>
            <w:tcW w:w="3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Financial assets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30,845</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30,845</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agencies</w:t>
            </w:r>
          </w:p>
        </w:tc>
        <w:tc>
          <w:tcPr>
            <w:tcW w:w="22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119,401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119,401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150,246</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30,845</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119,401</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-1662430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-1645285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-1662430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-1645285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-1662430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-1645285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-162560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within the fair value hierarchy during the nine months ended September 30, 2025.</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6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6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20" w:type="dxa"/>
            <w:vAlign w:val="bottom"/>
          </w:tcPr>
          <w:p>
            <w:pPr>
              <w:spacing w:after="0"/>
              <w:rPr>
                <w:sz w:val="22"/>
                <w:szCs w:val="22"/>
                <w:color w:val="auto"/>
              </w:rPr>
            </w:pPr>
          </w:p>
        </w:tc>
        <w:tc>
          <w:tcPr>
            <w:tcW w:w="16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66"/>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 under construction</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Pr>
          <w:p>
            <w:pPr>
              <w:spacing w:after="0" w:line="202" w:lineRule="exact"/>
              <w:rPr>
                <w:sz w:val="20"/>
                <w:szCs w:val="20"/>
                <w:color w:val="auto"/>
              </w:rPr>
            </w:pPr>
            <w:r>
              <w:rPr>
                <w:rFonts w:ascii="Arial" w:cs="Arial" w:eastAsia="Arial" w:hAnsi="Arial"/>
                <w:sz w:val="18"/>
                <w:szCs w:val="18"/>
                <w:color w:val="auto"/>
              </w:rPr>
              <w:t>IT equipment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Lab equipment</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9,472</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Less—accumulated depreciation</w:t>
            </w:r>
          </w:p>
        </w:tc>
        <w:tc>
          <w:tcPr>
            <w:tcW w:w="120" w:type="dxa"/>
            <w:vAlign w:val="bottom"/>
          </w:tcPr>
          <w:p>
            <w:pPr>
              <w:spacing w:after="0"/>
              <w:rPr>
                <w:sz w:val="17"/>
                <w:szCs w:val="17"/>
                <w:color w:val="auto"/>
              </w:rPr>
            </w:pPr>
          </w:p>
        </w:tc>
        <w:tc>
          <w:tcPr>
            <w:tcW w:w="16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(6,843)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2,629</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-299720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Depreciation expense was $0.3 million for each of the three months ended September 30, 2025 and 2024. In addition, depreciation expense was $0.9 million for each of the nine months ended September 30, 2025 and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7"/>
        </w:trPr>
        <w:tc>
          <w:tcPr>
            <w:tcW w:w="582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460" w:type="dxa"/>
            <w:vAlign w:val="bottom"/>
            <w:gridSpan w:val="7"/>
          </w:tcPr>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5"/>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6"/>
          </w:tcPr>
          <w:p>
            <w:pPr>
              <w:ind w:left="40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2,153</w:t>
            </w:r>
          </w:p>
        </w:tc>
        <w:tc>
          <w:tcPr>
            <w:tcW w:w="940" w:type="dxa"/>
            <w:vAlign w:val="bottom"/>
            <w:gridSpan w:val="2"/>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Prepaid research and development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3,516</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2,585</w:t>
            </w:r>
          </w:p>
        </w:tc>
        <w:tc>
          <w:tcPr>
            <w:tcW w:w="3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8,254</w:t>
            </w:r>
          </w:p>
        </w:tc>
        <w:tc>
          <w:tcPr>
            <w:tcW w:w="94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820" w:type="dxa"/>
            <w:vAlign w:val="bottom"/>
          </w:tcPr>
          <w:p>
            <w:pPr>
              <w:ind w:left="520"/>
              <w:spacing w:after="0"/>
              <w:rPr>
                <w:sz w:val="20"/>
                <w:szCs w:val="20"/>
                <w:color w:val="auto"/>
              </w:rPr>
            </w:pPr>
            <w:r>
              <w:rPr>
                <w:rFonts w:ascii="Arial" w:cs="Arial" w:eastAsia="Arial" w:hAnsi="Arial"/>
                <w:sz w:val="18"/>
                <w:szCs w:val="18"/>
                <w:color w:val="auto"/>
              </w:rPr>
              <w:t>Marketable securities consisted of the following (in thousands):</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0" w:type="dxa"/>
            <w:vAlign w:val="bottom"/>
            <w:gridSpan w:val="7"/>
            <w:vMerge w:val="restart"/>
          </w:tcPr>
          <w:p>
            <w:pPr>
              <w:jc w:val="right"/>
              <w:ind w:right="560"/>
              <w:spacing w:after="0"/>
              <w:rPr>
                <w:sz w:val="20"/>
                <w:szCs w:val="20"/>
                <w:color w:val="auto"/>
              </w:rPr>
            </w:pPr>
            <w:r>
              <w:rPr>
                <w:rFonts w:ascii="Arial" w:cs="Arial" w:eastAsia="Arial" w:hAnsi="Arial"/>
                <w:sz w:val="18"/>
                <w:szCs w:val="18"/>
                <w:b w:val="1"/>
                <w:bCs w:val="1"/>
                <w:color w:val="auto"/>
              </w:rPr>
              <w:t>September 30, 2025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line="177"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300"/>
              <w:spacing w:after="0" w:line="177" w:lineRule="exact"/>
              <w:rPr>
                <w:sz w:val="20"/>
                <w:szCs w:val="20"/>
                <w:color w:val="auto"/>
              </w:rPr>
            </w:pPr>
            <w:r>
              <w:rPr>
                <w:rFonts w:ascii="Arial" w:cs="Arial" w:eastAsia="Arial" w:hAnsi="Arial"/>
                <w:sz w:val="18"/>
                <w:szCs w:val="18"/>
                <w:b w:val="1"/>
                <w:bCs w:val="1"/>
                <w:color w:val="auto"/>
                <w:w w:val="98"/>
              </w:rPr>
              <w:t>Unrealized</w:t>
            </w:r>
          </w:p>
        </w:tc>
        <w:tc>
          <w:tcPr>
            <w:tcW w:w="1240" w:type="dxa"/>
            <w:vAlign w:val="bottom"/>
            <w:gridSpan w:val="4"/>
          </w:tcPr>
          <w:p>
            <w:pPr>
              <w:jc w:val="center"/>
              <w:ind w:right="160"/>
              <w:spacing w:after="0" w:line="17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9"/>
              </w:rPr>
              <w:t>Gains</w:t>
            </w:r>
          </w:p>
        </w:tc>
        <w:tc>
          <w:tcPr>
            <w:tcW w:w="200" w:type="dxa"/>
            <w:vAlign w:val="bottom"/>
          </w:tcPr>
          <w:p>
            <w:pPr>
              <w:spacing w:after="0"/>
              <w:rPr>
                <w:sz w:val="19"/>
                <w:szCs w:val="19"/>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114,214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114,214</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114,313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line="177"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center"/>
              <w:ind w:right="300"/>
              <w:spacing w:after="0" w:line="177" w:lineRule="exact"/>
              <w:rPr>
                <w:sz w:val="20"/>
                <w:szCs w:val="20"/>
                <w:color w:val="auto"/>
              </w:rPr>
            </w:pPr>
            <w:r>
              <w:rPr>
                <w:rFonts w:ascii="Arial" w:cs="Arial" w:eastAsia="Arial" w:hAnsi="Arial"/>
                <w:sz w:val="18"/>
                <w:szCs w:val="18"/>
                <w:b w:val="1"/>
                <w:bCs w:val="1"/>
                <w:color w:val="auto"/>
                <w:w w:val="98"/>
              </w:rPr>
              <w:t>Unrealized</w:t>
            </w:r>
          </w:p>
        </w:tc>
        <w:tc>
          <w:tcPr>
            <w:tcW w:w="1240" w:type="dxa"/>
            <w:vAlign w:val="bottom"/>
            <w:gridSpan w:val="4"/>
          </w:tcPr>
          <w:p>
            <w:pPr>
              <w:jc w:val="center"/>
              <w:ind w:right="160"/>
              <w:spacing w:after="0" w:line="17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9"/>
              </w:rPr>
              <w:t>Gains</w:t>
            </w:r>
          </w:p>
        </w:tc>
        <w:tc>
          <w:tcPr>
            <w:tcW w:w="200" w:type="dxa"/>
            <w:vAlign w:val="bottom"/>
          </w:tcPr>
          <w:p>
            <w:pPr>
              <w:spacing w:after="0"/>
              <w:rPr>
                <w:sz w:val="19"/>
                <w:szCs w:val="19"/>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119,130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119,130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-2519680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-976630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-959485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-976630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-959485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-976630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September 30, 2025, the current credit ratings of the Company's investments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September 30, 2025, no marketable securities with a contractual maturity of one year or less were in an unrealized loss position, and all marketable securities held by the Company had remaining contractual maturities of one year or less.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2024, no marketable securities with contractual maturities of one year or less were in an unrealized loss position.</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were no impairments of the Company’s marketable securities measured and carried at fair value during the nine months ended September 30, 2025 and 2024.</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9"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September 30,</w:t>
      </w:r>
    </w:p>
    <w:p>
      <w:pPr>
        <w:jc w:val="center"/>
        <w:ind w:left="6940"/>
        <w:spacing w:after="0" w:line="235" w:lineRule="auto"/>
        <w:rPr>
          <w:sz w:val="20"/>
          <w:szCs w:val="20"/>
          <w:color w:val="auto"/>
        </w:rPr>
      </w:pP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6940" w:type="dxa"/>
            <w:vAlign w:val="bottom"/>
          </w:tcPr>
          <w:p>
            <w:pPr>
              <w:spacing w:after="0" w:line="177" w:lineRule="exact"/>
              <w:rPr>
                <w:sz w:val="20"/>
                <w:szCs w:val="20"/>
                <w:color w:val="auto"/>
              </w:rPr>
            </w:pPr>
            <w:r>
              <w:rPr>
                <w:rFonts w:ascii="Arial" w:cs="Arial" w:eastAsia="Arial" w:hAnsi="Arial"/>
                <w:sz w:val="18"/>
                <w:szCs w:val="18"/>
                <w:color w:val="auto"/>
              </w:rPr>
              <w:t>Accrued research and development expenses</w:t>
            </w:r>
          </w:p>
        </w:tc>
        <w:tc>
          <w:tcPr>
            <w:tcW w:w="740" w:type="dxa"/>
            <w:vAlign w:val="bottom"/>
            <w:tcBorders>
              <w:top w:val="single" w:sz="8" w:color="auto"/>
            </w:tcBorders>
          </w:tcPr>
          <w:p>
            <w:pPr>
              <w:jc w:val="right"/>
              <w:ind w:right="550"/>
              <w:spacing w:after="0" w:line="177"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7,141</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7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6,099</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Accrued audit, tax, and consulting expenses</w:t>
            </w:r>
          </w:p>
        </w:tc>
        <w:tc>
          <w:tcPr>
            <w:tcW w:w="7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r>
      <w:tr>
        <w:trPr>
          <w:trHeight w:val="221"/>
        </w:trPr>
        <w:tc>
          <w:tcPr>
            <w:tcW w:w="694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196"/>
        </w:trPr>
        <w:tc>
          <w:tcPr>
            <w:tcW w:w="6940" w:type="dxa"/>
            <w:vAlign w:val="bottom"/>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13,715</w:t>
            </w:r>
          </w:p>
        </w:tc>
      </w:tr>
      <w:tr>
        <w:trPr>
          <w:trHeight w:val="20"/>
        </w:trPr>
        <w:tc>
          <w:tcPr>
            <w:tcW w:w="6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177"/>
        </w:trPr>
        <w:tc>
          <w:tcPr>
            <w:tcW w:w="240" w:type="dxa"/>
            <w:vAlign w:val="bottom"/>
          </w:tcPr>
          <w:p>
            <w:pPr>
              <w:jc w:val="right"/>
              <w:ind w:right="50"/>
              <w:spacing w:after="0" w:line="177"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177" w:lineRule="exact"/>
              <w:rPr>
                <w:sz w:val="20"/>
                <w:szCs w:val="20"/>
                <w:color w:val="auto"/>
              </w:rPr>
            </w:pPr>
            <w:r>
              <w:rPr>
                <w:rFonts w:ascii="Arial" w:cs="Arial" w:eastAsia="Arial" w:hAnsi="Arial"/>
                <w:sz w:val="18"/>
                <w:szCs w:val="18"/>
                <w:color w:val="auto"/>
              </w:rPr>
              <w:t>3,386</w:t>
            </w:r>
          </w:p>
        </w:tc>
      </w:tr>
      <w:tr>
        <w:trPr>
          <w:trHeight w:val="203"/>
        </w:trPr>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5,456</w:t>
            </w:r>
          </w:p>
        </w:tc>
      </w:tr>
      <w:tr>
        <w:trPr>
          <w:trHeight w:val="203"/>
        </w:trPr>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r>
      <w:tr>
        <w:trPr>
          <w:trHeight w:val="221"/>
        </w:trPr>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9,460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880" w:space="300"/>
            <w:col w:w="2060"/>
          </w:cols>
          <w:pgMar w:left="320" w:top="1201"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3" w:name="page14"/>
    <w:bookmarkEnd w:id="13"/>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62,985,569 and 49,998,279 shares were issued and outstanding at September 30, 2025 and December 31, 2024, respectively.</w:t>
      </w:r>
    </w:p>
    <w:p>
      <w:pPr>
        <w:spacing w:after="0" w:line="1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are undesignated. No authorized shares of preferred stock were issued and outstanding at September 30, 2025 and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May 16, 2025, the Company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 million in net proceeds from the 2025 Follow-On Offering after deducting underwriting discounts and commissions and offering expenses.</w:t>
      </w:r>
    </w:p>
    <w:p>
      <w:pPr>
        <w:spacing w:after="0" w:line="3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On March 27, 2024, the Company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605,585 shares of common stock at a weighted average price of $6.49 for aggregate gross proceeds of $3.9 million during the three and nine months ended September 30, 2025 under the ATM.</w:t>
      </w:r>
    </w:p>
    <w:p>
      <w:pPr>
        <w:spacing w:after="0" w:line="4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 weighted average price of $12.49 for aggregate gross proceeds of $3.3 million during the year ended December 31, 2023 under the ATM.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198" w:lineRule="exact"/>
        <w:rPr>
          <w:sz w:val="20"/>
          <w:szCs w:val="20"/>
          <w:color w:val="auto"/>
        </w:rPr>
      </w:pPr>
    </w:p>
    <w:p>
      <w:pPr>
        <w:jc w:val="both"/>
        <w:ind w:firstLine="384"/>
        <w:spacing w:after="0" w:line="247"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198" w:lineRule="exact"/>
        <w:rPr>
          <w:sz w:val="20"/>
          <w:szCs w:val="20"/>
          <w:color w:val="auto"/>
        </w:rPr>
      </w:pPr>
    </w:p>
    <w:p>
      <w:pPr>
        <w:jc w:val="both"/>
        <w:ind w:firstLine="303"/>
        <w:spacing w:after="0" w:line="238"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Internal Revenue Code of 1986, as amended, or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2025, the shares reserved for issuance was increased to 11,667,747 shares. With the transfer of shares to the 2021 Plan in connection with the termination or expiration of awards under the 2018 Plan, together with shares otherwise available under the 2021 Plan, there were 3,874,262 shares available for grant under the 2021 Plan at September 30,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98"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2025, the shares reserved for issuance were increased to 1,593,596 shares. The purchase price of the shares under the ESPP is at 85% of the lower of the fair market value of the Company’s common stock on the first trading day of the offering period or on the purchase date. As of September 30, 2025, 1,565,471 shares were available to be issued under the ESPP. The Company recognized $0.02 million and $0.01 million in stock-based compensation expense related to the ESPP for the three months ended September 30, 2025 and 2024, respectively. The Company recognized $0.06 million of stock-based compensation expense related to the ESPP for each of the nine months ended September 30, 2025 and 2024.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2021 Plan.</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nine months ended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r>
              <w:rPr>
                <w:rFonts w:ascii="Arial" w:cs="Arial" w:eastAsia="Arial" w:hAnsi="Arial"/>
                <w:sz w:val="18"/>
                <w:szCs w:val="18"/>
                <w:color w:val="auto"/>
              </w:rPr>
              <w:t>2025:</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240" w:type="dxa"/>
            <w:vAlign w:val="bottom"/>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5,522,353</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6.91</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1,488,945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(247,993)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Cancelled/Forfeited</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September 30, 2025</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6,478,162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7.18</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Arial" w:cs="Arial" w:eastAsia="Arial" w:hAnsi="Arial"/>
                <w:sz w:val="18"/>
                <w:szCs w:val="18"/>
                <w:color w:val="auto"/>
              </w:rPr>
              <w:t>Exercisable at September 30, 2025</w:t>
            </w:r>
          </w:p>
        </w:tc>
        <w:tc>
          <w:tcPr>
            <w:tcW w:w="1500" w:type="dxa"/>
            <w:vAlign w:val="bottom"/>
          </w:tcPr>
          <w:p>
            <w:pPr>
              <w:jc w:val="right"/>
              <w:spacing w:after="0" w:line="183" w:lineRule="exact"/>
              <w:rPr>
                <w:sz w:val="20"/>
                <w:szCs w:val="20"/>
                <w:color w:val="auto"/>
              </w:rPr>
            </w:pPr>
            <w:r>
              <w:rPr>
                <w:rFonts w:ascii="Arial" w:cs="Arial" w:eastAsia="Arial" w:hAnsi="Arial"/>
                <w:sz w:val="18"/>
                <w:szCs w:val="18"/>
                <w:color w:val="auto"/>
              </w:rPr>
              <w:t>3,788,464</w:t>
            </w:r>
          </w:p>
        </w:tc>
        <w:tc>
          <w:tcPr>
            <w:tcW w:w="160" w:type="dxa"/>
            <w:vAlign w:val="bottom"/>
          </w:tcPr>
          <w:p>
            <w:pPr>
              <w:spacing w:after="0"/>
              <w:rPr>
                <w:sz w:val="15"/>
                <w:szCs w:val="15"/>
                <w:color w:val="auto"/>
              </w:rPr>
            </w:pP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rPr>
              <w:t>8.05</w:t>
            </w:r>
          </w:p>
        </w:tc>
        <w:tc>
          <w:tcPr>
            <w:tcW w:w="17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5.96</w:t>
            </w:r>
          </w:p>
        </w:tc>
        <w:tc>
          <w:tcPr>
            <w:tcW w:w="4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2,777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-179070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-162560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-179070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-162560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-162560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2025 and 2024 was $5.54 and $5.85 per share, respectively. The fair value of options vested during the nine months ended September 30, 2025 and 2024 was $6.3 million and $6.4 million, respectively. The total intrinsic value of options exercised was $0.6 million and $0.8 million for the nine months ended September 30, 2025 and 2024, respectively.</w:t>
      </w:r>
    </w:p>
    <w:p>
      <w:pPr>
        <w:spacing w:after="0" w:line="17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fair value of the stock options granted for the three and nine months ended September 30, 2025 and 2024 was measured with the following weighted-average assumptions:</w:t>
      </w: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880" w:type="dxa"/>
            <w:vAlign w:val="bottom"/>
            <w:gridSpan w:val="4"/>
          </w:tcPr>
          <w:p>
            <w:pPr>
              <w:jc w:val="center"/>
              <w:ind w:left="41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6"/>
          </w:tcPr>
          <w:p>
            <w:pPr>
              <w:jc w:val="center"/>
              <w:ind w:right="180"/>
              <w:spacing w:after="0" w:line="185" w:lineRule="exact"/>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4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44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3.90%</w:t>
            </w:r>
          </w:p>
        </w:tc>
        <w:tc>
          <w:tcPr>
            <w:tcW w:w="10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3.89%</w:t>
            </w:r>
          </w:p>
        </w:tc>
        <w:tc>
          <w:tcPr>
            <w:tcW w:w="160" w:type="dxa"/>
            <w:vAlign w:val="bottom"/>
            <w:shd w:val="clear" w:color="auto" w:fill="CCECFF"/>
          </w:tcPr>
          <w:p>
            <w:pPr>
              <w:spacing w:after="0"/>
              <w:rPr>
                <w:sz w:val="17"/>
                <w:szCs w:val="17"/>
                <w:color w:val="auto"/>
              </w:rPr>
            </w:pPr>
          </w:p>
        </w:tc>
        <w:tc>
          <w:tcPr>
            <w:tcW w:w="15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4.29%</w:t>
            </w:r>
          </w:p>
        </w:tc>
        <w:tc>
          <w:tcPr>
            <w:tcW w:w="32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3.93%</w:t>
            </w:r>
          </w:p>
        </w:tc>
      </w:tr>
      <w:tr>
        <w:trPr>
          <w:trHeight w:val="203"/>
        </w:trPr>
        <w:tc>
          <w:tcPr>
            <w:tcW w:w="542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80" w:type="dxa"/>
            <w:vAlign w:val="bottom"/>
          </w:tcPr>
          <w:p>
            <w:pPr>
              <w:spacing w:after="0"/>
              <w:rPr>
                <w:sz w:val="17"/>
                <w:szCs w:val="17"/>
                <w:color w:val="auto"/>
              </w:rPr>
            </w:pPr>
          </w:p>
        </w:tc>
      </w:tr>
      <w:tr>
        <w:trPr>
          <w:trHeight w:val="203"/>
        </w:trPr>
        <w:tc>
          <w:tcPr>
            <w:tcW w:w="54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volatility of the underlying stock</w:t>
            </w:r>
          </w:p>
        </w:tc>
        <w:tc>
          <w:tcPr>
            <w:tcW w:w="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91.02%</w:t>
            </w:r>
          </w:p>
        </w:tc>
        <w:tc>
          <w:tcPr>
            <w:tcW w:w="10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88.82%</w:t>
            </w:r>
          </w:p>
        </w:tc>
        <w:tc>
          <w:tcPr>
            <w:tcW w:w="160" w:type="dxa"/>
            <w:vAlign w:val="bottom"/>
            <w:shd w:val="clear" w:color="auto" w:fill="CCECFF"/>
          </w:tcPr>
          <w:p>
            <w:pPr>
              <w:spacing w:after="0"/>
              <w:rPr>
                <w:sz w:val="17"/>
                <w:szCs w:val="17"/>
                <w:color w:val="auto"/>
              </w:rPr>
            </w:pP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90.87%</w:t>
            </w:r>
          </w:p>
        </w:tc>
        <w:tc>
          <w:tcPr>
            <w:tcW w:w="32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88.61%</w:t>
            </w:r>
          </w:p>
        </w:tc>
      </w:tr>
      <w:tr>
        <w:trPr>
          <w:trHeight w:val="239"/>
        </w:trPr>
        <w:tc>
          <w:tcPr>
            <w:tcW w:w="542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1860" w:type="dxa"/>
            <w:vAlign w:val="bottom"/>
            <w:gridSpan w:val="3"/>
          </w:tcPr>
          <w:p>
            <w:pPr>
              <w:jc w:val="right"/>
              <w:ind w:right="10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and performance-based vesting conditions. Unvested restricted stock units may not be sold or transferred by the holder.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nine months ended September 30, 2025 is as follows:</w:t>
      </w:r>
    </w:p>
    <w:tbl>
      <w:tblPr>
        <w:tblLayout w:type="fixed"/>
        <w:tblInd w:w="0" w:type="dxa"/>
        <w:tblCellMar>
          <w:top w:w="0" w:type="dxa"/>
          <w:left w:w="0" w:type="dxa"/>
          <w:bottom w:w="0" w:type="dxa"/>
          <w:right w:w="0" w:type="dxa"/>
        </w:tblCellMar>
      </w:tblPr>
      <w:tr>
        <w:trPr>
          <w:trHeight w:val="198"/>
        </w:trPr>
        <w:tc>
          <w:tcPr>
            <w:tcW w:w="6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rPr>
              <w:t>Weighted-</w:t>
            </w:r>
          </w:p>
        </w:tc>
      </w:tr>
      <w:tr>
        <w:trPr>
          <w:trHeight w:val="203"/>
        </w:trPr>
        <w:tc>
          <w:tcPr>
            <w:tcW w:w="6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r>
      <w:tr>
        <w:trPr>
          <w:trHeight w:val="221"/>
        </w:trPr>
        <w:tc>
          <w:tcPr>
            <w:tcW w:w="6320" w:type="dxa"/>
            <w:vAlign w:val="bottom"/>
          </w:tcPr>
          <w:p>
            <w:pPr>
              <w:spacing w:after="0"/>
              <w:rPr>
                <w:sz w:val="19"/>
                <w:szCs w:val="19"/>
                <w:color w:val="auto"/>
              </w:rPr>
            </w:pPr>
          </w:p>
        </w:tc>
        <w:tc>
          <w:tcPr>
            <w:tcW w:w="26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19"/>
                <w:szCs w:val="19"/>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Grant Date Fair Value</w:t>
            </w: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2024</w:t>
            </w:r>
          </w:p>
        </w:tc>
        <w:tc>
          <w:tcPr>
            <w:tcW w:w="2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1,589,042</w:t>
            </w:r>
          </w:p>
        </w:tc>
        <w:tc>
          <w:tcPr>
            <w:tcW w:w="3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8.76</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1,721,627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Vested/Released</w:t>
            </w:r>
          </w:p>
        </w:tc>
        <w:tc>
          <w:tcPr>
            <w:tcW w:w="2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(379,970)</w:t>
            </w:r>
          </w:p>
        </w:tc>
        <w:tc>
          <w:tcPr>
            <w:tcW w:w="14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8.65</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(125,076)</w:t>
            </w:r>
          </w:p>
        </w:tc>
        <w:tc>
          <w:tcPr>
            <w:tcW w:w="14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100" w:type="dxa"/>
            <w:vAlign w:val="bottom"/>
          </w:tcPr>
          <w:p>
            <w:pPr>
              <w:spacing w:after="0"/>
              <w:rPr>
                <w:sz w:val="17"/>
                <w:szCs w:val="17"/>
                <w:color w:val="auto"/>
              </w:rPr>
            </w:pPr>
          </w:p>
        </w:tc>
      </w:tr>
      <w:tr>
        <w:trPr>
          <w:trHeight w:val="236"/>
        </w:trPr>
        <w:tc>
          <w:tcPr>
            <w:tcW w:w="6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at September 30, 2025</w:t>
            </w:r>
          </w:p>
        </w:tc>
        <w:tc>
          <w:tcPr>
            <w:tcW w:w="2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2,805,623</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2025, 379,970 restricted stock units vested with a fair value of $3.3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1"/>
        </w:trPr>
        <w:tc>
          <w:tcPr>
            <w:tcW w:w="7800" w:type="dxa"/>
            <w:vAlign w:val="bottom"/>
            <w:gridSpan w:val="6"/>
          </w:tcPr>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2980" w:type="dxa"/>
            <w:vAlign w:val="bottom"/>
            <w:gridSpan w:val="4"/>
          </w:tcPr>
          <w:p>
            <w:pPr>
              <w:jc w:val="right"/>
              <w:ind w:right="250"/>
              <w:spacing w:after="0" w:line="202"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21"/>
        </w:trPr>
        <w:tc>
          <w:tcPr>
            <w:tcW w:w="42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196"/>
        </w:trPr>
        <w:tc>
          <w:tcPr>
            <w:tcW w:w="4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60" w:type="dxa"/>
            <w:vAlign w:val="bottom"/>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060" w:type="dxa"/>
            <w:vAlign w:val="bottom"/>
            <w:tcBorders>
              <w:top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1,175</w:t>
            </w:r>
          </w:p>
        </w:tc>
        <w:tc>
          <w:tcPr>
            <w:tcW w:w="100" w:type="dxa"/>
            <w:vAlign w:val="bottom"/>
            <w:shd w:val="clear" w:color="auto" w:fill="CFF0FC"/>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6,005</w:t>
            </w: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4,194</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1,667</w:t>
            </w:r>
          </w:p>
        </w:tc>
        <w:tc>
          <w:tcPr>
            <w:tcW w:w="3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4,591</w:t>
            </w:r>
          </w:p>
        </w:tc>
        <w:tc>
          <w:tcPr>
            <w:tcW w:w="100" w:type="dxa"/>
            <w:vAlign w:val="bottom"/>
          </w:tcPr>
          <w:p>
            <w:pPr>
              <w:spacing w:after="0"/>
              <w:rPr>
                <w:sz w:val="17"/>
                <w:szCs w:val="17"/>
                <w:color w:val="auto"/>
              </w:rPr>
            </w:pPr>
          </w:p>
        </w:tc>
      </w:tr>
      <w:tr>
        <w:trPr>
          <w:trHeight w:val="236"/>
        </w:trPr>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3,688</w:t>
            </w:r>
          </w:p>
        </w:tc>
        <w:tc>
          <w:tcPr>
            <w:tcW w:w="3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2,750</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11,035</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8,785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September 30, 2025, there was $14.6 million of unrecognized compensation expense related to stock options, which is expected to be recognized over a weighted-average period of 2.76 years.</w:t>
      </w:r>
    </w:p>
    <w:p>
      <w:pPr>
        <w:spacing w:after="0" w:line="1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September 30, 2025, there was $17.8 million of unrecognized compensation expense related to restricted stock units, which is expected to be recognized over a weighted-average period of 2.84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May 2025, in connection with the 2025 Follow-On Offering, the Company issued pre-funded warrants to purchase up to 3,571,435 shares of common stock and warrants to purchase an aggregate of 3,826,750 shares of common stock. Each pre-funded warrant has an initial exercise price per share of $0.00001, subject to certain adjustments. The pre-funded warrants are exercisable immediately and may be exercised at any time until all of the pre-funded warrants are exercised in full. Each common stock warrant has an initial exercise price per share of $4.90, subject to certain adjustments. The common stock warrants are immediately exercisable from the date of issuance until expiration five years after the date of issuance. Pursuant to ASC 815-40, </w:t>
      </w:r>
      <w:r>
        <w:rPr>
          <w:rFonts w:ascii="Arial" w:cs="Arial" w:eastAsia="Arial" w:hAnsi="Arial"/>
          <w:sz w:val="18"/>
          <w:szCs w:val="18"/>
          <w:i w:val="1"/>
          <w:iCs w:val="1"/>
          <w:color w:val="auto"/>
        </w:rPr>
        <w:t>Accounting for Derivative Financial Instruments Indexed to, and</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Potentially Settled in, a Company’s Own Stock</w:t>
      </w:r>
      <w:r>
        <w:rPr>
          <w:rFonts w:ascii="Arial" w:cs="Arial" w:eastAsia="Arial" w:hAnsi="Arial"/>
          <w:sz w:val="18"/>
          <w:szCs w:val="18"/>
          <w:color w:val="auto"/>
        </w:rPr>
        <w:t>, the pre-funded warrants and common stock warrants were classified as permanent equity. As</w:t>
      </w:r>
      <w:r>
        <w:rPr>
          <w:rFonts w:ascii="Arial" w:cs="Arial" w:eastAsia="Arial" w:hAnsi="Arial"/>
          <w:sz w:val="18"/>
          <w:szCs w:val="18"/>
          <w:i w:val="1"/>
          <w:iCs w:val="1"/>
          <w:color w:val="auto"/>
        </w:rPr>
        <w:t xml:space="preserve"> </w:t>
      </w:r>
      <w:r>
        <w:rPr>
          <w:rFonts w:ascii="Arial" w:cs="Arial" w:eastAsia="Arial" w:hAnsi="Arial"/>
          <w:sz w:val="18"/>
          <w:szCs w:val="18"/>
          <w:color w:val="auto"/>
        </w:rPr>
        <w:t>of September 30, 2025, 3,571,435 pre-funded warrants and 3,826,750 common stock warrants remained outstanding.</w:t>
      </w:r>
    </w:p>
    <w:p>
      <w:pPr>
        <w:spacing w:after="0" w:line="4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February 2015 and May 2015, the Company issued warrants to purchase 1,650,098 and 887,536 shares of Series B convertible preferred stock, respectively, at an exercise price of $1.24235 per share (the “Series B Warrants”). Each Series B Warrant was immediately exercisable and expired ten years from the original date of issuance. Pursuant to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During the nine months ended September 30, 2025, all 12,686 of these common stock warrants expired, and none remain outstanding as of September 30, 2025.</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warrant activity for the nine months ended September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350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b w:val="1"/>
                <w:bCs w:val="1"/>
                <w:color w:val="auto"/>
              </w:rPr>
              <w:t>Number of Warrants</w:t>
            </w:r>
          </w:p>
        </w:tc>
        <w:tc>
          <w:tcPr>
            <w:tcW w:w="1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3500" w:type="dxa"/>
            <w:vAlign w:val="bottom"/>
            <w:gridSpan w:val="3"/>
          </w:tcPr>
          <w:p>
            <w:pPr>
              <w:ind w:left="620"/>
              <w:spacing w:after="0" w:line="196" w:lineRule="exact"/>
              <w:rPr>
                <w:sz w:val="20"/>
                <w:szCs w:val="20"/>
                <w:color w:val="auto"/>
              </w:rPr>
            </w:pPr>
            <w:r>
              <w:rPr>
                <w:rFonts w:ascii="Arial" w:cs="Arial" w:eastAsia="Arial" w:hAnsi="Arial"/>
                <w:sz w:val="18"/>
                <w:szCs w:val="18"/>
                <w:color w:val="auto"/>
              </w:rPr>
              <w:t>Equity classified</w:t>
            </w:r>
          </w:p>
        </w:tc>
        <w:tc>
          <w:tcPr>
            <w:tcW w:w="14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December 31, 2024</w:t>
            </w:r>
          </w:p>
        </w:tc>
        <w:tc>
          <w:tcPr>
            <w:tcW w:w="2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12,686</w:t>
            </w:r>
          </w:p>
        </w:tc>
        <w:tc>
          <w:tcPr>
            <w:tcW w:w="34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12,686</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Issued</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7,398,185</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7,398,185</w:t>
            </w: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28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(12,686)</w:t>
            </w:r>
          </w:p>
        </w:tc>
        <w:tc>
          <w:tcPr>
            <w:tcW w:w="6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(12,686)</w:t>
            </w:r>
          </w:p>
        </w:tc>
      </w:tr>
      <w:tr>
        <w:trPr>
          <w:trHeight w:val="196"/>
        </w:trPr>
        <w:tc>
          <w:tcPr>
            <w:tcW w:w="62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as of September 30, 2025</w:t>
            </w:r>
          </w:p>
        </w:tc>
        <w:tc>
          <w:tcPr>
            <w:tcW w:w="2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7,398,185</w:t>
            </w:r>
          </w:p>
        </w:tc>
        <w:tc>
          <w:tcPr>
            <w:tcW w:w="340" w:type="dxa"/>
            <w:vAlign w:val="bottom"/>
            <w:tcBorders>
              <w:top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7,398,185</w:t>
            </w:r>
          </w:p>
        </w:tc>
        <w:tc>
          <w:tcPr>
            <w:tcW w:w="120" w:type="dxa"/>
            <w:vAlign w:val="bottom"/>
            <w:tcBorders>
              <w:top w:val="single" w:sz="8" w:color="CFF0FC"/>
            </w:tcBorders>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Code. Eligible employees are permitted to contribute to the 401(k) Plan within statutory and 401(k) Plan limits. The Company makes matching contributions of 100% of the first 6% of employee contributions. The Company made matching contributions of $0.3 million and $0.2 million for the three months ended September 30, 2025 and 2024, respectively. The Company made matching contributions of $1.0 million and $0.7 million for the nine months ended September 30, 2025 and 2024,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7" w:name="page18"/>
    <w:bookmarkEnd w:id="17"/>
    <w:p>
      <w:pPr>
        <w:ind w:left="520" w:right="8080" w:hanging="512"/>
        <w:spacing w:after="0" w:line="339" w:lineRule="auto"/>
        <w:tabs>
          <w:tab w:leader="none" w:pos="311"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September 30, 2025.</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May 16, 2022, the Company entered into an office and laboratory lease in Boston, Massachusetts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unaudited condensed consolidated balance sheets. The lease also provided for the landlord to reimburse the Company up to $0.5 million for certain costs related to expansion of the laboratory space. As of September 30, 2025, the Company has completed the expansion and has incurred and been fully reimbursed for $0.5 million of expenses.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nine months ended September 30, 2025 and 2024 (in thousands):</w:t>
      </w: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40" w:type="dxa"/>
            <w:vAlign w:val="bottom"/>
            <w:gridSpan w:val="4"/>
          </w:tcPr>
          <w:p>
            <w:pPr>
              <w:jc w:val="right"/>
              <w:ind w:right="180"/>
              <w:spacing w:after="0" w:line="184"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right"/>
              <w:ind w:right="500"/>
              <w:spacing w:after="0" w:line="18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00" w:type="dxa"/>
            <w:vAlign w:val="bottom"/>
            <w:gridSpan w:val="3"/>
          </w:tcPr>
          <w:p>
            <w:pPr>
              <w:jc w:val="right"/>
              <w:ind w:right="46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5"/>
          </w:tcPr>
          <w:p>
            <w:pPr>
              <w:jc w:val="right"/>
              <w:ind w:right="72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1"/>
        </w:trPr>
        <w:tc>
          <w:tcPr>
            <w:tcW w:w="5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5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Lease Costs</w:t>
            </w:r>
          </w:p>
        </w:tc>
        <w:tc>
          <w:tcPr>
            <w:tcW w:w="9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Operating lease costs</w:t>
            </w:r>
          </w:p>
        </w:tc>
        <w:tc>
          <w:tcPr>
            <w:tcW w:w="940" w:type="dxa"/>
            <w:vAlign w:val="bottom"/>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867</w:t>
            </w:r>
          </w:p>
        </w:tc>
        <w:tc>
          <w:tcPr>
            <w:tcW w:w="11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2,600</w:t>
            </w: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2,642</w:t>
            </w:r>
          </w:p>
        </w:tc>
        <w:tc>
          <w:tcPr>
            <w:tcW w:w="100" w:type="dxa"/>
            <w:vAlign w:val="bottom"/>
          </w:tcPr>
          <w:p>
            <w:pPr>
              <w:spacing w:after="0"/>
              <w:rPr>
                <w:sz w:val="17"/>
                <w:szCs w:val="17"/>
                <w:color w:val="auto"/>
              </w:rPr>
            </w:pPr>
          </w:p>
        </w:tc>
      </w:tr>
      <w:tr>
        <w:trPr>
          <w:trHeight w:val="203"/>
        </w:trPr>
        <w:tc>
          <w:tcPr>
            <w:tcW w:w="5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Variable lease costs</w:t>
            </w:r>
          </w:p>
        </w:tc>
        <w:tc>
          <w:tcPr>
            <w:tcW w:w="9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296</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Total lease costs</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1,163</w:t>
            </w:r>
          </w:p>
        </w:tc>
        <w:tc>
          <w:tcPr>
            <w:tcW w:w="1180" w:type="dxa"/>
            <w:vAlign w:val="bottom"/>
            <w:gridSpan w:val="2"/>
          </w:tcPr>
          <w:p>
            <w:pPr>
              <w:jc w:val="right"/>
              <w:ind w:right="86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3,469</w:t>
            </w: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3,554</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52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paid for amounts included in the measurement of</w:t>
            </w:r>
          </w:p>
        </w:tc>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liabilities—operating leases</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2,465</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FF0FC"/>
          </w:tcPr>
          <w:p>
            <w:pPr>
              <w:spacing w:after="0"/>
              <w:rPr>
                <w:sz w:val="19"/>
                <w:szCs w:val="19"/>
                <w:color w:val="auto"/>
              </w:rPr>
            </w:pPr>
          </w:p>
        </w:tc>
      </w:tr>
      <w:tr>
        <w:trPr>
          <w:trHeight w:val="184"/>
        </w:trPr>
        <w:tc>
          <w:tcPr>
            <w:tcW w:w="5220" w:type="dxa"/>
            <w:vAlign w:val="bottom"/>
          </w:tcPr>
          <w:p>
            <w:pPr>
              <w:spacing w:after="0" w:line="183" w:lineRule="exact"/>
              <w:rPr>
                <w:sz w:val="20"/>
                <w:szCs w:val="20"/>
                <w:color w:val="auto"/>
              </w:rPr>
            </w:pPr>
            <w:r>
              <w:rPr>
                <w:rFonts w:ascii="Arial" w:cs="Arial" w:eastAsia="Arial" w:hAnsi="Arial"/>
                <w:sz w:val="18"/>
                <w:szCs w:val="18"/>
                <w:color w:val="auto"/>
              </w:rPr>
              <w:t>Weighted-average remaining lease term—operating leases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color w:val="auto"/>
              </w:rPr>
              <w:t>(years)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discount rate—operating leases</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10.71%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-1062355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-1062355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September 30, 2025 (in thousands):</w:t>
      </w: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2"/>
          </w:tcPr>
          <w:p>
            <w:pPr>
              <w:jc w:val="center"/>
              <w:ind w:right="300"/>
              <w:spacing w:after="0" w:line="185" w:lineRule="exact"/>
              <w:rPr>
                <w:sz w:val="20"/>
                <w:szCs w:val="20"/>
                <w:color w:val="auto"/>
              </w:rPr>
            </w:pPr>
            <w:r>
              <w:rPr>
                <w:rFonts w:ascii="Arial" w:cs="Arial" w:eastAsia="Arial" w:hAnsi="Arial"/>
                <w:sz w:val="18"/>
                <w:szCs w:val="18"/>
                <w:b w:val="1"/>
                <w:bCs w:val="1"/>
                <w:color w:val="auto"/>
                <w:w w:val="99"/>
              </w:rPr>
              <w:t>Operating lease</w:t>
            </w:r>
          </w:p>
        </w:tc>
      </w:tr>
      <w:tr>
        <w:trPr>
          <w:trHeight w:val="203"/>
        </w:trPr>
        <w:tc>
          <w:tcPr>
            <w:tcW w:w="45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payments as of</w:t>
            </w:r>
          </w:p>
        </w:tc>
      </w:tr>
      <w:tr>
        <w:trPr>
          <w:trHeight w:val="221"/>
        </w:trPr>
        <w:tc>
          <w:tcPr>
            <w:tcW w:w="45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September 30, 2025</w:t>
            </w:r>
          </w:p>
        </w:tc>
        <w:tc>
          <w:tcPr>
            <w:tcW w:w="100" w:type="dxa"/>
            <w:vAlign w:val="bottom"/>
          </w:tcPr>
          <w:p>
            <w:pPr>
              <w:spacing w:after="0"/>
              <w:rPr>
                <w:sz w:val="19"/>
                <w:szCs w:val="19"/>
                <w:color w:val="auto"/>
              </w:rPr>
            </w:pP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47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3,405</w:t>
            </w:r>
          </w:p>
        </w:tc>
        <w:tc>
          <w:tcPr>
            <w:tcW w:w="100" w:type="dxa"/>
            <w:vAlign w:val="bottom"/>
          </w:tcPr>
          <w:p>
            <w:pPr>
              <w:spacing w:after="0"/>
              <w:rPr>
                <w:sz w:val="17"/>
                <w:szCs w:val="17"/>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4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3,507</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3,611</w:t>
            </w:r>
          </w:p>
        </w:tc>
        <w:tc>
          <w:tcPr>
            <w:tcW w:w="100" w:type="dxa"/>
            <w:vAlign w:val="bottom"/>
          </w:tcPr>
          <w:p>
            <w:pPr>
              <w:spacing w:after="0"/>
              <w:rPr>
                <w:sz w:val="17"/>
                <w:szCs w:val="17"/>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4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3,715</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10,108</w:t>
            </w:r>
          </w:p>
        </w:tc>
        <w:tc>
          <w:tcPr>
            <w:tcW w:w="100" w:type="dxa"/>
            <w:vAlign w:val="bottom"/>
          </w:tcPr>
          <w:p>
            <w:pPr>
              <w:spacing w:after="0"/>
              <w:rPr>
                <w:sz w:val="17"/>
                <w:szCs w:val="17"/>
                <w:color w:val="auto"/>
              </w:rPr>
            </w:pP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4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25,187</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(7,433)</w:t>
            </w:r>
          </w:p>
        </w:tc>
      </w:tr>
      <w:tr>
        <w:trPr>
          <w:trHeight w:val="196"/>
        </w:trPr>
        <w:tc>
          <w:tcPr>
            <w:tcW w:w="4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lease liabilities at September 30, 2025</w:t>
            </w:r>
          </w:p>
        </w:tc>
        <w:tc>
          <w:tcPr>
            <w:tcW w:w="4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20" w:type="dxa"/>
            <w:vAlign w:val="bottom"/>
          </w:tcPr>
          <w:p>
            <w:pPr>
              <w:spacing w:after="0" w:line="196" w:lineRule="exact"/>
              <w:rPr>
                <w:sz w:val="20"/>
                <w:szCs w:val="20"/>
                <w:color w:val="auto"/>
              </w:rPr>
            </w:pPr>
            <w:r>
              <w:rPr>
                <w:rFonts w:ascii="Arial" w:cs="Arial" w:eastAsia="Arial" w:hAnsi="Arial"/>
                <w:sz w:val="18"/>
                <w:szCs w:val="18"/>
                <w:color w:val="auto"/>
              </w:rPr>
              <w:t>Less: current portion of lease liabilities</w:t>
            </w:r>
          </w:p>
        </w:tc>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3,220</w:t>
            </w:r>
          </w:p>
        </w:tc>
        <w:tc>
          <w:tcPr>
            <w:tcW w:w="100" w:type="dxa"/>
            <w:vAlign w:val="bottom"/>
          </w:tcPr>
          <w:p>
            <w:pPr>
              <w:spacing w:after="0"/>
              <w:rPr>
                <w:sz w:val="17"/>
                <w:szCs w:val="17"/>
                <w:color w:val="auto"/>
              </w:rPr>
            </w:pPr>
          </w:p>
        </w:tc>
      </w:tr>
      <w:tr>
        <w:trPr>
          <w:trHeight w:val="23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Lease liabilities, net of current portion</w:t>
            </w:r>
          </w:p>
        </w:tc>
        <w:tc>
          <w:tcPr>
            <w:tcW w:w="47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14,534</w:t>
            </w:r>
          </w:p>
        </w:tc>
        <w:tc>
          <w:tcPr>
            <w:tcW w:w="100" w:type="dxa"/>
            <w:vAlign w:val="bottom"/>
            <w:shd w:val="clear" w:color="auto" w:fill="CFF0FC"/>
          </w:tcPr>
          <w:p>
            <w:pPr>
              <w:spacing w:after="0"/>
              <w:rPr>
                <w:sz w:val="20"/>
                <w:szCs w:val="20"/>
                <w:color w:val="auto"/>
              </w:rPr>
            </w:pPr>
          </w:p>
        </w:tc>
      </w:tr>
      <w:tr>
        <w:trPr>
          <w:trHeight w:val="632"/>
        </w:trPr>
        <w:tc>
          <w:tcPr>
            <w:tcW w:w="4520" w:type="dxa"/>
            <w:vAlign w:val="bottom"/>
            <w:tcBorders>
              <w:top w:val="single" w:sz="8" w:color="CFF0FC"/>
            </w:tcBorders>
          </w:tcPr>
          <w:p>
            <w:pPr>
              <w:spacing w:after="0"/>
              <w:rPr>
                <w:sz w:val="24"/>
                <w:szCs w:val="24"/>
                <w:color w:val="auto"/>
              </w:rPr>
            </w:pPr>
          </w:p>
        </w:tc>
        <w:tc>
          <w:tcPr>
            <w:tcW w:w="4580" w:type="dxa"/>
            <w:vAlign w:val="bottom"/>
            <w:tcBorders>
              <w:top w:val="single" w:sz="8" w:color="CFF0FC"/>
            </w:tcBorders>
          </w:tcPr>
          <w:p>
            <w:pPr>
              <w:jc w:val="right"/>
              <w:ind w:right="329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5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Rakuten License and Supply Agreement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Exclusive Agreement</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2014 Exclusive Agreement, with LI-COR for the license of IRDye 700DC and related licensed patent (now expired) for the treatment and diagnosis of ocular cancers in humans, as amended in January 2016, July 2017, April 2018 and April 2019. The 2014 Exclusive Agreement required a one-time upfront license issue fee of $0.1 million and aggregate milestone payments of up to $0.2 million upon certain regulatory and development milestones. The Company is also required to pay Rakuten low-single digit royalties on net sales. The term of the 2014 Exclusive Agreement expires on a country-by-country basis, until the longer of (i) ten years from the first commercial sale of a licensed product in such country and (ii) the last to expire valid claim in such country.</w:t>
      </w:r>
    </w:p>
    <w:p>
      <w:pPr>
        <w:spacing w:after="0" w:line="3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nine months ended September 30, 2025 and 2024, respectively.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Non-Exclusive Agreement</w:t>
      </w:r>
    </w:p>
    <w:p>
      <w:pPr>
        <w:spacing w:after="0" w:line="7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 million on the effective date. The Company must also pay Rakuten a non-refundable, non-creditable fee of $0.03 million per each licensed product upon pre-IND designation, as defined of such licensed product, aggregate milestone payments of up to $0.3 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nine months ended September 30, 2025 and 2024,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 License Agreements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nine months ended September 30, 2025 and 2024, the Company recognized no milestones related to this agreement.</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nine months ended September 30, 2025 and 2024, the Company recognized no expenses related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9" w:name="page20"/>
    <w:bookmarkEnd w:id="19"/>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2011, the Company entered into a Collaboration Research and Development Agreement, or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previously amended in 2012, 2013, 2014, 2015, 2016, 2018, 2020, and 2022. During the nine months ended September 30, 2025 and 2024, the Company paid no research collaboration fees related to this agreement.</w:t>
      </w:r>
    </w:p>
    <w:p>
      <w:pPr>
        <w:spacing w:after="0" w:line="4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ninth amendment was effective in September 2024, requiring payment of $0.06 million within 30 days of November 30, 2024, and payment of another $0.05 million within 30 days of September 30, 2025. This ninth amendment extended the term of the CRADA to September 30, 2026. During the nine months ended September 30, 2025, the Company recognized $0.05 million of expenses related to this agreement, and during the nine months ended September 30, 2024, the Company did not recognize any expenses related to this agreement.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did not recognize any patent licensing fees for the nine months ended September 30, 2025 and 2024.</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September 30, 2025.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expenses related to milestones in the nine months ended September 30, 2025, and incurred $0.1 million in expenses related to milestones in the nine months ended September 30, 2024.</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8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did not recognize any expenses related to this agreement and related amendments for the nine months ended September 30, 2025 and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The Company has included pre-funded warrants to purchase 3,571,435 shares of common stock at an exercise price of $0.00001 in its computation of basic net loss per share. Diluted net loss per share is the same as basic net loss per share for the periods presented since the effects of potentially dilutive securities are antidilutive given the net loss of the Company.</w:t>
      </w:r>
    </w:p>
    <w:p>
      <w:pPr>
        <w:spacing w:after="0" w:line="17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Company has calculated basic and diluted net loss per share for the three and nine months ended September 30, 2025 and 2024 as follows (in thousands, except share and per share data):</w:t>
      </w: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6"/>
          </w:tcPr>
          <w:p>
            <w:pPr>
              <w:ind w:left="460"/>
              <w:spacing w:after="0" w:line="175"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5"/>
                <w:szCs w:val="15"/>
                <w:color w:val="auto"/>
              </w:rPr>
            </w:pPr>
          </w:p>
        </w:tc>
        <w:tc>
          <w:tcPr>
            <w:tcW w:w="2680" w:type="dxa"/>
            <w:vAlign w:val="bottom"/>
            <w:gridSpan w:val="6"/>
          </w:tcPr>
          <w:p>
            <w:pPr>
              <w:jc w:val="right"/>
              <w:ind w:right="800"/>
              <w:spacing w:after="0" w:line="175" w:lineRule="exact"/>
              <w:rPr>
                <w:sz w:val="20"/>
                <w:szCs w:val="20"/>
                <w:color w:val="auto"/>
              </w:rPr>
            </w:pPr>
            <w:r>
              <w:rPr>
                <w:rFonts w:ascii="Arial" w:cs="Arial" w:eastAsia="Arial" w:hAnsi="Arial"/>
                <w:sz w:val="16"/>
                <w:szCs w:val="16"/>
                <w:b w:val="1"/>
                <w:bCs w:val="1"/>
                <w:color w:val="auto"/>
              </w:rPr>
              <w:t>Nine Months Ended</w:t>
            </w:r>
          </w:p>
        </w:tc>
      </w:tr>
      <w:tr>
        <w:trPr>
          <w:trHeight w:val="203"/>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83"/>
        </w:trPr>
        <w:tc>
          <w:tcPr>
            <w:tcW w:w="4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Numerator:</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(26,130)</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(21,042)</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(80,632)</w:t>
            </w:r>
          </w:p>
        </w:tc>
        <w:tc>
          <w:tcPr>
            <w:tcW w:w="4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(61,085)</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7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Denominator:</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Weighted-average common stock outstanding—basic and diluted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65,936,672</w:t>
            </w: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49,663,532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58,084,093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49,554,930</w:t>
            </w:r>
          </w:p>
        </w:tc>
        <w:tc>
          <w:tcPr>
            <w:tcW w:w="10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Net loss per common share—basic and diluted</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(0.40)</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9"/>
              <w:spacing w:after="0" w:line="170"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(0.42)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840" w:type="dxa"/>
            <w:vAlign w:val="bottom"/>
            <w:gridSpan w:val="3"/>
          </w:tcPr>
          <w:p>
            <w:pPr>
              <w:jc w:val="center"/>
              <w:ind w:left="1030"/>
              <w:spacing w:after="0" w:line="185" w:lineRule="exact"/>
              <w:rPr>
                <w:sz w:val="20"/>
                <w:szCs w:val="20"/>
                <w:color w:val="auto"/>
              </w:rPr>
            </w:pPr>
            <w:r>
              <w:rPr>
                <w:rFonts w:ascii="Arial" w:cs="Arial" w:eastAsia="Arial" w:hAnsi="Arial"/>
                <w:sz w:val="18"/>
                <w:szCs w:val="18"/>
                <w:b w:val="1"/>
                <w:bCs w:val="1"/>
                <w:color w:val="auto"/>
                <w:w w:val="99"/>
              </w:rPr>
              <w:t>Nine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7140" w:type="dxa"/>
            <w:vAlign w:val="bottom"/>
          </w:tcPr>
          <w:p>
            <w:pPr>
              <w:spacing w:after="0"/>
              <w:rPr>
                <w:sz w:val="19"/>
                <w:szCs w:val="19"/>
                <w:color w:val="auto"/>
              </w:rPr>
            </w:pPr>
          </w:p>
        </w:tc>
        <w:tc>
          <w:tcPr>
            <w:tcW w:w="284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9"/>
              </w:rPr>
              <w:t>September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18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6,478,162</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5,746,441</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2,805,623</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1,639,298</w:t>
            </w:r>
          </w:p>
        </w:tc>
        <w:tc>
          <w:tcPr>
            <w:tcW w:w="10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3,826,750</w:t>
            </w:r>
          </w:p>
        </w:tc>
        <w:tc>
          <w:tcPr>
            <w:tcW w:w="2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Total potential dilutive shares</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13,110,535</w:t>
            </w: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7,398,425</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-161925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For the nine months ended September 30, 2025 and 2024, the Company recorded an income tax provision of $0.1 million in each period, resulting in an effective tax rate of 0.1% in each period. The income tax provision for the nine months ended September 30, 2025 is attributable to state and foreign income taxes. The difference in the statutory rate and the effective tax rate is primarily the result of the valuation allowance recorded on all deferred tax assets.</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Due to the Company’s history of operating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September 30, 2025, the Company had no unrecognized income tax benefits that would reduce the Company’s effective tax rate if recognized.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 reportable segment which includes all activities related to the research and development of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unaudited condensed consolidated balance sheets as cash and cash equivalents and marketable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firstLine="509"/>
        <w:spacing w:after="0" w:line="245" w:lineRule="auto"/>
        <w:rPr>
          <w:sz w:val="20"/>
          <w:szCs w:val="20"/>
          <w:color w:val="auto"/>
        </w:rPr>
      </w:pPr>
      <w:r>
        <w:rPr>
          <w:rFonts w:ascii="Arial" w:cs="Arial" w:eastAsia="Arial" w:hAnsi="Arial"/>
          <w:sz w:val="18"/>
          <w:szCs w:val="18"/>
          <w:color w:val="auto"/>
        </w:rPr>
        <w:t>As a single reportable segment entity, the Company’s segment performance measure is consolidated net loss. Significant segment expenses are presented below.</w:t>
      </w: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jc w:val="right"/>
              <w:ind w:right="740"/>
              <w:spacing w:after="0" w:line="185" w:lineRule="exact"/>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6"/>
                <w:szCs w:val="16"/>
                <w:color w:val="auto"/>
              </w:rPr>
            </w:pPr>
          </w:p>
        </w:tc>
        <w:tc>
          <w:tcPr>
            <w:tcW w:w="2320" w:type="dxa"/>
            <w:vAlign w:val="bottom"/>
            <w:gridSpan w:val="5"/>
          </w:tcPr>
          <w:p>
            <w:pPr>
              <w:jc w:val="right"/>
              <w:ind w:right="480"/>
              <w:spacing w:after="0" w:line="185" w:lineRule="exact"/>
              <w:rPr>
                <w:sz w:val="20"/>
                <w:szCs w:val="20"/>
                <w:color w:val="auto"/>
              </w:rPr>
            </w:pPr>
            <w:r>
              <w:rPr>
                <w:rFonts w:ascii="Arial" w:cs="Arial" w:eastAsia="Arial" w:hAnsi="Arial"/>
                <w:sz w:val="18"/>
                <w:szCs w:val="18"/>
                <w:b w:val="1"/>
                <w:bCs w:val="1"/>
                <w:color w:val="auto"/>
              </w:rPr>
              <w:t>Nine Months Ended</w:t>
            </w:r>
          </w:p>
        </w:tc>
      </w:tr>
      <w:tr>
        <w:trPr>
          <w:trHeight w:val="221"/>
        </w:trPr>
        <w:tc>
          <w:tcPr>
            <w:tcW w:w="4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10"/>
              <w:spacing w:after="0" w:line="196" w:lineRule="exact"/>
              <w:rPr>
                <w:sz w:val="20"/>
                <w:szCs w:val="20"/>
                <w:color w:val="auto"/>
              </w:rPr>
            </w:pPr>
            <w:r>
              <w:rPr>
                <w:rFonts w:ascii="Arial" w:cs="Arial" w:eastAsia="Arial" w:hAnsi="Arial"/>
                <w:sz w:val="18"/>
                <w:szCs w:val="18"/>
                <w:b w:val="1"/>
                <w:bCs w:val="1"/>
                <w:color w:val="auto"/>
                <w:w w:val="76"/>
              </w:rPr>
              <w:t>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right"/>
              <w:ind w:right="70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464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Clinical, Preclinical, and R&amp;D Operations </w:t>
            </w:r>
            <w:r>
              <w:rPr>
                <w:rFonts w:ascii="Arial" w:cs="Arial" w:eastAsia="Arial" w:hAnsi="Arial"/>
                <w:sz w:val="23"/>
                <w:szCs w:val="23"/>
                <w:color w:val="auto"/>
                <w:vertAlign w:val="superscript"/>
              </w:rPr>
              <w:t>(1)</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(15,509)</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(10,560)</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(48,706)</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(34,182)</w:t>
            </w:r>
          </w:p>
        </w:tc>
      </w:tr>
      <w:tr>
        <w:trPr>
          <w:trHeight w:val="203"/>
        </w:trPr>
        <w:tc>
          <w:tcPr>
            <w:tcW w:w="464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Chemistry, Manufacturing, and Controls </w:t>
            </w:r>
            <w:r>
              <w:rPr>
                <w:rFonts w:ascii="Arial" w:cs="Arial" w:eastAsia="Arial" w:hAnsi="Arial"/>
                <w:sz w:val="23"/>
                <w:szCs w:val="23"/>
                <w:color w:val="auto"/>
                <w:vertAlign w:val="superscript"/>
              </w:rPr>
              <w:t>(1)</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(6,669)</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(6,477)</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(19,696)</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(16,785)</w:t>
            </w:r>
          </w:p>
        </w:tc>
      </w:tr>
      <w:tr>
        <w:trPr>
          <w:trHeight w:val="203"/>
        </w:trPr>
        <w:tc>
          <w:tcPr>
            <w:tcW w:w="464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3"/>
                <w:szCs w:val="23"/>
                <w:color w:val="auto"/>
                <w:vertAlign w:val="superscript"/>
              </w:rPr>
              <w:t>(1)</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(5,728)</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(6,196)</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(17,151)</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(17,341)</w:t>
            </w:r>
          </w:p>
        </w:tc>
      </w:tr>
      <w:tr>
        <w:trPr>
          <w:trHeight w:val="203"/>
        </w:trPr>
        <w:tc>
          <w:tcPr>
            <w:tcW w:w="464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(2)</w:t>
            </w:r>
          </w:p>
        </w:tc>
        <w:tc>
          <w:tcPr>
            <w:tcW w:w="1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4,921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7,223</w:t>
            </w:r>
          </w:p>
        </w:tc>
        <w:tc>
          <w:tcPr>
            <w:tcW w:w="100" w:type="dxa"/>
            <w:vAlign w:val="bottom"/>
          </w:tcPr>
          <w:p>
            <w:pPr>
              <w:spacing w:after="0"/>
              <w:rPr>
                <w:sz w:val="17"/>
                <w:szCs w:val="17"/>
                <w:color w:val="auto"/>
              </w:rPr>
            </w:pPr>
          </w:p>
        </w:tc>
      </w:tr>
      <w:tr>
        <w:trPr>
          <w:trHeight w:val="232"/>
        </w:trPr>
        <w:tc>
          <w:tcPr>
            <w:tcW w:w="4640" w:type="dxa"/>
            <w:vAlign w:val="bottom"/>
          </w:tcPr>
          <w:p>
            <w:pPr>
              <w:ind w:left="300"/>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(26,130)</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(21,042)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(80,632)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(61,085)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20" w:hanging="212"/>
        <w:spacing w:after="0"/>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depreciation expense directly allocated to respective activities.</w:t>
      </w:r>
    </w:p>
    <w:p>
      <w:pPr>
        <w:spacing w:after="0" w:line="2" w:lineRule="exact"/>
        <w:rPr>
          <w:rFonts w:ascii="Arial" w:cs="Arial" w:eastAsia="Arial" w:hAnsi="Arial"/>
          <w:sz w:val="13"/>
          <w:szCs w:val="13"/>
          <w:color w:val="auto"/>
        </w:rPr>
      </w:pPr>
    </w:p>
    <w:p>
      <w:pPr>
        <w:ind w:left="220" w:hanging="212"/>
        <w:spacing w:after="0"/>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segment items primarily include interest and accretion income, realized gains and losses,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no subsequent events that require disclosure.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lead candidate bel-sar is in late-stage clinical development for the treatment of patients with small choroidal melanoma or indeterminate lesions, or early choroidal melanoma, and is also in clinical development for other ocular oncology indications and bladder cancer.</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We believe enrollment for this Phase 3 trial may be completed in 2026, and we expect to provide top-line data readout for the 15-month primary endpoint in the fourth quarter of 2027. Moreover, we intend to assess the safety and efficacy of bel-sar in treating a range of other solid tumors, beginning with metastases of the choroid and bladder cancer where bel-sar is in clinical development. We believe bel-sar, if approved, has the potential to change the current treatment paradigm for patients with ocular and urologic cancers and other solid tumors.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Bel-sar has shown clinical benefit and has been generally well-tolerated in clinical trials to date. In a Phase 2 study (ClinicalTrials.gov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NCT04417530) evaluating suprachoroidal administration of bel-sar for the first-line treatment of early choroidal melanoma, patients were</w:t>
      </w:r>
    </w:p>
    <w:p>
      <w:pPr>
        <w:spacing w:after="0" w:line="234" w:lineRule="auto"/>
        <w:rPr>
          <w:sz w:val="20"/>
          <w:szCs w:val="20"/>
          <w:color w:val="auto"/>
        </w:rPr>
      </w:pPr>
      <w:r>
        <w:rPr>
          <w:rFonts w:ascii="Arial" w:cs="Arial" w:eastAsia="Arial" w:hAnsi="Arial"/>
          <w:sz w:val="18"/>
          <w:szCs w:val="18"/>
          <w:color w:val="auto"/>
        </w:rPr>
        <w:t>closely monitored over a twelve-month follow-up period to assess tumor control, visual acuity preservation, and tumor growth rate. A total of</w:t>
      </w:r>
    </w:p>
    <w:p>
      <w:pPr>
        <w:spacing w:after="0" w:line="235" w:lineRule="auto"/>
        <w:rPr>
          <w:sz w:val="20"/>
          <w:szCs w:val="20"/>
          <w:color w:val="auto"/>
        </w:rPr>
      </w:pPr>
      <w:r>
        <w:rPr>
          <w:rFonts w:ascii="Arial" w:cs="Arial" w:eastAsia="Arial" w:hAnsi="Arial"/>
          <w:sz w:val="18"/>
          <w:szCs w:val="18"/>
          <w:color w:val="auto"/>
        </w:rPr>
        <w:t>22 patients were enrolled in the study. Bel-sar achieved an 80% tumor control rate (n=8/10) among Phase 3-eligible patients who received</w:t>
      </w:r>
    </w:p>
    <w:p>
      <w:pPr>
        <w:spacing w:after="0" w:line="235" w:lineRule="auto"/>
        <w:rPr>
          <w:sz w:val="20"/>
          <w:szCs w:val="20"/>
          <w:color w:val="auto"/>
        </w:rPr>
      </w:pPr>
      <w:r>
        <w:rPr>
          <w:rFonts w:ascii="Arial" w:cs="Arial" w:eastAsia="Arial" w:hAnsi="Arial"/>
          <w:sz w:val="18"/>
          <w:szCs w:val="18"/>
          <w:color w:val="auto"/>
        </w:rPr>
        <w:t>the therapeutic regimen, with complete cessation of growth following treatment among responders (post-treatment average growth rate of</w:t>
      </w:r>
    </w:p>
    <w:p>
      <w:pPr>
        <w:spacing w:after="0" w:line="235" w:lineRule="auto"/>
        <w:rPr>
          <w:sz w:val="20"/>
          <w:szCs w:val="20"/>
          <w:color w:val="auto"/>
        </w:rPr>
      </w:pPr>
      <w:r>
        <w:rPr>
          <w:rFonts w:ascii="Arial" w:cs="Arial" w:eastAsia="Arial" w:hAnsi="Arial"/>
          <w:sz w:val="18"/>
          <w:szCs w:val="18"/>
          <w:color w:val="auto"/>
        </w:rPr>
        <w:t>0.011 mm/yr among responders compared to 0.351 mm/yr prior to study entry; p&lt;0.0001). Visual acuity preservation was achieved in 90% of</w:t>
      </w:r>
    </w:p>
    <w:p>
      <w:pPr>
        <w:spacing w:after="0" w:line="235" w:lineRule="auto"/>
        <w:rPr>
          <w:sz w:val="20"/>
          <w:szCs w:val="20"/>
          <w:color w:val="auto"/>
        </w:rPr>
      </w:pPr>
      <w:r>
        <w:rPr>
          <w:rFonts w:ascii="Arial" w:cs="Arial" w:eastAsia="Arial" w:hAnsi="Arial"/>
          <w:sz w:val="18"/>
          <w:szCs w:val="18"/>
          <w:color w:val="auto"/>
        </w:rPr>
        <w:t>these ten patients. Importantly, 80% of these ten patients were at high risk for vision loss with tumors close to the fovea or optic disc,</w:t>
      </w:r>
    </w:p>
    <w:p>
      <w:pPr>
        <w:spacing w:after="0" w:line="234" w:lineRule="auto"/>
        <w:rPr>
          <w:sz w:val="20"/>
          <w:szCs w:val="20"/>
          <w:color w:val="auto"/>
        </w:rPr>
      </w:pPr>
      <w:r>
        <w:rPr>
          <w:rFonts w:ascii="Arial" w:cs="Arial" w:eastAsia="Arial" w:hAnsi="Arial"/>
          <w:sz w:val="18"/>
          <w:szCs w:val="18"/>
          <w:color w:val="auto"/>
        </w:rPr>
        <w:t>highlighting the potential for vision preservation with this novel class of drugs. The safety profile of bel-sar was highly favorable in all</w:t>
      </w:r>
    </w:p>
    <w:p>
      <w:pPr>
        <w:spacing w:after="0" w:line="235" w:lineRule="auto"/>
        <w:rPr>
          <w:sz w:val="20"/>
          <w:szCs w:val="20"/>
          <w:color w:val="auto"/>
        </w:rPr>
      </w:pPr>
      <w:r>
        <w:rPr>
          <w:rFonts w:ascii="Arial" w:cs="Arial" w:eastAsia="Arial" w:hAnsi="Arial"/>
          <w:sz w:val="18"/>
          <w:szCs w:val="18"/>
          <w:color w:val="auto"/>
        </w:rPr>
        <w:t>participants regardless of dose. We believe the Phase 2 results are a significant achievement considering the typically poor prognosis</w:t>
      </w:r>
    </w:p>
    <w:p>
      <w:pPr>
        <w:spacing w:after="0" w:line="235" w:lineRule="auto"/>
        <w:rPr>
          <w:sz w:val="20"/>
          <w:szCs w:val="20"/>
          <w:color w:val="auto"/>
        </w:rPr>
      </w:pPr>
      <w:r>
        <w:rPr>
          <w:rFonts w:ascii="Arial" w:cs="Arial" w:eastAsia="Arial" w:hAnsi="Arial"/>
          <w:sz w:val="18"/>
          <w:szCs w:val="18"/>
          <w:color w:val="auto"/>
        </w:rPr>
        <w:t>associated with choroidal melanoma, a rare and life-threatening ocular cancer, where there are no approved vision-preserving therapies to</w:t>
      </w:r>
    </w:p>
    <w:p>
      <w:pPr>
        <w:spacing w:after="0"/>
        <w:rPr>
          <w:sz w:val="20"/>
          <w:szCs w:val="20"/>
          <w:color w:val="auto"/>
        </w:rPr>
      </w:pPr>
      <w:r>
        <w:rPr>
          <w:rFonts w:ascii="Arial" w:cs="Arial" w:eastAsia="Arial" w:hAnsi="Arial"/>
          <w:sz w:val="18"/>
          <w:szCs w:val="18"/>
          <w:color w:val="auto"/>
        </w:rPr>
        <w:t>date.</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believe bel-sar has the possibility to transform the field of ocular oncology beyond choroidal melanoma and we plan to expand clinical development in two additional indications: metastases to the choroid and cancers of the ocular surface. Bel-sar has the potential to treat a wide variety of tumor types that metastasize from several primary tumors. We have initiated a Phase 2 clinical trial in metastases to the choroid from breast and lung cancer and have activated sites with patients in prescreening in the United States. We have implemented a protocol amendment for the Phase 2 trial to broaden the inclusion criteria beyond breast and lung cancer to include all metastases from different solid tumors. In addition to advancing bel-sar in metastases to the choroid, we believe this approach will provide clinical insights into multiple tumor types that could be impacted by bel-sar. We expect early proof-of-concept data from this trial in 2026. We also continue to advance pre-clinical and clinical activities in cancers of the ocular surface, which has an incidence rate of 35,000 patients a year in the United States and Europe. We plan to have initial data from an early safety and feasibility, proof of concept Phase 1 trial in cancers of the ocular surface in 2026.</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ind w:firstLine="509"/>
        <w:spacing w:after="0"/>
        <w:rPr>
          <w:sz w:val="20"/>
          <w:szCs w:val="20"/>
          <w:color w:val="auto"/>
        </w:rPr>
      </w:pPr>
      <w:r>
        <w:rPr>
          <w:rFonts w:ascii="Arial" w:cs="Arial" w:eastAsia="Arial" w:hAnsi="Arial"/>
          <w:sz w:val="18"/>
          <w:szCs w:val="18"/>
          <w:color w:val="auto"/>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18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Beyond ocular cancers, bel-sar is in early clinical development in bladder cancer. Bladder cancer is the ninth most common cancer worldwide and it is diagnosed early as non-muscle invasive bladder cancer, or NMIBC, with a prevalence of approximately 80,000 cases per year in the United States. Despite the early diagnosis, patients with NMIBC have a high risk of recurrence and progression with current SoC treatments. In March 2025, we announced positive data from our Phase 1 trial in NMIBC (ClinicalTrials.gov ID: NCT05483868) and, based on these positive data, we are advancing the development of bel-sar in NMIBC. The ongoing Phase 1b/2 trial will evaluate additional doses and cycles of bel-sar in approximately 26 intermediate and high-risk NMIBC patients. The trial will evaluate two approaches: an immune ablative design and a multimodal neoadjuvant design. In the immune ablative approach, bel-sar will be administered in two cycles without the need for a transurethral resection of the bladder tumor, or TURBT. In the multimodal neoadjuvant cohorts, bel-sar will be administered in two cycles ahead of TURBT. For both approaches, the patients will be monitored for response assessments and reoccurrence at 3, 6, 9, and 12 months. The endpoints of this trial include multiple efficacy assessments, such as complete response rate at 3 months and durability of response up to 12 months in the immune ablative cohorts and recurrence-free survival in the neoadjuvant cohorts. The patients will also be monitored for safety. This trial is actively enrolling and remains on track, with initial 3-month clinical data expected in mid-2026.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509"/>
        <w:spacing w:after="0" w:line="234" w:lineRule="auto"/>
        <w:rPr>
          <w:sz w:val="20"/>
          <w:szCs w:val="20"/>
          <w:color w:val="auto"/>
        </w:rPr>
      </w:pPr>
      <w:r>
        <w:rPr>
          <w:rFonts w:ascii="Arial" w:cs="Arial" w:eastAsia="Arial" w:hAnsi="Arial"/>
          <w:sz w:val="18"/>
          <w:szCs w:val="18"/>
          <w:color w:val="auto"/>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and maintaining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September 30, 2025, we have raised an aggregate of approximately $495.4 million of gross proceeds primarily from private placements of our equity and convertible preferred stock as well as through the issuance of our common stock. On May 16, 2025, we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 weighted average price of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605,585 shares of common stock at a weighted average price of $6.49 for aggregate gross proceeds of $3.9 million during the three and nine months ended September 30, 2025 under the ATM.</w:t>
      </w:r>
    </w:p>
    <w:p>
      <w:pPr>
        <w:spacing w:after="0" w:line="19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$80.6 million and $61.1 million for the nine months ended September 30, 2025 and 2024, respectively. As of September 30, 2025, we had an accumulated deficit of $454.9 million. In addition, our losses from operations may fluctuate significantly from quarter-to-quarter and year-to-year, depending on the timing of our clinical trials and our expenditures on other research and development activities.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48"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establishing and developing our contract development and manufacturing relationships;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1160" w:right="20" w:hanging="508"/>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9" w:lineRule="exact"/>
        <w:rPr>
          <w:rFonts w:ascii="Times New Roman" w:cs="Times New Roman" w:eastAsia="Times New Roman" w:hAnsi="Times New Roman"/>
          <w:sz w:val="18"/>
          <w:szCs w:val="18"/>
          <w:color w:val="auto"/>
        </w:rPr>
      </w:pPr>
    </w:p>
    <w:p>
      <w:pPr>
        <w:ind w:left="1160" w:right="20" w:hanging="508"/>
        <w:spacing w:after="0" w:line="270"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As of September 30, 2025, we had cash and cash equivalents and marketable securities of $161.9 million. We believe that our existing cash and cash equivalents and marketable securities will enable us to fund our operating expenses and capital expenditure requirements into the first half of 2027. We have based this estimate on assumptions that may prove to be wrong, and we could exhaust our available capital resources sooner than we expect.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or from collaboration or licensing agreements, if at all. We may never succeed in obtaining regulatory approval and may never enter into collaboration or licensing agreements for any of our product candidates.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ind w:left="1160" w:right="2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1"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ind w:left="1160" w:hanging="508"/>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cost of CDMOs that manufacture product for use in our preclinical studies and clinical trials and perform analytical testing, scale-up and other services in connection with our development activities;</w:t>
      </w: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39"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6" w:name="page27"/>
    <w:bookmarkEnd w:id="26"/>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our general and administrative expenses will increase in the near term as we continue to build a team to support our administrative, accounting and finance, communications, commercial strategy,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gains and losses on marketable securities, interest income on our invested cash balances, and gains and losses on disposals of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Provision, Net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For the year ended December 31, 2024, we recorded a $0.1 million income tax provision related to current state and foreign income taxes. Since our inception, we have not recorded any U.S. federal or state tax benefits for our net operating loss carryforwards or research and development tax credits due to the realizability of future taxable income to utilize these tax attributes. As of December 31, 2024, we had accumulated federal, state, and foreign net operating loss carryforwards of approximately $209.8 million, $ 183.6 million, and $0.7 million, respectively, which may be available to offset future taxable income before applicable expiration periods. As of December 31, 2024, we had federal and state research and development credit carryforwards of $ 11.3 million and $2.9 million, respectively, which may be available to offset future income tax liabilities before applicable expiration periods. We have recorded a full valuation allowance against the tax benefits, as the determination of the realization of the deferred tax assets was not determined to be more likely than not.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30"/>
              <w:spacing w:after="0" w:line="196" w:lineRule="exact"/>
              <w:rPr>
                <w:sz w:val="20"/>
                <w:szCs w:val="20"/>
                <w:color w:val="auto"/>
              </w:rPr>
            </w:pPr>
            <w:r>
              <w:rPr>
                <w:rFonts w:ascii="Arial" w:cs="Arial" w:eastAsia="Arial" w:hAnsi="Arial"/>
                <w:sz w:val="18"/>
                <w:szCs w:val="18"/>
                <w:b w:val="1"/>
                <w:bCs w:val="1"/>
                <w:color w:val="auto"/>
                <w:w w:val="74"/>
              </w:rPr>
              <w:t>thousands)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22,178</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17,036</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27,906</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23,232</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(27,906)</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(23,232)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(26,104)</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(20,999)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tax provision, net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(26,130)</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(21,042)</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-1233805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-1233805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-959485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-959485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-162560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September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30"/>
              <w:spacing w:after="0" w:line="196" w:lineRule="exact"/>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Preclinical</w:t>
            </w:r>
          </w:p>
        </w:tc>
        <w:tc>
          <w:tcPr>
            <w:tcW w:w="17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Clinical trials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6,918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4,429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 development</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Personnel/overhead expenses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10,649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7,912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22,178</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17,036</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$ 22.2 million for the three months ended September 30, 2025 from $17.0 million for the three months ended September 30, 2024, primarily due to ongoing clinical and CRO costs associated with the progression of our global Phase 3 trial of bel-sar in early choroidal melanoma and higher personnel expenses related to growth of our company.</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General and administrative expenses decreased to $5.7 million for the three months ended September 30, 2025 from $6.2 million for the three months ended September 30, 2024, primarily driven by reduced professional fees.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30"/>
              <w:spacing w:after="0" w:line="196" w:lineRule="exact"/>
              <w:rPr>
                <w:sz w:val="20"/>
                <w:szCs w:val="20"/>
                <w:color w:val="auto"/>
              </w:rPr>
            </w:pPr>
            <w:r>
              <w:rPr>
                <w:rFonts w:ascii="Arial" w:cs="Arial" w:eastAsia="Arial" w:hAnsi="Arial"/>
                <w:sz w:val="18"/>
                <w:szCs w:val="18"/>
                <w:b w:val="1"/>
                <w:bCs w:val="1"/>
                <w:color w:val="auto"/>
                <w:w w:val="74"/>
              </w:rPr>
              <w:t>thousands)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68,403</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50,968</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17,151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CFF0FC"/>
              <w:bottom w:val="single" w:sz="8" w:color="auto"/>
            </w:tcBorders>
          </w:tcPr>
          <w:p>
            <w:pPr>
              <w:spacing w:after="0"/>
              <w:rPr>
                <w:sz w:val="17"/>
                <w:szCs w:val="17"/>
                <w:color w:val="auto"/>
              </w:rPr>
            </w:pPr>
          </w:p>
        </w:tc>
        <w:tc>
          <w:tcPr>
            <w:tcW w:w="980" w:type="dxa"/>
            <w:vAlign w:val="bottom"/>
            <w:tcBorders>
              <w:top w:val="single" w:sz="8" w:color="CFF0FC"/>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85,554</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CFF0FC"/>
              <w:bottom w:val="single" w:sz="8" w:color="auto"/>
            </w:tcBorders>
          </w:tcPr>
          <w:p>
            <w:pPr>
              <w:spacing w:after="0"/>
              <w:rPr>
                <w:sz w:val="17"/>
                <w:szCs w:val="17"/>
                <w:color w:val="auto"/>
              </w:rPr>
            </w:pPr>
          </w:p>
        </w:tc>
        <w:tc>
          <w:tcPr>
            <w:tcW w:w="960" w:type="dxa"/>
            <w:vAlign w:val="bottom"/>
            <w:tcBorders>
              <w:top w:val="single" w:sz="8" w:color="CFF0FC"/>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68,309</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17,245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(85,554)</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(68,309)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(17,245)</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(72)</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5,015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7,312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(80,539)</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(60,997)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tax provision, net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(80,632)</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(61,085)</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-968375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-968375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-436245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-436245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-162560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nine months ended September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30"/>
              <w:spacing w:after="0" w:line="196" w:lineRule="exact"/>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Preclinical</w:t>
            </w:r>
          </w:p>
        </w:tc>
        <w:tc>
          <w:tcPr>
            <w:tcW w:w="17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Clinical trials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23,622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15,146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 development</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12,410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11,042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Personnel/overhead expenses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31,372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24,476</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68,403</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50,968</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17,435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$68.4 million for the nine months ended September 30, 2025 from $51.0 million for the nine months ended September 30, 2024, primarily due to ongoing clinical and CRO costs associated with the progression of our global Phase 3 trial of bel-sar in early choroidal melanoma and higher personnel expenses related to growth of our company.</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General and administrative expenses decreased to $17.2 million for the nine months ended September 30, 2025 from $17.3 million for the nine months ended September 30, 2024, primarily driven by reduced professional fees.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warrants and common stock. Through September 30, 2025, we have raised an aggregate of approximately $495.4 million of gross proceeds primarily from private placements of our equity and convertible preferred stock and warrants, as well as through the issuance of our common stock. On May 16, 2025, we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$ 9.00 per share for aggregate gross proceeds of $ 99.0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 weighted average price of $12.49 for aggregate gross proceeds of $3.3 million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605,585 shares of common stock at a weighted average price of $6.49 for aggregate gross proceeds of $3.9 million during the three and nine months ended September 30, 2025 under the ATM.</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(in</w:t>
            </w:r>
          </w:p>
        </w:tc>
        <w:tc>
          <w:tcPr>
            <w:tcW w:w="82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w w:val="78"/>
              </w:rPr>
              <w:t>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(64,273)</w:t>
            </w:r>
          </w:p>
        </w:tc>
        <w:tc>
          <w:tcPr>
            <w:tcW w:w="64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(55,853)</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5,771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39,126</w:t>
            </w: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74,388</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15,886</w:t>
            </w:r>
          </w:p>
        </w:tc>
        <w:tc>
          <w:tcPr>
            <w:tcW w:w="180" w:type="dxa"/>
            <w:vAlign w:val="bottom"/>
          </w:tcPr>
          <w:p>
            <w:pPr>
              <w:spacing w:after="0"/>
              <w:rPr>
                <w:sz w:val="17"/>
                <w:szCs w:val="17"/>
                <w:color w:val="auto"/>
              </w:rPr>
            </w:pPr>
          </w:p>
        </w:tc>
        <w:tc>
          <w:tcPr>
            <w:tcW w:w="64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(15,675)</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nine months ended September 30, 2025, net cash used in operating activities was $64.3 million primarily due to our net loss of $80.6 million, partially offset by stock-based compensation expense and an increase in accrued expenses and other current liabilities related to timing of vendor invoicing and payments.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nine months ended September 30, 2024, net cash used in operating activities was $55.9 million, primarily due to our net loss of $61.1 million and an increase in prepaid expenses related to CRO costs associated with our Phase 3 trial of bel-sar in early choroidal melanoma, partially offset by an increase in stock-based compensation expense.</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during the nine months ended September 30, 2025 was $5.8 million primarily due to maturities of marketable securities partially offset by purchases of marketable securities and property and equipment.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during the nine months ended September 30, 2024 was $39.1 million primarily due to maturities of marketable securities partially offset by purchases of marketable securities and property and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nine months ended September 30, 2025, net cash provided by financing activities was $74.4 million primarily from proceeds related to the issuance of common stock, pre-funded warrants, and common stock warrants in the 2025 Follow-On Offering as well as issuance of common stock under the ATM.</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nine months ended September 30, 2024, net cash provided by financing activities was $1.1 million from proceeds from stock options exercises and issuance of common stock under the ESPP.</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plan of operation is to continue implementing our business strategy, continue research, development and manufacture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ind w:left="1160" w:hanging="508"/>
        <w:spacing w:after="0" w:line="252"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48"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46"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are approved, our ability to establish a commercially viable pricing structure and obtain approval for coverage and adequate reimbursement from third-party and government payors;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September 30, 2025, we had cash, cash equivalents, and marketable securities of $161.9 million. Based on our research and development plans, we believe that our existing cash, cash equivalents, and marketable securities will be sufficient to fund our operations into the first half of 2027. We have based this estimate on assumptions that may prove to be wrong, and we could exhaust our available capital resources sooner than we expect.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ind w:firstLine="509"/>
        <w:spacing w:after="0" w:line="242"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September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3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rPr>
              <w:t>Less than</w:t>
            </w:r>
          </w:p>
        </w:tc>
        <w:tc>
          <w:tcPr>
            <w:tcW w:w="340" w:type="dxa"/>
            <w:vAlign w:val="bottom"/>
          </w:tcPr>
          <w:p>
            <w:pPr>
              <w:spacing w:after="0"/>
              <w:rPr>
                <w:sz w:val="15"/>
                <w:szCs w:val="15"/>
                <w:color w:val="auto"/>
              </w:rPr>
            </w:pPr>
          </w:p>
        </w:tc>
        <w:tc>
          <w:tcPr>
            <w:tcW w:w="1260" w:type="dxa"/>
            <w:vAlign w:val="bottom"/>
            <w:gridSpan w:val="2"/>
          </w:tcPr>
          <w:p>
            <w:pPr>
              <w:ind w:left="300"/>
              <w:spacing w:after="0" w:line="177"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5"/>
                <w:szCs w:val="15"/>
                <w:color w:val="auto"/>
              </w:rPr>
            </w:pPr>
          </w:p>
        </w:tc>
        <w:tc>
          <w:tcPr>
            <w:tcW w:w="116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3 to 5</w:t>
            </w:r>
          </w:p>
        </w:tc>
        <w:tc>
          <w:tcPr>
            <w:tcW w:w="340" w:type="dxa"/>
            <w:vAlign w:val="bottom"/>
          </w:tcPr>
          <w:p>
            <w:pPr>
              <w:spacing w:after="0"/>
              <w:rPr>
                <w:sz w:val="15"/>
                <w:szCs w:val="15"/>
                <w:color w:val="auto"/>
              </w:rPr>
            </w:pPr>
          </w:p>
        </w:tc>
        <w:tc>
          <w:tcPr>
            <w:tcW w:w="1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5"/>
                <w:szCs w:val="15"/>
                <w:color w:val="auto"/>
              </w:rPr>
            </w:pPr>
          </w:p>
        </w:tc>
      </w:tr>
      <w:tr>
        <w:trPr>
          <w:trHeight w:val="221"/>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4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5 Years</w:t>
            </w:r>
          </w:p>
        </w:tc>
      </w:tr>
      <w:tr>
        <w:trPr>
          <w:trHeight w:val="196"/>
        </w:trPr>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3"/>
              </w:rPr>
              <w:t>(in 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commitments (1)</w:t>
            </w:r>
          </w:p>
        </w:tc>
        <w:tc>
          <w:tcPr>
            <w:tcW w:w="8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25,187</w:t>
            </w:r>
          </w:p>
        </w:tc>
        <w:tc>
          <w:tcPr>
            <w:tcW w:w="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3,380</w:t>
            </w:r>
          </w:p>
        </w:tc>
        <w:tc>
          <w:tcPr>
            <w:tcW w:w="3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10,755</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7,711</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25,187</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3,380</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10,755</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7,711</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3,341</w:t>
            </w:r>
          </w:p>
        </w:tc>
        <w:tc>
          <w:tcPr>
            <w:tcW w:w="100" w:type="dxa"/>
            <w:vAlign w:val="bottom"/>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-161925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-161925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-161925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8572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Amounts in the table above reflect payments due for our lease of office and lab space in Boston, MA, that expires in August 2032.</w:t>
      </w:r>
    </w:p>
    <w:p>
      <w:pPr>
        <w:spacing w:after="0" w:line="21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May 16, 2022, we entered into an office and laboratory lease in Boston, MA with an initial 10-year term and one renewal option to extend the lease for an additional seven years. The lease commenced on August 1, 2022.</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unaudited condensed consolidated financial statements, which have been prepared in accordance with U.S. generally accepted accounting principles.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2025, there were no material changes to our critical accounting policies from those described in the section titled “Management’s Discussion and Analysis of Financial Condition and Operations” included in our Annual Report on Form 10-K for the year ended December 31, 2024,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assessed the recent accounting pronouncements for the nine months ended September 30, 2025 and determined no pronouncements have material impact to the unaudited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6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3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spacing w:after="0" w:line="3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8"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under this item.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ind w:firstLine="509"/>
        <w:spacing w:after="0"/>
        <w:rPr>
          <w:sz w:val="20"/>
          <w:szCs w:val="20"/>
          <w:color w:val="auto"/>
        </w:rPr>
      </w:pPr>
      <w:r>
        <w:rPr>
          <w:rFonts w:ascii="Arial" w:cs="Arial" w:eastAsia="Arial" w:hAnsi="Arial"/>
          <w:sz w:val="18"/>
          <w:szCs w:val="18"/>
          <w:color w:val="auto"/>
        </w:rPr>
        <w:t>Our management, with the participation of our Chief Executive Officer and Chief Financial and Business Officer, has evaluated the effectiveness of our disclosure controls and procedures (as defined in Rules 13a-15(e) and 15d-15(e) under the Exchange Act), as of the end of the period covered by this Quarterly Report. Based on such evaluation, our Chief Executive Officer and Chief Financial and Business Officer have concluded that as of September 30, 2025,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and Business Officer, to allow timely decisions regarding any required disclosure.</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2025,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$80.6 million and $ 61.1 million for the nine months ended September 30, 2025 and 2024, respectively. As of September 30, 2025, we had an accumulated deficit of $ 454.9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early choroidal melanoma and additional oncology indications, including metastases to the choroid and bladder cancer as well as any other research programs from our VDC technology platform and any future product candidates;</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and maintaining it with, a CDMO for bel-sar and any future product candidates, including establishing and maintaining commercially viable supply and manufacturing relationships with third parties;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will be sufficient to fund our operating expenses and capital expenditures into the first half of 2027.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6" w:name="page37"/>
    <w:bookmarkEnd w:id="36"/>
    <w:p>
      <w:pPr>
        <w:jc w:val="both"/>
        <w:ind w:firstLine="509"/>
        <w:spacing w:after="0" w:line="237"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or through the exercise of the warrants that were issued in May 2025,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8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or through the exercise of the warrants that were issued in May 2025,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102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10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or maintaining it with, a CDMO including obtaining finished products that are appropriately packaged for sale;</w:t>
      </w:r>
    </w:p>
    <w:p>
      <w:pPr>
        <w:jc w:val="both"/>
        <w:ind w:left="102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8" w:name="page39"/>
    <w:bookmarkEnd w:id="38"/>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9" w:name="page40"/>
    <w:bookmarkEnd w:id="39"/>
    <w:p>
      <w:pPr>
        <w:jc w:val="both"/>
        <w:ind w:firstLine="509"/>
        <w:spacing w:after="0" w:line="239"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spacing w:after="0" w:line="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ind w:left="1020" w:hanging="503"/>
        <w:spacing w:after="0" w:line="259"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an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intended external CDMO commercial manufacturer, but transfers to additional CDMOs may occur in the future. Further, some modifications to our manufacturing process may be needed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our ocular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6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 choroidal melanoma is a rare disease and as such clinical trial recruitment estimates may be inaccurate and such recruitment may take longer than expected.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2" w:name="page43"/>
    <w:bookmarkEnd w:id="42"/>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currently conducting a Phase 3 clinical trial and have, or anticipate to have, sites in the United States as well as in some or all of the following countries, among others: the UK, Canada, Australia, Austria, Italy, Israel, Germany, France, Spain, Denmark, Belgium, New Zealand, the Netherlands,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4" w:name="page45"/>
    <w:bookmarkEnd w:id="44"/>
    <w:p>
      <w:pPr>
        <w:jc w:val="both"/>
        <w:ind w:firstLine="509"/>
        <w:spacing w:after="0" w:line="239"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 or IRBs, or ethics committees may delay or may not authorize us or our investigators to commence a clinical trial or conduct a clinical trial at a prospective trial site;</w:t>
      </w: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1"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6" w:name="page47"/>
    <w:bookmarkEnd w:id="46"/>
    <w:p>
      <w:pPr>
        <w:jc w:val="both"/>
        <w:ind w:firstLine="509"/>
        <w:spacing w:after="0"/>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 w:lineRule="exact"/>
        <w:rPr>
          <w:sz w:val="20"/>
          <w:szCs w:val="20"/>
          <w:color w:val="auto"/>
        </w:rPr>
      </w:pPr>
    </w:p>
    <w:p>
      <w:pPr>
        <w:ind w:left="10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inclusion of additional warnings, contraindications or other safety information, including boxed warnings;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38"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firstLine="509"/>
        <w:spacing w:after="0" w:line="237"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or SPA,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spacing w:after="0" w:line="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obtained agreement from the FDA on the design and planned analysis of our global Phase 3 trial of bel-sar for the treatment of early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3" w:name="page54"/>
    <w:bookmarkEnd w:id="53"/>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4" w:name="page55"/>
    <w:bookmarkEnd w:id="54"/>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early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8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2024 titled “Business—Competition.”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2024 titled “Business—Government Regulation—Coverage and Reimbursement.”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early choroidal melanoma. Our projections of both the number of people who have choroidal melanoma, as well as additional ocular oncology and bladder cancer indications, are based on our estimates.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2024 titled “Business—Government Regulation—Health Care Laws and Regulations.”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6" w:name="page57"/>
    <w:bookmarkEnd w:id="56"/>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2024 titled “Business—Government Regulation—Health Care Reform &amp; Legislative Updates.”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3" w:lineRule="exact"/>
        <w:rPr>
          <w:sz w:val="20"/>
          <w:szCs w:val="20"/>
          <w:color w:val="auto"/>
        </w:rPr>
      </w:pPr>
    </w:p>
    <w:p>
      <w:pPr>
        <w:ind w:left="102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39"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9" w:name="page60"/>
    <w:bookmarkEnd w:id="59"/>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1" w:name="page62"/>
    <w:bookmarkEnd w:id="61"/>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2" w:name="page63"/>
    <w:bookmarkEnd w:id="62"/>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45" w:lineRule="auto"/>
        <w:rPr>
          <w:sz w:val="20"/>
          <w:szCs w:val="20"/>
          <w:color w:val="auto"/>
        </w:rPr>
      </w:pPr>
      <w:r>
        <w:rPr>
          <w:rFonts w:ascii="Arial" w:cs="Arial" w:eastAsia="Arial" w:hAnsi="Arial"/>
          <w:sz w:val="18"/>
          <w:szCs w:val="18"/>
          <w:b w:val="1"/>
          <w:bCs w:val="1"/>
          <w:i w:val="1"/>
          <w:iCs w:val="1"/>
          <w:color w:val="auto"/>
        </w:rPr>
        <w:t>Changes in funding, leadership, personnel, policies or priorities of, or other disruptions at federal governmental agencies, including from government shut downs or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Currently, federal agencies in the United States are operating under a federal government shutdown due to the expiration of the continuing resolution on September 30, 2025.</w:t>
      </w:r>
    </w:p>
    <w:p>
      <w:pPr>
        <w:spacing w:after="0" w:line="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Disruptions in staffing, funding or operations at the FDA, SEC, NIH, USPTO and other government agencies, including substantial leadership departures, personnel cuts, and changes and/or additional policies or regulations relating to federal agencies as a result of the new U.S. presidential administration, may also prevent, delay or hinder the research, development or commercialization of new products, including review and/or approval of new products by necessary government agencies, any of which would adversely affect our business. Changes and cuts in FDA staffing have also been reported by some within the pharmaceutical industry as creating instances of delays in the FDA’s responsiveness or in its ability to review IND submissions or applications, issue regulations or guidance, or implement or enforce regulatory requirements in a timely fashion.</w:t>
      </w:r>
    </w:p>
    <w:p>
      <w:pPr>
        <w:spacing w:after="0" w:line="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over the last several years, the U.S. government has shut down at times, including beginning on October 1, 2025, and certain federal agencies, such as the FDA, have had to furlough critical employees and stop critical activities. The duration of the current U.S. government shutdown is unknown.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w:t>
      </w:r>
    </w:p>
    <w:p>
      <w:pPr>
        <w:spacing w:after="0" w:line="2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For example, recent legislation that was signed into law on July 4, 2025 made significant changes to U.S. federal tax law. Under Section 174 of the Internal Revenue Code of 1986, as amended, or the Code, in taxable years beginning after December 31, 2021, expenses that are incurred for research and development performed outside the United States will be capitalized and amortized, which may have an adverse effect on our cash flow. The recent legislation provides that for taxable years beginning after December 31, 2024, expenses that are incurred for research and development performed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4" w:name="page65"/>
    <w:bookmarkEnd w:id="64"/>
    <w:p>
      <w:pPr>
        <w:jc w:val="both"/>
        <w:spacing w:after="0"/>
        <w:rPr>
          <w:sz w:val="20"/>
          <w:szCs w:val="20"/>
          <w:color w:val="auto"/>
        </w:rPr>
      </w:pPr>
      <w:r>
        <w:rPr>
          <w:rFonts w:ascii="Arial" w:cs="Arial" w:eastAsia="Arial" w:hAnsi="Arial"/>
          <w:sz w:val="18"/>
          <w:szCs w:val="18"/>
          <w:color w:val="auto"/>
        </w:rPr>
        <w:t>the United States may, at the taxpayer’s election, be immediately deducted or capitalized and amortized. In addition, the new tax legislation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We, and our service providers, have from time to time and may in the future continue to experience threats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5" w:name="page66"/>
    <w:bookmarkEnd w:id="65"/>
    <w:p>
      <w:pPr>
        <w:jc w:val="both"/>
        <w:ind w:firstLine="509"/>
        <w:spacing w:after="0" w:line="238"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 the state level, the CCPA established a comprehensive privacy framework for covered businesses by creating an expanded definition of personal information, providing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law also provides California residents with the ability to limit use of certain sensitive information, establishes restrictions on the retention of personal data, and established a new state regulatory agency, the California Privacy Protection Agency, to implement and enforce the legislation. Although there are limited exemptions for protected health information covered under HIPAA and clinical trial data, the CCPA may increase our compliance costs and potential liability.</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enacted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(Use and Access)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ind w:firstLine="509"/>
        <w:spacing w:after="0" w:line="238" w:lineRule="auto"/>
        <w:rPr>
          <w:sz w:val="20"/>
          <w:szCs w:val="20"/>
          <w:color w:val="auto"/>
        </w:rPr>
      </w:pPr>
      <w:r>
        <w:rPr>
          <w:rFonts w:ascii="Arial" w:cs="Arial" w:eastAsia="Arial" w:hAnsi="Arial"/>
          <w:sz w:val="18"/>
          <w:szCs w:val="18"/>
          <w:color w:val="auto"/>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Regulators and legislators in the United States are increasingly scrutinizing and restricting certain personal data transfers and transactions involving foreign countries. For example, Executive Order 14117 of February 28, 2024,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72" w:lineRule="auto"/>
        <w:rPr>
          <w:sz w:val="20"/>
          <w:szCs w:val="20"/>
          <w:color w:val="auto"/>
        </w:rPr>
      </w:pPr>
      <w:r>
        <w:rPr>
          <w:rFonts w:ascii="Arial" w:cs="Arial" w:eastAsia="Arial" w:hAnsi="Arial"/>
          <w:sz w:val="18"/>
          <w:szCs w:val="18"/>
          <w:b w:val="1"/>
          <w:bCs w:val="1"/>
          <w:i w:val="1"/>
          <w:iCs w:val="1"/>
          <w:color w:val="auto"/>
        </w:rPr>
        <w:t>Artificial intelligence, or AI,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We may integrate generative AI tools into our systems for specific use cases reviewed by legal and information security. In addition,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We also expect to see increasing government and supranational regulation related to AI use and ethics, which may also significantly increase the burden and cost of research, development and compliance in this area. For example, the EU’s Artificial Intelligence Act, or the AI Act, the world’s first comprehensive AI law, is entered into force in Spring 2024 and, with some exceptions, become effective 24 months thereafter. This legislation imposes significant obligations on providers and deployers of high risk AI systems, and encourages providers and deployers of AI systems to account for EU ethical principles in their development and use of these systems.</w:t>
      </w:r>
    </w:p>
    <w:p>
      <w:pPr>
        <w:spacing w:after="0" w:line="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Likewise, in the United States, several states, including Colorado and California, passed laws that will take effect in 2026, to regulate various uses of AI, including to make consequential decisions.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13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1020" w:hanging="503"/>
        <w:spacing w:after="0" w:line="252"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0" w:name="page71"/>
    <w:bookmarkEnd w:id="70"/>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While we maintain product liability insurance, we anticipate that we will need to increase our insurance coverage as we conduct additional clinical trials and if we successfully commercialize any product candidate. Insurance coverage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1" w:name="page72"/>
    <w:bookmarkEnd w:id="71"/>
    <w:p>
      <w:pPr>
        <w:jc w:val="both"/>
        <w:ind w:right="20"/>
        <w:spacing w:after="0" w:line="271" w:lineRule="auto"/>
        <w:rPr>
          <w:sz w:val="20"/>
          <w:szCs w:val="20"/>
          <w:color w:val="auto"/>
        </w:rPr>
      </w:pPr>
      <w:r>
        <w:rPr>
          <w:rFonts w:ascii="Arial" w:cs="Arial" w:eastAsia="Arial" w:hAnsi="Arial"/>
          <w:sz w:val="18"/>
          <w:szCs w:val="18"/>
          <w:color w:val="auto"/>
        </w:rPr>
        <w:t>increasingly expensive. We may not be able to maintain product liability insurance coverage at a reasonable cost or in an amount adequate to satisfy any liability that may arise.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beneficial ownership of our common stock as of September 30, 2025, our executive officers, directors, holders of 5% or more of our capital stock and their respective affiliates beneficially owned approximately 50.0%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Under Section 382 of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39" w:lineRule="auto"/>
        <w:rPr>
          <w:sz w:val="20"/>
          <w:szCs w:val="20"/>
          <w:color w:val="auto"/>
        </w:rPr>
      </w:pPr>
      <w:r>
        <w:rPr>
          <w:rFonts w:ascii="Arial" w:cs="Arial" w:eastAsia="Arial" w:hAnsi="Arial"/>
          <w:sz w:val="18"/>
          <w:szCs w:val="18"/>
          <w:color w:val="auto"/>
        </w:rPr>
        <w:t>ownership changes in the future as a result of subsequent shifts in our stock ownership, some of which are outside our control. Our gross operating losses and tax credits may also be impaired or restricted under state law. As of December 31, 2024, we had federal gross operating loss carryforwards of approximately $209.8 million, state gross operating loss carryforwards of $183.6 million, and foreign gross operating loss carryforwards of $0.7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503"/>
        <w:spacing w:after="0" w:line="25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3" w:name="page74"/>
    <w:bookmarkEnd w:id="73"/>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3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p>
    <w:p>
      <w:pPr>
        <w:spacing w:after="0" w:line="2" w:lineRule="exact"/>
        <w:rPr>
          <w:sz w:val="20"/>
          <w:szCs w:val="20"/>
          <w:color w:val="auto"/>
        </w:rPr>
      </w:pPr>
    </w:p>
    <w:p>
      <w:pPr>
        <w:ind w:left="1020" w:right="2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ind w:left="10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4" w:name="page75"/>
    <w:bookmarkEnd w:id="74"/>
    <w:p>
      <w:pPr>
        <w:jc w:val="both"/>
        <w:ind w:left="1020" w:hanging="503"/>
        <w:spacing w:after="0" w:line="248"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6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September 30, 2025, we have 62,985,569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General Risk Factors</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p>
    <w:p>
      <w:pPr>
        <w:spacing w:after="0" w:line="1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p>
    <w:p>
      <w:pPr>
        <w:spacing w:after="0" w:line="1" w:lineRule="exact"/>
        <w:rPr>
          <w:sz w:val="20"/>
          <w:szCs w:val="20"/>
          <w:color w:val="auto"/>
        </w:rPr>
      </w:pPr>
    </w:p>
    <w:p>
      <w:pPr>
        <w:ind w:left="1020" w:hanging="503"/>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ind w:left="102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8" w:name="page79"/>
    <w:bookmarkEnd w:id="78"/>
    <w:p>
      <w:pPr>
        <w:ind w:left="1020" w:hanging="503"/>
        <w:spacing w:after="0" w:line="255"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ind w:left="1020" w:right="20" w:hanging="503"/>
        <w:spacing w:after="0" w:line="252"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48"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ind w:left="1020" w:hanging="503"/>
        <w:spacing w:after="0" w:line="252"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the conflict in the Middle East;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9" w:name="page80"/>
    <w:bookmarkEnd w:id="79"/>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Additionally, on April 2, 2025, the United States imposed substantial tariffs on most countries throughout the world. The Trump administration has threatened to continue to broadly impose tariffs, which could lead to corresponding punitive actions by countries with which the United States trades.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4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3" w:lineRule="exact"/>
        <w:rPr>
          <w:sz w:val="20"/>
          <w:szCs w:val="20"/>
          <w:color w:val="auto"/>
        </w:rPr>
      </w:pPr>
    </w:p>
    <w:p>
      <w:pPr>
        <w:ind w:left="520" w:right="6960" w:hanging="512"/>
        <w:spacing w:after="0" w:line="350" w:lineRule="auto"/>
        <w:tabs>
          <w:tab w:leader="none" w:pos="28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520" w:right="5320" w:hanging="512"/>
        <w:spacing w:after="0" w:line="365" w:lineRule="auto"/>
        <w:tabs>
          <w:tab w:leader="none" w:pos="29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the Initial Public Offering of Common Stock </w:t>
      </w:r>
      <w:r>
        <w:rPr>
          <w:rFonts w:ascii="Arial" w:cs="Arial" w:eastAsia="Arial" w:hAnsi="Arial"/>
          <w:sz w:val="18"/>
          <w:szCs w:val="18"/>
          <w:color w:val="auto"/>
        </w:rPr>
        <w:t>None.</w:t>
      </w:r>
    </w:p>
    <w:p>
      <w:pPr>
        <w:spacing w:after="0" w:line="72" w:lineRule="exact"/>
        <w:rPr>
          <w:rFonts w:ascii="Arial" w:cs="Arial" w:eastAsia="Arial" w:hAnsi="Arial"/>
          <w:sz w:val="18"/>
          <w:szCs w:val="18"/>
          <w:b w:val="1"/>
          <w:bCs w:val="1"/>
          <w:color w:val="auto"/>
        </w:rPr>
      </w:pPr>
    </w:p>
    <w:p>
      <w:pPr>
        <w:ind w:left="280" w:hanging="272"/>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Trading Arrangements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Act, adopted or terminated a Rule 10b5-1 trading arrangement or a non-Rule 10b5-1 trading arrangement, as defined in Item 408(c) of Regulation S-K, during the quarter ended September 30, 2025.</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020" w:type="dxa"/>
            <w:vAlign w:val="bottom"/>
            <w:tcBorders>
              <w:bottom w:val="single" w:sz="8" w:color="auto"/>
            </w:tcBorders>
            <w:gridSpan w:val="15"/>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10020" w:type="dxa"/>
            <w:vAlign w:val="bottom"/>
            <w:gridSpan w:val="15"/>
          </w:tcPr>
          <w:p>
            <w:pPr>
              <w:spacing w:after="0" w:line="169" w:lineRule="exact"/>
              <w:rPr>
                <w:rFonts w:ascii="Arial" w:cs="Arial" w:eastAsia="Arial" w:hAnsi="Arial"/>
                <w:sz w:val="18"/>
                <w:szCs w:val="18"/>
                <w:color w:val="0000FF"/>
              </w:rPr>
            </w:pPr>
            <w:hyperlink r:id="rId334">
              <w:r>
                <w:rPr>
                  <w:rFonts w:ascii="Arial" w:cs="Arial" w:eastAsia="Arial" w:hAnsi="Arial"/>
                  <w:sz w:val="18"/>
                  <w:szCs w:val="18"/>
                  <w:color w:val="0000FF"/>
                </w:rPr>
                <w:t>Tenth Amended and Restated Certificate of Incorporation of the Registrant, as currently in effect, as amended by the</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320" w:type="dxa"/>
            <w:vAlign w:val="bottom"/>
            <w:tcBorders>
              <w:top w:val="single" w:sz="8" w:color="0000FF"/>
            </w:tcBorders>
            <w:gridSpan w:val="8"/>
          </w:tcPr>
          <w:p>
            <w:pPr>
              <w:spacing w:after="0" w:line="182" w:lineRule="exact"/>
              <w:rPr>
                <w:rFonts w:ascii="Arial" w:cs="Arial" w:eastAsia="Arial" w:hAnsi="Arial"/>
                <w:sz w:val="18"/>
                <w:szCs w:val="18"/>
                <w:color w:val="0000FF"/>
                <w:w w:val="99"/>
              </w:rPr>
            </w:pPr>
            <w:hyperlink r:id="rId334">
              <w:r>
                <w:rPr>
                  <w:rFonts w:ascii="Arial" w:cs="Arial" w:eastAsia="Arial" w:hAnsi="Arial"/>
                  <w:sz w:val="18"/>
                  <w:szCs w:val="18"/>
                  <w:color w:val="0000FF"/>
                  <w:w w:val="99"/>
                </w:rPr>
                <w:t>Certificate of Amendment, dated June 20, 2024 (incorporated by reference to Exhibit 3.1 of the Registrant’s Quarterly</w:t>
              </w:r>
            </w:hyperlink>
          </w:p>
        </w:tc>
        <w:tc>
          <w:tcPr>
            <w:tcW w:w="700" w:type="dxa"/>
            <w:vAlign w:val="bottom"/>
            <w:gridSpan w:val="7"/>
          </w:tcPr>
          <w:p>
            <w:pPr>
              <w:ind w:left="40"/>
              <w:spacing w:after="0" w:line="182" w:lineRule="exact"/>
              <w:rPr>
                <w:rFonts w:ascii="Arial" w:cs="Arial" w:eastAsia="Arial" w:hAnsi="Arial"/>
                <w:sz w:val="18"/>
                <w:szCs w:val="18"/>
                <w:color w:val="0000FF"/>
              </w:rPr>
            </w:pPr>
            <w:hyperlink r:id="rId334">
              <w:r>
                <w:rPr>
                  <w:rFonts w:ascii="Arial" w:cs="Arial" w:eastAsia="Arial" w:hAnsi="Arial"/>
                  <w:sz w:val="18"/>
                  <w:szCs w:val="18"/>
                  <w:color w:val="0000FF"/>
                </w:rPr>
                <w:t>Report</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5"/>
                <w:szCs w:val="15"/>
                <w:color w:val="auto"/>
              </w:rPr>
            </w:pPr>
          </w:p>
        </w:tc>
        <w:tc>
          <w:tcPr>
            <w:tcW w:w="48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334">
              <w:r>
                <w:rPr>
                  <w:rFonts w:ascii="Arial" w:cs="Arial" w:eastAsia="Arial" w:hAnsi="Arial"/>
                  <w:sz w:val="18"/>
                  <w:szCs w:val="18"/>
                  <w:color w:val="0000FF"/>
                  <w:w w:val="99"/>
                </w:rPr>
                <w:t>on Form 10-Q (File No. 001-40971) filed on August 8, 2024).</w:t>
              </w:r>
            </w:hyperlink>
          </w:p>
        </w:tc>
        <w:tc>
          <w:tcPr>
            <w:tcW w:w="20" w:type="dxa"/>
            <w:vAlign w:val="bottom"/>
            <w:tcBorders>
              <w:top w:val="single" w:sz="8" w:color="0000FF"/>
              <w:bottom w:val="single" w:sz="8" w:color="0000EE"/>
            </w:tcBorders>
          </w:tcPr>
          <w:p>
            <w:pPr>
              <w:spacing w:after="0"/>
              <w:rPr>
                <w:sz w:val="15"/>
                <w:szCs w:val="15"/>
                <w:color w:val="auto"/>
              </w:rPr>
            </w:pPr>
          </w:p>
        </w:tc>
        <w:tc>
          <w:tcPr>
            <w:tcW w:w="5100" w:type="dxa"/>
            <w:vAlign w:val="bottom"/>
            <w:tcBorders>
              <w:top w:val="single" w:sz="8" w:color="0000FF"/>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40" w:type="dxa"/>
            <w:vAlign w:val="bottom"/>
            <w:gridSpan w:val="3"/>
          </w:tcPr>
          <w:p>
            <w:pPr>
              <w:spacing w:after="0" w:line="182" w:lineRule="exact"/>
              <w:rPr>
                <w:rFonts w:ascii="Arial" w:cs="Arial" w:eastAsia="Arial" w:hAnsi="Arial"/>
                <w:sz w:val="18"/>
                <w:szCs w:val="18"/>
                <w:color w:val="0000FF"/>
                <w:w w:val="98"/>
              </w:rPr>
            </w:pPr>
            <w:hyperlink r:id="rId335">
              <w:r>
                <w:rPr>
                  <w:rFonts w:ascii="Arial" w:cs="Arial" w:eastAsia="Arial" w:hAnsi="Arial"/>
                  <w:sz w:val="18"/>
                  <w:szCs w:val="18"/>
                  <w:color w:val="0000FF"/>
                  <w:w w:val="98"/>
                </w:rPr>
                <w:t>Amended and Restated Bylaws of the Registrant, as currently</w:t>
              </w:r>
            </w:hyperlink>
          </w:p>
        </w:tc>
        <w:tc>
          <w:tcPr>
            <w:tcW w:w="5180" w:type="dxa"/>
            <w:vAlign w:val="bottom"/>
            <w:gridSpan w:val="12"/>
          </w:tcPr>
          <w:p>
            <w:pPr>
              <w:ind w:left="120"/>
              <w:spacing w:after="0" w:line="182" w:lineRule="exact"/>
              <w:rPr>
                <w:rFonts w:ascii="Arial" w:cs="Arial" w:eastAsia="Arial" w:hAnsi="Arial"/>
                <w:sz w:val="18"/>
                <w:szCs w:val="18"/>
                <w:color w:val="0000FF"/>
              </w:rPr>
            </w:pPr>
            <w:hyperlink r:id="rId335">
              <w:r>
                <w:rPr>
                  <w:rFonts w:ascii="Arial" w:cs="Arial" w:eastAsia="Arial" w:hAnsi="Arial"/>
                  <w:sz w:val="18"/>
                  <w:szCs w:val="18"/>
                  <w:color w:val="0000FF"/>
                </w:rPr>
                <w:t>in effect (incorporated by reference to Exhibit 3.2 of the</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5"/>
                <w:szCs w:val="15"/>
                <w:color w:val="auto"/>
              </w:rPr>
            </w:pPr>
          </w:p>
        </w:tc>
        <w:tc>
          <w:tcPr>
            <w:tcW w:w="70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335">
              <w:r>
                <w:rPr>
                  <w:rFonts w:ascii="Arial" w:cs="Arial" w:eastAsia="Arial" w:hAnsi="Arial"/>
                  <w:sz w:val="18"/>
                  <w:szCs w:val="18"/>
                  <w:color w:val="0000FF"/>
                  <w:w w:val="99"/>
                </w:rPr>
                <w:t>Registrant’s Annual Report on Form 10-K (File No. 001-40971) filed on March 23,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23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60" w:type="dxa"/>
            <w:vAlign w:val="bottom"/>
            <w:gridSpan w:val="6"/>
          </w:tcPr>
          <w:p>
            <w:pPr>
              <w:spacing w:after="0" w:line="182" w:lineRule="exact"/>
              <w:rPr>
                <w:rFonts w:ascii="Arial" w:cs="Arial" w:eastAsia="Arial" w:hAnsi="Arial"/>
                <w:sz w:val="18"/>
                <w:szCs w:val="18"/>
                <w:color w:val="0000FF"/>
              </w:rPr>
            </w:pPr>
            <w:hyperlink r:id="rId336">
              <w:r>
                <w:rPr>
                  <w:rFonts w:ascii="Arial" w:cs="Arial" w:eastAsia="Arial" w:hAnsi="Arial"/>
                  <w:sz w:val="18"/>
                  <w:szCs w:val="18"/>
                  <w:color w:val="0000FF"/>
                </w:rPr>
                <w:t>Fifth Amended and Restated Investors’ Rights Agreement (incorporated by reference to</w:t>
              </w:r>
            </w:hyperlink>
          </w:p>
        </w:tc>
        <w:tc>
          <w:tcPr>
            <w:tcW w:w="2960" w:type="dxa"/>
            <w:vAlign w:val="bottom"/>
            <w:gridSpan w:val="9"/>
          </w:tcPr>
          <w:p>
            <w:pPr>
              <w:spacing w:after="0" w:line="182" w:lineRule="exact"/>
              <w:rPr>
                <w:rFonts w:ascii="Arial" w:cs="Arial" w:eastAsia="Arial" w:hAnsi="Arial"/>
                <w:sz w:val="18"/>
                <w:szCs w:val="18"/>
                <w:color w:val="0000FF"/>
              </w:rPr>
            </w:pPr>
            <w:hyperlink r:id="rId336">
              <w:r>
                <w:rPr>
                  <w:rFonts w:ascii="Arial" w:cs="Arial" w:eastAsia="Arial" w:hAnsi="Arial"/>
                  <w:sz w:val="18"/>
                  <w:szCs w:val="18"/>
                  <w:color w:val="0000FF"/>
                </w:rPr>
                <w:t>Exhibit 4.2 to the Registrant’s</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336">
              <w:r>
                <w:rPr>
                  <w:rFonts w:ascii="Arial" w:cs="Arial" w:eastAsia="Arial" w:hAnsi="Arial"/>
                  <w:sz w:val="18"/>
                  <w:szCs w:val="18"/>
                  <w:color w:val="0000FF"/>
                </w:rPr>
                <w:t>Registration Statement on Form S-1, as amended (File No. 333-260156) filed on October 8, 2021)</w:t>
              </w:r>
              <w:r>
                <w:rPr>
                  <w:rFonts w:ascii="Arial" w:cs="Arial" w:eastAsia="Arial" w:hAnsi="Arial"/>
                  <w:sz w:val="18"/>
                  <w:szCs w:val="18"/>
                  <w:color w:val="000000"/>
                </w:rPr>
                <w:t>.</w:t>
              </w:r>
            </w:hyperlink>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22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Securities Exchange Act of</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0" w:type="dxa"/>
            <w:vAlign w:val="bottom"/>
            <w:gridSpan w:val="7"/>
          </w:tcPr>
          <w:p>
            <w:pPr>
              <w:spacing w:after="0" w:line="182" w:lineRule="exact"/>
              <w:rPr>
                <w:sz w:val="20"/>
                <w:szCs w:val="20"/>
                <w:color w:val="auto"/>
              </w:rPr>
            </w:pPr>
            <w:r>
              <w:rPr>
                <w:rFonts w:ascii="Arial" w:cs="Arial" w:eastAsia="Arial" w:hAnsi="Arial"/>
                <w:sz w:val="18"/>
                <w:szCs w:val="18"/>
                <w:color w:val="0000FF"/>
              </w:rPr>
              <w:t>Certification of Principal Executive Officer Pursuant to Rules 13a-14(a) and 15d-14(a) under the</w:t>
            </w:r>
          </w:p>
        </w:tc>
        <w:tc>
          <w:tcPr>
            <w:tcW w:w="222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5"/>
                <w:szCs w:val="15"/>
                <w:color w:val="auto"/>
              </w:rPr>
            </w:pPr>
          </w:p>
        </w:tc>
        <w:tc>
          <w:tcPr>
            <w:tcW w:w="984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3780" w:type="dxa"/>
            <w:vAlign w:val="bottom"/>
            <w:gridSpan w:val="11"/>
            <w:vMerge w:val="restart"/>
          </w:tcPr>
          <w:p>
            <w:pPr>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40" w:type="dxa"/>
            <w:vAlign w:val="bottom"/>
            <w:gridSpan w:val="4"/>
          </w:tcPr>
          <w:p>
            <w:pPr>
              <w:spacing w:after="0" w:line="182" w:lineRule="exact"/>
              <w:rPr>
                <w:sz w:val="20"/>
                <w:szCs w:val="20"/>
                <w:color w:val="auto"/>
              </w:rPr>
            </w:pPr>
            <w:r>
              <w:rPr>
                <w:rFonts w:ascii="Arial" w:cs="Arial" w:eastAsia="Arial" w:hAnsi="Arial"/>
                <w:sz w:val="18"/>
                <w:szCs w:val="18"/>
                <w:color w:val="0000FF"/>
                <w:w w:val="99"/>
              </w:rPr>
              <w:t>Certification of Principal Financial Officer Pursuant to Rules 13a-14(a) and 15d</w:t>
            </w:r>
          </w:p>
        </w:tc>
        <w:tc>
          <w:tcPr>
            <w:tcW w:w="378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5"/>
                <w:szCs w:val="15"/>
                <w:color w:val="auto"/>
              </w:rPr>
            </w:pPr>
          </w:p>
        </w:tc>
        <w:tc>
          <w:tcPr>
            <w:tcW w:w="978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20" w:type="dxa"/>
            <w:vAlign w:val="bottom"/>
            <w:gridSpan w:val="15"/>
          </w:tcPr>
          <w:p>
            <w:pPr>
              <w:spacing w:after="0" w:line="182"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15"/>
                <w:szCs w:val="15"/>
                <w:color w:val="auto"/>
              </w:rPr>
            </w:pPr>
          </w:p>
        </w:tc>
        <w:tc>
          <w:tcPr>
            <w:tcW w:w="97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c>
          <w:tcPr>
            <w:tcW w:w="3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EE"/>
            </w:tcBorders>
            <w:shd w:val="clear" w:color="auto" w:fill="0000FF"/>
          </w:tcPr>
          <w:p>
            <w:pPr>
              <w:spacing w:after="0" w:line="20" w:lineRule="exact"/>
              <w:rPr>
                <w:sz w:val="1"/>
                <w:szCs w:val="1"/>
                <w:color w:val="auto"/>
              </w:rPr>
            </w:pPr>
          </w:p>
        </w:tc>
        <w:tc>
          <w:tcPr>
            <w:tcW w:w="52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20" w:type="dxa"/>
            <w:vAlign w:val="bottom"/>
            <w:gridSpan w:val="15"/>
          </w:tcPr>
          <w:p>
            <w:pPr>
              <w:spacing w:after="0" w:line="191"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20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02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jc w:val="both"/>
        <w:ind w:firstLine="8"/>
        <w:spacing w:after="0" w:line="253" w:lineRule="auto"/>
        <w:tabs>
          <w:tab w:leader="none" w:pos="1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7440" w:type="dxa"/>
            <w:vAlign w:val="bottom"/>
            <w:gridSpan w:val="2"/>
          </w:tcPr>
          <w:p>
            <w:pPr>
              <w:ind w:left="1860"/>
              <w:spacing w:after="0"/>
              <w:rPr>
                <w:sz w:val="20"/>
                <w:szCs w:val="20"/>
                <w:color w:val="auto"/>
              </w:rPr>
            </w:pPr>
            <w:r>
              <w:rPr>
                <w:rFonts w:ascii="Arial" w:cs="Arial" w:eastAsia="Arial" w:hAnsi="Arial"/>
                <w:sz w:val="18"/>
                <w:szCs w:val="18"/>
                <w:color w:val="auto"/>
              </w:rPr>
              <w:t>Aura Biosciences, Inc.</w:t>
            </w:r>
          </w:p>
        </w:tc>
      </w:tr>
      <w:tr>
        <w:trPr>
          <w:trHeight w:val="387"/>
        </w:trPr>
        <w:tc>
          <w:tcPr>
            <w:tcW w:w="3800" w:type="dxa"/>
            <w:vAlign w:val="bottom"/>
          </w:tcPr>
          <w:p>
            <w:pPr>
              <w:spacing w:after="0"/>
              <w:rPr>
                <w:sz w:val="20"/>
                <w:szCs w:val="20"/>
                <w:color w:val="auto"/>
              </w:rPr>
            </w:pPr>
            <w:r>
              <w:rPr>
                <w:rFonts w:ascii="Arial" w:cs="Arial" w:eastAsia="Arial" w:hAnsi="Arial"/>
                <w:sz w:val="18"/>
                <w:szCs w:val="18"/>
                <w:color w:val="auto"/>
              </w:rPr>
              <w:t>Date: November 13, 2025</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Elisabet de los Pinos</w:t>
            </w:r>
          </w:p>
        </w:tc>
      </w:tr>
      <w:tr>
        <w:trPr>
          <w:trHeight w:val="177"/>
        </w:trPr>
        <w:tc>
          <w:tcPr>
            <w:tcW w:w="38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Elisabet de los Pinos</w:t>
            </w:r>
          </w:p>
        </w:tc>
      </w:tr>
      <w:tr>
        <w:trPr>
          <w:trHeight w:val="203"/>
        </w:trPr>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47"/>
        </w:trPr>
        <w:tc>
          <w:tcPr>
            <w:tcW w:w="3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79"/>
        </w:trPr>
        <w:tc>
          <w:tcPr>
            <w:tcW w:w="3800" w:type="dxa"/>
            <w:vAlign w:val="bottom"/>
          </w:tcPr>
          <w:p>
            <w:pPr>
              <w:spacing w:after="0"/>
              <w:rPr>
                <w:sz w:val="20"/>
                <w:szCs w:val="20"/>
                <w:color w:val="auto"/>
              </w:rPr>
            </w:pPr>
            <w:r>
              <w:rPr>
                <w:rFonts w:ascii="Arial" w:cs="Arial" w:eastAsia="Arial" w:hAnsi="Arial"/>
                <w:sz w:val="18"/>
                <w:szCs w:val="18"/>
                <w:color w:val="auto"/>
              </w:rPr>
              <w:t>Date: November 13, 2025</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Anthony Gibney</w:t>
            </w:r>
          </w:p>
        </w:tc>
      </w:tr>
      <w:tr>
        <w:trPr>
          <w:trHeight w:val="177"/>
        </w:trPr>
        <w:tc>
          <w:tcPr>
            <w:tcW w:w="38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Anthony Gibney</w:t>
            </w:r>
          </w:p>
        </w:tc>
      </w:tr>
      <w:tr>
        <w:trPr>
          <w:trHeight w:val="203"/>
        </w:trPr>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Chief Financial and Business Officer</w:t>
            </w:r>
          </w:p>
        </w:tc>
      </w:tr>
      <w:tr>
        <w:trPr>
          <w:trHeight w:val="247"/>
        </w:trPr>
        <w:tc>
          <w:tcPr>
            <w:tcW w:w="3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Financial Officer)</w:t>
            </w:r>
          </w:p>
        </w:tc>
      </w:tr>
      <w:tr>
        <w:trPr>
          <w:trHeight w:val="380"/>
        </w:trPr>
        <w:tc>
          <w:tcPr>
            <w:tcW w:w="3800" w:type="dxa"/>
            <w:vAlign w:val="bottom"/>
          </w:tcPr>
          <w:p>
            <w:pPr>
              <w:spacing w:after="0"/>
              <w:rPr>
                <w:sz w:val="20"/>
                <w:szCs w:val="20"/>
                <w:color w:val="auto"/>
              </w:rPr>
            </w:pPr>
            <w:r>
              <w:rPr>
                <w:rFonts w:ascii="Arial" w:cs="Arial" w:eastAsia="Arial" w:hAnsi="Arial"/>
                <w:sz w:val="18"/>
                <w:szCs w:val="18"/>
                <w:color w:val="auto"/>
              </w:rPr>
              <w:t>Date: November 13, 2025</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Amy Elazzouzi</w:t>
            </w:r>
          </w:p>
        </w:tc>
      </w:tr>
      <w:tr>
        <w:trPr>
          <w:trHeight w:val="177"/>
        </w:trPr>
        <w:tc>
          <w:tcPr>
            <w:tcW w:w="38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Amy Elazzouzi</w:t>
            </w:r>
          </w:p>
        </w:tc>
      </w:tr>
      <w:tr>
        <w:trPr>
          <w:trHeight w:val="203"/>
        </w:trPr>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Senior Vice President, Finance</w:t>
            </w:r>
          </w:p>
        </w:tc>
      </w:tr>
      <w:tr>
        <w:trPr>
          <w:trHeight w:val="247"/>
        </w:trPr>
        <w:tc>
          <w:tcPr>
            <w:tcW w:w="3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Accounting Officer)</w:t>
            </w:r>
          </w:p>
        </w:tc>
      </w:tr>
      <w:tr>
        <w:trPr>
          <w:trHeight w:val="627"/>
        </w:trPr>
        <w:tc>
          <w:tcPr>
            <w:tcW w:w="380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79</w:t>
            </w:r>
          </w:p>
        </w:tc>
        <w:tc>
          <w:tcPr>
            <w:tcW w:w="5140" w:type="dxa"/>
            <w:vAlign w:val="bottom"/>
          </w:tcPr>
          <w:p>
            <w:pPr>
              <w:spacing w:after="0"/>
              <w:rPr>
                <w:sz w:val="24"/>
                <w:szCs w:val="24"/>
                <w:color w:val="auto"/>
              </w:rPr>
            </w:pPr>
          </w:p>
        </w:tc>
      </w:tr>
      <w:tr>
        <w:trPr>
          <w:trHeight w:val="745"/>
        </w:trPr>
        <w:tc>
          <w:tcPr>
            <w:tcW w:w="38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194"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60"/>
        <w:spacing w:after="0"/>
        <w:tabs>
          <w:tab w:leader="none" w:pos="620" w:val="left"/>
          <w:tab w:leader="none" w:pos="5900" w:val="left"/>
          <w:tab w:leader="none" w:pos="7880" w:val="left"/>
        </w:tabs>
        <w:rPr>
          <w:sz w:val="20"/>
          <w:szCs w:val="20"/>
          <w:color w:val="auto"/>
        </w:rPr>
      </w:pPr>
      <w:r>
        <w:rPr>
          <w:rFonts w:ascii="Arial" w:cs="Arial" w:eastAsia="Arial" w:hAnsi="Arial"/>
          <w:sz w:val="16"/>
          <w:szCs w:val="16"/>
          <w:color w:val="auto"/>
        </w:rPr>
        <w:t>Date:</w:t>
        <w:tab/>
        <w:t>November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Elisabet de los Pinos</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Anthony Gibney, certify that:</w:t>
      </w:r>
    </w:p>
    <w:p>
      <w:pPr>
        <w:spacing w:after="0" w:line="19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60"/>
        <w:spacing w:after="0"/>
        <w:tabs>
          <w:tab w:leader="none" w:pos="660" w:val="left"/>
          <w:tab w:leader="none" w:pos="5900" w:val="left"/>
          <w:tab w:leader="none" w:pos="8060" w:val="left"/>
        </w:tabs>
        <w:rPr>
          <w:sz w:val="20"/>
          <w:szCs w:val="20"/>
          <w:color w:val="auto"/>
        </w:rPr>
      </w:pPr>
      <w:r>
        <w:rPr>
          <w:rFonts w:ascii="Arial" w:cs="Arial" w:eastAsia="Arial" w:hAnsi="Arial"/>
          <w:sz w:val="16"/>
          <w:szCs w:val="16"/>
          <w:color w:val="auto"/>
        </w:rPr>
        <w:t>Date:</w:t>
        <w:tab/>
        <w:t>November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Anthony Gibney</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Chief Financial and Business Officer</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connection with the Quarterly Report on Form 10-Q of Aura Biosciences, Inc. (the “Company”) for the period ended September 30, 2025 as filed with the Securities and Exchange Commission on the date hereof (the “Report”), each of the undersigned certifies, pursuant to 18 U.S.C. §1350, as adopted pursuant to §906 of the Sarbanes-Oxley Act of 2002, that, to the best of his or her knowledge:</w:t>
      </w:r>
    </w:p>
    <w:p>
      <w:pPr>
        <w:spacing w:after="0" w:line="374"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5860" w:right="180" w:hanging="5478"/>
        <w:spacing w:after="0" w:line="464" w:lineRule="auto"/>
        <w:tabs>
          <w:tab w:leader="none" w:pos="756" w:val="left"/>
        </w:tabs>
        <w:numPr>
          <w:ilvl w:val="0"/>
          <w:numId w:val="46"/>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Aura Biosciences, Inc.</w:t>
      </w:r>
    </w:p>
    <w:p>
      <w:pPr>
        <w:ind w:left="60"/>
        <w:spacing w:after="0"/>
        <w:tabs>
          <w:tab w:leader="none" w:pos="620" w:val="left"/>
          <w:tab w:leader="none" w:pos="5840" w:val="left"/>
          <w:tab w:leader="none" w:pos="7800" w:val="left"/>
        </w:tabs>
        <w:rPr>
          <w:sz w:val="20"/>
          <w:szCs w:val="20"/>
          <w:color w:val="auto"/>
        </w:rPr>
      </w:pPr>
      <w:r>
        <w:rPr>
          <w:rFonts w:ascii="Arial" w:cs="Arial" w:eastAsia="Arial" w:hAnsi="Arial"/>
          <w:sz w:val="16"/>
          <w:szCs w:val="16"/>
          <w:color w:val="auto"/>
        </w:rPr>
        <w:t>Date:</w:t>
        <w:tab/>
        <w:t>November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12065</wp:posOffset>
            </wp:positionV>
            <wp:extent cx="31629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Elisabet de los Pinos</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(Principal Executive Officer)</w:t>
      </w:r>
    </w:p>
    <w:p>
      <w:pPr>
        <w:spacing w:after="0" w:line="178" w:lineRule="exact"/>
        <w:rPr>
          <w:sz w:val="20"/>
          <w:szCs w:val="20"/>
          <w:color w:val="auto"/>
        </w:rPr>
      </w:pPr>
    </w:p>
    <w:p>
      <w:pPr>
        <w:ind w:left="60"/>
        <w:spacing w:after="0"/>
        <w:tabs>
          <w:tab w:leader="none" w:pos="620" w:val="left"/>
          <w:tab w:leader="none" w:pos="5840" w:val="left"/>
          <w:tab w:leader="none" w:pos="7980" w:val="left"/>
        </w:tabs>
        <w:rPr>
          <w:sz w:val="20"/>
          <w:szCs w:val="20"/>
          <w:color w:val="auto"/>
        </w:rPr>
      </w:pPr>
      <w:r>
        <w:rPr>
          <w:rFonts w:ascii="Arial" w:cs="Arial" w:eastAsia="Arial" w:hAnsi="Arial"/>
          <w:sz w:val="16"/>
          <w:szCs w:val="16"/>
          <w:color w:val="auto"/>
        </w:rPr>
        <w:t>Date:</w:t>
        <w:tab/>
        <w:t>November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12065</wp:posOffset>
            </wp:positionV>
            <wp:extent cx="31629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Anthony Gibney</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Chief Financial and Business Officer</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2"/>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34" Type="http://schemas.openxmlformats.org/officeDocument/2006/relationships/hyperlink" Target="https://www.sec.gov/Archives/edgar/data/1501796/000095017024093308/aura-ex3_1.htm" TargetMode="External"/><Relationship Id="rId335" Type="http://schemas.openxmlformats.org/officeDocument/2006/relationships/hyperlink" Target="https://www.sec.gov/Archives/edgar/data/1501796/000095017022004425/aura-ex3_2.htm" TargetMode="External"/><Relationship Id="rId336"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2025-11-13T06:32:04Z</dcterms:created>
  <dcterms:modified xsi:type="dcterms:W3CDTF">2025-11-13T06:32:04Z</dcterms:modified>
</cp:coreProperties>
</file>