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aura-20220331.htm"/>
      <w:bookmarkStart w:id="1" w:name="ksaura20220331"/>
      <w:bookmarkEnd w:id="0"/>
      <w:bookmarkEnd w:id="1"/>
      <w:r>
        <w:rPr/>
        <w:t> </w:t>
      </w:r>
    </w:p>
    <w:p>
      <w:pPr>
        <w:pStyle w:val="TextBody"/>
        <w:spacing w:lineRule="auto" w:line="273" w:before="0" w:after="0"/>
        <w:jc w:val="left"/>
        <w:rPr/>
      </w:pPr>
      <w:r>
        <w:rPr/>
        <w:t> </w:t>
      </w:r>
    </w:p>
    <w:p>
      <w:pPr>
        <w:pStyle w:val="TextBody"/>
        <w:pBdr>
          <w:top w:val="double" w:sz="6" w:space="1" w:color="000000"/>
        </w:pBdr>
        <w:spacing w:lineRule="auto" w:line="273" w:before="0" w:after="0"/>
        <w:jc w:val="left"/>
        <w:rPr/>
      </w:pPr>
      <w:r>
        <w:rPr/>
        <w:t> </w:t>
      </w:r>
    </w:p>
    <w:p>
      <w:pPr>
        <w:pStyle w:val="TextBody"/>
        <w:spacing w:lineRule="auto" w:line="273" w:before="0" w:after="0"/>
        <w:jc w:val="center"/>
        <w:rPr>
          <w:rFonts w:ascii="Arial" w:hAnsi="Arial"/>
          <w:b/>
          <w:sz w:val="36"/>
        </w:rPr>
      </w:pPr>
      <w:r>
        <w:rPr>
          <w:rFonts w:ascii="Arial" w:hAnsi="Arial"/>
          <w:b/>
          <w:sz w:val="36"/>
        </w:rPr>
        <w:t>UNITED STATES</w:t>
      </w:r>
    </w:p>
    <w:p>
      <w:pPr>
        <w:pStyle w:val="TextBody"/>
        <w:spacing w:lineRule="auto" w:line="273" w:before="0" w:after="0"/>
        <w:jc w:val="center"/>
        <w:rPr>
          <w:rFonts w:ascii="Arial" w:hAnsi="Arial"/>
          <w:b/>
          <w:sz w:val="36"/>
        </w:rPr>
      </w:pPr>
      <w:r>
        <w:rPr>
          <w:rFonts w:ascii="Arial" w:hAnsi="Arial"/>
          <w:b/>
          <w:sz w:val="36"/>
        </w:rPr>
        <w:t>SECURITIES AND EXCHANGE COMMISSION</w:t>
      </w:r>
    </w:p>
    <w:p>
      <w:pPr>
        <w:pStyle w:val="TextBody"/>
        <w:spacing w:lineRule="auto" w:line="273" w:before="0" w:after="0"/>
        <w:jc w:val="center"/>
        <w:rPr>
          <w:rFonts w:ascii="Arial" w:hAnsi="Arial"/>
          <w:b/>
          <w:sz w:val="24"/>
        </w:rPr>
      </w:pPr>
      <w:r>
        <w:rPr>
          <w:rFonts w:ascii="Arial" w:hAnsi="Arial"/>
          <w:b/>
          <w:sz w:val="24"/>
        </w:rPr>
        <w:t>WASHINGTON, DC 20549</w:t>
      </w:r>
    </w:p>
    <w:p>
      <w:pPr>
        <w:pStyle w:val="TextBody"/>
        <w:pBdr>
          <w:bottom w:val="single" w:sz="4" w:space="1" w:color="000000"/>
        </w:pBdr>
        <w:spacing w:lineRule="auto" w:line="273" w:before="40" w:after="100"/>
        <w:jc w:val="center"/>
        <w:rPr/>
      </w:pPr>
      <w:r>
        <w:rPr/>
        <w:t> </w:t>
      </w:r>
    </w:p>
    <w:p>
      <w:pPr>
        <w:pStyle w:val="TextBody"/>
        <w:spacing w:lineRule="auto" w:line="273" w:before="120" w:after="0"/>
        <w:jc w:val="center"/>
        <w:rPr>
          <w:rFonts w:ascii="Arial" w:hAnsi="Arial"/>
          <w:b/>
          <w:sz w:val="36"/>
        </w:rPr>
      </w:pPr>
      <w:r>
        <w:rPr>
          <w:rFonts w:ascii="Arial" w:hAnsi="Arial"/>
          <w:b/>
          <w:sz w:val="36"/>
        </w:rPr>
        <w:t>FORM 10-Q</w:t>
      </w:r>
    </w:p>
    <w:p>
      <w:pPr>
        <w:pStyle w:val="TextBody"/>
        <w:pBdr>
          <w:bottom w:val="single" w:sz="4" w:space="1" w:color="000000"/>
        </w:pBdr>
        <w:spacing w:lineRule="auto" w:line="273" w:before="40" w:after="0"/>
        <w:jc w:val="center"/>
        <w:rPr/>
      </w:pPr>
      <w:r>
        <w:rPr/>
        <w:t> </w:t>
      </w:r>
    </w:p>
    <w:p>
      <w:pPr>
        <w:pStyle w:val="TextBody"/>
        <w:spacing w:lineRule="auto" w:line="273" w:before="0" w:after="0"/>
        <w:jc w:val="left"/>
        <w:rPr>
          <w:rFonts w:ascii="Arial" w:hAnsi="Arial"/>
          <w:b/>
          <w:sz w:val="16"/>
        </w:rPr>
      </w:pPr>
      <w:r>
        <w:rPr>
          <w:rFonts w:ascii="Arial" w:hAnsi="Arial"/>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QUARTERLY REPORT PURSUANT TO SECTION 13 OR 15(d) OF THE SECURITIES EXCHANGE ACT OF 1934</w:t>
            </w:r>
          </w:p>
        </w:tc>
      </w:tr>
    </w:tbl>
    <w:p>
      <w:pPr>
        <w:pStyle w:val="TextBody"/>
        <w:spacing w:lineRule="auto" w:line="273" w:before="80" w:after="0"/>
        <w:jc w:val="center"/>
        <w:rPr>
          <w:rFonts w:ascii="Arial" w:hAnsi="Arial"/>
          <w:b/>
          <w:sz w:val="20"/>
        </w:rPr>
      </w:pPr>
      <w:r>
        <w:rPr>
          <w:rFonts w:ascii="Arial" w:hAnsi="Arial"/>
          <w:b/>
          <w:sz w:val="20"/>
        </w:rPr>
        <w:t>For the quarterly period ended March 31, 2022</w:t>
      </w:r>
    </w:p>
    <w:p>
      <w:pPr>
        <w:pStyle w:val="TextBody"/>
        <w:spacing w:lineRule="auto" w:line="273" w:before="80" w:after="0"/>
        <w:jc w:val="center"/>
        <w:rPr>
          <w:rFonts w:ascii="Arial" w:hAnsi="Arial"/>
          <w:b/>
          <w:sz w:val="20"/>
        </w:rPr>
      </w:pPr>
      <w:r>
        <w:rPr>
          <w:rFonts w:ascii="Arial" w:hAnsi="Arial"/>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8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80" w:after="0"/>
              <w:ind w:left="0" w:right="0" w:hanging="0"/>
              <w:jc w:val="left"/>
              <w:rPr>
                <w:rFonts w:ascii="Arial" w:hAnsi="Arial"/>
                <w:b/>
                <w:sz w:val="20"/>
              </w:rPr>
            </w:pPr>
            <w:r>
              <w:rPr>
                <w:rFonts w:ascii="Arial" w:hAnsi="Arial"/>
                <w:b/>
                <w:sz w:val="20"/>
              </w:rPr>
              <w:t>TRANSITION REPORT PURSUANT TO SECTION 13 OR 15(d) OF THE SECURITIES EXCHANGE ACT OF 1934</w:t>
            </w:r>
          </w:p>
        </w:tc>
      </w:tr>
    </w:tbl>
    <w:p>
      <w:pPr>
        <w:pStyle w:val="TextBody"/>
        <w:spacing w:lineRule="auto" w:line="273" w:before="120" w:after="0"/>
        <w:jc w:val="center"/>
        <w:rPr>
          <w:rFonts w:ascii="Arial" w:hAnsi="Arial"/>
          <w:b/>
          <w:sz w:val="20"/>
        </w:rPr>
      </w:pPr>
      <w:r>
        <w:rPr>
          <w:rFonts w:ascii="Arial" w:hAnsi="Arial"/>
          <w:b/>
          <w:sz w:val="20"/>
        </w:rPr>
        <w:t>For the transition period from ___________________ to ___________________</w:t>
      </w:r>
    </w:p>
    <w:p>
      <w:pPr>
        <w:pStyle w:val="TextBody"/>
        <w:spacing w:lineRule="auto" w:line="273" w:before="120" w:after="0"/>
        <w:jc w:val="center"/>
        <w:rPr>
          <w:rFonts w:ascii="Arial" w:hAnsi="Arial"/>
          <w:b/>
          <w:sz w:val="20"/>
        </w:rPr>
      </w:pPr>
      <w:r>
        <w:rPr>
          <w:rFonts w:ascii="Arial" w:hAnsi="Arial"/>
          <w:b/>
          <w:sz w:val="20"/>
        </w:rPr>
        <w:t>Commission File Number: 001-40971</w:t>
      </w:r>
    </w:p>
    <w:p>
      <w:pPr>
        <w:pStyle w:val="TextBody"/>
        <w:pBdr>
          <w:bottom w:val="single" w:sz="4" w:space="1" w:color="000000"/>
        </w:pBdr>
        <w:spacing w:lineRule="auto" w:line="273" w:before="40" w:after="100"/>
        <w:jc w:val="center"/>
        <w:rPr/>
      </w:pPr>
      <w:r>
        <w:rPr/>
        <w:t> </w:t>
      </w:r>
    </w:p>
    <w:p>
      <w:pPr>
        <w:pStyle w:val="TextBody"/>
        <w:spacing w:lineRule="auto" w:line="273" w:before="0" w:after="0"/>
        <w:jc w:val="center"/>
        <w:rPr>
          <w:rFonts w:ascii="Arial" w:hAnsi="Arial"/>
          <w:b/>
          <w:sz w:val="48"/>
        </w:rPr>
      </w:pPr>
      <w:r>
        <w:rPr>
          <w:rFonts w:ascii="Arial" w:hAnsi="Arial"/>
          <w:b/>
          <w:sz w:val="48"/>
        </w:rPr>
        <w:t>AURA BIOSCIENCES, INC.</w:t>
      </w:r>
    </w:p>
    <w:p>
      <w:pPr>
        <w:pStyle w:val="TextBody"/>
        <w:spacing w:lineRule="auto" w:line="273" w:before="0" w:after="0"/>
        <w:jc w:val="center"/>
        <w:rPr>
          <w:rFonts w:ascii="Arial" w:hAnsi="Arial"/>
          <w:b/>
          <w:sz w:val="20"/>
        </w:rPr>
      </w:pPr>
      <w:r>
        <w:rPr>
          <w:rFonts w:ascii="Arial" w:hAnsi="Arial"/>
          <w:b/>
          <w:sz w:val="20"/>
        </w:rPr>
        <w:t>(Exact Name of Registrant as Specified in its Charter)</w:t>
      </w:r>
    </w:p>
    <w:p>
      <w:pPr>
        <w:pStyle w:val="TextBody"/>
        <w:pBdr>
          <w:bottom w:val="single" w:sz="4" w:space="1" w:color="000000"/>
        </w:pBdr>
        <w:spacing w:lineRule="auto" w:line="273" w:before="40" w:after="0"/>
        <w:jc w:val="center"/>
        <w:rPr/>
      </w:pPr>
      <w:r>
        <w:rPr/>
        <w:t> </w:t>
      </w:r>
    </w:p>
    <w:p>
      <w:pPr>
        <w:pStyle w:val="TextBody"/>
        <w:spacing w:lineRule="auto" w:line="273" w:before="0" w:after="0"/>
        <w:jc w:val="left"/>
        <w:rPr/>
      </w:pPr>
      <w:r>
        <w:rPr/>
        <w:t> </w:t>
      </w:r>
    </w:p>
    <w:tbl>
      <w:tblPr>
        <w:tblW w:w="3947" w:type="dxa"/>
        <w:jc w:val="left"/>
        <w:tblInd w:w="0" w:type="dxa"/>
        <w:tblCellMar>
          <w:top w:w="28" w:type="dxa"/>
          <w:left w:w="28" w:type="dxa"/>
          <w:bottom w:w="28" w:type="dxa"/>
          <w:right w:w="28" w:type="dxa"/>
        </w:tblCellMar>
      </w:tblPr>
      <w:tblGrid>
        <w:gridCol w:w="2656"/>
        <w:gridCol w:w="1291"/>
      </w:tblGrid>
      <w:tr>
        <w:trPr/>
        <w:tc>
          <w:tcPr>
            <w:tcW w:w="265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Delaware</w:t>
            </w:r>
          </w:p>
        </w:tc>
        <w:tc>
          <w:tcPr>
            <w:tcW w:w="1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32-0271970</w:t>
            </w:r>
          </w:p>
        </w:tc>
      </w:tr>
      <w:tr>
        <w:trPr/>
        <w:tc>
          <w:tcPr>
            <w:tcW w:w="26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14"/>
              </w:rPr>
            </w:pPr>
            <w:r>
              <w:rPr>
                <w:rFonts w:ascii="Arial" w:hAnsi="Arial"/>
                <w:b/>
                <w:sz w:val="14"/>
              </w:rPr>
              <w:t>(State or other jurisdiction of</w:t>
            </w:r>
          </w:p>
          <w:p>
            <w:pPr>
              <w:pStyle w:val="TableContents"/>
              <w:spacing w:lineRule="auto" w:line="252" w:before="0" w:after="15"/>
              <w:ind w:left="0" w:right="0" w:hanging="0"/>
              <w:jc w:val="center"/>
              <w:rPr>
                <w:rFonts w:ascii="Arial" w:hAnsi="Arial"/>
                <w:b/>
                <w:sz w:val="14"/>
              </w:rPr>
            </w:pPr>
            <w:r>
              <w:rPr>
                <w:rFonts w:ascii="Arial" w:hAnsi="Arial"/>
                <w:b/>
                <w:sz w:val="14"/>
              </w:rPr>
              <w:t>incorporation or organization)</w:t>
            </w:r>
          </w:p>
        </w:tc>
        <w:tc>
          <w:tcPr>
            <w:tcW w:w="1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14"/>
              </w:rPr>
            </w:pPr>
            <w:r>
              <w:rPr>
                <w:rFonts w:ascii="Arial" w:hAnsi="Arial"/>
                <w:b/>
                <w:sz w:val="14"/>
              </w:rPr>
              <w:t>(I.R.S. Employer</w:t>
              <w:br/>
              <w:t>Identification No.)</w:t>
            </w:r>
          </w:p>
        </w:tc>
      </w:tr>
      <w:tr>
        <w:trPr/>
        <w:tc>
          <w:tcPr>
            <w:tcW w:w="2656" w:type="dxa"/>
            <w:tcBorders/>
            <w:shd w:fill="auto" w:val="clear"/>
            <w:tcMar>
              <w:top w:w="0" w:type="dxa"/>
              <w:left w:w="0" w:type="dxa"/>
              <w:bottom w:w="0" w:type="dxa"/>
              <w:right w:w="0" w:type="dxa"/>
            </w:tcMar>
            <w:vAlign w:val="center"/>
          </w:tcPr>
          <w:p>
            <w:pPr>
              <w:pStyle w:val="TableContents"/>
              <w:spacing w:lineRule="auto" w:line="252" w:before="60" w:after="15"/>
              <w:ind w:left="0" w:right="0" w:hanging="0"/>
              <w:jc w:val="center"/>
              <w:rPr>
                <w:rFonts w:ascii="Arial" w:hAnsi="Arial"/>
                <w:b/>
                <w:sz w:val="20"/>
              </w:rPr>
            </w:pPr>
            <w:r>
              <w:rPr>
                <w:rFonts w:ascii="Arial" w:hAnsi="Arial"/>
                <w:b/>
                <w:sz w:val="20"/>
              </w:rPr>
              <w:t>85 Bolton Street</w:t>
            </w:r>
          </w:p>
          <w:p>
            <w:pPr>
              <w:pStyle w:val="TableContents"/>
              <w:spacing w:lineRule="auto" w:line="252" w:before="0" w:after="15"/>
              <w:ind w:left="0" w:right="0" w:hanging="0"/>
              <w:jc w:val="center"/>
              <w:rPr>
                <w:rFonts w:ascii="Arial" w:hAnsi="Arial"/>
                <w:b/>
                <w:sz w:val="20"/>
              </w:rPr>
            </w:pPr>
            <w:r>
              <w:rPr>
                <w:rFonts w:ascii="Arial" w:hAnsi="Arial"/>
                <w:b/>
                <w:sz w:val="20"/>
              </w:rPr>
              <w:t>Cambridge, MA</w:t>
            </w:r>
          </w:p>
        </w:tc>
        <w:tc>
          <w:tcPr>
            <w:tcW w:w="1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02140</w:t>
            </w:r>
          </w:p>
        </w:tc>
      </w:tr>
      <w:tr>
        <w:trPr/>
        <w:tc>
          <w:tcPr>
            <w:tcW w:w="26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14"/>
              </w:rPr>
            </w:pPr>
            <w:r>
              <w:rPr>
                <w:rFonts w:ascii="Arial" w:hAnsi="Arial"/>
                <w:b/>
                <w:sz w:val="14"/>
              </w:rPr>
              <w:t>(Address of principal executive offices)</w:t>
            </w:r>
          </w:p>
        </w:tc>
        <w:tc>
          <w:tcPr>
            <w:tcW w:w="12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14"/>
              </w:rPr>
            </w:pPr>
            <w:r>
              <w:rPr>
                <w:rFonts w:ascii="Arial" w:hAnsi="Arial"/>
                <w:b/>
                <w:sz w:val="14"/>
              </w:rPr>
              <w:t>(Zip Code)</w:t>
            </w:r>
          </w:p>
        </w:tc>
      </w:tr>
    </w:tbl>
    <w:p>
      <w:pPr>
        <w:pStyle w:val="TextBody"/>
        <w:spacing w:lineRule="auto" w:line="273" w:before="80" w:after="0"/>
        <w:jc w:val="center"/>
        <w:rPr>
          <w:rFonts w:ascii="Arial" w:hAnsi="Arial"/>
          <w:b/>
          <w:sz w:val="20"/>
        </w:rPr>
      </w:pPr>
      <w:r>
        <w:rPr>
          <w:rFonts w:ascii="Arial" w:hAnsi="Arial"/>
          <w:b/>
          <w:sz w:val="20"/>
        </w:rPr>
        <w:t>Registrant’s telephone number, including area code: (617) 500-8864</w:t>
      </w:r>
    </w:p>
    <w:p>
      <w:pPr>
        <w:pStyle w:val="TextBody"/>
        <w:pBdr>
          <w:bottom w:val="single" w:sz="4" w:space="1" w:color="000000"/>
        </w:pBdr>
        <w:spacing w:lineRule="auto" w:line="273" w:before="40" w:after="0"/>
        <w:jc w:val="center"/>
        <w:rPr/>
      </w:pPr>
      <w:r>
        <w:rPr/>
        <w:t> </w:t>
      </w:r>
    </w:p>
    <w:p>
      <w:pPr>
        <w:pStyle w:val="TextBody"/>
        <w:spacing w:lineRule="auto" w:line="273" w:before="80" w:after="0"/>
        <w:jc w:val="left"/>
        <w:rPr>
          <w:rFonts w:ascii="Times New Roman" w:hAnsi="Times New Roman"/>
          <w:sz w:val="20"/>
        </w:rPr>
      </w:pPr>
      <w:r>
        <w:rPr>
          <w:rFonts w:ascii="Arial" w:hAnsi="Arial"/>
          <w:b w:val="false"/>
          <w:sz w:val="18"/>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8740" w:type="dxa"/>
        <w:jc w:val="left"/>
        <w:tblInd w:w="0" w:type="dxa"/>
        <w:tblCellMar>
          <w:top w:w="28" w:type="dxa"/>
          <w:left w:w="28" w:type="dxa"/>
          <w:bottom w:w="28" w:type="dxa"/>
          <w:right w:w="28" w:type="dxa"/>
        </w:tblCellMar>
      </w:tblPr>
      <w:tblGrid>
        <w:gridCol w:w="3871"/>
        <w:gridCol w:w="146"/>
        <w:gridCol w:w="916"/>
        <w:gridCol w:w="146"/>
        <w:gridCol w:w="3661"/>
      </w:tblGrid>
      <w:tr>
        <w:trPr/>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1" w:type="dxa"/>
            <w:tcBorders/>
            <w:shd w:fill="auto" w:val="clear"/>
            <w:vAlign w:val="center"/>
          </w:tcPr>
          <w:p>
            <w:pPr>
              <w:pStyle w:val="TableContents"/>
              <w:spacing w:before="0" w:after="283"/>
              <w:rPr>
                <w:sz w:val="4"/>
                <w:szCs w:val="4"/>
              </w:rPr>
            </w:pPr>
            <w:r>
              <w:rPr>
                <w:sz w:val="4"/>
                <w:szCs w:val="4"/>
              </w:rPr>
            </w:r>
          </w:p>
        </w:tc>
      </w:tr>
      <w:tr>
        <w:trPr/>
        <w:tc>
          <w:tcPr>
            <w:tcW w:w="38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Trading</w:t>
            </w:r>
          </w:p>
          <w:p>
            <w:pPr>
              <w:pStyle w:val="TableContents"/>
              <w:spacing w:lineRule="auto" w:line="252" w:before="0" w:after="0"/>
              <w:ind w:left="0" w:right="0" w:hanging="0"/>
              <w:jc w:val="center"/>
              <w:rPr>
                <w:rFonts w:ascii="Arial" w:hAnsi="Arial"/>
                <w:b/>
                <w:sz w:val="16"/>
              </w:rPr>
            </w:pPr>
            <w:r>
              <w:rPr>
                <w:rFonts w:ascii="Arial" w:hAnsi="Arial"/>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Name of each exchange on which registered</w:t>
            </w:r>
          </w:p>
        </w:tc>
      </w:tr>
      <w:tr>
        <w:trPr/>
        <w:tc>
          <w:tcPr>
            <w:tcW w:w="387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Common Stock, par value $0.00001 per share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16" w:type="dxa"/>
            <w:tcBorders/>
            <w:shd w:fill="auto" w:val="clear"/>
            <w:vAlign w:val="center"/>
          </w:tcPr>
          <w:p>
            <w:pPr>
              <w:pStyle w:val="TableContents"/>
              <w:spacing w:lineRule="auto" w:line="252" w:before="0" w:after="0"/>
              <w:ind w:left="0" w:right="0" w:hanging="0"/>
              <w:jc w:val="center"/>
              <w:rPr>
                <w:rFonts w:ascii="Arial" w:hAnsi="Arial"/>
                <w:b w:val="false"/>
                <w:sz w:val="18"/>
              </w:rPr>
            </w:pPr>
            <w:r>
              <w:rPr>
                <w:rFonts w:ascii="Arial" w:hAnsi="Arial"/>
                <w:b w:val="false"/>
                <w:sz w:val="18"/>
              </w:rPr>
              <w:t>AURA</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661" w:type="dxa"/>
            <w:tcBorders/>
            <w:shd w:fill="auto" w:val="clear"/>
            <w:vAlign w:val="center"/>
          </w:tcPr>
          <w:p>
            <w:pPr>
              <w:pStyle w:val="TableContents"/>
              <w:spacing w:lineRule="auto" w:line="252" w:before="0" w:after="0"/>
              <w:ind w:left="0" w:right="0" w:hanging="0"/>
              <w:jc w:val="center"/>
              <w:rPr>
                <w:rFonts w:ascii="Arial" w:hAnsi="Arial"/>
                <w:b w:val="false"/>
                <w:sz w:val="18"/>
              </w:rPr>
            </w:pPr>
            <w:r>
              <w:rPr>
                <w:rFonts w:ascii="Arial" w:hAnsi="Arial"/>
                <w:b w:val="false"/>
                <w:sz w:val="18"/>
              </w:rPr>
              <w:t>Nasdaq Global Market LLC</w:t>
            </w:r>
          </w:p>
        </w:tc>
      </w:tr>
    </w:tbl>
    <w:p>
      <w:pPr>
        <w:pStyle w:val="TextBody"/>
        <w:spacing w:lineRule="auto" w:line="273" w:before="120" w:after="0"/>
        <w:jc w:val="left"/>
        <w:rPr>
          <w:rFonts w:ascii="Times New Roman" w:hAnsi="Times New Roman"/>
          <w:sz w:val="20"/>
        </w:rPr>
      </w:pPr>
      <w:r>
        <w:rPr>
          <w:rFonts w:ascii="Arial" w:hAnsi="Arial"/>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Arial" w:hAnsi="Arial"/>
          <w:b w:val="false"/>
          <w:sz w:val="18"/>
        </w:rPr>
        <w:t>No</w:t>
      </w:r>
      <w:r>
        <w:rPr>
          <w:rFonts w:ascii="Times New Roman" w:hAnsi="Times New Roman"/>
          <w:sz w:val="20"/>
        </w:rPr>
        <w:t xml:space="preserve"> ☐</w:t>
      </w:r>
    </w:p>
    <w:p>
      <w:pPr>
        <w:pStyle w:val="TextBody"/>
        <w:spacing w:lineRule="auto" w:line="273" w:before="80" w:after="0"/>
        <w:jc w:val="left"/>
        <w:rPr>
          <w:rFonts w:ascii="Times New Roman" w:hAnsi="Times New Roman"/>
          <w:sz w:val="20"/>
        </w:rPr>
      </w:pPr>
      <w:r>
        <w:rPr>
          <w:rFonts w:ascii="Arial" w:hAnsi="Arial"/>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 w:hAnsi="Arial"/>
          <w:b w:val="false"/>
          <w:sz w:val="18"/>
        </w:rPr>
        <w:t xml:space="preserve">No </w:t>
      </w:r>
      <w:r>
        <w:rPr>
          <w:rFonts w:ascii="Times New Roman" w:hAnsi="Times New Roman"/>
          <w:sz w:val="20"/>
        </w:rPr>
        <w:t>☐</w:t>
      </w:r>
    </w:p>
    <w:p>
      <w:pPr>
        <w:pStyle w:val="TextBody"/>
        <w:spacing w:lineRule="auto" w:line="273" w:before="80" w:after="0"/>
        <w:jc w:val="left"/>
        <w:rPr>
          <w:rFonts w:ascii="Arial" w:hAnsi="Arial"/>
          <w:b w:val="false"/>
          <w:sz w:val="18"/>
        </w:rPr>
      </w:pPr>
      <w:r>
        <w:rPr>
          <w:rFonts w:ascii="Arial" w:hAnsi="Arial"/>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left"/>
        <w:rPr/>
      </w:pPr>
      <w:r>
        <w:rPr/>
        <w:t> </w:t>
      </w:r>
    </w:p>
    <w:tbl>
      <w:tblPr>
        <w:tblW w:w="5377" w:type="dxa"/>
        <w:jc w:val="left"/>
        <w:tblInd w:w="0" w:type="dxa"/>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19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195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Arial" w:hAnsi="Arial"/>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Arial" w:hAnsi="Arial"/>
          <w:b w:val="false"/>
          <w:sz w:val="18"/>
        </w:rPr>
        <w:t xml:space="preserve">No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Arial" w:hAnsi="Arial"/>
          <w:b w:val="false"/>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sz w:val="20"/>
        </w:rPr>
        <w:t xml:space="preserve">☒ </w:t>
      </w:r>
      <w:r>
        <w:rPr>
          <w:rFonts w:ascii="Arial" w:hAnsi="Arial"/>
          <w:b w:val="false"/>
          <w:sz w:val="18"/>
        </w:rPr>
        <w:t xml:space="preserve">No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Arial" w:hAnsi="Arial"/>
          <w:b w:val="false"/>
          <w:sz w:val="18"/>
        </w:rPr>
        <w:t>As of May 9, 2022, the registrant had 29,259,976</w:t>
      </w:r>
      <w:r>
        <w:rPr>
          <w:rFonts w:ascii="Times New Roman" w:hAnsi="Times New Roman"/>
          <w:sz w:val="20"/>
        </w:rPr>
        <w:t xml:space="preserve"> </w:t>
      </w:r>
      <w:r>
        <w:rPr>
          <w:rFonts w:ascii="Arial" w:hAnsi="Arial"/>
          <w:b w:val="false"/>
          <w:sz w:val="18"/>
        </w:rPr>
        <w:t>shares of common stock, $0.00001 par value per share, outstanding.</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tLeast" w:line="141" w:before="0" w:after="0"/>
        <w:jc w:val="center"/>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Arial" w:hAnsi="Arial"/>
          <w:b/>
          <w:sz w:val="20"/>
        </w:rPr>
      </w:pPr>
      <w:bookmarkStart w:id="2" w:name="summary_of_the_material_risks"/>
      <w:bookmarkEnd w:id="2"/>
      <w:r>
        <w:rPr>
          <w:rFonts w:ascii="Arial" w:hAnsi="Arial"/>
          <w:b/>
          <w:sz w:val="20"/>
        </w:rPr>
        <w:t>Summary of the Material Risks Associated with Our Business</w:t>
      </w:r>
    </w:p>
    <w:p>
      <w:pPr>
        <w:pStyle w:val="TextBody"/>
        <w:spacing w:lineRule="auto" w:line="273" w:before="0" w:after="0"/>
        <w:jc w:val="left"/>
        <w:rPr/>
      </w:pPr>
      <w:r>
        <w:rPr/>
        <w:t> </w:t>
      </w:r>
    </w:p>
    <w:p>
      <w:pPr>
        <w:pStyle w:val="TextBody"/>
        <w:spacing w:lineRule="auto" w:line="273" w:before="0" w:after="0"/>
        <w:jc w:val="left"/>
        <w:rPr>
          <w:rFonts w:ascii="Arial" w:hAnsi="Arial"/>
          <w:b w:val="false"/>
          <w:i/>
          <w:sz w:val="20"/>
        </w:rPr>
      </w:pPr>
      <w:r>
        <w:rPr>
          <w:rFonts w:ascii="Arial" w:hAnsi="Arial"/>
          <w:b w:val="false"/>
          <w:i/>
          <w:sz w:val="20"/>
        </w:rPr>
        <w:t>Our business is subject to numerous material and other risks and uncertainties that you should be aware of in evaluating our business. These risks are described more fully in Part II, “Item 1A—Risk Factors,” and include, but are not limited to, the following:</w:t>
      </w:r>
    </w:p>
    <w:p>
      <w:pPr>
        <w:pStyle w:val="TextBody"/>
        <w:spacing w:lineRule="auto" w:line="273" w:before="80" w:after="0"/>
        <w:jc w:val="both"/>
        <w:rPr/>
      </w:pPr>
      <w:r>
        <w:rPr/>
        <w:t>•</w:t>
      </w:r>
    </w:p>
    <w:p>
      <w:pPr>
        <w:pStyle w:val="TextBody"/>
        <w:spacing w:lineRule="auto" w:line="273" w:before="80" w:after="0"/>
        <w:jc w:val="both"/>
        <w:rPr>
          <w:rFonts w:ascii="Arial" w:hAnsi="Arial"/>
          <w:b w:val="false"/>
          <w:sz w:val="20"/>
        </w:rPr>
      </w:pPr>
      <w:r>
        <w:rPr>
          <w:rFonts w:ascii="Arial" w:hAnsi="Arial"/>
          <w:b w:val="false"/>
          <w:sz w:val="20"/>
        </w:rPr>
        <w:t>We have incurred significant net losses since our inception and anticipate that we will continue to incur losses for the foreseeable future.</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Raising additional capital may cause dilution to our existing stockholders, restrict our operations or require us to relinquish proprietary rights to our technologies or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generate revenue and achieve profitability depends significantly on our ability to achieve our objectives relating to the discovery, development and commercialization of our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We are heavily dependent on the success of AU-011, our only product candidate to date.</w:t>
      </w:r>
    </w:p>
    <w:p>
      <w:pPr>
        <w:pStyle w:val="TextBody"/>
        <w:spacing w:lineRule="auto" w:line="273" w:before="40" w:after="0"/>
        <w:jc w:val="both"/>
        <w:rPr/>
      </w:pPr>
      <w:r>
        <w:rPr/>
        <w:t>•</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3" w:before="40" w:after="0"/>
        <w:jc w:val="both"/>
        <w:rPr>
          <w:rFonts w:ascii="Arial" w:hAnsi="Arial"/>
          <w:b w:val="false"/>
          <w:sz w:val="20"/>
        </w:rPr>
      </w:pPr>
      <w:r>
        <w:rPr>
          <w:rFonts w:ascii="Arial" w:hAnsi="Arial"/>
          <w:b w:val="false"/>
          <w:sz w:val="20"/>
        </w:rPr>
        <w:t>If we are not able to obtain, or if there are delays in obtaining, required regulatory approvals for AU-011, we will not be able to commercialize, or will be delayed in commercializing, our product candidates, and our ability to generate revenue will be materially impaired.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We have not yet successfully initiated or completed any pivotal clinical trials nor commercialized any pharmaceutical products, which may make it difficult to evaluate our future prospects.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If we fail to develop additional product candidates, or obtain additional indications of our first product candidate our commercial opportunity could be limited.</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We currently rely on third-party contract manufacturing organizations, or CMOs, for the production of clinical supply of AU-011 and may continue to rely on CMOs for the production of commercial supply of AU-011,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If AU-011 or any future product candidates do not achieve broad market acceptance, the revenue that we generate from their sales may be limited, and we may never become profitable.</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If the market opportunity for AU-011 is smaller than we estimate or if any regulatory approval that we obtain is based on a narrower definition of the patient population, our revenue and ability to achieve profitability will be adversely affected, possibly materially.</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compete may decline if we do not adequately protect our proprietary rights, and our proprietary rights do not necessarily address all potential threats to our competitive advantage.</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If we lose key management personnel, or if we fail to recruit additional highly skilled personnel, our ability to pursue our business strategy will be impaired, could result in loss of markets or market share and could make us less competitive.</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Business disruptions could seriously harm our future revenue and financial condition and increase our costs and expenses.</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Our principal stockholders and management own a significant percentage of our stock and will be able to exert significant influence over matters subject to stockholder approval.</w:t>
      </w:r>
    </w:p>
    <w:p>
      <w:pPr>
        <w:pStyle w:val="TextBody"/>
        <w:spacing w:lineRule="auto" w:line="273" w:before="0" w:after="0"/>
        <w:jc w:val="both"/>
        <w:rPr/>
      </w:pPr>
      <w:r>
        <w:rPr/>
        <w:t> </w:t>
      </w:r>
    </w:p>
    <w:p>
      <w:pPr>
        <w:pStyle w:val="TextBody"/>
        <w:spacing w:lineRule="auto" w:line="273" w:before="240" w:after="0"/>
        <w:jc w:val="center"/>
        <w:rPr>
          <w:rFonts w:ascii="Arial" w:hAnsi="Arial"/>
          <w:b w:val="false"/>
          <w:sz w:val="20"/>
        </w:rPr>
      </w:pPr>
      <w:r>
        <w:rPr>
          <w:rFonts w:ascii="Arial" w:hAnsi="Arial"/>
          <w:b w:val="false"/>
          <w:sz w:val="20"/>
        </w:rPr>
        <w:t>i</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Arial" w:hAnsi="Arial"/>
          <w:b/>
          <w:sz w:val="20"/>
        </w:rPr>
      </w:pPr>
      <w:r>
        <w:rPr>
          <w:rFonts w:ascii="Arial" w:hAnsi="Arial"/>
          <w:b/>
          <w:sz w:val="20"/>
        </w:rPr>
        <w:t>Special Note Regarding Forward-Looking Statements</w:t>
      </w:r>
    </w:p>
    <w:p>
      <w:pPr>
        <w:pStyle w:val="TextBody"/>
        <w:spacing w:lineRule="auto" w:line="273" w:before="0" w:after="0"/>
        <w:jc w:val="left"/>
        <w:rPr/>
      </w:pPr>
      <w:r>
        <w:rPr/>
        <w:t> </w:t>
      </w:r>
    </w:p>
    <w:p>
      <w:pPr>
        <w:pStyle w:val="TextBody"/>
        <w:spacing w:lineRule="auto" w:line="273" w:before="0" w:after="0"/>
        <w:jc w:val="both"/>
        <w:rPr>
          <w:rFonts w:ascii="Arial" w:hAnsi="Arial"/>
          <w:b w:val="false"/>
          <w:sz w:val="20"/>
        </w:rPr>
      </w:pPr>
      <w:r>
        <w:rPr>
          <w:rFonts w:ascii="Arial" w:hAnsi="Arial"/>
          <w:b w:val="false"/>
          <w:sz w:val="20"/>
        </w:rPr>
        <w:t>This Quarterly Report on Form 10-Q, or the Quarterly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efficiently develop our existing product candidates and discover new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successfully manufacture our drug substances and product candidates for preclinical use, for clinical trials and on a larger scale for commercial use, if approved;</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ability and willingness of our third-party strategic collaborators to continue research and development activities relating to our development candidates and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obtain funding for our operations necessary to complete further development and commercialization of our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obtain and maintain regulatory approval of our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commercialize our products, if approved;</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pricing and reimbursement of our product candidates, if approved;</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implementation of our business model, and strategic plans for our business and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scope of protection we are able to establish and maintain for intellectual property rights covering our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estimates of our future expenses, revenues, capital requirements, and our needs for additional financing;</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future agreements with third parties in connection with the commercialization of product candidates and any other approved product;</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size and growth potential of the markets for our product candidates, and our ability to serve those markets;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financial performance;</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rate and degree of market acceptance of our product candidates;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regulatory developments in the United States and foreign countries;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produce our products or product candidates with advantages in turnaround times or manufacturing cost;</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success of competing therapies that are or may become available;</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our ability to attract and retain key scientific or management personnel;</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impact of laws and regulations;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developments relating to our competitors and our industry;</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the effect of the COVID-19 pandemic, including mitigation efforts and economic effects, on any of the foregoing or other aspects of our business operations, including but not limited to our preclinical studies and clinical trials and any future studies or trials; and</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other risks and uncertainties, including those listed under the caption “Risk Factors.”</w:t>
      </w:r>
    </w:p>
    <w:p>
      <w:pPr>
        <w:pStyle w:val="TextBody"/>
        <w:spacing w:lineRule="auto" w:line="273" w:before="240" w:after="0"/>
        <w:jc w:val="center"/>
        <w:rPr>
          <w:rFonts w:ascii="Arial" w:hAnsi="Arial"/>
          <w:b w:val="false"/>
          <w:sz w:val="20"/>
        </w:rPr>
      </w:pPr>
      <w:r>
        <w:rPr>
          <w:rFonts w:ascii="Arial" w:hAnsi="Arial"/>
          <w:b w:val="false"/>
          <w:sz w:val="20"/>
        </w:rPr>
        <w:t>ii</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bookmarkStart w:id="3" w:name="toc_page"/>
      <w:bookmarkEnd w:id="3"/>
      <w:r>
        <w:rPr>
          <w:rFonts w:ascii="Arial" w:hAnsi="Arial"/>
          <w:b/>
          <w:sz w:val="20"/>
        </w:rPr>
        <w:t>Table of Contents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79"/>
        <w:gridCol w:w="8784"/>
        <w:gridCol w:w="542"/>
      </w:tblGrid>
      <w:tr>
        <w:trPr/>
        <w:tc>
          <w:tcPr>
            <w:tcW w:w="879" w:type="dxa"/>
            <w:tcBorders/>
            <w:shd w:fill="auto" w:val="clear"/>
            <w:vAlign w:val="center"/>
          </w:tcPr>
          <w:p>
            <w:pPr>
              <w:pStyle w:val="TableContents"/>
              <w:spacing w:before="0" w:after="283"/>
              <w:rPr>
                <w:sz w:val="4"/>
                <w:szCs w:val="4"/>
              </w:rPr>
            </w:pPr>
            <w:r>
              <w:rPr>
                <w:sz w:val="4"/>
                <w:szCs w:val="4"/>
              </w:rPr>
            </w:r>
          </w:p>
        </w:tc>
        <w:tc>
          <w:tcPr>
            <w:tcW w:w="8784"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Page</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ummary_of_the_material_risks">
              <w:r>
                <w:rPr>
                  <w:rStyle w:val="InternetLink"/>
                  <w:rFonts w:ascii="Arial" w:hAnsi="Arial"/>
                  <w:b w:val="false"/>
                  <w:sz w:val="20"/>
                  <w:u w:val="single"/>
                </w:rPr>
                <w:t>SUMMARY OF RISKS</w:t>
              </w:r>
            </w:hyperlink>
            <w:hyperlink w:anchor="summary_of_the_material_risks">
              <w:r>
                <w:rPr>
                  <w:rStyle w:val="InternetLink"/>
                  <w:rFonts w:ascii="Times New Roman" w:hAnsi="Times New Roman"/>
                  <w:sz w:val="20"/>
                </w:rPr>
                <w:t xml:space="preserve"> </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i</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PART I.</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_financial_information">
              <w:r>
                <w:rPr>
                  <w:rStyle w:val="InternetLink"/>
                  <w:rFonts w:ascii="Arial" w:hAnsi="Arial"/>
                  <w:b w:val="false"/>
                  <w:sz w:val="20"/>
                  <w:u w:val="single"/>
                </w:rPr>
                <w:t>FINANCIAL INFORMATION</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1.</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financial_statements">
              <w:r>
                <w:rPr>
                  <w:rStyle w:val="InternetLink"/>
                  <w:rFonts w:ascii="Arial" w:hAnsi="Arial"/>
                  <w:b w:val="false"/>
                  <w:sz w:val="20"/>
                  <w:u w:val="single"/>
                </w:rPr>
                <w:t>Financial Statements (Unaudited)</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1</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balance_sheets_unaudited">
              <w:r>
                <w:rPr>
                  <w:rStyle w:val="InternetLink"/>
                  <w:rFonts w:ascii="Arial" w:hAnsi="Arial"/>
                  <w:b w:val="false"/>
                  <w:sz w:val="20"/>
                  <w:u w:val="single"/>
                </w:rPr>
                <w:t>Condensed Consolidated Balance Sheets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1</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statements_of_operations_and_c">
              <w:r>
                <w:rPr>
                  <w:rStyle w:val="InternetLink"/>
                  <w:rFonts w:ascii="Arial" w:hAnsi="Arial"/>
                  <w:b w:val="false"/>
                  <w:sz w:val="20"/>
                  <w:u w:val="single"/>
                </w:rPr>
                <w:t>Condensed Consolidated Statements of Operations and Comprehensive Loss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2</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statements_of_convertible_pref">
              <w:r>
                <w:rPr>
                  <w:rStyle w:val="InternetLink"/>
                  <w:rFonts w:ascii="Arial" w:hAnsi="Arial"/>
                  <w:b w:val="false"/>
                  <w:sz w:val="20"/>
                  <w:u w:val="single"/>
                </w:rPr>
                <w:t>Condensed Consolidated Statements of Convertible Preferred Stock and Stockholders’ Equity (Deficit)</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3</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statements_of_cash_flows_unaud">
              <w:r>
                <w:rPr>
                  <w:rStyle w:val="InternetLink"/>
                  <w:rFonts w:ascii="Arial" w:hAnsi="Arial"/>
                  <w:b w:val="false"/>
                  <w:sz w:val="20"/>
                  <w:u w:val="single"/>
                </w:rPr>
                <w:t>Condensed Consolidated Statements of Cash Flows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4</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unaudited_condensed_financial_s">
              <w:r>
                <w:rPr>
                  <w:rStyle w:val="InternetLink"/>
                  <w:rFonts w:ascii="Arial" w:hAnsi="Arial"/>
                  <w:b w:val="false"/>
                  <w:sz w:val="20"/>
                  <w:u w:val="single"/>
                </w:rPr>
                <w:t>Notes to Unaudited Condensed Consolidated Financial Statements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2.</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mda">
              <w:r>
                <w:rPr>
                  <w:rStyle w:val="InternetLink"/>
                  <w:rFonts w:ascii="Arial" w:hAnsi="Arial"/>
                  <w:b w:val="false"/>
                  <w:sz w:val="20"/>
                  <w:u w:val="single"/>
                </w:rPr>
                <w:t>Management’s Discussion and Analysis of Financial Condition and Results of Operations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3.</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quantitative_and_qualitative">
              <w:r>
                <w:rPr>
                  <w:rStyle w:val="InternetLink"/>
                  <w:rFonts w:ascii="Arial" w:hAnsi="Arial"/>
                  <w:b w:val="false"/>
                  <w:sz w:val="20"/>
                  <w:u w:val="single"/>
                </w:rPr>
                <w:t>Quantitative and Qualitative Disclosures About Market Risk</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4.</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controls_and_procedures">
              <w:r>
                <w:rPr>
                  <w:rStyle w:val="InternetLink"/>
                  <w:rFonts w:ascii="Arial" w:hAnsi="Arial"/>
                  <w:b w:val="false"/>
                  <w:sz w:val="20"/>
                  <w:u w:val="single"/>
                </w:rPr>
                <w:t>Controls and Procedures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PART II.</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i_other_information">
              <w:r>
                <w:rPr>
                  <w:rStyle w:val="InternetLink"/>
                  <w:rFonts w:ascii="Arial" w:hAnsi="Arial"/>
                  <w:b w:val="false"/>
                  <w:sz w:val="20"/>
                  <w:u w:val="single"/>
                </w:rPr>
                <w:t>OTHER INFORMATION</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1.</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legal_proceedings">
              <w:r>
                <w:rPr>
                  <w:rStyle w:val="InternetLink"/>
                  <w:rFonts w:ascii="Arial" w:hAnsi="Arial"/>
                  <w:b w:val="false"/>
                  <w:sz w:val="20"/>
                  <w:u w:val="single"/>
                </w:rPr>
                <w:t>Legal Proceedings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1A.</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a_risk_factors">
              <w:r>
                <w:rPr>
                  <w:rStyle w:val="InternetLink"/>
                  <w:rFonts w:ascii="Arial" w:hAnsi="Arial"/>
                  <w:b w:val="false"/>
                  <w:sz w:val="20"/>
                  <w:u w:val="single"/>
                </w:rPr>
                <w:t>Risk Factors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2.</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unregistered_sales_of_equity">
              <w:r>
                <w:rPr>
                  <w:rStyle w:val="InternetLink"/>
                  <w:rFonts w:ascii="Arial" w:hAnsi="Arial"/>
                  <w:b w:val="false"/>
                  <w:sz w:val="20"/>
                  <w:u w:val="single"/>
                </w:rPr>
                <w:t>Unregistered Sales of Equity Securities and Use of Proceeds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3.</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defaults_upon_senior_securities">
              <w:r>
                <w:rPr>
                  <w:rStyle w:val="InternetLink"/>
                  <w:rFonts w:ascii="Arial" w:hAnsi="Arial"/>
                  <w:b w:val="false"/>
                  <w:sz w:val="20"/>
                  <w:u w:val="single"/>
                </w:rPr>
                <w:t>Defaults Upon Senior Securities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4.</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mine_safety_disclosures">
              <w:r>
                <w:rPr>
                  <w:rStyle w:val="InternetLink"/>
                  <w:rFonts w:ascii="Arial" w:hAnsi="Arial"/>
                  <w:b w:val="false"/>
                  <w:sz w:val="20"/>
                  <w:u w:val="single"/>
                </w:rPr>
                <w:t>Mine Safety Disclosures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5.</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_other_information">
              <w:r>
                <w:rPr>
                  <w:rStyle w:val="InternetLink"/>
                  <w:rFonts w:ascii="Arial" w:hAnsi="Arial"/>
                  <w:b w:val="false"/>
                  <w:sz w:val="20"/>
                  <w:u w:val="single"/>
                </w:rPr>
                <w:t>Other Information</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Item 6.</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6_exhibits">
              <w:r>
                <w:rPr>
                  <w:rStyle w:val="InternetLink"/>
                  <w:rFonts w:ascii="Arial" w:hAnsi="Arial"/>
                  <w:b w:val="false"/>
                  <w:sz w:val="20"/>
                  <w:u w:val="single"/>
                </w:rPr>
                <w:t>Exhibits</w:t>
              </w:r>
            </w:hyperlink>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72</w:t>
            </w:r>
          </w:p>
        </w:tc>
      </w:tr>
      <w:tr>
        <w:trPr/>
        <w:tc>
          <w:tcPr>
            <w:tcW w:w="8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Arial" w:hAnsi="Arial"/>
                  <w:b w:val="false"/>
                  <w:sz w:val="20"/>
                  <w:u w:val="single"/>
                </w:rPr>
                <w:t>Signatures</w:t>
              </w:r>
            </w:hyperlink>
            <w:r>
              <w:rPr>
                <w:rFonts w:ascii="Times New Roman" w:hAnsi="Times New Roman"/>
                <w:sz w:val="20"/>
              </w:rPr>
              <w:t xml:space="preserve"> </w:t>
            </w:r>
          </w:p>
        </w:tc>
        <w:tc>
          <w:tcPr>
            <w:tcW w:w="5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iii</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bookmarkStart w:id="4" w:name="part_i_financial_information"/>
      <w:bookmarkEnd w:id="4"/>
      <w:r>
        <w:rPr>
          <w:rFonts w:ascii="Arial" w:hAnsi="Arial"/>
          <w:b/>
          <w:sz w:val="20"/>
        </w:rPr>
        <w:t>PART I—FINANCIAL INFORMATION</w:t>
      </w:r>
    </w:p>
    <w:p>
      <w:pPr>
        <w:pStyle w:val="TextBody"/>
        <w:spacing w:lineRule="auto" w:line="273" w:before="360" w:after="0"/>
        <w:jc w:val="left"/>
        <w:rPr>
          <w:rFonts w:ascii="Arial" w:hAnsi="Arial"/>
          <w:b/>
          <w:sz w:val="20"/>
        </w:rPr>
      </w:pPr>
      <w:bookmarkStart w:id="5" w:name="item_1_financial_statements"/>
      <w:bookmarkEnd w:id="5"/>
      <w:r>
        <w:rPr>
          <w:rFonts w:ascii="Arial" w:hAnsi="Arial"/>
          <w:b/>
          <w:sz w:val="20"/>
        </w:rPr>
        <w:t>Item 1. Financial Statements.</w:t>
      </w:r>
    </w:p>
    <w:p>
      <w:pPr>
        <w:pStyle w:val="TextBody"/>
        <w:spacing w:lineRule="auto" w:line="273" w:before="0" w:after="0"/>
        <w:jc w:val="center"/>
        <w:rPr>
          <w:rFonts w:ascii="Arial" w:hAnsi="Arial"/>
          <w:b/>
          <w:sz w:val="20"/>
        </w:rPr>
      </w:pPr>
      <w:r>
        <w:rPr>
          <w:rFonts w:ascii="Arial" w:hAnsi="Arial"/>
          <w:b/>
          <w:sz w:val="20"/>
        </w:rPr>
        <w:t>Aura Biosciences, Inc.</w:t>
      </w:r>
    </w:p>
    <w:p>
      <w:pPr>
        <w:pStyle w:val="TextBody"/>
        <w:spacing w:lineRule="auto" w:line="273" w:before="240" w:after="0"/>
        <w:jc w:val="center"/>
        <w:rPr>
          <w:rFonts w:ascii="Arial" w:hAnsi="Arial"/>
          <w:b/>
          <w:sz w:val="20"/>
        </w:rPr>
      </w:pPr>
      <w:bookmarkStart w:id="6" w:name="condensed_balance_sheets_unaudited"/>
      <w:bookmarkEnd w:id="6"/>
      <w:r>
        <w:rPr>
          <w:rFonts w:ascii="Arial" w:hAnsi="Arial"/>
          <w:b/>
          <w:sz w:val="20"/>
        </w:rPr>
        <w:t>Condensed Consolidated Balance Sheets</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center"/>
        <w:rPr>
          <w:rFonts w:ascii="Arial" w:hAnsi="Arial"/>
          <w:b/>
          <w:sz w:val="20"/>
        </w:rPr>
      </w:pPr>
      <w:r>
        <w:rPr>
          <w:rFonts w:ascii="Arial" w:hAnsi="Arial"/>
          <w:b/>
          <w:sz w:val="20"/>
        </w:rPr>
        <w:t>(in thousands, except share and per share amounts)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6921"/>
        <w:gridCol w:w="146"/>
        <w:gridCol w:w="219"/>
        <w:gridCol w:w="841"/>
        <w:gridCol w:w="166"/>
        <w:gridCol w:w="146"/>
        <w:gridCol w:w="243"/>
        <w:gridCol w:w="931"/>
        <w:gridCol w:w="592"/>
      </w:tblGrid>
      <w:tr>
        <w:trPr/>
        <w:tc>
          <w:tcPr>
            <w:tcW w:w="6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692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 2021</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4" w:type="dxa"/>
            <w:gridSpan w:val="2"/>
            <w:tcBorders/>
            <w:shd w:fill="auto" w:val="clear"/>
            <w:vAlign w:val="center"/>
          </w:tcPr>
          <w:p>
            <w:pPr>
              <w:pStyle w:val="TableContents"/>
              <w:spacing w:lineRule="auto" w:line="252" w:before="0" w:after="0"/>
              <w:ind w:left="0" w:right="0" w:hanging="0"/>
              <w:jc w:val="right"/>
              <w:rPr/>
            </w:pPr>
            <w:r>
              <w:rPr/>
              <w:t> </w:t>
            </w:r>
          </w:p>
        </w:tc>
        <w:tc>
          <w:tcPr>
            <w:tcW w:w="592" w:type="dxa"/>
            <w:tcBorders/>
            <w:shd w:fill="auto" w:val="clear"/>
            <w:vAlign w:val="center"/>
          </w:tcPr>
          <w:p>
            <w:pPr>
              <w:pStyle w:val="TableContents"/>
              <w:spacing w:lineRule="auto" w:line="252" w:before="0" w:after="0"/>
              <w:ind w:left="0" w:right="0" w:hanging="0"/>
              <w:jc w:val="righ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4" w:type="dxa"/>
            <w:gridSpan w:val="2"/>
            <w:tcBorders/>
            <w:shd w:fill="auto" w:val="clear"/>
            <w:vAlign w:val="center"/>
          </w:tcPr>
          <w:p>
            <w:pPr>
              <w:pStyle w:val="TableContents"/>
              <w:spacing w:lineRule="auto" w:line="252" w:before="0" w:after="0"/>
              <w:ind w:left="0" w:right="0" w:hanging="0"/>
              <w:jc w:val="right"/>
              <w:rPr/>
            </w:pPr>
            <w:r>
              <w:rPr/>
              <w:t> </w:t>
            </w:r>
          </w:p>
        </w:tc>
        <w:tc>
          <w:tcPr>
            <w:tcW w:w="592" w:type="dxa"/>
            <w:tcBorders/>
            <w:shd w:fill="auto" w:val="clear"/>
            <w:vAlign w:val="center"/>
          </w:tcPr>
          <w:p>
            <w:pPr>
              <w:pStyle w:val="TableContents"/>
              <w:spacing w:lineRule="auto" w:line="252" w:before="0" w:after="0"/>
              <w:ind w:left="0" w:right="0" w:hanging="0"/>
              <w:jc w:val="righ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108,382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149,063</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24,899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Restricted cash and deposits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23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23</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6,278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4,618</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139,582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153,704</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Restricted cash and deposits, net of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125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125</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Right of use assets - operating lease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804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950</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5,911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5,251</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921" w:type="dxa"/>
            <w:tcBorders/>
            <w:shd w:fill="auto" w:val="clear"/>
            <w:vAlign w:val="center"/>
          </w:tcPr>
          <w:p>
            <w:pPr>
              <w:pStyle w:val="TableContents"/>
              <w:spacing w:lineRule="auto" w:line="252" w:before="0" w:after="0"/>
              <w:ind w:left="200" w:right="0" w:hanging="0"/>
              <w:jc w:val="left"/>
              <w:rPr>
                <w:rFonts w:ascii="Arial" w:hAnsi="Arial"/>
                <w:b/>
                <w:sz w:val="16"/>
              </w:rPr>
            </w:pPr>
            <w:r>
              <w:rPr>
                <w:rFonts w:ascii="Arial" w:hAnsi="Arial"/>
                <w:b/>
                <w:sz w:val="16"/>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146,422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160,030</w:t>
            </w:r>
          </w:p>
        </w:tc>
        <w:tc>
          <w:tcPr>
            <w:tcW w:w="5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74" w:type="dxa"/>
            <w:gridSpan w:val="2"/>
            <w:tcBorders/>
            <w:shd w:fill="auto" w:val="clear"/>
            <w:vAlign w:val="center"/>
          </w:tcPr>
          <w:p>
            <w:pPr>
              <w:pStyle w:val="TableContents"/>
              <w:spacing w:lineRule="auto" w:line="252" w:before="0" w:after="0"/>
              <w:ind w:left="0" w:right="0" w:hanging="0"/>
              <w:jc w:val="right"/>
              <w:rPr/>
            </w:pPr>
            <w:r>
              <w:rPr/>
              <w:t> </w:t>
            </w:r>
          </w:p>
        </w:tc>
        <w:tc>
          <w:tcPr>
            <w:tcW w:w="592" w:type="dxa"/>
            <w:tcBorders/>
            <w:shd w:fill="auto" w:val="clear"/>
            <w:vAlign w:val="center"/>
          </w:tcPr>
          <w:p>
            <w:pPr>
              <w:pStyle w:val="TableContents"/>
              <w:spacing w:lineRule="auto" w:line="252" w:before="0" w:after="0"/>
              <w:ind w:left="0" w:right="0" w:hanging="0"/>
              <w:jc w:val="righ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74" w:type="dxa"/>
            <w:gridSpan w:val="2"/>
            <w:tcBorders/>
            <w:shd w:fill="auto" w:val="clear"/>
            <w:vAlign w:val="center"/>
          </w:tcPr>
          <w:p>
            <w:pPr>
              <w:pStyle w:val="TableContents"/>
              <w:spacing w:lineRule="auto" w:line="252" w:before="0" w:after="0"/>
              <w:ind w:left="0" w:right="0" w:hanging="0"/>
              <w:jc w:val="right"/>
              <w:rPr/>
            </w:pPr>
            <w:r>
              <w:rPr/>
              <w:t> </w:t>
            </w:r>
          </w:p>
        </w:tc>
        <w:tc>
          <w:tcPr>
            <w:tcW w:w="592" w:type="dxa"/>
            <w:tcBorders/>
            <w:shd w:fill="auto" w:val="clear"/>
            <w:vAlign w:val="center"/>
          </w:tcPr>
          <w:p>
            <w:pPr>
              <w:pStyle w:val="TableContents"/>
              <w:spacing w:lineRule="auto" w:line="252" w:before="0" w:after="0"/>
              <w:ind w:left="0" w:right="0" w:hanging="0"/>
              <w:jc w:val="righ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1,956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2,401</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Short-term 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624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615</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2,423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4,256</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5,003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7,272</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Long-term 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206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360</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83</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921" w:type="dxa"/>
            <w:tcBorders/>
            <w:shd w:fill="auto" w:val="clear"/>
            <w:vAlign w:val="center"/>
          </w:tcPr>
          <w:p>
            <w:pPr>
              <w:pStyle w:val="TableContents"/>
              <w:spacing w:lineRule="auto" w:line="252" w:before="0" w:after="0"/>
              <w:ind w:left="200" w:right="0" w:hanging="0"/>
              <w:jc w:val="left"/>
              <w:rPr>
                <w:rFonts w:ascii="Arial" w:hAnsi="Arial"/>
                <w:b/>
                <w:sz w:val="16"/>
              </w:rPr>
            </w:pPr>
            <w:r>
              <w:rPr>
                <w:rFonts w:ascii="Arial" w:hAnsi="Arial"/>
                <w:b/>
                <w:sz w:val="16"/>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5,336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7,715</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Commitments and Contingencies (Note 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74" w:type="dxa"/>
            <w:gridSpan w:val="2"/>
            <w:tcBorders/>
            <w:shd w:fill="auto" w:val="clear"/>
            <w:vAlign w:val="center"/>
          </w:tcPr>
          <w:p>
            <w:pPr>
              <w:pStyle w:val="TableContents"/>
              <w:spacing w:lineRule="auto" w:line="252" w:before="0" w:after="0"/>
              <w:ind w:left="0" w:right="0" w:hanging="0"/>
              <w:jc w:val="right"/>
              <w:rPr/>
            </w:pPr>
            <w:r>
              <w:rPr/>
              <w:t> </w:t>
            </w:r>
          </w:p>
        </w:tc>
        <w:tc>
          <w:tcPr>
            <w:tcW w:w="592" w:type="dxa"/>
            <w:tcBorders/>
            <w:shd w:fill="auto" w:val="clear"/>
            <w:vAlign w:val="center"/>
          </w:tcPr>
          <w:p>
            <w:pPr>
              <w:pStyle w:val="TableContents"/>
              <w:spacing w:lineRule="auto" w:line="252" w:before="0" w:after="0"/>
              <w:ind w:left="0" w:right="0" w:hanging="0"/>
              <w:jc w:val="righ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74" w:type="dxa"/>
            <w:gridSpan w:val="2"/>
            <w:tcBorders/>
            <w:shd w:fill="auto" w:val="clear"/>
            <w:vAlign w:val="center"/>
          </w:tcPr>
          <w:p>
            <w:pPr>
              <w:pStyle w:val="TableContents"/>
              <w:spacing w:lineRule="auto" w:line="252" w:before="0" w:after="0"/>
              <w:ind w:left="0" w:right="0" w:hanging="0"/>
              <w:jc w:val="right"/>
              <w:rPr/>
            </w:pPr>
            <w:r>
              <w:rPr/>
              <w:t> </w:t>
            </w:r>
          </w:p>
        </w:tc>
        <w:tc>
          <w:tcPr>
            <w:tcW w:w="592" w:type="dxa"/>
            <w:tcBorders/>
            <w:shd w:fill="auto" w:val="clear"/>
            <w:vAlign w:val="center"/>
          </w:tcPr>
          <w:p>
            <w:pPr>
              <w:pStyle w:val="TableContents"/>
              <w:spacing w:lineRule="auto" w:line="252" w:before="0" w:after="0"/>
              <w:ind w:left="0" w:right="0" w:hanging="0"/>
              <w:jc w:val="righ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16"/>
              </w:rPr>
              <w:t>Common stock, $0.00001</w:t>
            </w:r>
            <w:r>
              <w:rPr>
                <w:rFonts w:ascii="Times New Roman" w:hAnsi="Times New Roman"/>
                <w:sz w:val="20"/>
              </w:rPr>
              <w:t> </w:t>
            </w:r>
            <w:r>
              <w:rPr>
                <w:rFonts w:ascii="Arial" w:hAnsi="Arial"/>
                <w:b w:val="false"/>
                <w:sz w:val="16"/>
              </w:rPr>
              <w:t>par value, 150,000,000</w:t>
            </w:r>
            <w:r>
              <w:rPr>
                <w:rFonts w:ascii="Times New Roman" w:hAnsi="Times New Roman"/>
                <w:sz w:val="20"/>
              </w:rPr>
              <w:t> </w:t>
            </w:r>
            <w:r>
              <w:rPr>
                <w:rFonts w:ascii="Arial" w:hAnsi="Arial"/>
                <w:b w:val="false"/>
                <w:sz w:val="16"/>
              </w:rPr>
              <w:t>authorized at March 31, 2022 and December 31, 2021, and 29,217,236</w:t>
            </w:r>
            <w:r>
              <w:rPr>
                <w:rFonts w:ascii="Times New Roman" w:hAnsi="Times New Roman"/>
                <w:sz w:val="20"/>
              </w:rPr>
              <w:t> </w:t>
            </w:r>
            <w:r>
              <w:rPr>
                <w:rFonts w:ascii="Arial" w:hAnsi="Arial"/>
                <w:b w:val="false"/>
                <w:sz w:val="16"/>
              </w:rPr>
              <w:t>and 29,211,643</w:t>
            </w:r>
            <w:r>
              <w:rPr>
                <w:rFonts w:ascii="Times New Roman" w:hAnsi="Times New Roman"/>
                <w:sz w:val="20"/>
              </w:rPr>
              <w:t> </w:t>
            </w:r>
            <w:r>
              <w:rPr>
                <w:rFonts w:ascii="Arial" w:hAnsi="Arial"/>
                <w:b w:val="false"/>
                <w:sz w:val="16"/>
              </w:rPr>
              <w:t>shares issued and outstanding at March 31, 2022 and December 31, 2021,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306,063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304,452</w:t>
            </w:r>
          </w:p>
        </w:tc>
        <w:tc>
          <w:tcPr>
            <w:tcW w:w="592" w:type="dxa"/>
            <w:tcBorders/>
            <w:shd w:fill="auto" w:val="clear"/>
            <w:vAlign w:val="center"/>
          </w:tcPr>
          <w:p>
            <w:pPr>
              <w:pStyle w:val="TableContents"/>
              <w:spacing w:lineRule="auto" w:line="252" w:before="0" w:after="0"/>
              <w:ind w:left="0" w:right="0" w:hanging="0"/>
              <w:jc w:val="left"/>
              <w:rPr/>
            </w:pPr>
            <w:r>
              <w:rPr/>
              <w:t> </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(164,972</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(152,137</w:t>
            </w:r>
          </w:p>
        </w:tc>
        <w:tc>
          <w:tcPr>
            <w:tcW w:w="592"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r>
      <w:tr>
        <w:trPr/>
        <w:tc>
          <w:tcPr>
            <w:tcW w:w="6921" w:type="dxa"/>
            <w:tcBorders/>
            <w:shd w:fill="auto" w:val="cle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Accumulated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921" w:type="dxa"/>
            <w:tcBorders/>
            <w:shd w:fill="auto" w:val="clear"/>
            <w:vAlign w:val="center"/>
          </w:tcPr>
          <w:p>
            <w:pPr>
              <w:pStyle w:val="TableContents"/>
              <w:spacing w:lineRule="auto" w:line="252" w:before="0" w:after="0"/>
              <w:ind w:left="200" w:right="0" w:hanging="0"/>
              <w:jc w:val="left"/>
              <w:rPr>
                <w:rFonts w:ascii="Arial" w:hAnsi="Arial"/>
                <w:b/>
                <w:sz w:val="16"/>
              </w:rPr>
            </w:pPr>
            <w:r>
              <w:rPr>
                <w:rFonts w:ascii="Arial" w:hAnsi="Arial"/>
                <w:b/>
                <w:sz w:val="16"/>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141,086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152,315</w:t>
            </w:r>
          </w:p>
        </w:tc>
        <w:tc>
          <w:tcPr>
            <w:tcW w:w="5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921" w:type="dxa"/>
            <w:tcBorders/>
            <w:shd w:fill="auto" w:val="clear"/>
            <w:vAlign w:val="center"/>
          </w:tcPr>
          <w:p>
            <w:pPr>
              <w:pStyle w:val="TableContents"/>
              <w:spacing w:lineRule="auto" w:line="252" w:before="0" w:after="0"/>
              <w:ind w:left="400" w:right="0" w:hanging="0"/>
              <w:jc w:val="left"/>
              <w:rPr>
                <w:rFonts w:ascii="Arial" w:hAnsi="Arial"/>
                <w:b/>
                <w:sz w:val="16"/>
              </w:rPr>
            </w:pPr>
            <w:r>
              <w:rPr>
                <w:rFonts w:ascii="Arial" w:hAnsi="Arial"/>
                <w:b/>
                <w:sz w:val="16"/>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146,422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6"/>
              </w:rPr>
            </w:pPr>
            <w:r>
              <w:rPr>
                <w:rFonts w:ascii="Arial" w:hAnsi="Arial"/>
                <w:b w:val="false"/>
                <w:sz w:val="16"/>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6"/>
              </w:rPr>
            </w:pPr>
            <w:r>
              <w:rPr>
                <w:rFonts w:ascii="Arial" w:hAnsi="Arial"/>
                <w:b w:val="false"/>
                <w:sz w:val="16"/>
              </w:rPr>
              <w:t>160,030</w:t>
            </w:r>
          </w:p>
        </w:tc>
        <w:tc>
          <w:tcPr>
            <w:tcW w:w="5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Arial" w:hAnsi="Arial"/>
          <w:b w:val="false"/>
          <w:i/>
          <w:sz w:val="20"/>
        </w:rPr>
        <w:t>The accompanying notes are an integral part of these unaudited condensed consolidated financial statements.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1</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Aura Biosciences, Inc.</w:t>
      </w:r>
    </w:p>
    <w:p>
      <w:pPr>
        <w:pStyle w:val="TextBody"/>
        <w:spacing w:lineRule="auto" w:line="273" w:before="240" w:after="0"/>
        <w:jc w:val="center"/>
        <w:rPr>
          <w:rFonts w:ascii="Times New Roman" w:hAnsi="Times New Roman"/>
          <w:sz w:val="20"/>
        </w:rPr>
      </w:pPr>
      <w:bookmarkStart w:id="7" w:name="condensed_statements_of_operations_and_c"/>
      <w:bookmarkEnd w:id="7"/>
      <w:r>
        <w:rPr>
          <w:rFonts w:ascii="Arial" w:hAnsi="Arial"/>
          <w:b/>
          <w:sz w:val="20"/>
        </w:rPr>
        <w:t>Condensed Consolidated Statements of Operations and Comprehensive Loss</w:t>
      </w:r>
      <w:r>
        <w:rPr>
          <w:rFonts w:ascii="Times New Roman" w:hAnsi="Times New Roman"/>
          <w:sz w:val="20"/>
        </w:rPr>
        <w:t xml:space="preserve"> </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center"/>
        <w:rPr>
          <w:rFonts w:ascii="Arial" w:hAnsi="Arial"/>
          <w:b/>
          <w:sz w:val="20"/>
        </w:rPr>
      </w:pPr>
      <w:r>
        <w:rPr>
          <w:rFonts w:ascii="Arial" w:hAnsi="Arial"/>
          <w:b/>
          <w:sz w:val="20"/>
        </w:rPr>
        <w:t>(in thousands except for share and per share data)</w:t>
      </w:r>
    </w:p>
    <w:p>
      <w:pPr>
        <w:pStyle w:val="TextBody"/>
        <w:spacing w:lineRule="auto" w:line="273" w:before="0" w:after="0"/>
        <w:jc w:val="left"/>
        <w:rPr/>
      </w:pPr>
      <w:r>
        <w:rPr/>
        <w:t> </w:t>
      </w:r>
    </w:p>
    <w:tbl>
      <w:tblPr>
        <w:tblW w:w="9834" w:type="dxa"/>
        <w:jc w:val="left"/>
        <w:tblInd w:w="0" w:type="dxa"/>
        <w:tblCellMar>
          <w:top w:w="28" w:type="dxa"/>
          <w:left w:w="28" w:type="dxa"/>
          <w:bottom w:w="28" w:type="dxa"/>
          <w:right w:w="28" w:type="dxa"/>
        </w:tblCellMar>
      </w:tblPr>
      <w:tblGrid>
        <w:gridCol w:w="6601"/>
        <w:gridCol w:w="146"/>
        <w:gridCol w:w="211"/>
        <w:gridCol w:w="1066"/>
        <w:gridCol w:w="166"/>
        <w:gridCol w:w="146"/>
        <w:gridCol w:w="211"/>
        <w:gridCol w:w="796"/>
        <w:gridCol w:w="491"/>
      </w:tblGrid>
      <w:tr>
        <w:trPr/>
        <w:tc>
          <w:tcPr>
            <w:tcW w:w="6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4,185</w:t>
            </w:r>
          </w:p>
        </w:tc>
        <w:tc>
          <w:tcPr>
            <w:tcW w:w="49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1,742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operating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 in fair value of 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49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Interest income (expense), including amortization and accretion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Loss on disposal of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attributable to common stockholders—basic and diluted (Note 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(12,835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(8,258</w:t>
            </w:r>
          </w:p>
        </w:tc>
        <w:tc>
          <w:tcPr>
            <w:tcW w:w="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per share attributable to common stockholders—basic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(20.62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 average common stock outstanding—basic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29,213,632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400,450</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attributable to common stockholders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(12,835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(8,258</w:t>
            </w:r>
          </w:p>
        </w:tc>
        <w:tc>
          <w:tcPr>
            <w:tcW w:w="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comprehensive items: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Unrealized loss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(12,840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(8,258</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0" w:after="0"/>
        <w:jc w:val="center"/>
        <w:rPr>
          <w:rFonts w:ascii="Arial" w:hAnsi="Arial"/>
          <w:b w:val="false"/>
          <w:i/>
          <w:sz w:val="20"/>
        </w:rPr>
      </w:pPr>
      <w:r>
        <w:rPr>
          <w:rFonts w:ascii="Arial" w:hAnsi="Arial"/>
          <w:b w:val="false"/>
          <w:i/>
          <w:sz w:val="20"/>
        </w:rPr>
        <w:t>The accompanying notes are an integral part of these unaudited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Aura Biosciences, Inc.</w:t>
      </w:r>
    </w:p>
    <w:p>
      <w:pPr>
        <w:pStyle w:val="TextBody"/>
        <w:spacing w:lineRule="auto" w:line="273" w:before="240" w:after="0"/>
        <w:jc w:val="center"/>
        <w:rPr>
          <w:rFonts w:ascii="Times New Roman" w:hAnsi="Times New Roman"/>
          <w:sz w:val="20"/>
        </w:rPr>
      </w:pPr>
      <w:bookmarkStart w:id="8" w:name="condensed_statements_of_convertible_pref"/>
      <w:bookmarkEnd w:id="8"/>
      <w:r>
        <w:rPr>
          <w:rFonts w:ascii="Arial" w:hAnsi="Arial"/>
          <w:b/>
          <w:sz w:val="20"/>
        </w:rPr>
        <w:t>Condensed Consolidated Statements of Convertible Preferred Stock and Stockholders’ Equity (Deficit)</w:t>
      </w:r>
      <w:r>
        <w:rPr>
          <w:rFonts w:ascii="Times New Roman" w:hAnsi="Times New Roman"/>
          <w:sz w:val="20"/>
        </w:rPr>
        <w:t xml:space="preserve"> </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center"/>
        <w:rPr>
          <w:rFonts w:ascii="Arial" w:hAnsi="Arial"/>
          <w:b/>
          <w:sz w:val="20"/>
        </w:rPr>
      </w:pPr>
      <w:r>
        <w:rPr>
          <w:rFonts w:ascii="Arial" w:hAnsi="Arial"/>
          <w:b/>
          <w:sz w:val="20"/>
        </w:rPr>
        <w:t>(in thousands, except share data)</w:t>
      </w:r>
    </w:p>
    <w:p>
      <w:pPr>
        <w:pStyle w:val="TextBody"/>
        <w:spacing w:lineRule="auto" w:line="273" w:before="0" w:after="0"/>
        <w:jc w:val="left"/>
        <w:rPr/>
      </w:pPr>
      <w:r>
        <w:rPr/>
        <w:t> </w:t>
      </w:r>
    </w:p>
    <w:tbl>
      <w:tblPr>
        <w:tblW w:w="14993" w:type="dxa"/>
        <w:jc w:val="left"/>
        <w:tblInd w:w="0" w:type="dxa"/>
        <w:tblCellMar>
          <w:top w:w="28" w:type="dxa"/>
          <w:left w:w="28" w:type="dxa"/>
          <w:bottom w:w="28" w:type="dxa"/>
          <w:right w:w="28" w:type="dxa"/>
        </w:tblCellMar>
      </w:tblPr>
      <w:tblGrid>
        <w:gridCol w:w="616"/>
        <w:gridCol w:w="146"/>
        <w:gridCol w:w="451"/>
        <w:gridCol w:w="146"/>
        <w:gridCol w:w="151"/>
        <w:gridCol w:w="346"/>
        <w:gridCol w:w="146"/>
        <w:gridCol w:w="146"/>
        <w:gridCol w:w="451"/>
        <w:gridCol w:w="146"/>
        <w:gridCol w:w="151"/>
        <w:gridCol w:w="346"/>
        <w:gridCol w:w="146"/>
        <w:gridCol w:w="146"/>
        <w:gridCol w:w="451"/>
        <w:gridCol w:w="146"/>
        <w:gridCol w:w="151"/>
        <w:gridCol w:w="346"/>
        <w:gridCol w:w="146"/>
        <w:gridCol w:w="146"/>
        <w:gridCol w:w="496"/>
        <w:gridCol w:w="146"/>
        <w:gridCol w:w="151"/>
        <w:gridCol w:w="346"/>
        <w:gridCol w:w="146"/>
        <w:gridCol w:w="146"/>
        <w:gridCol w:w="496"/>
        <w:gridCol w:w="146"/>
        <w:gridCol w:w="151"/>
        <w:gridCol w:w="346"/>
        <w:gridCol w:w="146"/>
        <w:gridCol w:w="146"/>
        <w:gridCol w:w="496"/>
        <w:gridCol w:w="146"/>
        <w:gridCol w:w="151"/>
        <w:gridCol w:w="346"/>
        <w:gridCol w:w="146"/>
        <w:gridCol w:w="146"/>
        <w:gridCol w:w="541"/>
        <w:gridCol w:w="146"/>
        <w:gridCol w:w="151"/>
        <w:gridCol w:w="346"/>
        <w:gridCol w:w="146"/>
        <w:gridCol w:w="146"/>
        <w:gridCol w:w="496"/>
        <w:gridCol w:w="146"/>
        <w:gridCol w:w="151"/>
        <w:gridCol w:w="346"/>
        <w:gridCol w:w="146"/>
        <w:gridCol w:w="151"/>
        <w:gridCol w:w="391"/>
        <w:gridCol w:w="146"/>
        <w:gridCol w:w="154"/>
        <w:gridCol w:w="432"/>
        <w:gridCol w:w="146"/>
        <w:gridCol w:w="205"/>
        <w:gridCol w:w="471"/>
        <w:gridCol w:w="146"/>
        <w:gridCol w:w="154"/>
        <w:gridCol w:w="432"/>
        <w:gridCol w:w="191"/>
      </w:tblGrid>
      <w:tr>
        <w:trPr/>
        <w:tc>
          <w:tcPr>
            <w:tcW w:w="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16" w:type="dxa"/>
            <w:tcBorders/>
            <w:shd w:fill="auto" w:val="clear"/>
            <w:vAlign w:val="center"/>
          </w:tcPr>
          <w:p>
            <w:pPr>
              <w:pStyle w:val="TableContents"/>
              <w:spacing w:lineRule="auto" w:line="252" w:before="0" w:after="0"/>
              <w:ind w:left="0" w:right="0" w:hanging="0"/>
              <w:jc w:val="left"/>
              <w:rPr/>
            </w:pPr>
            <w:r>
              <w:rPr/>
              <w:t> </w:t>
            </w:r>
          </w:p>
        </w:tc>
        <w:tc>
          <w:tcPr>
            <w:tcW w:w="8305" w:type="dxa"/>
            <w:gridSpan w:val="3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Convertible 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9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4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Accumulated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Total</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616" w:type="dxa"/>
            <w:tcBorders/>
            <w:shd w:fill="auto" w:val="clear"/>
            <w:vAlign w:val="center"/>
          </w:tcPr>
          <w:p>
            <w:pPr>
              <w:pStyle w:val="TableContents"/>
              <w:spacing w:lineRule="auto" w:line="252" w:before="0" w:after="0"/>
              <w:ind w:left="0" w:right="0" w:hanging="0"/>
              <w:jc w:val="center"/>
              <w:rPr/>
            </w:pPr>
            <w:r>
              <w:rPr/>
              <w:t> </w:t>
            </w:r>
          </w:p>
        </w:tc>
        <w:tc>
          <w:tcPr>
            <w:tcW w:w="124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A</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4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A-1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4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A-2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B</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C-1 and C-2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D-1 and D-2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3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4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Accumulated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Other Comprehensive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Stockholders’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616" w:type="dxa"/>
            <w:tcBorders/>
            <w:shd w:fill="auto" w:val="clear"/>
            <w:vAlign w:val="center"/>
          </w:tcPr>
          <w:p>
            <w:pPr>
              <w:pStyle w:val="TableContents"/>
              <w:spacing w:lineRule="auto" w:line="252" w:before="0" w:after="0"/>
              <w:ind w:left="0" w:right="0" w:hanging="0"/>
              <w:jc w:val="left"/>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8"/>
              </w:rPr>
            </w:pPr>
            <w:r>
              <w:rPr>
                <w:rFonts w:ascii="Arial" w:hAnsi="Arial"/>
                <w:b/>
                <w:sz w:val="8"/>
              </w:rPr>
              <w:t>Deficit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8"/>
              </w:rPr>
            </w:pPr>
            <w:r>
              <w:rPr>
                <w:rFonts w:ascii="Arial" w:hAnsi="Arial"/>
                <w:b/>
                <w:sz w:val="8"/>
              </w:rPr>
              <w:t>Income (Loss)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8"/>
              </w:rPr>
            </w:pPr>
            <w:r>
              <w:rPr>
                <w:rFonts w:ascii="Arial" w:hAnsi="Arial"/>
                <w:b/>
                <w:sz w:val="8"/>
              </w:rPr>
              <w:t>Equity (Deficit)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sz w:val="8"/>
              </w:rPr>
            </w:pPr>
            <w:r>
              <w:rPr>
                <w:rFonts w:ascii="Arial" w:hAnsi="Arial"/>
                <w:b/>
                <w:sz w:val="8"/>
              </w:rPr>
              <w:t>Balance, December 31, 2020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1,701,141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3,368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3,298,732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7,837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4,324,998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5,373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22,531,819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20,806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91,327,903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41,099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72,348,452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49,593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381,123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8,173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(116,886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2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(108,713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Issuance of Series D Tranche 2, convertible preferred stock, net of issuance costs of $18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10,128,771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6,982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Issuance of Series E convertible preferred stock, net of issuance costs of $232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102,671,041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80,251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185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185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Stock option exercises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54,296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265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(5,927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2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(5,927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sz w:val="8"/>
              </w:rPr>
            </w:pPr>
            <w:r>
              <w:rPr>
                <w:rFonts w:ascii="Arial" w:hAnsi="Arial"/>
                <w:b/>
                <w:sz w:val="8"/>
              </w:rPr>
              <w:t>Balance, March 31, 2021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1,701,141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3,368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3,298,732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7,837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4,324,998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5,373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22,531,819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20,806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91,327,903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41,099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82,477,223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56,575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102,671,041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80,251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435,419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8,623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(122,813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2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(114,190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r>
      <w:tr>
        <w:trPr/>
        <w:tc>
          <w:tcPr>
            <w:tcW w:w="616" w:type="dxa"/>
            <w:tcBorders/>
            <w:shd w:fill="auto" w:val="clear"/>
            <w:vAlign w:val="center"/>
          </w:tcPr>
          <w:p>
            <w:pPr>
              <w:pStyle w:val="TableContents"/>
              <w:spacing w:lineRule="auto" w:line="252" w:before="0" w:after="0"/>
              <w:ind w:left="0" w:right="0" w:hanging="0"/>
              <w:jc w:val="left"/>
              <w:rPr/>
            </w:pPr>
            <w:r>
              <w:rPr/>
              <w:t> </w:t>
            </w:r>
          </w:p>
        </w:tc>
        <w:tc>
          <w:tcPr>
            <w:tcW w:w="5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8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7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86"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616" w:type="dxa"/>
            <w:tcBorders/>
            <w:shd w:fill="auto" w:val="clear"/>
            <w:vAlign w:val="center"/>
          </w:tcPr>
          <w:p>
            <w:pPr>
              <w:pStyle w:val="TableContents"/>
              <w:spacing w:lineRule="auto" w:line="252" w:before="0" w:after="0"/>
              <w:ind w:left="0" w:right="0" w:hanging="0"/>
              <w:jc w:val="left"/>
              <w:rPr/>
            </w:pPr>
            <w:r>
              <w:rPr/>
              <w:t> </w:t>
            </w:r>
          </w:p>
        </w:tc>
        <w:tc>
          <w:tcPr>
            <w:tcW w:w="5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9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8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67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86"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616" w:type="dxa"/>
            <w:tcBorders/>
            <w:shd w:fill="auto" w:val="clear"/>
            <w:vAlign w:val="center"/>
          </w:tcPr>
          <w:p>
            <w:pPr>
              <w:pStyle w:val="TableContents"/>
              <w:spacing w:lineRule="auto" w:line="252" w:before="0" w:after="0"/>
              <w:ind w:left="0" w:right="0" w:hanging="0"/>
              <w:jc w:val="left"/>
              <w:rPr/>
            </w:pPr>
            <w:r>
              <w:rPr/>
              <w:t> </w:t>
            </w:r>
          </w:p>
        </w:tc>
        <w:tc>
          <w:tcPr>
            <w:tcW w:w="8305" w:type="dxa"/>
            <w:gridSpan w:val="3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Convertible 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97"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4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Accumulated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Total</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616" w:type="dxa"/>
            <w:tcBorders/>
            <w:shd w:fill="auto" w:val="clear"/>
            <w:vAlign w:val="center"/>
          </w:tcPr>
          <w:p>
            <w:pPr>
              <w:pStyle w:val="TableContents"/>
              <w:spacing w:lineRule="auto" w:line="252" w:before="0" w:after="0"/>
              <w:ind w:left="0" w:right="0" w:hanging="0"/>
              <w:jc w:val="center"/>
              <w:rPr/>
            </w:pPr>
            <w:r>
              <w:rPr/>
              <w:t> </w:t>
            </w:r>
          </w:p>
        </w:tc>
        <w:tc>
          <w:tcPr>
            <w:tcW w:w="124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A</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4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A-1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4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A-2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B</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C-1 and C-2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D-1 and D-2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3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Series 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8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4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Accumulated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Other Comprehensive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gridSpan w:val="2"/>
            <w:tcBorders/>
            <w:shd w:fill="auto" w:val="clear"/>
            <w:vAlign w:val="center"/>
          </w:tcPr>
          <w:p>
            <w:pPr>
              <w:pStyle w:val="TableContents"/>
              <w:spacing w:lineRule="auto" w:line="252" w:before="0" w:after="0"/>
              <w:ind w:left="0" w:right="0" w:hanging="0"/>
              <w:jc w:val="center"/>
              <w:rPr>
                <w:rFonts w:ascii="Arial" w:hAnsi="Arial"/>
                <w:b/>
                <w:sz w:val="8"/>
              </w:rPr>
            </w:pPr>
            <w:r>
              <w:rPr>
                <w:rFonts w:ascii="Arial" w:hAnsi="Arial"/>
                <w:b/>
                <w:sz w:val="8"/>
              </w:rPr>
              <w:t>Stockholders’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616" w:type="dxa"/>
            <w:tcBorders/>
            <w:shd w:fill="auto" w:val="clear"/>
            <w:vAlign w:val="center"/>
          </w:tcPr>
          <w:p>
            <w:pPr>
              <w:pStyle w:val="TableContents"/>
              <w:spacing w:lineRule="auto" w:line="252" w:before="0" w:after="0"/>
              <w:ind w:left="0" w:right="0" w:hanging="0"/>
              <w:jc w:val="left"/>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8"/>
              </w:rPr>
            </w:pPr>
            <w:r>
              <w:rPr>
                <w:rFonts w:ascii="Times New Roman" w:hAnsi="Times New Roman"/>
                <w:b/>
                <w:sz w:val="8"/>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8"/>
              </w:rPr>
            </w:pPr>
            <w:r>
              <w:rPr>
                <w:rFonts w:ascii="Arial" w:hAnsi="Arial"/>
                <w:b/>
                <w:sz w:val="8"/>
              </w:rPr>
              <w:t>Deficit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8"/>
              </w:rPr>
            </w:pPr>
            <w:r>
              <w:rPr>
                <w:rFonts w:ascii="Arial" w:hAnsi="Arial"/>
                <w:b/>
                <w:sz w:val="8"/>
              </w:rPr>
              <w:t>Income (Loss)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8"/>
              </w:rPr>
            </w:pPr>
            <w:r>
              <w:rPr>
                <w:rFonts w:ascii="Arial" w:hAnsi="Arial"/>
                <w:b/>
                <w:sz w:val="8"/>
              </w:rPr>
              <w:t>Equity (Deficit)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sz w:val="8"/>
              </w:rPr>
            </w:pPr>
            <w:r>
              <w:rPr>
                <w:rFonts w:ascii="Arial" w:hAnsi="Arial"/>
                <w:b/>
                <w:sz w:val="8"/>
              </w:rPr>
              <w:t>Balance, December 31, 2021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29,211,643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304,452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(152,137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2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152,315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1,594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1,594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Stock option exercises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5,593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Unrealized loss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5" w:type="dxa"/>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w:t>
            </w:r>
          </w:p>
        </w:tc>
        <w:tc>
          <w:tcPr>
            <w:tcW w:w="14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154" w:type="dxa"/>
            <w:tcBorders/>
            <w:shd w:fill="auto" w:val="clear"/>
            <w:vAlign w:val="center"/>
          </w:tcPr>
          <w:p>
            <w:pPr>
              <w:pStyle w:val="TableContents"/>
              <w:spacing w:lineRule="auto" w:line="252" w:before="0" w:after="0"/>
              <w:ind w:left="0" w:right="0" w:hanging="0"/>
              <w:jc w:val="left"/>
              <w:rPr/>
            </w:pPr>
            <w:r>
              <w:rPr/>
              <w:t> </w:t>
            </w:r>
          </w:p>
        </w:tc>
        <w:tc>
          <w:tcPr>
            <w:tcW w:w="432" w:type="dxa"/>
            <w:tcBorders/>
            <w:shd w:fill="auto" w:val="cle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w:t>
            </w:r>
          </w:p>
        </w:tc>
        <w:tc>
          <w:tcPr>
            <w:tcW w:w="191"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(12,835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2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(12,835</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r>
      <w:tr>
        <w:trPr/>
        <w:tc>
          <w:tcPr>
            <w:tcW w:w="616" w:type="dxa"/>
            <w:tcBorders/>
            <w:shd w:fill="auto" w:val="clear"/>
            <w:vAlign w:val="center"/>
          </w:tcPr>
          <w:p>
            <w:pPr>
              <w:pStyle w:val="TableContents"/>
              <w:spacing w:lineRule="auto" w:line="252" w:before="0" w:after="0"/>
              <w:ind w:left="0" w:right="0" w:hanging="0"/>
              <w:jc w:val="left"/>
              <w:rPr>
                <w:rFonts w:ascii="Arial" w:hAnsi="Arial"/>
                <w:b/>
                <w:sz w:val="8"/>
              </w:rPr>
            </w:pPr>
            <w:r>
              <w:rPr>
                <w:rFonts w:ascii="Arial" w:hAnsi="Arial"/>
                <w:b/>
                <w:sz w:val="8"/>
              </w:rPr>
              <w:t>Balance,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29,217,236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306,063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(164,972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2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1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8"/>
              </w:rPr>
            </w:pPr>
            <w:r>
              <w:rPr>
                <w:rFonts w:ascii="Arial" w:hAnsi="Arial"/>
                <w:b w:val="false"/>
                <w:sz w:val="8"/>
              </w:rPr>
              <w:t>$</w:t>
            </w:r>
          </w:p>
        </w:tc>
        <w:tc>
          <w:tcPr>
            <w:tcW w:w="4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8"/>
              </w:rPr>
            </w:pPr>
            <w:r>
              <w:rPr>
                <w:rFonts w:ascii="Arial" w:hAnsi="Arial"/>
                <w:b w:val="false"/>
                <w:sz w:val="8"/>
              </w:rPr>
              <w:t>141,086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Arial" w:hAnsi="Arial"/>
          <w:b w:val="false"/>
          <w:i/>
          <w:sz w:val="20"/>
        </w:rPr>
      </w:pPr>
      <w:r>
        <w:rPr>
          <w:rFonts w:ascii="Arial" w:hAnsi="Arial"/>
          <w:b w:val="false"/>
          <w:i/>
          <w:sz w:val="20"/>
        </w:rPr>
        <w:t>The accompanying notes are an integral part of these unaudited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Aura Biosciences, Inc.</w:t>
      </w:r>
    </w:p>
    <w:p>
      <w:pPr>
        <w:pStyle w:val="TextBody"/>
        <w:spacing w:lineRule="auto" w:line="273" w:before="240" w:after="0"/>
        <w:jc w:val="center"/>
        <w:rPr>
          <w:rFonts w:ascii="Times New Roman" w:hAnsi="Times New Roman"/>
          <w:sz w:val="20"/>
        </w:rPr>
      </w:pPr>
      <w:bookmarkStart w:id="9" w:name="condensed_statements_of_cash_flows_unaud"/>
      <w:bookmarkEnd w:id="9"/>
      <w:r>
        <w:rPr>
          <w:rFonts w:ascii="Arial" w:hAnsi="Arial"/>
          <w:b/>
          <w:sz w:val="20"/>
        </w:rPr>
        <w:t>Condensed Consolidated Statements of Cash Flows</w:t>
      </w:r>
      <w:r>
        <w:rPr>
          <w:rFonts w:ascii="Times New Roman" w:hAnsi="Times New Roman"/>
          <w:sz w:val="20"/>
        </w:rPr>
        <w:t xml:space="preserve"> </w:t>
      </w:r>
    </w:p>
    <w:p>
      <w:pPr>
        <w:pStyle w:val="TextBody"/>
        <w:spacing w:lineRule="auto" w:line="273" w:before="0" w:after="0"/>
        <w:jc w:val="center"/>
        <w:rPr>
          <w:rFonts w:ascii="Arial" w:hAnsi="Arial"/>
          <w:b/>
          <w:sz w:val="20"/>
        </w:rPr>
      </w:pPr>
      <w:r>
        <w:rPr>
          <w:rFonts w:ascii="Arial" w:hAnsi="Arial"/>
          <w:b/>
          <w:sz w:val="20"/>
        </w:rPr>
        <w:t>(Unaudited)</w:t>
      </w:r>
    </w:p>
    <w:p>
      <w:pPr>
        <w:pStyle w:val="TextBody"/>
        <w:spacing w:lineRule="auto" w:line="273" w:before="0" w:after="0"/>
        <w:jc w:val="center"/>
        <w:rPr>
          <w:rFonts w:ascii="Arial" w:hAnsi="Arial"/>
          <w:b/>
          <w:sz w:val="20"/>
        </w:rPr>
      </w:pPr>
      <w:r>
        <w:rPr>
          <w:rFonts w:ascii="Arial" w:hAnsi="Arial"/>
          <w:b/>
          <w:sz w:val="20"/>
        </w:rPr>
        <w:t>(in thousands)</w:t>
      </w:r>
    </w:p>
    <w:tbl>
      <w:tblPr>
        <w:tblW w:w="10205" w:type="dxa"/>
        <w:jc w:val="left"/>
        <w:tblInd w:w="0" w:type="dxa"/>
        <w:tblCellMar>
          <w:top w:w="28" w:type="dxa"/>
          <w:left w:w="28" w:type="dxa"/>
          <w:bottom w:w="28" w:type="dxa"/>
          <w:right w:w="28" w:type="dxa"/>
        </w:tblCellMar>
      </w:tblPr>
      <w:tblGrid>
        <w:gridCol w:w="6126"/>
        <w:gridCol w:w="187"/>
        <w:gridCol w:w="271"/>
        <w:gridCol w:w="1025"/>
        <w:gridCol w:w="213"/>
        <w:gridCol w:w="187"/>
        <w:gridCol w:w="271"/>
        <w:gridCol w:w="890"/>
        <w:gridCol w:w="1035"/>
      </w:tblGrid>
      <w:tr>
        <w:trPr/>
        <w:tc>
          <w:tcPr>
            <w:tcW w:w="612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r>
      <w:tr>
        <w:trPr/>
        <w:tc>
          <w:tcPr>
            <w:tcW w:w="612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center"/>
              <w:rPr/>
            </w:pPr>
            <w:r>
              <w:rPr/>
              <w:t> </w:t>
            </w:r>
          </w:p>
        </w:tc>
        <w:tc>
          <w:tcPr>
            <w:tcW w:w="285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2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center"/>
              <w:rPr/>
            </w:pPr>
            <w:r>
              <w:rPr/>
              <w:t> </w:t>
            </w:r>
          </w:p>
        </w:tc>
        <w:tc>
          <w:tcPr>
            <w:tcW w:w="12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7" w:type="dxa"/>
            <w:tcBorders/>
            <w:shd w:fill="auto" w:val="clear"/>
            <w:vAlign w:val="center"/>
          </w:tcPr>
          <w:p>
            <w:pPr>
              <w:pStyle w:val="TableContents"/>
              <w:spacing w:lineRule="auto" w:line="252" w:before="0" w:after="0"/>
              <w:ind w:left="0" w:right="0" w:hanging="0"/>
              <w:jc w:val="center"/>
              <w:rPr/>
            </w:pPr>
            <w:r>
              <w:rPr/>
              <w:t> </w:t>
            </w:r>
          </w:p>
        </w:tc>
        <w:tc>
          <w:tcPr>
            <w:tcW w:w="116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flows from operating activities: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righ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61" w:type="dxa"/>
            <w:gridSpan w:val="2"/>
            <w:tcBorders/>
            <w:shd w:fill="auto" w:val="clear"/>
            <w:vAlign w:val="center"/>
          </w:tcPr>
          <w:p>
            <w:pPr>
              <w:pStyle w:val="TableContents"/>
              <w:spacing w:lineRule="auto" w:line="252" w:before="0" w:after="0"/>
              <w:ind w:left="0" w:right="0" w:hanging="0"/>
              <w:jc w:val="right"/>
              <w:rPr/>
            </w:pPr>
            <w:r>
              <w:rPr/>
              <w:t> </w:t>
            </w:r>
          </w:p>
        </w:tc>
        <w:tc>
          <w:tcPr>
            <w:tcW w:w="1035" w:type="dxa"/>
            <w:tcBorders/>
            <w:shd w:fill="auto" w:val="clear"/>
            <w:vAlign w:val="center"/>
          </w:tcPr>
          <w:p>
            <w:pPr>
              <w:pStyle w:val="TableContents"/>
              <w:spacing w:lineRule="auto" w:line="252" w:before="0" w:after="0"/>
              <w:ind w:left="0" w:right="0" w:hanging="0"/>
              <w:jc w:val="righ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(12,835</w:t>
            </w:r>
          </w:p>
        </w:tc>
        <w:tc>
          <w:tcPr>
            <w:tcW w:w="21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103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Adjustments to reconcile net loss to net cash used in operating activities: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righ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61" w:type="dxa"/>
            <w:gridSpan w:val="2"/>
            <w:tcBorders/>
            <w:shd w:fill="auto" w:val="clear"/>
            <w:vAlign w:val="center"/>
          </w:tcPr>
          <w:p>
            <w:pPr>
              <w:pStyle w:val="TableContents"/>
              <w:spacing w:lineRule="auto" w:line="252" w:before="0" w:after="0"/>
              <w:ind w:left="0" w:right="0" w:hanging="0"/>
              <w:jc w:val="right"/>
              <w:rPr/>
            </w:pPr>
            <w:r>
              <w:rPr/>
              <w:t> </w:t>
            </w:r>
          </w:p>
        </w:tc>
        <w:tc>
          <w:tcPr>
            <w:tcW w:w="1035" w:type="dxa"/>
            <w:tcBorders/>
            <w:shd w:fill="auto" w:val="clear"/>
            <w:vAlign w:val="center"/>
          </w:tcPr>
          <w:p>
            <w:pPr>
              <w:pStyle w:val="TableContents"/>
              <w:spacing w:lineRule="auto" w:line="252" w:before="0" w:after="0"/>
              <w:ind w:left="0" w:right="0" w:firstLine="280"/>
              <w:jc w:val="right"/>
              <w:rPr/>
            </w:pPr>
            <w:r>
              <w:rPr/>
              <w:t> </w:t>
            </w:r>
          </w:p>
        </w:tc>
      </w:tr>
      <w:tr>
        <w:trPr/>
        <w:tc>
          <w:tcPr>
            <w:tcW w:w="612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Depreciation expense</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256</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185</w:t>
            </w:r>
          </w:p>
        </w:tc>
        <w:tc>
          <w:tcPr>
            <w:tcW w:w="1035" w:type="dxa"/>
            <w:tcBorders/>
            <w:shd w:fill="auto" w:val="clear"/>
            <w:vAlign w:val="center"/>
          </w:tcPr>
          <w:p>
            <w:pPr>
              <w:pStyle w:val="TableContents"/>
              <w:spacing w:lineRule="auto" w:line="252" w:before="0" w:after="0"/>
              <w:ind w:left="0" w:right="0" w:firstLine="280"/>
              <w:jc w:val="left"/>
              <w:rPr/>
            </w:pPr>
            <w:r>
              <w:rPr/>
              <w:t> </w:t>
            </w:r>
          </w:p>
        </w:tc>
      </w:tr>
      <w:tr>
        <w:trPr/>
        <w:tc>
          <w:tcPr>
            <w:tcW w:w="612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 in fair value of warrant liability</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1035"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Stock-based compensation expense</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1,594</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185</w:t>
            </w:r>
          </w:p>
        </w:tc>
        <w:tc>
          <w:tcPr>
            <w:tcW w:w="1035" w:type="dxa"/>
            <w:tcBorders/>
            <w:shd w:fill="auto" w:val="clear"/>
            <w:vAlign w:val="center"/>
          </w:tcPr>
          <w:p>
            <w:pPr>
              <w:pStyle w:val="TableContents"/>
              <w:spacing w:lineRule="auto" w:line="252" w:before="0" w:after="0"/>
              <w:ind w:left="0" w:right="0" w:firstLine="280"/>
              <w:jc w:val="left"/>
              <w:rPr/>
            </w:pPr>
            <w:r>
              <w:rPr/>
              <w:t> </w:t>
            </w:r>
          </w:p>
        </w:tc>
      </w:tr>
      <w:tr>
        <w:trPr/>
        <w:tc>
          <w:tcPr>
            <w:tcW w:w="612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Other</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w:t>
            </w:r>
          </w:p>
        </w:tc>
        <w:tc>
          <w:tcPr>
            <w:tcW w:w="21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1035"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Changes in operating assets and liabilities: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righ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61" w:type="dxa"/>
            <w:gridSpan w:val="2"/>
            <w:tcBorders/>
            <w:shd w:fill="auto" w:val="clear"/>
            <w:vAlign w:val="center"/>
          </w:tcPr>
          <w:p>
            <w:pPr>
              <w:pStyle w:val="TableContents"/>
              <w:spacing w:lineRule="auto" w:line="252" w:before="0" w:after="0"/>
              <w:ind w:left="0" w:right="0" w:hanging="0"/>
              <w:jc w:val="right"/>
              <w:rPr/>
            </w:pPr>
            <w:r>
              <w:rPr/>
              <w:t> </w:t>
            </w:r>
          </w:p>
        </w:tc>
        <w:tc>
          <w:tcPr>
            <w:tcW w:w="1035" w:type="dxa"/>
            <w:tcBorders/>
            <w:shd w:fill="auto" w:val="clear"/>
            <w:vAlign w:val="center"/>
          </w:tcPr>
          <w:p>
            <w:pPr>
              <w:pStyle w:val="TableContents"/>
              <w:spacing w:lineRule="auto" w:line="252" w:before="0" w:after="0"/>
              <w:ind w:left="0" w:right="0" w:firstLine="840"/>
              <w:jc w:val="right"/>
              <w:rPr/>
            </w:pPr>
            <w:r>
              <w:rPr/>
              <w:t> </w:t>
            </w:r>
          </w:p>
        </w:tc>
      </w:tr>
      <w:tr>
        <w:trPr/>
        <w:tc>
          <w:tcPr>
            <w:tcW w:w="6126" w:type="dxa"/>
            <w:tcBorders/>
            <w:shd w:fill="auto" w:val="clear"/>
            <w:vAlign w:val="center"/>
          </w:tcPr>
          <w:p>
            <w:pPr>
              <w:pStyle w:val="TableContents"/>
              <w:spacing w:lineRule="auto" w:line="252" w:before="0" w:after="0"/>
              <w:ind w:left="840" w:right="0" w:hanging="0"/>
              <w:jc w:val="left"/>
              <w:rPr>
                <w:rFonts w:ascii="Arial" w:hAnsi="Arial"/>
                <w:b w:val="false"/>
                <w:sz w:val="20"/>
              </w:rPr>
            </w:pPr>
            <w:r>
              <w:rPr>
                <w:rFonts w:ascii="Arial" w:hAnsi="Arial"/>
                <w:b w:val="false"/>
                <w:sz w:val="20"/>
              </w:rPr>
              <w:t>Prepaid expenses and other assets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(1,660</w:t>
            </w:r>
          </w:p>
        </w:tc>
        <w:tc>
          <w:tcPr>
            <w:tcW w:w="21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w:t>
            </w:r>
          </w:p>
        </w:tc>
        <w:tc>
          <w:tcPr>
            <w:tcW w:w="1035" w:type="dxa"/>
            <w:tcBorders/>
            <w:shd w:fill="auto" w:val="clear"/>
            <w:vAlign w:val="center"/>
          </w:tcPr>
          <w:p>
            <w:pPr>
              <w:pStyle w:val="TableContents"/>
              <w:spacing w:lineRule="auto" w:line="252" w:before="0" w:after="0"/>
              <w:ind w:left="0" w:right="0" w:firstLine="840"/>
              <w:jc w:val="left"/>
              <w:rPr/>
            </w:pPr>
            <w:r>
              <w:rPr/>
              <w:t> </w:t>
            </w:r>
          </w:p>
        </w:tc>
      </w:tr>
      <w:tr>
        <w:trPr/>
        <w:tc>
          <w:tcPr>
            <w:tcW w:w="6126" w:type="dxa"/>
            <w:tcBorders/>
            <w:shd w:fill="auto" w:val="clear"/>
            <w:vAlign w:val="center"/>
          </w:tcPr>
          <w:p>
            <w:pPr>
              <w:pStyle w:val="TableContents"/>
              <w:spacing w:lineRule="auto" w:line="252" w:before="0" w:after="0"/>
              <w:ind w:left="840" w:right="0" w:hanging="0"/>
              <w:jc w:val="left"/>
              <w:rPr>
                <w:rFonts w:ascii="Arial" w:hAnsi="Arial"/>
                <w:b w:val="false"/>
                <w:sz w:val="20"/>
              </w:rPr>
            </w:pPr>
            <w:r>
              <w:rPr>
                <w:rFonts w:ascii="Arial" w:hAnsi="Arial"/>
                <w:b w:val="false"/>
                <w:sz w:val="20"/>
              </w:rPr>
              <w:t>Accounts payable</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(756</w:t>
            </w:r>
          </w:p>
        </w:tc>
        <w:tc>
          <w:tcPr>
            <w:tcW w:w="21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700</w:t>
            </w:r>
          </w:p>
        </w:tc>
        <w:tc>
          <w:tcPr>
            <w:tcW w:w="1035" w:type="dxa"/>
            <w:tcBorders/>
            <w:shd w:fill="auto" w:val="clear"/>
            <w:vAlign w:val="center"/>
          </w:tcPr>
          <w:p>
            <w:pPr>
              <w:pStyle w:val="TableContents"/>
              <w:spacing w:lineRule="auto" w:line="252" w:before="0" w:after="0"/>
              <w:ind w:left="0" w:right="0" w:firstLine="840"/>
              <w:jc w:val="left"/>
              <w:rPr/>
            </w:pPr>
            <w:r>
              <w:rPr/>
              <w:t> </w:t>
            </w:r>
          </w:p>
        </w:tc>
      </w:tr>
      <w:tr>
        <w:trPr/>
        <w:tc>
          <w:tcPr>
            <w:tcW w:w="6126" w:type="dxa"/>
            <w:tcBorders/>
            <w:shd w:fill="auto" w:val="clear"/>
            <w:vAlign w:val="center"/>
          </w:tcPr>
          <w:p>
            <w:pPr>
              <w:pStyle w:val="TableContents"/>
              <w:spacing w:lineRule="auto" w:line="252" w:before="0" w:after="0"/>
              <w:ind w:left="840" w:right="0" w:hanging="0"/>
              <w:jc w:val="left"/>
              <w:rPr>
                <w:rFonts w:ascii="Arial" w:hAnsi="Arial"/>
                <w:b w:val="false"/>
                <w:sz w:val="20"/>
              </w:rPr>
            </w:pPr>
            <w:r>
              <w:rPr>
                <w:rFonts w:ascii="Arial" w:hAnsi="Arial"/>
                <w:b w:val="false"/>
                <w:sz w:val="20"/>
              </w:rPr>
              <w:t>Accrued expenses and other liabilities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(1,834</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(287</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560" w:right="0" w:hanging="0"/>
              <w:jc w:val="left"/>
              <w:rPr>
                <w:rFonts w:ascii="Arial" w:hAnsi="Arial"/>
                <w:b/>
                <w:sz w:val="20"/>
              </w:rPr>
            </w:pPr>
            <w:r>
              <w:rPr>
                <w:rFonts w:ascii="Arial" w:hAnsi="Arial"/>
                <w:b/>
                <w:sz w:val="20"/>
              </w:rPr>
              <w:t>Net cash used in operating activities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(15,200</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(5,137</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flows from investing activities: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righ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61" w:type="dxa"/>
            <w:gridSpan w:val="2"/>
            <w:tcBorders/>
            <w:shd w:fill="auto" w:val="clear"/>
            <w:vAlign w:val="center"/>
          </w:tcPr>
          <w:p>
            <w:pPr>
              <w:pStyle w:val="TableContents"/>
              <w:spacing w:lineRule="auto" w:line="252" w:before="0" w:after="0"/>
              <w:ind w:left="0" w:right="0" w:hanging="0"/>
              <w:jc w:val="right"/>
              <w:rPr/>
            </w:pPr>
            <w:r>
              <w:rPr/>
              <w:t> </w:t>
            </w:r>
          </w:p>
        </w:tc>
        <w:tc>
          <w:tcPr>
            <w:tcW w:w="1035" w:type="dxa"/>
            <w:tcBorders/>
            <w:shd w:fill="auto" w:val="clear"/>
            <w:vAlign w:val="center"/>
          </w:tcPr>
          <w:p>
            <w:pPr>
              <w:pStyle w:val="TableContents"/>
              <w:spacing w:lineRule="auto" w:line="252" w:before="0" w:after="0"/>
              <w:ind w:left="0" w:right="0" w:hanging="0"/>
              <w:jc w:val="righ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Purchases of property and equipment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(599</w:t>
            </w:r>
          </w:p>
        </w:tc>
        <w:tc>
          <w:tcPr>
            <w:tcW w:w="21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c>
          <w:tcPr>
            <w:tcW w:w="103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Purchase of marketable securities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(24,899</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6126" w:type="dxa"/>
            <w:tcBorders/>
            <w:shd w:fill="auto" w:val="clear"/>
            <w:vAlign w:val="center"/>
          </w:tcPr>
          <w:p>
            <w:pPr>
              <w:pStyle w:val="TableContents"/>
              <w:spacing w:lineRule="auto" w:line="252" w:before="0" w:after="0"/>
              <w:ind w:left="560" w:right="0" w:hanging="0"/>
              <w:jc w:val="left"/>
              <w:rPr>
                <w:rFonts w:ascii="Arial" w:hAnsi="Arial"/>
                <w:b/>
                <w:sz w:val="20"/>
              </w:rPr>
            </w:pPr>
            <w:r>
              <w:rPr>
                <w:rFonts w:ascii="Arial" w:hAnsi="Arial"/>
                <w:b/>
                <w:sz w:val="20"/>
              </w:rPr>
              <w:t>Net cash used in investing activities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(25,498</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flows from financing activities: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righ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61" w:type="dxa"/>
            <w:gridSpan w:val="2"/>
            <w:tcBorders/>
            <w:shd w:fill="auto" w:val="clear"/>
            <w:vAlign w:val="center"/>
          </w:tcPr>
          <w:p>
            <w:pPr>
              <w:pStyle w:val="TableContents"/>
              <w:spacing w:lineRule="auto" w:line="252" w:before="0" w:after="0"/>
              <w:ind w:left="0" w:right="0" w:hanging="0"/>
              <w:jc w:val="right"/>
              <w:rPr/>
            </w:pPr>
            <w:r>
              <w:rPr/>
              <w:t> </w:t>
            </w:r>
          </w:p>
        </w:tc>
        <w:tc>
          <w:tcPr>
            <w:tcW w:w="1035" w:type="dxa"/>
            <w:tcBorders/>
            <w:shd w:fill="auto" w:val="clear"/>
            <w:vAlign w:val="center"/>
          </w:tcPr>
          <w:p>
            <w:pPr>
              <w:pStyle w:val="TableContents"/>
              <w:spacing w:lineRule="auto" w:line="252" w:before="0" w:after="0"/>
              <w:ind w:left="0" w:right="0" w:hanging="0"/>
              <w:jc w:val="righ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Proceeds from issuance of Series E convertible preferred stock, net of issuance costs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pPr>
            <w:r>
              <w:rPr/>
              <w:t>—</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80,251</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Proceeds from exercise of stock options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265</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Proceeds from issuance of Series D convertible preferred stock, net of</w:t>
              <w:br/>
              <w:t> issuance costs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pPr>
            <w:r>
              <w:rPr/>
              <w:t>—</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6,982</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rFonts w:ascii="Arial" w:hAnsi="Arial"/>
                <w:b w:val="false"/>
                <w:sz w:val="20"/>
              </w:rPr>
            </w:pPr>
            <w:r>
              <w:rPr>
                <w:rFonts w:ascii="Arial" w:hAnsi="Arial"/>
                <w:b w:val="false"/>
                <w:sz w:val="20"/>
              </w:rPr>
              <w:t>)</w:t>
            </w:r>
          </w:p>
        </w:tc>
      </w:tr>
      <w:tr>
        <w:trPr/>
        <w:tc>
          <w:tcPr>
            <w:tcW w:w="6126" w:type="dxa"/>
            <w:tcBorders/>
            <w:shd w:fill="auto" w:val="clear"/>
            <w:vAlign w:val="center"/>
          </w:tcPr>
          <w:p>
            <w:pPr>
              <w:pStyle w:val="TableContents"/>
              <w:spacing w:lineRule="auto" w:line="252" w:before="0" w:after="0"/>
              <w:ind w:left="560" w:right="0" w:hanging="0"/>
              <w:jc w:val="left"/>
              <w:rPr>
                <w:rFonts w:ascii="Arial" w:hAnsi="Arial"/>
                <w:b/>
                <w:sz w:val="20"/>
              </w:rPr>
            </w:pPr>
            <w:r>
              <w:rPr>
                <w:rFonts w:ascii="Arial" w:hAnsi="Arial"/>
                <w:b/>
                <w:sz w:val="20"/>
              </w:rPr>
              <w:t>Net cash provided by financing activities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87,489</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Net (decrease) increase in cash, cash equivalents and restricted cash</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(40,681</w:t>
            </w:r>
          </w:p>
        </w:tc>
        <w:tc>
          <w:tcPr>
            <w:tcW w:w="21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82,281</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cash equivalents and restricted cash at beginning of period</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149,211</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17,487</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cash equivalents and restricted cash at end of period</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108,530</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99,768</w:t>
            </w:r>
          </w:p>
        </w:tc>
        <w:tc>
          <w:tcPr>
            <w:tcW w:w="10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Supplemental disclosure of cash flow information:</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shd w:fill="auto" w:val="clear"/>
            <w:vAlign w:val="center"/>
          </w:tcPr>
          <w:p>
            <w:pPr>
              <w:pStyle w:val="TableContents"/>
              <w:spacing w:lineRule="auto" w:line="252" w:before="0" w:after="0"/>
              <w:ind w:left="0" w:right="0" w:hanging="0"/>
              <w:jc w:val="right"/>
              <w:rPr/>
            </w:pPr>
            <w:r>
              <w:rPr/>
              <w:t> </w:t>
            </w:r>
          </w:p>
        </w:tc>
        <w:tc>
          <w:tcPr>
            <w:tcW w:w="213" w:type="dxa"/>
            <w:tcBorders/>
            <w:shd w:fill="auto" w:val="clear"/>
            <w:vAlign w:val="center"/>
          </w:tcPr>
          <w:p>
            <w:pPr>
              <w:pStyle w:val="TableContents"/>
              <w:spacing w:lineRule="auto" w:line="252" w:before="0" w:after="0"/>
              <w:ind w:left="0" w:right="0" w:hanging="0"/>
              <w:jc w:val="righ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61" w:type="dxa"/>
            <w:gridSpan w:val="2"/>
            <w:tcBorders/>
            <w:shd w:fill="auto" w:val="clear"/>
            <w:vAlign w:val="center"/>
          </w:tcPr>
          <w:p>
            <w:pPr>
              <w:pStyle w:val="TableContents"/>
              <w:spacing w:lineRule="auto" w:line="252" w:before="0" w:after="0"/>
              <w:ind w:left="0" w:right="0" w:hanging="0"/>
              <w:jc w:val="right"/>
              <w:rPr/>
            </w:pPr>
            <w:r>
              <w:rPr/>
              <w:t> </w:t>
            </w:r>
          </w:p>
        </w:tc>
        <w:tc>
          <w:tcPr>
            <w:tcW w:w="1035" w:type="dxa"/>
            <w:tcBorders/>
            <w:shd w:fill="auto" w:val="clear"/>
            <w:vAlign w:val="center"/>
          </w:tcPr>
          <w:p>
            <w:pPr>
              <w:pStyle w:val="TableContents"/>
              <w:spacing w:lineRule="auto" w:line="252" w:before="0" w:after="0"/>
              <w:ind w:left="0" w:right="0" w:hanging="0"/>
              <w:jc w:val="righ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Purchases of property and equipment in accounts payable and accrued expenses and other liabilities</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311</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0" w:type="dxa"/>
            <w:tcBorders/>
            <w:shd w:fill="auto" w:val="clear"/>
            <w:vAlign w:val="center"/>
          </w:tcPr>
          <w:p>
            <w:pPr>
              <w:pStyle w:val="TableContents"/>
              <w:spacing w:lineRule="auto" w:line="252" w:before="0" w:after="0"/>
              <w:ind w:left="0" w:right="0" w:hanging="0"/>
              <w:jc w:val="right"/>
              <w:rPr/>
            </w:pPr>
            <w:r>
              <w:rPr/>
              <w:t>—</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Remeasurement of operating lease right-of-use assets and liabilities for lease modification</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5" w:type="dxa"/>
            <w:tcBorders/>
            <w:shd w:fill="auto" w:val="clear"/>
            <w:vAlign w:val="center"/>
          </w:tcPr>
          <w:p>
            <w:pPr>
              <w:pStyle w:val="TableContents"/>
              <w:spacing w:lineRule="auto" w:line="252" w:before="0" w:after="0"/>
              <w:ind w:left="0" w:right="0" w:hanging="0"/>
              <w:jc w:val="right"/>
              <w:rPr/>
            </w:pPr>
            <w:r>
              <w:rPr/>
              <w:t>—</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390</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shd w:fill="auto" w:val="clear"/>
            <w:vAlign w:val="center"/>
          </w:tcPr>
          <w:p>
            <w:pPr>
              <w:pStyle w:val="TableContents"/>
              <w:spacing w:lineRule="auto" w:line="252" w:before="0" w:after="0"/>
              <w:ind w:left="0" w:right="0" w:hanging="0"/>
              <w:jc w:val="lef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61" w:type="dxa"/>
            <w:gridSpan w:val="2"/>
            <w:tcBorders/>
            <w:shd w:fill="auto" w:val="clear"/>
            <w:vAlign w:val="center"/>
          </w:tcPr>
          <w:p>
            <w:pPr>
              <w:pStyle w:val="TableContents"/>
              <w:spacing w:lineRule="auto" w:line="252" w:before="0" w:after="0"/>
              <w:ind w:left="0" w:right="0" w:hanging="0"/>
              <w:jc w:val="left"/>
              <w:rPr/>
            </w:pPr>
            <w:r>
              <w:rPr/>
              <w:t> </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9170" w:type="dxa"/>
            <w:gridSpan w:val="8"/>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The following table provides a reconciliation of cash, cash equivalents, and restricted cash reported within the balance sheets that sum to the total of the same such amounts shown in the unaudited condensed consolidated statements of cash flows (in thousands):</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85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2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2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7" w:type="dxa"/>
            <w:tcBorders/>
            <w:shd w:fill="auto" w:val="clear"/>
            <w:vAlign w:val="center"/>
          </w:tcPr>
          <w:p>
            <w:pPr>
              <w:pStyle w:val="TableContents"/>
              <w:spacing w:lineRule="auto" w:line="252" w:before="0" w:after="0"/>
              <w:ind w:left="0" w:right="0" w:hanging="0"/>
              <w:jc w:val="center"/>
              <w:rPr/>
            </w:pPr>
            <w:r>
              <w:rPr/>
              <w:t> </w:t>
            </w:r>
          </w:p>
        </w:tc>
        <w:tc>
          <w:tcPr>
            <w:tcW w:w="116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and cash equivalents, end of period</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108,382</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99,674</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Short-term restricted cash, end of period</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02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8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w:t>
            </w:r>
          </w:p>
        </w:tc>
        <w:tc>
          <w:tcPr>
            <w:tcW w:w="1035" w:type="dxa"/>
            <w:tcBorders/>
            <w:shd w:fill="auto" w:val="cle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Long-term restricted cash, end of period</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125</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cash equivalents and restricted cash at end of period</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108,530</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99,768</w:t>
            </w:r>
          </w:p>
        </w:tc>
        <w:tc>
          <w:tcPr>
            <w:tcW w:w="10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Arial" w:hAnsi="Arial"/>
          <w:b w:val="false"/>
          <w:i/>
          <w:sz w:val="20"/>
        </w:rPr>
        <w:t>The accompanying notes are an integral part of these unaudited condensed consolidated financial statements.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Aura Biosciences, Inc.</w:t>
      </w:r>
    </w:p>
    <w:p>
      <w:pPr>
        <w:pStyle w:val="TextBody"/>
        <w:spacing w:lineRule="auto" w:line="273" w:before="240" w:after="0"/>
        <w:jc w:val="center"/>
        <w:rPr>
          <w:rFonts w:ascii="Arial" w:hAnsi="Arial"/>
          <w:b/>
          <w:sz w:val="20"/>
        </w:rPr>
      </w:pPr>
      <w:bookmarkStart w:id="10" w:name="notes_to_unaudited_condensed_financial_s"/>
      <w:bookmarkEnd w:id="10"/>
      <w:r>
        <w:rPr>
          <w:rFonts w:ascii="Arial" w:hAnsi="Arial"/>
          <w:b/>
          <w:sz w:val="20"/>
        </w:rPr>
        <w:t>Notes to Unaudited Condensed Consolidated Financial Statements</w:t>
      </w:r>
    </w:p>
    <w:p>
      <w:pPr>
        <w:pStyle w:val="TextBody"/>
        <w:spacing w:lineRule="auto" w:line="273" w:before="240" w:after="0"/>
        <w:jc w:val="left"/>
        <w:rPr>
          <w:rFonts w:ascii="Arial" w:hAnsi="Arial"/>
          <w:b/>
          <w:sz w:val="20"/>
        </w:rPr>
      </w:pPr>
      <w:r>
        <w:rPr>
          <w:rFonts w:ascii="Arial" w:hAnsi="Arial"/>
          <w:b/>
          <w:sz w:val="20"/>
        </w:rPr>
        <w:t>1. Description of Business</w:t>
      </w:r>
    </w:p>
    <w:p>
      <w:pPr>
        <w:pStyle w:val="TextBody"/>
        <w:spacing w:lineRule="auto" w:line="273" w:before="80" w:after="0"/>
        <w:jc w:val="both"/>
        <w:rPr>
          <w:rFonts w:ascii="Times New Roman" w:hAnsi="Times New Roman"/>
          <w:sz w:val="20"/>
        </w:rPr>
      </w:pPr>
      <w:r>
        <w:rPr>
          <w:rFonts w:ascii="Arial" w:hAnsi="Arial"/>
          <w:b w:val="false"/>
          <w:sz w:val="20"/>
        </w:rPr>
        <w:t>Aura Biosciences, Inc. (the “Company” or “Aura”) is a clinical-stage biotechnology company leveraging its novel targeted oncology platform to develop a potential new standard of care across multiple cancer indications, with an initial focus on ocular and urologic oncology. Within these unaudited condensed consolidated financial statements, unless the context otherwise requires, references to the Company or Aura refer to Aura Biosciences, Inc. The Company’s proprietary platform enables the targeting of a broad range of solid tumors using Virus-Like Particles, or VLPs, that can be conjugated with drugs or loaded with nucleic acids to create Virus-Like Drug Conjugates, or VDCs. The Company’s VDCs are largely agnostic to tumor type and can recognize a surface marker, known as HSPGs, that are specifically modified and more broadly expressed on many tumors. The Company is developing AU-011, its first VDC product candidate for the first line treatment of primary choroidal melanoma, a rare disease with no drugs approved. The Company is also developing AU-011 for additional ocular oncology indications and in non-muscle invasive bladder cancer. Aura’s team combines expertise in cancer cell biology, ophthalmology, and targeted therapies together with experience in the development and commercialization of orphan products for significant unmet medical needs. Aura’s headquarters are located in Cambridge, Massachusetts.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Company’s operations to date have consisted primarily of conducting research and development and raising capital.</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r>
        <w:rPr>
          <w:rFonts w:ascii="Times New Roman" w:hAnsi="Times New Roman"/>
          <w:sz w:val="20"/>
        </w:rPr>
        <w:t xml:space="preserve"> </w:t>
      </w:r>
    </w:p>
    <w:p>
      <w:pPr>
        <w:pStyle w:val="TextBody"/>
        <w:spacing w:lineRule="auto" w:line="273" w:before="240" w:after="0"/>
        <w:jc w:val="left"/>
        <w:rPr>
          <w:rFonts w:ascii="Arial" w:hAnsi="Arial"/>
          <w:b/>
          <w:i/>
          <w:sz w:val="20"/>
        </w:rPr>
      </w:pPr>
      <w:r>
        <w:rPr>
          <w:rFonts w:ascii="Arial" w:hAnsi="Arial"/>
          <w:b/>
          <w:i/>
          <w:sz w:val="20"/>
        </w:rPr>
        <w:t>Reverse Stock Split</w:t>
      </w:r>
    </w:p>
    <w:p>
      <w:pPr>
        <w:pStyle w:val="TextBody"/>
        <w:spacing w:lineRule="auto" w:line="273" w:before="80" w:after="0"/>
        <w:jc w:val="both"/>
        <w:rPr>
          <w:rFonts w:ascii="Times New Roman" w:hAnsi="Times New Roman"/>
          <w:sz w:val="20"/>
        </w:rPr>
      </w:pPr>
      <w:r>
        <w:rPr>
          <w:rFonts w:ascii="Arial" w:hAnsi="Arial"/>
          <w:b w:val="false"/>
          <w:sz w:val="20"/>
        </w:rPr>
        <w:t>On October 22, 2021, the Company effected a reverse stock split of the Company’s common stock on a 1-for-13.7</w:t>
      </w:r>
      <w:r>
        <w:rPr>
          <w:rFonts w:ascii="Arial" w:hAnsi="Arial"/>
          <w:sz w:val="20"/>
        </w:rPr>
        <w:t xml:space="preserve"> </w:t>
      </w:r>
      <w:r>
        <w:rPr>
          <w:rFonts w:ascii="Arial" w:hAnsi="Arial"/>
          <w:b w:val="false"/>
          <w:sz w:val="20"/>
        </w:rPr>
        <w:t>basis, or the Reverse Stock Split.</w:t>
      </w:r>
      <w:r>
        <w:rPr>
          <w:rFonts w:ascii="Times New Roman" w:hAnsi="Times New Roman"/>
          <w:sz w:val="20"/>
        </w:rPr>
        <w:t xml:space="preserve"> </w:t>
      </w:r>
      <w:r>
        <w:rPr>
          <w:rFonts w:ascii="Arial" w:hAnsi="Arial"/>
          <w:b w:val="false"/>
          <w:sz w:val="20"/>
        </w:rPr>
        <w:t>In connection with the Reverse Stock Split, the conversion ratio for the Company’s convertible preferred stock was proportionately adjusted such that the common stock issuable upon conversion of such preferred stock was decreased in proportion to the Reverse Stock Split. Accordingly, all common stock share and per share amounts, for all periods presented in these unaudited condensed consolidated financial statements, have been retroactively adjusted, to reflect this reverse stock split and adjustment of the convertible preferred stock conversion ratios.</w:t>
      </w:r>
      <w:r>
        <w:rPr>
          <w:rFonts w:ascii="Times New Roman" w:hAnsi="Times New Roman"/>
          <w:sz w:val="20"/>
        </w:rPr>
        <w:t xml:space="preserve"> </w:t>
      </w:r>
    </w:p>
    <w:p>
      <w:pPr>
        <w:pStyle w:val="TextBody"/>
        <w:spacing w:lineRule="auto" w:line="273" w:before="240" w:after="0"/>
        <w:jc w:val="left"/>
        <w:rPr>
          <w:rFonts w:ascii="Arial" w:hAnsi="Arial"/>
          <w:b/>
          <w:i/>
          <w:sz w:val="20"/>
        </w:rPr>
      </w:pPr>
      <w:r>
        <w:rPr>
          <w:rFonts w:ascii="Arial" w:hAnsi="Arial"/>
          <w:b/>
          <w:i/>
          <w:sz w:val="20"/>
        </w:rPr>
        <w:t>Initial Public Offering</w:t>
      </w:r>
    </w:p>
    <w:p>
      <w:pPr>
        <w:pStyle w:val="TextBody"/>
        <w:spacing w:lineRule="auto" w:line="273" w:before="80" w:after="0"/>
        <w:jc w:val="both"/>
        <w:rPr>
          <w:rFonts w:ascii="Times New Roman" w:hAnsi="Times New Roman"/>
          <w:sz w:val="20"/>
        </w:rPr>
      </w:pPr>
      <w:r>
        <w:rPr>
          <w:rFonts w:ascii="Arial" w:hAnsi="Arial"/>
          <w:b w:val="false"/>
          <w:sz w:val="20"/>
        </w:rPr>
        <w:t>On November 2, 2021, the Company completed its initial public offering or the IPO, in which it issued and sold 6,210,000</w:t>
      </w:r>
      <w:r>
        <w:rPr>
          <w:rFonts w:ascii="Times New Roman" w:hAnsi="Times New Roman"/>
          <w:sz w:val="20"/>
        </w:rPr>
        <w:t xml:space="preserve"> </w:t>
      </w:r>
      <w:r>
        <w:rPr>
          <w:rFonts w:ascii="Arial" w:hAnsi="Arial"/>
          <w:b w:val="false"/>
          <w:sz w:val="20"/>
        </w:rPr>
        <w:t>shares of common stock, including the full exercise of the underwriters’ option to purchase additional shares at a price to the public of $14.00</w:t>
      </w:r>
      <w:r>
        <w:rPr>
          <w:rFonts w:ascii="Times New Roman" w:hAnsi="Times New Roman"/>
          <w:sz w:val="20"/>
        </w:rPr>
        <w:t xml:space="preserve"> </w:t>
      </w:r>
      <w:r>
        <w:rPr>
          <w:rFonts w:ascii="Arial" w:hAnsi="Arial"/>
          <w:b w:val="false"/>
          <w:sz w:val="20"/>
        </w:rPr>
        <w:t>per share for aggregate gross proceeds of $86.9</w:t>
      </w:r>
      <w:r>
        <w:rPr>
          <w:rFonts w:ascii="Times New Roman" w:hAnsi="Times New Roman"/>
          <w:sz w:val="20"/>
        </w:rPr>
        <w:t xml:space="preserve"> </w:t>
      </w:r>
      <w:r>
        <w:rPr>
          <w:rFonts w:ascii="Arial" w:hAnsi="Arial"/>
          <w:b w:val="false"/>
          <w:sz w:val="20"/>
        </w:rPr>
        <w:t>million. The Company received approximately $78.3</w:t>
      </w:r>
      <w:r>
        <w:rPr>
          <w:rFonts w:ascii="Times New Roman" w:hAnsi="Times New Roman"/>
          <w:sz w:val="20"/>
        </w:rPr>
        <w:t xml:space="preserve"> </w:t>
      </w:r>
      <w:r>
        <w:rPr>
          <w:rFonts w:ascii="Arial" w:hAnsi="Arial"/>
          <w:b w:val="false"/>
          <w:sz w:val="20"/>
        </w:rPr>
        <w:t>million in net proceeds after deducting underwriting discounts, commissions and offering expenses.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Arial" w:hAnsi="Arial"/>
          <w:b/>
          <w:i/>
          <w:sz w:val="20"/>
        </w:rPr>
        <w:t>Liquidity and Going Concern</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Through March 31, 2022, the Company has funded its operations primarily with proceeds from the initial closing and additional closings of its convertible preferred stock financings, through its license agreements, and through its IPO. The Company has incurred recurring losses and negative operating cash flows from operations since its inception, including net losses of $12.8</w:t>
      </w:r>
      <w:r>
        <w:rPr>
          <w:rFonts w:ascii="Times New Roman" w:hAnsi="Times New Roman"/>
          <w:sz w:val="20"/>
        </w:rPr>
        <w:t xml:space="preserve"> </w:t>
      </w:r>
      <w:r>
        <w:rPr>
          <w:rFonts w:ascii="Arial" w:hAnsi="Arial"/>
          <w:b w:val="false"/>
          <w:sz w:val="20"/>
        </w:rPr>
        <w:t>million and $5.9</w:t>
      </w:r>
      <w:r>
        <w:rPr>
          <w:rFonts w:ascii="Times New Roman" w:hAnsi="Times New Roman"/>
          <w:sz w:val="20"/>
        </w:rPr>
        <w:t xml:space="preserve"> </w:t>
      </w:r>
      <w:r>
        <w:rPr>
          <w:rFonts w:ascii="Arial" w:hAnsi="Arial"/>
          <w:b w:val="false"/>
          <w:sz w:val="20"/>
        </w:rPr>
        <w:t>million for the three months ended March 31, 2022 and 2021, respectively. As of March 31, 2022, the Company had cash and cash equivalents and marketable securities of $133.3</w:t>
      </w:r>
      <w:r>
        <w:rPr>
          <w:rFonts w:ascii="Times New Roman" w:hAnsi="Times New Roman"/>
          <w:sz w:val="20"/>
        </w:rPr>
        <w:t xml:space="preserve"> </w:t>
      </w:r>
      <w:r>
        <w:rPr>
          <w:rFonts w:ascii="Arial" w:hAnsi="Arial"/>
          <w:b w:val="false"/>
          <w:sz w:val="20"/>
        </w:rPr>
        <w:t>million and an accumulated deficit of $165.0</w:t>
      </w:r>
      <w:r>
        <w:rPr>
          <w:rFonts w:ascii="Times New Roman" w:hAnsi="Times New Roman"/>
          <w:sz w:val="20"/>
        </w:rPr>
        <w:t xml:space="preserve"> </w:t>
      </w:r>
      <w:r>
        <w:rPr>
          <w:rFonts w:ascii="Arial" w:hAnsi="Arial"/>
          <w:b w:val="false"/>
          <w:sz w:val="20"/>
        </w:rPr>
        <w:t>million. The Company expects to continue to generate operating losses for the foreseeable future.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As of the issuance date of these unaudited condensed consolidated financial statements for the three months ended March 31, 2022, the Company expects that its cash and cash equivalents and marketable securities will be sufficient to fund its operating expenses and capital expenditure requirements through at least 12 months from the issuance of these condensed consolidated financial statements. The future viability of the Company beyond that point is dependent on its ability to raise additional capital to finance its operations.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Arial" w:hAnsi="Arial"/>
          <w:b/>
          <w:sz w:val="20"/>
        </w:rPr>
      </w:pPr>
      <w:r>
        <w:rPr>
          <w:rFonts w:ascii="Arial" w:hAnsi="Arial"/>
          <w:b/>
          <w:sz w:val="20"/>
        </w:rPr>
        <w:t>2. Summary of Significant Accounting Policies</w:t>
      </w:r>
    </w:p>
    <w:p>
      <w:pPr>
        <w:pStyle w:val="TextBody"/>
        <w:spacing w:lineRule="auto" w:line="273" w:before="80" w:after="0"/>
        <w:jc w:val="left"/>
        <w:rPr>
          <w:rFonts w:ascii="Times New Roman" w:hAnsi="Times New Roman"/>
          <w:sz w:val="20"/>
        </w:rPr>
      </w:pPr>
      <w:r>
        <w:rPr>
          <w:rFonts w:ascii="Arial" w:hAnsi="Arial"/>
          <w:b/>
          <w:i/>
          <w:sz w:val="20"/>
        </w:rPr>
        <w:t>Basis of Presentation</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months ended March 31, 2022 and 2021 are also unaudited. The unaudited condensed results of operations are not necessarily indicative of the operating results that may occur for the full fiscal year ending December 31, 2022.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Arial" w:hAnsi="Arial"/>
          <w:b/>
          <w:i/>
          <w:sz w:val="20"/>
        </w:rPr>
        <w:t>Significant Accounting Policies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Company’s significant accounting policies are disclosed in the audited consolidated financial statements for the year ended December 31, 2021, in the Company's Annual Report on Form 10-K filed with the SEC on March 23, 2022, there have been no changes to the Company's significant accounting policies except as noted below.</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Arial" w:hAnsi="Arial"/>
          <w:b/>
          <w:i/>
          <w:sz w:val="20"/>
        </w:rPr>
        <w:t>Marketable Securities</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All marketable securities have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Unrealized gains and losses are reported as the accumulated other comprehensive items in stockholders’ equity. Amortization and accretion of premiums and discounts are recorded in other income (expense) within the consolidated statements of operations and comprehensive loss. Realized gains or losses are included in interest income or interest expense, respectively. If any adjustment to fair value reflects a decline in value of the investment, the Company considers all available evidence such as industry, financial inputs, and capital markets data to evaluate the extent to which the decline is other than temporary and, if so, marks the investment to market on the Company’s condensed consolidated statement of operations and comprehensive loss.</w:t>
      </w:r>
    </w:p>
    <w:p>
      <w:pPr>
        <w:pStyle w:val="TextBody"/>
        <w:spacing w:lineRule="auto" w:line="273" w:before="240" w:after="0"/>
        <w:jc w:val="both"/>
        <w:rPr>
          <w:rFonts w:ascii="Times New Roman" w:hAnsi="Times New Roman"/>
          <w:sz w:val="20"/>
        </w:rPr>
      </w:pPr>
      <w:r>
        <w:rPr>
          <w:rFonts w:ascii="Arial" w:hAnsi="Arial"/>
          <w:b/>
          <w:i/>
          <w:sz w:val="20"/>
        </w:rPr>
        <w:t>Recently Adopted Accounting Pronouncements</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The Company assessed the recent accounting pronouncements for the three months ended March 31, 2022 and determined no pronouncements have material impact to the condensed consolidated financial statements.</w:t>
      </w:r>
    </w:p>
    <w:p>
      <w:pPr>
        <w:pStyle w:val="TextBody"/>
        <w:spacing w:lineRule="auto" w:line="273" w:before="240" w:after="0"/>
        <w:jc w:val="center"/>
        <w:rPr>
          <w:rFonts w:ascii="Arial" w:hAnsi="Arial"/>
          <w:b w:val="false"/>
          <w:sz w:val="20"/>
        </w:rPr>
      </w:pPr>
      <w:r>
        <w:rPr>
          <w:rFonts w:ascii="Arial" w:hAnsi="Arial"/>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Arial" w:hAnsi="Arial"/>
          <w:b/>
          <w:sz w:val="20"/>
        </w:rPr>
      </w:pPr>
      <w:r>
        <w:rPr>
          <w:rFonts w:ascii="Arial" w:hAnsi="Arial"/>
          <w:b/>
          <w:sz w:val="20"/>
        </w:rPr>
        <w:t>3. Fair Value of Assets and Liabilities</w:t>
      </w:r>
    </w:p>
    <w:p>
      <w:pPr>
        <w:pStyle w:val="TextBody"/>
        <w:spacing w:lineRule="auto" w:line="273" w:before="80" w:after="0"/>
        <w:jc w:val="both"/>
        <w:rPr>
          <w:rFonts w:ascii="Times New Roman" w:hAnsi="Times New Roman"/>
          <w:sz w:val="20"/>
        </w:rPr>
      </w:pPr>
      <w:r>
        <w:rPr>
          <w:rFonts w:ascii="Arial" w:hAnsi="Arial"/>
          <w:b w:val="false"/>
          <w:sz w:val="20"/>
        </w:rPr>
        <w:t>The following table presents information about the Company’s financial assets and liabilities measured at fair value on a recurring basis and indicates the level of the fair value hierarchy utilized to determine such fair values as of March 31, 2022 and December 31, 2021 (in thousands):</w:t>
      </w:r>
      <w:r>
        <w:rPr>
          <w:rFonts w:ascii="Times New Roman" w:hAnsi="Times New Roman"/>
          <w:sz w:val="20"/>
        </w:rPr>
        <w:t xml:space="preserve"> </w:t>
      </w:r>
    </w:p>
    <w:p>
      <w:pPr>
        <w:pStyle w:val="TextBody"/>
        <w:spacing w:lineRule="auto" w:line="273" w:before="0" w:after="0"/>
        <w:jc w:val="left"/>
        <w:rPr/>
      </w:pPr>
      <w:r>
        <w:rPr/>
        <w:t> </w:t>
      </w:r>
    </w:p>
    <w:tbl>
      <w:tblPr>
        <w:tblW w:w="8773" w:type="dxa"/>
        <w:jc w:val="left"/>
        <w:tblInd w:w="0" w:type="dxa"/>
        <w:tblCellMar>
          <w:top w:w="28" w:type="dxa"/>
          <w:left w:w="28" w:type="dxa"/>
          <w:bottom w:w="28" w:type="dxa"/>
          <w:right w:w="28" w:type="dxa"/>
        </w:tblCellMar>
      </w:tblPr>
      <w:tblGrid>
        <w:gridCol w:w="2596"/>
        <w:gridCol w:w="146"/>
        <w:gridCol w:w="211"/>
        <w:gridCol w:w="796"/>
        <w:gridCol w:w="146"/>
        <w:gridCol w:w="146"/>
        <w:gridCol w:w="298"/>
        <w:gridCol w:w="1127"/>
        <w:gridCol w:w="146"/>
        <w:gridCol w:w="146"/>
        <w:gridCol w:w="263"/>
        <w:gridCol w:w="863"/>
        <w:gridCol w:w="146"/>
        <w:gridCol w:w="146"/>
        <w:gridCol w:w="375"/>
        <w:gridCol w:w="751"/>
        <w:gridCol w:w="47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lineRule="auto" w:line="252" w:before="0" w:after="0"/>
              <w:ind w:left="0" w:right="0" w:hanging="0"/>
              <w:jc w:val="left"/>
              <w:rPr>
                <w:rFonts w:ascii="Arial" w:hAnsi="Arial"/>
                <w:b/>
                <w:sz w:val="20"/>
                <w:u w:val="single"/>
              </w:rPr>
            </w:pPr>
            <w:r>
              <w:rPr>
                <w:rFonts w:ascii="Arial" w:hAnsi="Arial"/>
                <w:b/>
                <w:sz w:val="20"/>
                <w:u w:val="single"/>
              </w:rPr>
              <w:t>Description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Arial" w:hAnsi="Arial"/>
                <w:b/>
                <w:sz w:val="20"/>
              </w:rPr>
              <w:t>Quoted</w:t>
            </w:r>
            <w:r>
              <w:rPr>
                <w:rFonts w:ascii="Times New Roman" w:hAnsi="Times New Roman"/>
                <w:sz w:val="20"/>
              </w:rPr>
              <w:t xml:space="preserve"> </w:t>
            </w:r>
            <w:r>
              <w:rPr>
                <w:rFonts w:ascii="Arial" w:hAnsi="Arial"/>
                <w:b/>
                <w:sz w:val="20"/>
              </w:rPr>
              <w:t>prices</w:t>
              <w:br/>
              <w:t>active</w:t>
            </w:r>
            <w:r>
              <w:rPr>
                <w:rFonts w:ascii="Times New Roman" w:hAnsi="Times New Roman"/>
                <w:sz w:val="20"/>
              </w:rPr>
              <w:t xml:space="preserve"> </w:t>
            </w:r>
            <w:r>
              <w:rPr>
                <w:rFonts w:ascii="Arial" w:hAnsi="Arial"/>
                <w:b/>
                <w:sz w:val="20"/>
              </w:rPr>
              <w:t>markets</w:t>
              <w:br/>
              <w:t>for identical</w:t>
              <w:br/>
              <w:t>assets</w:t>
              <w:b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Significant</w:t>
              <w:br/>
              <w:t>other</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Significant</w:t>
              <w:br/>
              <w:t>other</w:t>
              <w:br/>
              <w:t>observable</w:t>
              <w:br/>
              <w:t>inputs</w:t>
              <w:br/>
              <w:t>(Level 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Arial" w:hAnsi="Arial"/>
                <w:b w:val="false"/>
                <w:i/>
                <w:sz w:val="20"/>
              </w:rPr>
            </w:pPr>
            <w:r>
              <w:rPr>
                <w:rFonts w:ascii="Arial" w:hAnsi="Arial"/>
                <w:b w:val="false"/>
                <w:i/>
                <w:sz w:val="20"/>
              </w:rPr>
              <w:t>Financial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259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105,382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2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105,382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2596" w:type="dxa"/>
            <w:tcBorders/>
            <w:shd w:fill="auto" w:val="clear"/>
            <w:vAlign w:val="center"/>
          </w:tcPr>
          <w:p>
            <w:pPr>
              <w:pStyle w:val="TableContents"/>
              <w:spacing w:lineRule="auto" w:line="252" w:before="0" w:after="0"/>
              <w:ind w:left="280" w:right="0" w:hanging="0"/>
              <w:jc w:val="left"/>
              <w:rPr/>
            </w:pPr>
            <w:r>
              <w:rPr/>
              <w:t>  </w:t>
            </w:r>
            <w:r>
              <w:rPr>
                <w:rFonts w:ascii="Arial" w:hAnsi="Arial"/>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11,877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8" w:type="dxa"/>
            <w:tcBorders/>
            <w:shd w:fill="auto" w:val="clear"/>
            <w:vAlign w:val="center"/>
          </w:tcPr>
          <w:p>
            <w:pPr>
              <w:pStyle w:val="TableContents"/>
              <w:spacing w:lineRule="auto" w:line="252" w:before="0" w:after="0"/>
              <w:ind w:left="0" w:right="0" w:hanging="0"/>
              <w:jc w:val="left"/>
              <w:rPr/>
            </w:pPr>
            <w:r>
              <w:rPr/>
              <w:t> </w:t>
            </w:r>
          </w:p>
        </w:tc>
        <w:tc>
          <w:tcPr>
            <w:tcW w:w="112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86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11,877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2596" w:type="dxa"/>
            <w:tcBorders/>
            <w:shd w:fill="auto" w:val="clear"/>
            <w:vAlign w:val="center"/>
          </w:tcPr>
          <w:p>
            <w:pPr>
              <w:pStyle w:val="TableContents"/>
              <w:spacing w:lineRule="auto" w:line="252" w:before="0" w:after="0"/>
              <w:ind w:left="280" w:right="0" w:hanging="0"/>
              <w:jc w:val="left"/>
              <w:rPr/>
            </w:pPr>
            <w:r>
              <w:rPr/>
              <w:t>  </w:t>
            </w:r>
            <w:r>
              <w:rPr>
                <w:rFonts w:ascii="Arial" w:hAnsi="Arial"/>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8" w:type="dxa"/>
            <w:tcBorders/>
            <w:shd w:fill="auto" w:val="clear"/>
            <w:vAlign w:val="center"/>
          </w:tcPr>
          <w:p>
            <w:pPr>
              <w:pStyle w:val="TableContents"/>
              <w:spacing w:lineRule="auto" w:line="252" w:before="0" w:after="0"/>
              <w:ind w:left="0" w:right="0" w:hanging="0"/>
              <w:jc w:val="left"/>
              <w:rPr/>
            </w:pPr>
            <w:r>
              <w:rPr/>
              <w:t> </w:t>
            </w:r>
          </w:p>
        </w:tc>
        <w:tc>
          <w:tcPr>
            <w:tcW w:w="112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3" w:type="dxa"/>
            <w:tcBorders/>
            <w:shd w:fill="auto" w:val="clear"/>
            <w:vAlign w:val="center"/>
          </w:tcPr>
          <w:p>
            <w:pPr>
              <w:pStyle w:val="TableContents"/>
              <w:spacing w:lineRule="auto" w:line="252" w:before="0" w:after="0"/>
              <w:ind w:left="0" w:right="0" w:hanging="0"/>
              <w:jc w:val="left"/>
              <w:rPr/>
            </w:pPr>
            <w:r>
              <w:rPr/>
              <w:t> </w:t>
            </w:r>
          </w:p>
        </w:tc>
        <w:tc>
          <w:tcPr>
            <w:tcW w:w="86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2596" w:type="dxa"/>
            <w:tcBorders/>
            <w:shd w:fill="auto" w:val="clear"/>
            <w:vAlign w:val="center"/>
          </w:tcPr>
          <w:p>
            <w:pPr>
              <w:pStyle w:val="TableContents"/>
              <w:spacing w:lineRule="auto" w:line="252" w:before="0" w:after="0"/>
              <w:ind w:left="280" w:right="0" w:hanging="0"/>
              <w:jc w:val="left"/>
              <w:rPr/>
            </w:pPr>
            <w:r>
              <w:rPr/>
              <w:t>  </w:t>
            </w:r>
            <w:r>
              <w:rPr>
                <w:rFonts w:ascii="Arial" w:hAnsi="Arial"/>
                <w:b w:val="false"/>
                <w:sz w:val="20"/>
              </w:rPr>
              <w:t>U.S. Government agencies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5,981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5,981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financial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130,281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105,382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24,899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Arial" w:hAnsi="Arial"/>
                <w:b w:val="false"/>
                <w:i/>
                <w:sz w:val="20"/>
              </w:rPr>
            </w:pPr>
            <w:r>
              <w:rPr>
                <w:rFonts w:ascii="Arial" w:hAnsi="Arial"/>
                <w:b w:val="false"/>
                <w:i/>
                <w:sz w:val="20"/>
              </w:rPr>
              <w:t>Financial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hanging="0"/>
              <w:jc w:val="righ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259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financial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8666" w:type="dxa"/>
        <w:jc w:val="left"/>
        <w:tblInd w:w="0" w:type="dxa"/>
        <w:tblCellMar>
          <w:top w:w="28" w:type="dxa"/>
          <w:left w:w="28" w:type="dxa"/>
          <w:bottom w:w="28" w:type="dxa"/>
          <w:right w:w="28" w:type="dxa"/>
        </w:tblCellMar>
      </w:tblPr>
      <w:tblGrid>
        <w:gridCol w:w="2146"/>
        <w:gridCol w:w="146"/>
        <w:gridCol w:w="315"/>
        <w:gridCol w:w="1035"/>
        <w:gridCol w:w="146"/>
        <w:gridCol w:w="146"/>
        <w:gridCol w:w="333"/>
        <w:gridCol w:w="1092"/>
        <w:gridCol w:w="146"/>
        <w:gridCol w:w="146"/>
        <w:gridCol w:w="426"/>
        <w:gridCol w:w="700"/>
        <w:gridCol w:w="146"/>
        <w:gridCol w:w="146"/>
        <w:gridCol w:w="426"/>
        <w:gridCol w:w="700"/>
        <w:gridCol w:w="471"/>
      </w:tblGrid>
      <w:tr>
        <w:trPr/>
        <w:tc>
          <w:tcPr>
            <w:tcW w:w="2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lineRule="auto" w:line="252" w:before="0" w:after="0"/>
              <w:ind w:left="0" w:right="0" w:hanging="0"/>
              <w:jc w:val="left"/>
              <w:rPr>
                <w:rFonts w:ascii="Arial" w:hAnsi="Arial"/>
                <w:b/>
                <w:sz w:val="20"/>
                <w:u w:val="single"/>
              </w:rPr>
            </w:pPr>
            <w:r>
              <w:rPr>
                <w:rFonts w:ascii="Arial" w:hAnsi="Arial"/>
                <w:b/>
                <w:sz w:val="20"/>
                <w:u w:val="single"/>
              </w:rPr>
              <w:t>Description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Arial" w:hAnsi="Arial"/>
                <w:b/>
                <w:sz w:val="20"/>
              </w:rPr>
              <w:t>December</w:t>
            </w:r>
            <w:r>
              <w:rPr>
                <w:rFonts w:ascii="Times New Roman" w:hAnsi="Times New Roman"/>
                <w:sz w:val="20"/>
              </w:rPr>
              <w:t xml:space="preserve"> </w:t>
            </w:r>
            <w:r>
              <w:rPr>
                <w:rFonts w:ascii="Arial" w:hAnsi="Arial"/>
                <w:b/>
                <w:sz w:val="20"/>
              </w:rPr>
              <w:t>31,</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Arial" w:hAnsi="Arial"/>
                <w:b/>
                <w:sz w:val="20"/>
              </w:rPr>
              <w:t>Quoted</w:t>
            </w:r>
            <w:r>
              <w:rPr>
                <w:rFonts w:ascii="Times New Roman" w:hAnsi="Times New Roman"/>
                <w:sz w:val="20"/>
              </w:rPr>
              <w:t xml:space="preserve"> </w:t>
            </w:r>
            <w:r>
              <w:rPr>
                <w:rFonts w:ascii="Arial" w:hAnsi="Arial"/>
                <w:b/>
                <w:sz w:val="20"/>
              </w:rPr>
              <w:t>prices</w:t>
              <w:br/>
              <w:t>active</w:t>
            </w:r>
            <w:r>
              <w:rPr>
                <w:rFonts w:ascii="Times New Roman" w:hAnsi="Times New Roman"/>
                <w:sz w:val="20"/>
              </w:rPr>
              <w:t xml:space="preserve"> </w:t>
            </w:r>
            <w:r>
              <w:rPr>
                <w:rFonts w:ascii="Arial" w:hAnsi="Arial"/>
                <w:b/>
                <w:sz w:val="20"/>
              </w:rPr>
              <w:t>markets</w:t>
              <w:br/>
              <w:t>for identical</w:t>
              <w:br/>
              <w:t>assets</w:t>
              <w:b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Significant</w:t>
              <w:br/>
              <w:t>other</w:t>
              <w:br/>
              <w:t>observable</w:t>
              <w:br/>
              <w:t>inputs</w:t>
              <w:b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Significant</w:t>
              <w:br/>
              <w:t>other</w:t>
              <w:br/>
              <w:t>observable</w:t>
              <w:br/>
              <w:t>inputs</w:t>
              <w:br/>
              <w:t>(Level 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46" w:type="dxa"/>
            <w:tcBorders/>
            <w:shd w:fill="auto" w:val="clear"/>
            <w:vAlign w:val="center"/>
          </w:tcPr>
          <w:p>
            <w:pPr>
              <w:pStyle w:val="TableContents"/>
              <w:spacing w:lineRule="auto" w:line="252" w:before="0" w:after="0"/>
              <w:ind w:left="0" w:right="0" w:hanging="0"/>
              <w:jc w:val="left"/>
              <w:rPr>
                <w:rFonts w:ascii="Arial" w:hAnsi="Arial"/>
                <w:b w:val="false"/>
                <w:i/>
                <w:sz w:val="20"/>
              </w:rPr>
            </w:pPr>
            <w:r>
              <w:rPr>
                <w:rFonts w:ascii="Arial" w:hAnsi="Arial"/>
                <w:b w:val="false"/>
                <w:i/>
                <w:sz w:val="20"/>
              </w:rPr>
              <w:t>Financial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0"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left"/>
              <w:rPr/>
            </w:pPr>
            <w:r>
              <w:rPr/>
              <w:t> </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21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firstLine="280"/>
              <w:jc w:val="right"/>
              <w:rPr/>
            </w:pPr>
            <w:r>
              <w:rPr/>
              <w:t> </w:t>
            </w:r>
          </w:p>
        </w:tc>
      </w:tr>
      <w:tr>
        <w:trPr/>
        <w:tc>
          <w:tcPr>
            <w:tcW w:w="214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24,063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24,063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financial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24,063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24,063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46" w:type="dxa"/>
            <w:tcBorders/>
            <w:shd w:fill="auto" w:val="clear"/>
            <w:vAlign w:val="center"/>
          </w:tcPr>
          <w:p>
            <w:pPr>
              <w:pStyle w:val="TableContents"/>
              <w:spacing w:lineRule="auto" w:line="252" w:before="0" w:after="0"/>
              <w:ind w:left="0" w:right="0" w:hanging="0"/>
              <w:jc w:val="left"/>
              <w:rPr>
                <w:rFonts w:ascii="Arial" w:hAnsi="Arial"/>
                <w:b w:val="false"/>
                <w:i/>
                <w:sz w:val="20"/>
              </w:rPr>
            </w:pPr>
            <w:r>
              <w:rPr>
                <w:rFonts w:ascii="Arial" w:hAnsi="Arial"/>
                <w:b w:val="false"/>
                <w:i/>
                <w:sz w:val="20"/>
              </w:rPr>
              <w:t>Financial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6" w:type="dxa"/>
            <w:gridSpan w:val="2"/>
            <w:tcBorders/>
            <w:shd w:fill="auto" w:val="clear"/>
            <w:vAlign w:val="center"/>
          </w:tcPr>
          <w:p>
            <w:pPr>
              <w:pStyle w:val="TableContents"/>
              <w:spacing w:lineRule="auto" w:line="252" w:before="0" w:after="0"/>
              <w:ind w:left="0" w:right="0" w:hanging="0"/>
              <w:jc w:val="right"/>
              <w:rPr/>
            </w:pPr>
            <w:r>
              <w:rPr/>
              <w:t> </w:t>
            </w:r>
          </w:p>
        </w:tc>
        <w:tc>
          <w:tcPr>
            <w:tcW w:w="471" w:type="dxa"/>
            <w:tcBorders/>
            <w:shd w:fill="auto" w:val="clear"/>
            <w:vAlign w:val="center"/>
          </w:tcPr>
          <w:p>
            <w:pPr>
              <w:pStyle w:val="TableContents"/>
              <w:spacing w:lineRule="auto" w:line="252" w:before="0" w:after="0"/>
              <w:ind w:left="0" w:right="0" w:hanging="0"/>
              <w:jc w:val="right"/>
              <w:rPr/>
            </w:pPr>
            <w:r>
              <w:rPr/>
              <w:t> </w:t>
            </w:r>
          </w:p>
        </w:tc>
      </w:tr>
      <w:tr>
        <w:trPr/>
        <w:tc>
          <w:tcPr>
            <w:tcW w:w="21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214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financial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Arial" w:hAnsi="Arial"/>
          <w:b w:val="false"/>
          <w:sz w:val="20"/>
        </w:rPr>
      </w:pPr>
      <w:r>
        <w:rPr>
          <w:rFonts w:ascii="Arial" w:hAnsi="Arial"/>
          <w:b w:val="false"/>
          <w:sz w:val="20"/>
        </w:rPr>
        <w:t>The fair value of the warrant liability was determined based on Level 3 inputs and utilizing the Black-Scholes option pricing model (see Note 10). Significant changes to these assumptions would result in increases or decreases to the fair value of the warrant liability.</w:t>
      </w:r>
    </w:p>
    <w:p>
      <w:pPr>
        <w:pStyle w:val="TextBody"/>
        <w:spacing w:lineRule="auto" w:line="273" w:before="240" w:after="0"/>
        <w:jc w:val="both"/>
        <w:rPr>
          <w:rFonts w:ascii="Times New Roman" w:hAnsi="Times New Roman"/>
          <w:sz w:val="20"/>
        </w:rPr>
      </w:pPr>
      <w:r>
        <w:rPr>
          <w:rFonts w:ascii="Arial" w:hAnsi="Arial"/>
          <w:b w:val="false"/>
          <w:sz w:val="20"/>
        </w:rPr>
        <w:t>During the three months ended March 31, 2022 and 2021, there were no</w:t>
      </w:r>
      <w:r>
        <w:rPr>
          <w:rFonts w:ascii="Times New Roman" w:hAnsi="Times New Roman"/>
          <w:sz w:val="20"/>
        </w:rPr>
        <w:t xml:space="preserve"> </w:t>
      </w:r>
      <w:r>
        <w:rPr>
          <w:rFonts w:ascii="Arial" w:hAnsi="Arial"/>
          <w:b w:val="false"/>
          <w:sz w:val="20"/>
        </w:rPr>
        <w:t>transfers into or out of Level 3.</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The following table set forth a summary of changes in the fair value of the common stock warrants, which represents a recurring fair value measurement that is classified within Level 3 of the fair value hierarchy. Changes in fair value are recognized in other (expense) income as “Change in fair value of warrant liability” in the Company’s unaudited condensed consolidated statements of operations and comprehensive loss (in thousands):</w:t>
      </w:r>
      <w:r>
        <w:rPr>
          <w:rFonts w:ascii="Times New Roman" w:hAnsi="Times New Roman"/>
          <w:sz w:val="20"/>
        </w:rPr>
        <w:t xml:space="preserve"> </w:t>
      </w:r>
    </w:p>
    <w:p>
      <w:pPr>
        <w:pStyle w:val="TextBody"/>
        <w:spacing w:lineRule="auto" w:line="273" w:before="0" w:after="0"/>
        <w:jc w:val="left"/>
        <w:rPr/>
      </w:pPr>
      <w:r>
        <w:rPr/>
        <w:t> </w:t>
      </w:r>
    </w:p>
    <w:tbl>
      <w:tblPr>
        <w:tblW w:w="4131" w:type="dxa"/>
        <w:jc w:val="left"/>
        <w:tblInd w:w="0" w:type="dxa"/>
        <w:tblCellMar>
          <w:top w:w="28" w:type="dxa"/>
          <w:left w:w="28" w:type="dxa"/>
          <w:bottom w:w="28" w:type="dxa"/>
          <w:right w:w="28" w:type="dxa"/>
        </w:tblCellMar>
      </w:tblPr>
      <w:tblGrid>
        <w:gridCol w:w="3016"/>
        <w:gridCol w:w="146"/>
        <w:gridCol w:w="211"/>
        <w:gridCol w:w="146"/>
        <w:gridCol w:w="421"/>
        <w:gridCol w:w="19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u w:val="single"/>
              </w:rPr>
              <w:t>Common Stock (12,686</w:t>
            </w:r>
            <w:r>
              <w:rPr>
                <w:rFonts w:ascii="Times New Roman" w:hAnsi="Times New Roman"/>
                <w:sz w:val="20"/>
                <w:u w:val="single"/>
              </w:rPr>
              <w:t> </w:t>
            </w:r>
            <w:r>
              <w:rPr>
                <w:rFonts w:ascii="Arial" w:hAnsi="Arial"/>
                <w:b w:val="false"/>
                <w:sz w:val="20"/>
                <w:u w:val="single"/>
              </w:rPr>
              <w:t>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67"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Fair value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Change in 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Fair value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Arial" w:hAnsi="Arial"/>
          <w:b/>
          <w:sz w:val="20"/>
        </w:rPr>
      </w:pPr>
      <w:r>
        <w:rPr>
          <w:rFonts w:ascii="Arial" w:hAnsi="Arial"/>
          <w:b/>
          <w:sz w:val="20"/>
        </w:rPr>
        <w:t>4. Property and Equipment, Net</w:t>
      </w:r>
    </w:p>
    <w:p>
      <w:pPr>
        <w:pStyle w:val="TextBody"/>
        <w:spacing w:lineRule="auto" w:line="273" w:before="80" w:after="0"/>
        <w:jc w:val="both"/>
        <w:rPr>
          <w:rFonts w:ascii="Times New Roman" w:hAnsi="Times New Roman"/>
          <w:sz w:val="20"/>
        </w:rPr>
      </w:pPr>
      <w:r>
        <w:rPr>
          <w:rFonts w:ascii="Arial" w:hAnsi="Arial"/>
          <w:b w:val="false"/>
          <w:sz w:val="20"/>
        </w:rPr>
        <w:t>Property and equipment, net, consisted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5995" w:type="dxa"/>
        <w:jc w:val="left"/>
        <w:tblInd w:w="0" w:type="dxa"/>
        <w:tblCellMar>
          <w:top w:w="28" w:type="dxa"/>
          <w:left w:w="28" w:type="dxa"/>
          <w:bottom w:w="28" w:type="dxa"/>
          <w:right w:w="28" w:type="dxa"/>
        </w:tblCellMar>
      </w:tblPr>
      <w:tblGrid>
        <w:gridCol w:w="2956"/>
        <w:gridCol w:w="146"/>
        <w:gridCol w:w="247"/>
        <w:gridCol w:w="758"/>
        <w:gridCol w:w="166"/>
        <w:gridCol w:w="146"/>
        <w:gridCol w:w="336"/>
        <w:gridCol w:w="1029"/>
        <w:gridCol w:w="21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December 31,</w:t>
              <w:b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Assets under construction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2,851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2,365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IT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7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7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Lab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75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5,891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5,489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Office furniture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8,903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8,015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Less—accumulated depreciation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(2,764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5,251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Arial" w:hAnsi="Arial"/>
          <w:b w:val="false"/>
          <w:sz w:val="20"/>
        </w:rPr>
        <w:t>Depreciation expense was $0.3</w:t>
      </w:r>
      <w:r>
        <w:rPr>
          <w:rFonts w:ascii="Times New Roman" w:hAnsi="Times New Roman"/>
          <w:sz w:val="20"/>
        </w:rPr>
        <w:t xml:space="preserve"> </w:t>
      </w:r>
      <w:r>
        <w:rPr>
          <w:rFonts w:ascii="Arial" w:hAnsi="Arial"/>
          <w:b w:val="false"/>
          <w:sz w:val="20"/>
        </w:rPr>
        <w:t>million and $0.2</w:t>
      </w:r>
      <w:r>
        <w:rPr>
          <w:rFonts w:ascii="Times New Roman" w:hAnsi="Times New Roman"/>
          <w:sz w:val="20"/>
        </w:rPr>
        <w:t xml:space="preserve"> </w:t>
      </w:r>
      <w:r>
        <w:rPr>
          <w:rFonts w:ascii="Arial" w:hAnsi="Arial"/>
          <w:b w:val="false"/>
          <w:sz w:val="20"/>
        </w:rPr>
        <w:t>million for the three months ended March 31, 2022 and 2021, respectively.</w:t>
      </w:r>
      <w:r>
        <w:rPr>
          <w:rFonts w:ascii="Times New Roman" w:hAnsi="Times New Roman"/>
          <w:sz w:val="20"/>
        </w:rPr>
        <w:t xml:space="preserve"> </w:t>
      </w:r>
    </w:p>
    <w:p>
      <w:pPr>
        <w:pStyle w:val="TextBody"/>
        <w:spacing w:lineRule="auto" w:line="273" w:before="240" w:after="0"/>
        <w:jc w:val="left"/>
        <w:rPr>
          <w:rFonts w:ascii="Arial" w:hAnsi="Arial"/>
          <w:b/>
          <w:sz w:val="20"/>
        </w:rPr>
      </w:pPr>
      <w:r>
        <w:rPr>
          <w:rFonts w:ascii="Arial" w:hAnsi="Arial"/>
          <w:b/>
          <w:sz w:val="20"/>
        </w:rPr>
        <w:t>5. Prepaid Expenses and Other Current Assets</w:t>
      </w:r>
    </w:p>
    <w:p>
      <w:pPr>
        <w:pStyle w:val="TextBody"/>
        <w:spacing w:lineRule="auto" w:line="273" w:before="80" w:after="0"/>
        <w:jc w:val="both"/>
        <w:rPr>
          <w:rFonts w:ascii="Times New Roman" w:hAnsi="Times New Roman"/>
          <w:sz w:val="20"/>
        </w:rPr>
      </w:pPr>
      <w:r>
        <w:rPr>
          <w:rFonts w:ascii="Arial" w:hAnsi="Arial"/>
          <w:b w:val="false"/>
          <w:sz w:val="20"/>
        </w:rPr>
        <w:t>Prepaid expenses and other current assets consisted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7035" w:type="dxa"/>
        <w:jc w:val="left"/>
        <w:tblInd w:w="0" w:type="dxa"/>
        <w:tblCellMar>
          <w:top w:w="28" w:type="dxa"/>
          <w:left w:w="28" w:type="dxa"/>
          <w:bottom w:w="28" w:type="dxa"/>
          <w:right w:w="28" w:type="dxa"/>
        </w:tblCellMar>
      </w:tblPr>
      <w:tblGrid>
        <w:gridCol w:w="4036"/>
        <w:gridCol w:w="146"/>
        <w:gridCol w:w="266"/>
        <w:gridCol w:w="739"/>
        <w:gridCol w:w="146"/>
        <w:gridCol w:w="146"/>
        <w:gridCol w:w="361"/>
        <w:gridCol w:w="1004"/>
        <w:gridCol w:w="191"/>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Prepaid insurance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0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2,734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Prepaid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c>
          <w:tcPr>
            <w:tcW w:w="100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1,754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Prepaid license agreements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c>
          <w:tcPr>
            <w:tcW w:w="100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66</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6,278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4,618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left"/>
        <w:rPr>
          <w:rFonts w:ascii="Arial" w:hAnsi="Arial"/>
          <w:b/>
          <w:sz w:val="20"/>
        </w:rPr>
      </w:pPr>
      <w:r>
        <w:rPr>
          <w:rFonts w:ascii="Arial" w:hAnsi="Arial"/>
          <w:b/>
          <w:sz w:val="20"/>
        </w:rPr>
        <w:t>6. Investments</w:t>
      </w:r>
    </w:p>
    <w:p>
      <w:pPr>
        <w:pStyle w:val="TextBody"/>
        <w:spacing w:lineRule="auto" w:line="273" w:before="240" w:after="0"/>
        <w:jc w:val="left"/>
        <w:rPr>
          <w:rFonts w:ascii="Times New Roman" w:hAnsi="Times New Roman"/>
          <w:sz w:val="20"/>
        </w:rPr>
      </w:pPr>
      <w:r>
        <w:rPr>
          <w:rFonts w:ascii="Arial" w:hAnsi="Arial"/>
          <w:b w:val="false"/>
          <w:sz w:val="20"/>
        </w:rPr>
        <w:t>Marketable securities consist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9814" w:type="dxa"/>
        <w:jc w:val="left"/>
        <w:tblInd w:w="0" w:type="dxa"/>
        <w:tblCellMar>
          <w:top w:w="28" w:type="dxa"/>
          <w:left w:w="28" w:type="dxa"/>
          <w:bottom w:w="28" w:type="dxa"/>
          <w:right w:w="28" w:type="dxa"/>
        </w:tblCellMar>
      </w:tblPr>
      <w:tblGrid>
        <w:gridCol w:w="2476"/>
        <w:gridCol w:w="146"/>
        <w:gridCol w:w="361"/>
        <w:gridCol w:w="1184"/>
        <w:gridCol w:w="146"/>
        <w:gridCol w:w="146"/>
        <w:gridCol w:w="642"/>
        <w:gridCol w:w="1053"/>
        <w:gridCol w:w="146"/>
        <w:gridCol w:w="146"/>
        <w:gridCol w:w="687"/>
        <w:gridCol w:w="1128"/>
        <w:gridCol w:w="166"/>
        <w:gridCol w:w="146"/>
        <w:gridCol w:w="245"/>
        <w:gridCol w:w="805"/>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01"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8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11,877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5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8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28"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0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11,877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c>
          <w:tcPr>
            <w:tcW w:w="118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2" w:type="dxa"/>
            <w:tcBorders/>
            <w:shd w:fill="auto" w:val="clear"/>
            <w:vAlign w:val="center"/>
          </w:tcPr>
          <w:p>
            <w:pPr>
              <w:pStyle w:val="TableContents"/>
              <w:spacing w:lineRule="auto" w:line="252" w:before="0" w:after="0"/>
              <w:ind w:left="0" w:right="0" w:hanging="0"/>
              <w:jc w:val="left"/>
              <w:rPr/>
            </w:pPr>
            <w:r>
              <w:rPr/>
              <w:t> </w:t>
            </w:r>
          </w:p>
        </w:tc>
        <w:tc>
          <w:tcPr>
            <w:tcW w:w="105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87" w:type="dxa"/>
            <w:tcBorders/>
            <w:shd w:fill="auto" w:val="clear"/>
            <w:vAlign w:val="center"/>
          </w:tcPr>
          <w:p>
            <w:pPr>
              <w:pStyle w:val="TableContents"/>
              <w:spacing w:lineRule="auto" w:line="252" w:before="0" w:after="0"/>
              <w:ind w:left="0" w:right="0" w:hanging="0"/>
              <w:jc w:val="left"/>
              <w:rPr/>
            </w:pPr>
            <w:r>
              <w:rPr/>
              <w:t> </w:t>
            </w:r>
          </w:p>
        </w:tc>
        <w:tc>
          <w:tcPr>
            <w:tcW w:w="112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80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7,041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U.S. Government agencies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5,980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5,981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24,904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6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24,899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0"/>
        <w:jc w:val="both"/>
        <w:rPr/>
      </w:pPr>
      <w:r>
        <w:rPr/>
        <w:t> </w:t>
      </w:r>
    </w:p>
    <w:p>
      <w:pPr>
        <w:pStyle w:val="TextBody"/>
        <w:spacing w:lineRule="auto" w:line="273" w:before="80" w:after="0"/>
        <w:jc w:val="both"/>
        <w:rPr>
          <w:rFonts w:ascii="Times New Roman" w:hAnsi="Times New Roman"/>
          <w:sz w:val="20"/>
        </w:rPr>
      </w:pPr>
      <w:r>
        <w:rPr>
          <w:rFonts w:ascii="Arial" w:hAnsi="Arial"/>
          <w:b w:val="false"/>
          <w:sz w:val="20"/>
        </w:rPr>
        <w:t>There were no</w:t>
      </w:r>
      <w:r>
        <w:rPr>
          <w:rFonts w:ascii="Times New Roman" w:hAnsi="Times New Roman"/>
          <w:sz w:val="20"/>
        </w:rPr>
        <w:t xml:space="preserve"> </w:t>
      </w:r>
      <w:r>
        <w:rPr>
          <w:rFonts w:ascii="Arial" w:hAnsi="Arial"/>
          <w:b w:val="false"/>
          <w:sz w:val="20"/>
        </w:rPr>
        <w:t>impairments of the Company’s assets measured and carried at fair value during the three months ended March 31, 2022.</w:t>
      </w:r>
    </w:p>
    <w:p>
      <w:pPr>
        <w:pStyle w:val="TextBody"/>
        <w:spacing w:lineRule="auto" w:line="273" w:before="80" w:after="0"/>
        <w:jc w:val="both"/>
        <w:rPr>
          <w:rFonts w:ascii="Times New Roman" w:hAnsi="Times New Roman"/>
          <w:sz w:val="20"/>
        </w:rPr>
      </w:pPr>
      <w:r>
        <w:rPr>
          <w:rFonts w:ascii="Arial" w:hAnsi="Arial"/>
          <w:b w:val="false"/>
          <w:sz w:val="20"/>
        </w:rPr>
        <w:br/>
      </w:r>
      <w:r>
        <w:rPr>
          <w:rFonts w:ascii="Times New Roman" w:hAnsi="Times New Roman"/>
          <w:sz w:val="20"/>
        </w:rPr>
        <w:t> </w:t>
      </w:r>
    </w:p>
    <w:p>
      <w:pPr>
        <w:pStyle w:val="TextBody"/>
        <w:spacing w:lineRule="auto" w:line="273" w:before="0" w:after="0"/>
        <w:jc w:val="left"/>
        <w:rPr>
          <w:rFonts w:ascii="Arial" w:hAnsi="Arial"/>
          <w:b/>
          <w:sz w:val="20"/>
        </w:rPr>
      </w:pPr>
      <w:r>
        <w:rPr>
          <w:rFonts w:ascii="Arial" w:hAnsi="Arial"/>
          <w:b/>
          <w:sz w:val="20"/>
        </w:rPr>
        <w:t>7. Accrued Expenses and Other Current Liabilities</w:t>
      </w:r>
    </w:p>
    <w:p>
      <w:pPr>
        <w:pStyle w:val="TextBody"/>
        <w:spacing w:lineRule="auto" w:line="273" w:before="80" w:after="0"/>
        <w:jc w:val="both"/>
        <w:rPr>
          <w:rFonts w:ascii="Times New Roman" w:hAnsi="Times New Roman"/>
          <w:sz w:val="20"/>
        </w:rPr>
      </w:pPr>
      <w:r>
        <w:rPr>
          <w:rFonts w:ascii="Arial" w:hAnsi="Arial"/>
          <w:b w:val="false"/>
          <w:sz w:val="20"/>
        </w:rPr>
        <w:t>Accrued expenses and other current liabilities consisted of the following (in thousands):</w:t>
      </w:r>
      <w:r>
        <w:rPr>
          <w:rFonts w:ascii="Times New Roman" w:hAnsi="Times New Roman"/>
          <w:sz w:val="20"/>
        </w:rPr>
        <w:t xml:space="preserve"> </w:t>
      </w:r>
    </w:p>
    <w:p>
      <w:pPr>
        <w:pStyle w:val="TextBody"/>
        <w:spacing w:lineRule="auto" w:line="273" w:before="0" w:after="0"/>
        <w:jc w:val="left"/>
        <w:rPr/>
      </w:pPr>
      <w:r>
        <w:rPr/>
        <w:t> </w:t>
      </w:r>
    </w:p>
    <w:tbl>
      <w:tblPr>
        <w:tblW w:w="7095" w:type="dxa"/>
        <w:jc w:val="left"/>
        <w:tblInd w:w="0" w:type="dxa"/>
        <w:tblCellMar>
          <w:top w:w="28" w:type="dxa"/>
          <w:left w:w="28" w:type="dxa"/>
          <w:bottom w:w="28" w:type="dxa"/>
          <w:right w:w="28" w:type="dxa"/>
        </w:tblCellMar>
      </w:tblPr>
      <w:tblGrid>
        <w:gridCol w:w="4096"/>
        <w:gridCol w:w="146"/>
        <w:gridCol w:w="266"/>
        <w:gridCol w:w="739"/>
        <w:gridCol w:w="146"/>
        <w:gridCol w:w="146"/>
        <w:gridCol w:w="361"/>
        <w:gridCol w:w="1004"/>
        <w:gridCol w:w="191"/>
      </w:tblGrid>
      <w:tr>
        <w:trPr/>
        <w:tc>
          <w:tcPr>
            <w:tcW w:w="4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0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1,686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c>
          <w:tcPr>
            <w:tcW w:w="100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2,147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9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2,423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4,256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left"/>
        <w:rPr>
          <w:rFonts w:ascii="Arial" w:hAnsi="Arial"/>
          <w:b/>
          <w:sz w:val="20"/>
        </w:rPr>
      </w:pPr>
      <w:r>
        <w:rPr>
          <w:rFonts w:ascii="Arial" w:hAnsi="Arial"/>
          <w:b/>
          <w:sz w:val="20"/>
        </w:rPr>
        <w:t>8. Equity</w:t>
      </w:r>
    </w:p>
    <w:p>
      <w:pPr>
        <w:pStyle w:val="TextBody"/>
        <w:spacing w:lineRule="auto" w:line="273" w:before="80" w:after="0"/>
        <w:jc w:val="both"/>
        <w:rPr>
          <w:rFonts w:ascii="Times New Roman" w:hAnsi="Times New Roman"/>
          <w:sz w:val="20"/>
        </w:rPr>
      </w:pPr>
      <w:r>
        <w:rPr>
          <w:rFonts w:ascii="Arial" w:hAnsi="Arial"/>
          <w:b w:val="false"/>
          <w:sz w:val="20"/>
        </w:rPr>
        <w:t>The Company had 150,000,000</w:t>
      </w:r>
      <w:r>
        <w:rPr>
          <w:rFonts w:ascii="Times New Roman" w:hAnsi="Times New Roman"/>
          <w:sz w:val="20"/>
        </w:rPr>
        <w:t xml:space="preserve"> </w:t>
      </w:r>
      <w:r>
        <w:rPr>
          <w:rFonts w:ascii="Arial" w:hAnsi="Arial"/>
          <w:b w:val="false"/>
          <w:sz w:val="20"/>
        </w:rPr>
        <w:t>authorized shares of common stock, par value $0.00001</w:t>
      </w:r>
      <w:r>
        <w:rPr>
          <w:rFonts w:ascii="Times New Roman" w:hAnsi="Times New Roman"/>
          <w:sz w:val="20"/>
        </w:rPr>
        <w:t xml:space="preserve"> </w:t>
      </w:r>
      <w:r>
        <w:rPr>
          <w:rFonts w:ascii="Arial" w:hAnsi="Arial"/>
          <w:b w:val="false"/>
          <w:sz w:val="20"/>
        </w:rPr>
        <w:t>per share, of which 29,217,236</w:t>
      </w:r>
      <w:r>
        <w:rPr>
          <w:rFonts w:ascii="Times New Roman" w:hAnsi="Times New Roman"/>
          <w:sz w:val="20"/>
        </w:rPr>
        <w:t xml:space="preserve"> </w:t>
      </w:r>
      <w:r>
        <w:rPr>
          <w:rFonts w:ascii="Arial" w:hAnsi="Arial"/>
          <w:b w:val="false"/>
          <w:sz w:val="20"/>
        </w:rPr>
        <w:t>and 29,211,643</w:t>
      </w:r>
      <w:r>
        <w:rPr>
          <w:rFonts w:ascii="Times New Roman" w:hAnsi="Times New Roman"/>
          <w:sz w:val="20"/>
        </w:rPr>
        <w:t xml:space="preserve"> </w:t>
      </w:r>
      <w:r>
        <w:rPr>
          <w:rFonts w:ascii="Arial" w:hAnsi="Arial"/>
          <w:b w:val="false"/>
          <w:sz w:val="20"/>
        </w:rPr>
        <w:t>shares were issued and outstanding as of March 31, 2022 and December 31, 2021, respectively.</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Upon closing of the IPO on November 2, 2021, all of the Company's outstanding shares of convertible preferred stock automatically converted into 22,550,561</w:t>
      </w:r>
      <w:r>
        <w:rPr>
          <w:rFonts w:ascii="Times New Roman" w:hAnsi="Times New Roman"/>
          <w:sz w:val="20"/>
        </w:rPr>
        <w:t xml:space="preserve"> </w:t>
      </w:r>
      <w:r>
        <w:rPr>
          <w:rFonts w:ascii="Arial" w:hAnsi="Arial"/>
          <w:b w:val="false"/>
          <w:sz w:val="20"/>
        </w:rPr>
        <w:t>shares of common stock. In addition, the Company authorized 10,000,000</w:t>
      </w:r>
      <w:r>
        <w:rPr>
          <w:rFonts w:ascii="Times New Roman" w:hAnsi="Times New Roman"/>
          <w:sz w:val="20"/>
        </w:rPr>
        <w:t xml:space="preserve"> </w:t>
      </w:r>
      <w:r>
        <w:rPr>
          <w:rFonts w:ascii="Arial" w:hAnsi="Arial"/>
          <w:b w:val="false"/>
          <w:sz w:val="20"/>
        </w:rPr>
        <w:t>shares of preferred stock, par value $0.00001</w:t>
      </w:r>
      <w:r>
        <w:rPr>
          <w:rFonts w:ascii="Times New Roman" w:hAnsi="Times New Roman"/>
          <w:sz w:val="20"/>
        </w:rPr>
        <w:t xml:space="preserve"> </w:t>
      </w:r>
      <w:r>
        <w:rPr>
          <w:rFonts w:ascii="Arial" w:hAnsi="Arial"/>
          <w:b w:val="false"/>
          <w:sz w:val="20"/>
        </w:rPr>
        <w:t>per share, all of which shares of preferred stock will be undesignated.</w:t>
      </w:r>
    </w:p>
    <w:p>
      <w:pPr>
        <w:pStyle w:val="TextBody"/>
        <w:spacing w:lineRule="auto" w:line="273" w:before="240" w:after="0"/>
        <w:jc w:val="left"/>
        <w:rPr>
          <w:rFonts w:ascii="Arial" w:hAnsi="Arial"/>
          <w:b/>
          <w:sz w:val="20"/>
        </w:rPr>
      </w:pPr>
      <w:r>
        <w:rPr>
          <w:rFonts w:ascii="Arial" w:hAnsi="Arial"/>
          <w:b/>
          <w:sz w:val="20"/>
        </w:rPr>
        <w:t>9. Stock-Based Compensation</w:t>
      </w:r>
    </w:p>
    <w:p>
      <w:pPr>
        <w:pStyle w:val="TextBody"/>
        <w:spacing w:lineRule="auto" w:line="273" w:before="0" w:after="0"/>
        <w:jc w:val="left"/>
        <w:rPr/>
      </w:pPr>
      <w:r>
        <w:rPr/>
        <w:t> </w:t>
      </w:r>
    </w:p>
    <w:p>
      <w:pPr>
        <w:pStyle w:val="TextBody"/>
        <w:spacing w:lineRule="auto" w:line="273" w:before="0" w:after="0"/>
        <w:jc w:val="left"/>
        <w:rPr>
          <w:rFonts w:ascii="Arial" w:hAnsi="Arial"/>
          <w:b/>
          <w:sz w:val="20"/>
        </w:rPr>
      </w:pPr>
      <w:r>
        <w:rPr>
          <w:rFonts w:ascii="Arial" w:hAnsi="Arial"/>
          <w:b/>
          <w:sz w:val="20"/>
        </w:rPr>
        <w:t>2018 Stock Option and Incentive Plan</w:t>
      </w:r>
    </w:p>
    <w:p>
      <w:pPr>
        <w:pStyle w:val="TextBody"/>
        <w:spacing w:lineRule="auto" w:line="273" w:before="0" w:after="0"/>
        <w:jc w:val="both"/>
        <w:rPr/>
      </w:pPr>
      <w:r>
        <w:rPr/>
        <w:t> </w:t>
      </w:r>
    </w:p>
    <w:p>
      <w:pPr>
        <w:pStyle w:val="TextBody"/>
        <w:spacing w:lineRule="auto" w:line="273" w:before="0" w:after="0"/>
        <w:jc w:val="both"/>
        <w:rPr>
          <w:rFonts w:ascii="Arial" w:hAnsi="Arial"/>
          <w:b w:val="false"/>
          <w:sz w:val="20"/>
        </w:rPr>
      </w:pPr>
      <w:r>
        <w:rPr>
          <w:rFonts w:ascii="Arial" w:hAnsi="Arial"/>
          <w:b w:val="false"/>
          <w:sz w:val="20"/>
        </w:rPr>
        <w:t>On December 12, 2018, the Company adopted the Aura Biosciences, Inc. 2018 Equity Incentive Plan (the “2018 Plan”). The 2018 Plan will expire in 2028. Under the 2018 Plan, Aura may grant incentive stock options, non-qualified stock options, restricted and unrestricted stock awards and stock right. The Board of Directors (the "Board") has determined not to make any further awards under the 2018 Plan as of November 2, 2021. However, the 2018 Plan will continue to govern outstanding equity awards granted thereunder.</w:t>
      </w:r>
    </w:p>
    <w:p>
      <w:pPr>
        <w:pStyle w:val="TextBody"/>
        <w:spacing w:lineRule="auto" w:line="273" w:before="0" w:after="0"/>
        <w:jc w:val="left"/>
        <w:rPr/>
      </w:pPr>
      <w:r>
        <w:rPr/>
        <w:t> </w:t>
      </w:r>
    </w:p>
    <w:p>
      <w:pPr>
        <w:pStyle w:val="TextBody"/>
        <w:spacing w:lineRule="auto" w:line="273" w:before="0" w:after="0"/>
        <w:jc w:val="left"/>
        <w:rPr>
          <w:rFonts w:ascii="Arial" w:hAnsi="Arial"/>
          <w:b/>
          <w:sz w:val="20"/>
        </w:rPr>
      </w:pPr>
      <w:r>
        <w:rPr>
          <w:rFonts w:ascii="Arial" w:hAnsi="Arial"/>
          <w:b/>
          <w:sz w:val="20"/>
        </w:rPr>
        <w:t>2021 Stock Option and Incentive Plan</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The 2021 Stock Option and Incentive Plan,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w:t>
      </w:r>
      <w:r>
        <w:rPr>
          <w:rFonts w:ascii="Times New Roman" w:hAnsi="Times New Roman"/>
          <w:sz w:val="20"/>
        </w:rPr>
        <w:t xml:space="preserve"> </w:t>
      </w:r>
      <w:r>
        <w:rPr>
          <w:rFonts w:ascii="Arial" w:hAnsi="Arial"/>
          <w:b w:val="false"/>
          <w:sz w:val="20"/>
        </w:rPr>
        <w:t>annual increase</w:t>
      </w:r>
      <w:r>
        <w:rPr>
          <w:rFonts w:ascii="Times New Roman" w:hAnsi="Times New Roman"/>
          <w:sz w:val="20"/>
        </w:rPr>
        <w:t xml:space="preserve"> </w:t>
      </w:r>
      <w:r>
        <w:rPr>
          <w:rFonts w:ascii="Arial" w:hAnsi="Arial"/>
          <w:b w:val="false"/>
          <w:sz w:val="20"/>
        </w:rPr>
        <w:t>for such year or 3,352,166</w:t>
      </w:r>
      <w:r>
        <w:rPr>
          <w:rFonts w:ascii="Times New Roman" w:hAnsi="Times New Roman"/>
          <w:sz w:val="20"/>
        </w:rPr>
        <w:t xml:space="preserve"> </w:t>
      </w:r>
      <w:r>
        <w:rPr>
          <w:rFonts w:ascii="Arial" w:hAnsi="Arial"/>
          <w:b w:val="false"/>
          <w:sz w:val="20"/>
        </w:rPr>
        <w:t>shares of common stock. On January 1, 2022, the shares reserved for issuance was increased to 4,812,748</w:t>
      </w:r>
      <w:r>
        <w:rPr>
          <w:rFonts w:ascii="Times New Roman" w:hAnsi="Times New Roman"/>
          <w:sz w:val="20"/>
        </w:rPr>
        <w:t xml:space="preserve"> </w:t>
      </w:r>
      <w:r>
        <w:rPr>
          <w:rFonts w:ascii="Arial" w:hAnsi="Arial"/>
          <w:b w:val="false"/>
          <w:sz w:val="20"/>
        </w:rPr>
        <w:t>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sz w:val="20"/>
        </w:rPr>
        <w:t>2021 Employee Stock Purchase Plan</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The 2021 Employee Stock Purchase Plan, (the "ESPP"), was adopted by the Board on October 7, 2021, approved by the Company’s stockholders on October 22, 2021 and became effective on November 1, 2021. A total of 335,217</w:t>
      </w:r>
      <w:r>
        <w:rPr>
          <w:rFonts w:ascii="Times New Roman" w:hAnsi="Times New Roman"/>
          <w:sz w:val="20"/>
        </w:rPr>
        <w:t xml:space="preserve"> </w:t>
      </w:r>
      <w:r>
        <w:rPr>
          <w:rFonts w:ascii="Arial" w:hAnsi="Arial"/>
          <w:b w:val="false"/>
          <w:sz w:val="20"/>
        </w:rPr>
        <w:t>shares of common stock were initially reserved for issuance under this plan, which increased on January 1, 2022 and will continue to increase each January 1 thereafter through January 1, 2031, by the least of (i) 335,217</w:t>
      </w:r>
      <w:r>
        <w:rPr>
          <w:rFonts w:ascii="Times New Roman" w:hAnsi="Times New Roman"/>
          <w:sz w:val="20"/>
        </w:rPr>
        <w:t xml:space="preserve"> </w:t>
      </w:r>
      <w:r>
        <w:rPr>
          <w:rFonts w:ascii="Arial" w:hAnsi="Arial"/>
          <w:b w:val="false"/>
          <w:sz w:val="20"/>
        </w:rPr>
        <w:t>shares of common stock, (ii) 1% of the outstanding number of shares of common stock on the immediately preceding December 31 or (iii) such lesser number of shares of common stock as determined by the administrator of the ESPP. On January 1, 2022, the shares reserved for issuance was increased to 627,333</w:t>
      </w:r>
      <w:r>
        <w:rPr>
          <w:rFonts w:ascii="Times New Roman" w:hAnsi="Times New Roman"/>
          <w:sz w:val="20"/>
        </w:rPr>
        <w:t xml:space="preserve"> </w:t>
      </w:r>
      <w:r>
        <w:rPr>
          <w:rFonts w:ascii="Arial" w:hAnsi="Arial"/>
          <w:b w:val="false"/>
          <w:sz w:val="20"/>
        </w:rPr>
        <w:t>shares. The first offering period has not yet been decided by the Company’s Board of Directors or designated committee of the Company’s Board of Directors.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With the transfer of the available options from the 2018 Plan to the 2021 Plan, there were 3,447,892</w:t>
      </w:r>
      <w:r>
        <w:rPr>
          <w:rFonts w:ascii="Times New Roman" w:hAnsi="Times New Roman"/>
          <w:sz w:val="20"/>
        </w:rPr>
        <w:t xml:space="preserve"> </w:t>
      </w:r>
      <w:r>
        <w:rPr>
          <w:rFonts w:ascii="Arial" w:hAnsi="Arial"/>
          <w:b w:val="false"/>
          <w:sz w:val="20"/>
        </w:rPr>
        <w:t>options available for grant under the 2021 Plan at March 31, 2022.</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Board is authorized to administer the 2021 Plan. In accordance with the provisions of the 2021 Plan, the Board determines the terms of Aura options and other awards issued pursuant thereto, including the following: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which employees, directors and consultants shall be granted awards;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number of shares of common stock subject to options and other awards;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exercise price of each option, which generally shall not be less than fair market value of the common stock on the date of grant;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termination or cancellation provisions applicable to options;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terms and conditions of other awards, including conditions for repurchase, termination or cancellation, issue price and repurchase price;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all other terms and conditions upon which each award may be granted in accordance with the 2018 Plan. </w:t>
      </w:r>
    </w:p>
    <w:p>
      <w:pPr>
        <w:pStyle w:val="TextBody"/>
        <w:spacing w:lineRule="auto" w:line="273" w:before="240" w:after="0"/>
        <w:jc w:val="center"/>
        <w:rPr>
          <w:rFonts w:ascii="Arial" w:hAnsi="Arial"/>
          <w:b w:val="false"/>
          <w:sz w:val="20"/>
        </w:rPr>
      </w:pPr>
      <w:r>
        <w:rPr>
          <w:rFonts w:ascii="Arial" w:hAnsi="Arial"/>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following table summarizes stock option activity under the 2018 Plan and 2021 Plan for the three months ended March 31, 2022:</w:t>
      </w:r>
      <w:r>
        <w:rPr>
          <w:rFonts w:ascii="Times New Roman" w:hAnsi="Times New Roman"/>
          <w:sz w:val="20"/>
        </w:rPr>
        <w:t xml:space="preserve"> </w:t>
      </w:r>
    </w:p>
    <w:p>
      <w:pPr>
        <w:pStyle w:val="TextBody"/>
        <w:spacing w:lineRule="auto" w:line="273" w:before="0" w:after="0"/>
        <w:jc w:val="left"/>
        <w:rPr/>
      </w:pPr>
      <w:r>
        <w:rPr/>
        <w:t> </w:t>
      </w:r>
    </w:p>
    <w:tbl>
      <w:tblPr>
        <w:tblW w:w="9573" w:type="dxa"/>
        <w:jc w:val="left"/>
        <w:tblInd w:w="0" w:type="dxa"/>
        <w:tblCellMar>
          <w:top w:w="28" w:type="dxa"/>
          <w:left w:w="28" w:type="dxa"/>
          <w:bottom w:w="28" w:type="dxa"/>
          <w:right w:w="28" w:type="dxa"/>
        </w:tblCellMar>
      </w:tblPr>
      <w:tblGrid>
        <w:gridCol w:w="3151"/>
        <w:gridCol w:w="146"/>
        <w:gridCol w:w="146"/>
        <w:gridCol w:w="961"/>
        <w:gridCol w:w="166"/>
        <w:gridCol w:w="146"/>
        <w:gridCol w:w="274"/>
        <w:gridCol w:w="762"/>
        <w:gridCol w:w="146"/>
        <w:gridCol w:w="146"/>
        <w:gridCol w:w="272"/>
        <w:gridCol w:w="899"/>
        <w:gridCol w:w="146"/>
        <w:gridCol w:w="146"/>
        <w:gridCol w:w="437"/>
        <w:gridCol w:w="1438"/>
        <w:gridCol w:w="191"/>
      </w:tblGrid>
      <w:tr>
        <w:trPr/>
        <w:tc>
          <w:tcPr>
            <w:tcW w:w="3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Weighted-</w:t>
              <w:br/>
              <w:t>Average</w:t>
              <w:br/>
              <w:t>Remaining</w:t>
              <w:br/>
              <w:t>Contractual</w:t>
              <w:br/>
              <w:t>Term</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Aggregate Intrinsic</w:t>
              <w:b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4,232,991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6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shd w:fill="auto" w:val="clear"/>
            <w:vAlign w:val="center"/>
          </w:tcPr>
          <w:p>
            <w:pPr>
              <w:pStyle w:val="TableContents"/>
              <w:spacing w:lineRule="auto" w:line="252" w:before="0" w:after="0"/>
              <w:ind w:left="0" w:right="0" w:hanging="0"/>
              <w:jc w:val="left"/>
              <w:rPr/>
            </w:pPr>
            <w:r>
              <w:rPr/>
              <w:t> </w:t>
            </w:r>
          </w:p>
        </w:tc>
        <w:tc>
          <w:tcPr>
            <w:tcW w:w="89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3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40,437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98,897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76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18.56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5"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(5,593</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76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5"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Cancelled/Forfeited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(43,433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12.18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Outstanding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4,282,862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7.64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61,492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Exercisable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1,341,363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6.82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24,015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Arial" w:hAnsi="Arial"/>
          <w:b w:val="false"/>
          <w:sz w:val="20"/>
        </w:rPr>
        <w:t>The weighted-average grant date fair value of stock options granted during the three months ended March 31, 2022 and 2021 is $11.98</w:t>
      </w:r>
      <w:r>
        <w:rPr>
          <w:rFonts w:ascii="Times New Roman" w:hAnsi="Times New Roman"/>
          <w:sz w:val="20"/>
        </w:rPr>
        <w:t xml:space="preserve"> </w:t>
      </w:r>
      <w:r>
        <w:rPr>
          <w:rFonts w:ascii="Arial" w:hAnsi="Arial"/>
          <w:b w:val="false"/>
          <w:sz w:val="20"/>
        </w:rPr>
        <w:t>and $3.56</w:t>
      </w:r>
      <w:r>
        <w:rPr>
          <w:rFonts w:ascii="Times New Roman" w:hAnsi="Times New Roman"/>
          <w:sz w:val="20"/>
        </w:rPr>
        <w:t xml:space="preserve"> </w:t>
      </w:r>
      <w:r>
        <w:rPr>
          <w:rFonts w:ascii="Arial" w:hAnsi="Arial"/>
          <w:b w:val="false"/>
          <w:sz w:val="20"/>
        </w:rPr>
        <w:t>per share, respectively. The total intrinsic value of options exercised was $0.1</w:t>
      </w:r>
      <w:r>
        <w:rPr>
          <w:rFonts w:ascii="Times New Roman" w:hAnsi="Times New Roman"/>
          <w:sz w:val="20"/>
        </w:rPr>
        <w:t xml:space="preserve"> </w:t>
      </w:r>
      <w:r>
        <w:rPr>
          <w:rFonts w:ascii="Arial" w:hAnsi="Arial"/>
          <w:b w:val="false"/>
          <w:sz w:val="20"/>
        </w:rPr>
        <w:t>million and $0.01</w:t>
      </w:r>
      <w:r>
        <w:rPr>
          <w:rFonts w:ascii="Times New Roman" w:hAnsi="Times New Roman"/>
          <w:sz w:val="20"/>
        </w:rPr>
        <w:t xml:space="preserve"> </w:t>
      </w:r>
      <w:r>
        <w:rPr>
          <w:rFonts w:ascii="Arial" w:hAnsi="Arial"/>
          <w:b w:val="false"/>
          <w:sz w:val="20"/>
        </w:rPr>
        <w:t>million for the three months ended March 31, 2022 and 2021, respectively.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Company has elected to use the Black-Scholes option pricing model to determine the fair value of options granted and generally recognizes the compensation cost of stock-based awards on a straight-line basis over the vesting period of the award.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determination of the fair value of stock-based payment awards utilizing the Black-Scholes option pricing model is affected by the estimated fair value of the Company’s common stock and a number of other assumptions, including expected volatility, expected life, risk-free interest rate, and expected dividends.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fair value of the stock options issued for the three months ended March 31, 2022 and 2021 was measured with the following weighted-average assumptions:</w:t>
      </w:r>
      <w:r>
        <w:rPr>
          <w:rFonts w:ascii="Times New Roman" w:hAnsi="Times New Roman"/>
          <w:sz w:val="20"/>
        </w:rPr>
        <w:t xml:space="preserve"> </w:t>
      </w:r>
    </w:p>
    <w:p>
      <w:pPr>
        <w:pStyle w:val="TextBody"/>
        <w:spacing w:lineRule="auto" w:line="273" w:before="0" w:after="0"/>
        <w:jc w:val="left"/>
        <w:rPr/>
      </w:pPr>
      <w:r>
        <w:rPr/>
        <w:t> </w:t>
      </w:r>
    </w:p>
    <w:tbl>
      <w:tblPr>
        <w:tblW w:w="6581" w:type="dxa"/>
        <w:jc w:val="left"/>
        <w:tblInd w:w="0" w:type="dxa"/>
        <w:tblCellMar>
          <w:top w:w="28" w:type="dxa"/>
          <w:left w:w="28" w:type="dxa"/>
          <w:bottom w:w="28" w:type="dxa"/>
          <w:right w:w="28" w:type="dxa"/>
        </w:tblCellMar>
      </w:tblPr>
      <w:tblGrid>
        <w:gridCol w:w="4066"/>
        <w:gridCol w:w="146"/>
        <w:gridCol w:w="157"/>
        <w:gridCol w:w="630"/>
        <w:gridCol w:w="307"/>
        <w:gridCol w:w="157"/>
        <w:gridCol w:w="157"/>
        <w:gridCol w:w="630"/>
        <w:gridCol w:w="33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7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Risk-free interest rate,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1.56</w:t>
            </w:r>
          </w:p>
        </w:tc>
        <w:tc>
          <w:tcPr>
            <w:tcW w:w="30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1.02</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0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6.01</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6.08</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40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volatility of the underlying stock,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73.02</w:t>
            </w:r>
          </w:p>
        </w:tc>
        <w:tc>
          <w:tcPr>
            <w:tcW w:w="30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73.16</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0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dividend rate,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pPr>
            <w:r>
              <w:rPr/>
              <w:t>—</w:t>
            </w:r>
          </w:p>
        </w:tc>
        <w:tc>
          <w:tcPr>
            <w:tcW w:w="30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630" w:type="dxa"/>
            <w:tcBorders/>
            <w:shd w:fill="auto" w:val="clear"/>
            <w:vAlign w:val="center"/>
          </w:tcPr>
          <w:p>
            <w:pPr>
              <w:pStyle w:val="TableContents"/>
              <w:spacing w:lineRule="auto" w:line="252" w:before="0" w:after="0"/>
              <w:ind w:left="0" w:right="0" w:hanging="0"/>
              <w:jc w:val="right"/>
              <w:rPr/>
            </w:pPr>
            <w:r>
              <w:rPr/>
              <w:t>—</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0" w:after="0"/>
        <w:jc w:val="both"/>
        <w:rPr>
          <w:rFonts w:ascii="Arial" w:hAnsi="Arial"/>
          <w:b/>
          <w:i/>
          <w:sz w:val="20"/>
        </w:rPr>
      </w:pPr>
      <w:r>
        <w:rPr>
          <w:rFonts w:ascii="Arial" w:hAnsi="Arial"/>
          <w:b/>
          <w:i/>
          <w:sz w:val="20"/>
        </w:rPr>
        <w:t>Restricted Stock Units</w:t>
      </w:r>
    </w:p>
    <w:p>
      <w:pPr>
        <w:pStyle w:val="TextBody"/>
        <w:spacing w:lineRule="auto" w:line="273" w:before="0" w:after="0"/>
        <w:jc w:val="both"/>
        <w:rPr/>
      </w:pPr>
      <w:r>
        <w:rPr/>
        <w:t> </w:t>
      </w:r>
    </w:p>
    <w:p>
      <w:pPr>
        <w:pStyle w:val="TextBody"/>
        <w:spacing w:lineRule="auto" w:line="273" w:before="0" w:after="0"/>
        <w:jc w:val="both"/>
        <w:rPr>
          <w:rFonts w:ascii="Arial" w:hAnsi="Arial"/>
          <w:b w:val="false"/>
          <w:sz w:val="20"/>
        </w:rPr>
      </w:pPr>
      <w:r>
        <w:rPr>
          <w:rFonts w:ascii="Arial" w:hAnsi="Arial"/>
          <w:b w:val="false"/>
          <w:sz w:val="20"/>
        </w:rPr>
        <w:t>The Company has granted restricted stock units with service vesting based conditions. Unvested shares of restricted common stock may not be sold or transferred by the holder. They are legally issued and outstanding. These restrictions lapse accordingly to the time-based vesting of each award.</w:t>
      </w:r>
    </w:p>
    <w:p>
      <w:pPr>
        <w:pStyle w:val="TextBody"/>
        <w:spacing w:lineRule="auto" w:line="273" w:before="0" w:after="0"/>
        <w:jc w:val="both"/>
        <w:rPr/>
      </w:pPr>
      <w:r>
        <w:rPr/>
        <w:t> </w:t>
      </w:r>
    </w:p>
    <w:p>
      <w:pPr>
        <w:pStyle w:val="TextBody"/>
        <w:spacing w:lineRule="auto" w:line="273" w:before="0" w:after="0"/>
        <w:jc w:val="both"/>
        <w:rPr>
          <w:rFonts w:ascii="Arial" w:hAnsi="Arial"/>
          <w:b w:val="false"/>
          <w:sz w:val="20"/>
        </w:rPr>
      </w:pPr>
      <w:r>
        <w:rPr>
          <w:rFonts w:ascii="Arial" w:hAnsi="Arial"/>
          <w:b w:val="false"/>
          <w:sz w:val="20"/>
        </w:rPr>
        <w:t>A summary of the restricted stock units activity during the three months ended March 31, 2022 is as follows:</w:t>
      </w:r>
    </w:p>
    <w:p>
      <w:pPr>
        <w:pStyle w:val="TextBody"/>
        <w:spacing w:lineRule="auto" w:line="273" w:before="0" w:after="0"/>
        <w:jc w:val="both"/>
        <w:rPr/>
      </w:pPr>
      <w:r>
        <w:rPr/>
        <w:t> </w:t>
      </w:r>
    </w:p>
    <w:p>
      <w:pPr>
        <w:pStyle w:val="TextBody"/>
        <w:spacing w:lineRule="auto" w:line="273" w:before="240" w:after="0"/>
        <w:jc w:val="center"/>
        <w:rPr>
          <w:rFonts w:ascii="Arial" w:hAnsi="Arial"/>
          <w:b w:val="false"/>
          <w:sz w:val="20"/>
        </w:rPr>
      </w:pPr>
      <w:r>
        <w:rPr>
          <w:rFonts w:ascii="Arial" w:hAnsi="Arial"/>
          <w:b w:val="false"/>
          <w:sz w:val="20"/>
        </w:rPr>
        <w:t>10</w:t>
      </w:r>
    </w:p>
    <w:p>
      <w:pPr>
        <w:pStyle w:val="HorizontalLine"/>
        <w:rPr/>
      </w:pPr>
      <w:r>
        <w:rPr/>
      </w:r>
    </w:p>
    <w:p>
      <w:pPr>
        <w:pStyle w:val="TextBody"/>
        <w:spacing w:lineRule="auto" w:line="273" w:before="0" w:after="0"/>
        <w:jc w:val="left"/>
        <w:rPr/>
      </w:pPr>
      <w:r>
        <w:rPr/>
        <w:t> </w:t>
      </w:r>
    </w:p>
    <w:tbl>
      <w:tblPr>
        <w:tblW w:w="7820" w:type="dxa"/>
        <w:jc w:val="left"/>
        <w:tblInd w:w="0" w:type="dxa"/>
        <w:tblCellMar>
          <w:top w:w="28" w:type="dxa"/>
          <w:left w:w="28" w:type="dxa"/>
          <w:bottom w:w="28" w:type="dxa"/>
          <w:right w:w="28" w:type="dxa"/>
        </w:tblCellMar>
      </w:tblPr>
      <w:tblGrid>
        <w:gridCol w:w="2926"/>
        <w:gridCol w:w="146"/>
        <w:gridCol w:w="333"/>
        <w:gridCol w:w="1827"/>
        <w:gridCol w:w="166"/>
        <w:gridCol w:w="146"/>
        <w:gridCol w:w="551"/>
        <w:gridCol w:w="1534"/>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Restricted Stock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Weighted-</w:t>
              <w:br/>
              <w:t>Average</w:t>
              <w:br/>
              <w:t>Grant Date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Unvested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shd w:fill="auto" w:val="clear"/>
            <w:vAlign w:val="center"/>
          </w:tcPr>
          <w:p>
            <w:pPr>
              <w:pStyle w:val="TableContents"/>
              <w:spacing w:lineRule="auto" w:line="252" w:before="0" w:after="0"/>
              <w:ind w:left="0" w:right="0" w:hanging="0"/>
              <w:jc w:val="left"/>
              <w:rPr/>
            </w:pPr>
            <w:r>
              <w:rPr/>
              <w:t> </w:t>
            </w:r>
          </w:p>
        </w:tc>
        <w:tc>
          <w:tcPr>
            <w:tcW w:w="182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231,920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3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shd w:fill="auto" w:val="clear"/>
            <w:vAlign w:val="center"/>
          </w:tcPr>
          <w:p>
            <w:pPr>
              <w:pStyle w:val="TableContents"/>
              <w:spacing w:lineRule="auto" w:line="252" w:before="0" w:after="0"/>
              <w:ind w:left="0" w:right="0" w:hanging="0"/>
              <w:jc w:val="left"/>
              <w:rPr/>
            </w:pPr>
            <w:r>
              <w:rPr/>
              <w:t> </w:t>
            </w:r>
          </w:p>
        </w:tc>
        <w:tc>
          <w:tcPr>
            <w:tcW w:w="1827"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5"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(4,066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14.00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Unvested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227,854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5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14.00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Arial" w:hAnsi="Arial"/>
          <w:b w:val="false"/>
          <w:sz w:val="20"/>
        </w:rPr>
        <w:t>As a result of the 2021 Equity Incentive Plan, the Company granted restricted stock units which vest in increments of 25% annually over a period of four years. No</w:t>
      </w:r>
      <w:r>
        <w:rPr>
          <w:rFonts w:ascii="Times New Roman" w:hAnsi="Times New Roman"/>
          <w:sz w:val="20"/>
        </w:rPr>
        <w:t xml:space="preserve"> </w:t>
      </w:r>
      <w:r>
        <w:rPr>
          <w:rFonts w:ascii="Arial" w:hAnsi="Arial"/>
          <w:b w:val="false"/>
          <w:sz w:val="20"/>
        </w:rPr>
        <w:t>restricted stock units vested during the three months ended March 31, 2022.</w:t>
      </w:r>
    </w:p>
    <w:p>
      <w:pPr>
        <w:pStyle w:val="TextBody"/>
        <w:spacing w:lineRule="auto" w:line="273" w:before="0" w:after="0"/>
        <w:jc w:val="left"/>
        <w:rPr/>
      </w:pPr>
      <w:r>
        <w:rPr/>
        <w:t> </w:t>
      </w:r>
    </w:p>
    <w:p>
      <w:pPr>
        <w:pStyle w:val="TextBody"/>
        <w:spacing w:lineRule="auto" w:line="273" w:before="0" w:after="0"/>
        <w:jc w:val="both"/>
        <w:rPr>
          <w:rFonts w:ascii="Arial" w:hAnsi="Arial"/>
          <w:b/>
          <w:i/>
          <w:sz w:val="20"/>
        </w:rPr>
      </w:pPr>
      <w:r>
        <w:rPr>
          <w:rFonts w:ascii="Arial" w:hAnsi="Arial"/>
          <w:b/>
          <w:i/>
          <w:sz w:val="20"/>
        </w:rPr>
        <w:t>Stock-based Compensation Expense</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The Company recorded stock-based compensation expense as follows (in thousands):</w:t>
      </w:r>
      <w:r>
        <w:rPr>
          <w:rFonts w:ascii="Times New Roman" w:hAnsi="Times New Roman"/>
          <w:sz w:val="20"/>
        </w:rPr>
        <w:t xml:space="preserve"> </w:t>
      </w:r>
    </w:p>
    <w:p>
      <w:pPr>
        <w:pStyle w:val="TextBody"/>
        <w:spacing w:lineRule="auto" w:line="273" w:before="0" w:after="0"/>
        <w:jc w:val="left"/>
        <w:rPr/>
      </w:pPr>
      <w:r>
        <w:rPr/>
        <w:t> </w:t>
      </w:r>
    </w:p>
    <w:tbl>
      <w:tblPr>
        <w:tblW w:w="4867" w:type="dxa"/>
        <w:jc w:val="left"/>
        <w:tblInd w:w="0" w:type="dxa"/>
        <w:tblCellMar>
          <w:top w:w="28" w:type="dxa"/>
          <w:left w:w="28" w:type="dxa"/>
          <w:bottom w:w="28" w:type="dxa"/>
          <w:right w:w="28" w:type="dxa"/>
        </w:tblCellMar>
      </w:tblPr>
      <w:tblGrid>
        <w:gridCol w:w="2491"/>
        <w:gridCol w:w="146"/>
        <w:gridCol w:w="250"/>
        <w:gridCol w:w="694"/>
        <w:gridCol w:w="173"/>
        <w:gridCol w:w="173"/>
        <w:gridCol w:w="250"/>
        <w:gridCol w:w="499"/>
        <w:gridCol w:w="19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9" w:type="dxa"/>
            <w:gridSpan w:val="6"/>
            <w:tcBorders/>
            <w:shd w:fill="auto" w:val="cle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4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74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555</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9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1,039</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1,594</w:t>
            </w:r>
          </w:p>
        </w:tc>
        <w:tc>
          <w:tcPr>
            <w:tcW w:w="1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Arial" w:hAnsi="Arial"/>
          <w:b w:val="false"/>
          <w:sz w:val="20"/>
        </w:rPr>
        <w:t>As of March 31, 2022, there was $16.0</w:t>
      </w:r>
      <w:r>
        <w:rPr>
          <w:rFonts w:ascii="Times New Roman" w:hAnsi="Times New Roman"/>
          <w:sz w:val="20"/>
        </w:rPr>
        <w:t xml:space="preserve"> </w:t>
      </w:r>
      <w:r>
        <w:rPr>
          <w:rFonts w:ascii="Arial" w:hAnsi="Arial"/>
          <w:b w:val="false"/>
          <w:sz w:val="20"/>
        </w:rPr>
        <w:t>million of unrecognized compensation expense related to stock options, which is expected to be recognized over a weighted-average period of 3.14 years.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As of March 31, 2022, there was $2.9</w:t>
      </w:r>
      <w:r>
        <w:rPr>
          <w:rFonts w:ascii="Times New Roman" w:hAnsi="Times New Roman"/>
          <w:sz w:val="20"/>
        </w:rPr>
        <w:t xml:space="preserve"> </w:t>
      </w:r>
      <w:r>
        <w:rPr>
          <w:rFonts w:ascii="Arial" w:hAnsi="Arial"/>
          <w:b w:val="false"/>
          <w:sz w:val="20"/>
        </w:rPr>
        <w:t>million of unrecognized compensation expense related to restricted stock units, which is expected to be recognized over a weighted-average period of 3.58 years.</w:t>
      </w:r>
    </w:p>
    <w:p>
      <w:pPr>
        <w:pStyle w:val="TextBody"/>
        <w:spacing w:lineRule="auto" w:line="273" w:before="240" w:after="0"/>
        <w:jc w:val="left"/>
        <w:rPr>
          <w:rFonts w:ascii="Arial" w:hAnsi="Arial"/>
          <w:b/>
          <w:sz w:val="20"/>
        </w:rPr>
      </w:pPr>
      <w:r>
        <w:rPr>
          <w:rFonts w:ascii="Arial" w:hAnsi="Arial"/>
          <w:b/>
          <w:sz w:val="20"/>
        </w:rPr>
        <w:t>10. Common Stock Warrants</w:t>
      </w:r>
    </w:p>
    <w:p>
      <w:pPr>
        <w:pStyle w:val="TextBody"/>
        <w:spacing w:lineRule="auto" w:line="273" w:before="80" w:after="0"/>
        <w:jc w:val="both"/>
        <w:rPr>
          <w:rFonts w:ascii="Times New Roman" w:hAnsi="Times New Roman"/>
          <w:sz w:val="20"/>
        </w:rPr>
      </w:pPr>
      <w:r>
        <w:rPr>
          <w:rFonts w:ascii="Arial" w:hAnsi="Arial"/>
          <w:b w:val="false"/>
          <w:sz w:val="20"/>
        </w:rPr>
        <w:t>In February 2015 and May 2015, the Company issued warrants to purchase 1,650,098</w:t>
      </w:r>
      <w:r>
        <w:rPr>
          <w:rFonts w:ascii="Times New Roman" w:hAnsi="Times New Roman"/>
          <w:sz w:val="20"/>
        </w:rPr>
        <w:t xml:space="preserve"> </w:t>
      </w:r>
      <w:r>
        <w:rPr>
          <w:rFonts w:ascii="Arial" w:hAnsi="Arial"/>
          <w:b w:val="false"/>
          <w:sz w:val="20"/>
        </w:rPr>
        <w:t>and 887,536</w:t>
      </w:r>
      <w:r>
        <w:rPr>
          <w:rFonts w:ascii="Times New Roman" w:hAnsi="Times New Roman"/>
          <w:sz w:val="20"/>
        </w:rPr>
        <w:t xml:space="preserve"> </w:t>
      </w:r>
      <w:r>
        <w:rPr>
          <w:rFonts w:ascii="Arial" w:hAnsi="Arial"/>
          <w:b w:val="false"/>
          <w:sz w:val="20"/>
        </w:rPr>
        <w:t>shares of Series B convertible preferred stock, respectively, at an exercise price of $1.24235</w:t>
      </w:r>
      <w:r>
        <w:rPr>
          <w:rFonts w:ascii="Times New Roman" w:hAnsi="Times New Roman"/>
          <w:sz w:val="20"/>
        </w:rPr>
        <w:t xml:space="preserve"> </w:t>
      </w:r>
      <w:r>
        <w:rPr>
          <w:rFonts w:ascii="Arial" w:hAnsi="Arial"/>
          <w:b w:val="false"/>
          <w:sz w:val="20"/>
        </w:rPr>
        <w:t>per share (the "Series B Warrants"). Each Series B Warrant was immediately exercisable and expires ten years</w:t>
      </w:r>
      <w:r>
        <w:rPr>
          <w:rFonts w:ascii="Times New Roman" w:hAnsi="Times New Roman"/>
          <w:sz w:val="20"/>
        </w:rPr>
        <w:t xml:space="preserve"> </w:t>
      </w:r>
      <w:r>
        <w:rPr>
          <w:rFonts w:ascii="Arial" w:hAnsi="Arial"/>
          <w:b w:val="false"/>
          <w:sz w:val="20"/>
        </w:rPr>
        <w:t>from the original date of issuance. Pursuant to FASB ASC Topic 480, Distinguishing Liabilities from Equity, the Series B Warrants were classified as a liability and are re-measured to fair value at each balance sheet date and immediately prior to exercise. A total of 12,686</w:t>
      </w:r>
      <w:r>
        <w:rPr>
          <w:rFonts w:ascii="Times New Roman" w:hAnsi="Times New Roman"/>
          <w:sz w:val="20"/>
        </w:rPr>
        <w:t xml:space="preserve"> </w:t>
      </w:r>
      <w:r>
        <w:rPr>
          <w:rFonts w:ascii="Arial" w:hAnsi="Arial"/>
          <w:b w:val="false"/>
          <w:sz w:val="20"/>
        </w:rPr>
        <w:t>of The Series B Warrants were outstanding as of March 31, 2021. The Series B Warrants were converted into warrants to purchase 12,686</w:t>
      </w:r>
      <w:r>
        <w:rPr>
          <w:rFonts w:ascii="Times New Roman" w:hAnsi="Times New Roman"/>
          <w:sz w:val="20"/>
        </w:rPr>
        <w:t xml:space="preserve"> </w:t>
      </w:r>
      <w:r>
        <w:rPr>
          <w:rFonts w:ascii="Arial" w:hAnsi="Arial"/>
          <w:b w:val="false"/>
          <w:sz w:val="20"/>
        </w:rPr>
        <w:t>shares of common stock with an exercise price of $17.03</w:t>
      </w:r>
      <w:r>
        <w:rPr>
          <w:rFonts w:ascii="Times New Roman" w:hAnsi="Times New Roman"/>
          <w:sz w:val="20"/>
        </w:rPr>
        <w:t xml:space="preserve"> </w:t>
      </w:r>
      <w:r>
        <w:rPr>
          <w:rFonts w:ascii="Arial" w:hAnsi="Arial"/>
          <w:b w:val="false"/>
          <w:sz w:val="20"/>
        </w:rPr>
        <w:t>upon the completion of the IPO in November 2021. A total of 12,686</w:t>
      </w:r>
      <w:r>
        <w:rPr>
          <w:rFonts w:ascii="Times New Roman" w:hAnsi="Times New Roman"/>
          <w:sz w:val="20"/>
        </w:rPr>
        <w:t xml:space="preserve"> </w:t>
      </w:r>
      <w:r>
        <w:rPr>
          <w:rFonts w:ascii="Arial" w:hAnsi="Arial"/>
          <w:b w:val="false"/>
          <w:sz w:val="20"/>
        </w:rPr>
        <w:t>of the common stock warrants remained outstanding at March 31, 2022.</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warrants were valued using the Black-Scholes option pricing model. The estimated fair value of the warrants and the significant assumptions used were as follows:</w:t>
      </w:r>
      <w:r>
        <w:rPr>
          <w:rFonts w:ascii="Times New Roman" w:hAnsi="Times New Roman"/>
          <w:sz w:val="20"/>
        </w:rPr>
        <w:t xml:space="preserve"> </w:t>
      </w:r>
    </w:p>
    <w:p>
      <w:pPr>
        <w:pStyle w:val="TextBody"/>
        <w:spacing w:lineRule="auto" w:line="273" w:before="0" w:after="0"/>
        <w:jc w:val="left"/>
        <w:rPr/>
      </w:pPr>
      <w:r>
        <w:rPr/>
        <w:t> </w:t>
      </w:r>
    </w:p>
    <w:tbl>
      <w:tblPr>
        <w:tblW w:w="3928" w:type="dxa"/>
        <w:jc w:val="left"/>
        <w:tblInd w:w="0" w:type="dxa"/>
        <w:tblCellMar>
          <w:top w:w="28" w:type="dxa"/>
          <w:left w:w="28" w:type="dxa"/>
          <w:bottom w:w="28" w:type="dxa"/>
          <w:right w:w="28" w:type="dxa"/>
        </w:tblCellMar>
      </w:tblPr>
      <w:tblGrid>
        <w:gridCol w:w="2446"/>
        <w:gridCol w:w="146"/>
        <w:gridCol w:w="266"/>
        <w:gridCol w:w="739"/>
        <w:gridCol w:w="33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Common Stock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5" w:type="dxa"/>
            <w:gridSpan w:val="2"/>
            <w:tcBorders/>
            <w:shd w:fill="auto" w:val="clear"/>
            <w:vAlign w:val="center"/>
          </w:tcPr>
          <w:p>
            <w:pPr>
              <w:pStyle w:val="TableContents"/>
              <w:spacing w:lineRule="auto" w:line="252" w:before="0" w:after="0"/>
              <w:ind w:left="0" w:right="0" w:hanging="0"/>
              <w:jc w:val="center"/>
              <w:rPr>
                <w:rFonts w:ascii="Arial" w:hAnsi="Arial"/>
                <w:b/>
                <w:sz w:val="20"/>
              </w:rPr>
            </w:pPr>
            <w:r>
              <w:rPr>
                <w:rFonts w:ascii="Arial" w:hAnsi="Arial"/>
                <w:b/>
                <w:sz w:val="20"/>
              </w:rPr>
              <w:t>March 31,</w:t>
            </w:r>
          </w:p>
        </w:tc>
        <w:tc>
          <w:tcPr>
            <w:tcW w:w="331" w:type="dxa"/>
            <w:tcBorders/>
            <w:shd w:fill="auto" w:val="clear"/>
            <w:vAlign w:val="center"/>
          </w:tcPr>
          <w:p>
            <w:pPr>
              <w:pStyle w:val="TableContents"/>
              <w:spacing w:lineRule="auto" w:line="252" w:before="0" w:after="0"/>
              <w:ind w:left="0" w:right="0" w:hanging="0"/>
              <w:jc w:val="center"/>
              <w:rPr/>
            </w:pPr>
            <w:r>
              <w:rPr/>
              <w:t> </w:t>
            </w:r>
          </w:p>
        </w:tc>
      </w:tr>
      <w:tr>
        <w:trPr/>
        <w:tc>
          <w:tcPr>
            <w:tcW w:w="24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22.00</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85.12</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24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Expected term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2.91</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4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Risk free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2.45</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24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7.00</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240" w:after="0"/>
        <w:jc w:val="left"/>
        <w:rPr>
          <w:rFonts w:ascii="Arial" w:hAnsi="Arial"/>
          <w:b/>
          <w:sz w:val="20"/>
        </w:rPr>
      </w:pPr>
      <w:r>
        <w:rPr>
          <w:rFonts w:ascii="Arial" w:hAnsi="Arial"/>
          <w:b/>
          <w:sz w:val="20"/>
        </w:rPr>
        <w:t>11. Compensation</w:t>
      </w:r>
    </w:p>
    <w:p>
      <w:pPr>
        <w:pStyle w:val="TextBody"/>
        <w:spacing w:lineRule="auto" w:line="273" w:before="80" w:after="0"/>
        <w:jc w:val="both"/>
        <w:rPr>
          <w:rFonts w:ascii="Times New Roman" w:hAnsi="Times New Roman"/>
          <w:sz w:val="20"/>
        </w:rPr>
      </w:pPr>
      <w:r>
        <w:rPr>
          <w:rFonts w:ascii="Arial" w:hAnsi="Arial"/>
          <w:b w:val="false"/>
          <w:sz w:val="20"/>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$0.1</w:t>
      </w:r>
      <w:r>
        <w:rPr>
          <w:rFonts w:ascii="Times New Roman" w:hAnsi="Times New Roman"/>
          <w:sz w:val="20"/>
        </w:rPr>
        <w:t xml:space="preserve"> </w:t>
      </w:r>
      <w:r>
        <w:rPr>
          <w:rFonts w:ascii="Arial" w:hAnsi="Arial"/>
          <w:b w:val="false"/>
          <w:sz w:val="20"/>
        </w:rPr>
        <w:t>million for the three months ended March 31, 2022 and 2021.</w:t>
      </w:r>
    </w:p>
    <w:p>
      <w:pPr>
        <w:pStyle w:val="TextBody"/>
        <w:spacing w:lineRule="auto" w:line="273" w:before="240" w:after="0"/>
        <w:jc w:val="center"/>
        <w:rPr>
          <w:rFonts w:ascii="Arial" w:hAnsi="Arial"/>
          <w:b w:val="false"/>
          <w:sz w:val="20"/>
        </w:rPr>
      </w:pPr>
      <w:r>
        <w:rPr>
          <w:rFonts w:ascii="Arial" w:hAnsi="Arial"/>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Arial" w:hAnsi="Arial"/>
          <w:b/>
          <w:sz w:val="20"/>
        </w:rPr>
      </w:pPr>
      <w:r>
        <w:rPr>
          <w:rFonts w:ascii="Arial" w:hAnsi="Arial"/>
          <w:b/>
          <w:sz w:val="20"/>
        </w:rPr>
        <w:t>12. Commitments and Contingencies</w:t>
      </w:r>
    </w:p>
    <w:p>
      <w:pPr>
        <w:pStyle w:val="TextBody"/>
        <w:spacing w:lineRule="auto" w:line="273" w:before="80" w:after="0"/>
        <w:jc w:val="left"/>
        <w:rPr>
          <w:rFonts w:ascii="Times New Roman" w:hAnsi="Times New Roman"/>
          <w:sz w:val="20"/>
        </w:rPr>
      </w:pPr>
      <w:r>
        <w:rPr>
          <w:rFonts w:ascii="Arial" w:hAnsi="Arial"/>
          <w:b/>
          <w:i/>
          <w:sz w:val="20"/>
        </w:rPr>
        <w:t>Lease Commitments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Company has historically entered into lease arrangements for its facilities. The Company has one operating lease for its office and laboratory facility with required future minimum payments. The lease does not contain any options to renew, terminate, or purchase the underlying asset.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On March 31, 2021, the Company executed an amendment to the facility lease which included an extension of the expiration date of the original leased premises, the addition of 4,516</w:t>
      </w:r>
      <w:r>
        <w:rPr>
          <w:rFonts w:ascii="Times New Roman" w:hAnsi="Times New Roman"/>
          <w:sz w:val="20"/>
        </w:rPr>
        <w:t xml:space="preserve"> </w:t>
      </w:r>
      <w:r>
        <w:rPr>
          <w:rFonts w:ascii="Arial" w:hAnsi="Arial"/>
          <w:b w:val="false"/>
          <w:sz w:val="20"/>
        </w:rPr>
        <w:t>square feet of laboratory space with an expected commencement date of May 1, 2021, and the addition of 1,000</w:t>
      </w:r>
      <w:r>
        <w:rPr>
          <w:rFonts w:ascii="Times New Roman" w:hAnsi="Times New Roman"/>
          <w:sz w:val="20"/>
        </w:rPr>
        <w:t xml:space="preserve"> </w:t>
      </w:r>
      <w:r>
        <w:rPr>
          <w:rFonts w:ascii="Arial" w:hAnsi="Arial"/>
          <w:b w:val="false"/>
          <w:sz w:val="20"/>
        </w:rPr>
        <w:t>square feet of laboratory space with an expected commencement date of June 15, 2021. The lease term for the original and new spaces will expire on July 31, 2023, with an option</w:t>
      </w:r>
      <w:r>
        <w:rPr>
          <w:rFonts w:ascii="Times New Roman" w:hAnsi="Times New Roman"/>
          <w:sz w:val="20"/>
        </w:rPr>
        <w:t xml:space="preserve"> </w:t>
      </w:r>
      <w:r>
        <w:rPr>
          <w:rFonts w:ascii="Arial" w:hAnsi="Arial"/>
          <w:b w:val="false"/>
          <w:sz w:val="20"/>
        </w:rPr>
        <w:t>to renew for an additional</w:t>
      </w:r>
      <w:r>
        <w:rPr>
          <w:rFonts w:ascii="Times New Roman" w:hAnsi="Times New Roman"/>
          <w:sz w:val="20"/>
        </w:rPr>
        <w:t xml:space="preserve"> </w:t>
      </w:r>
      <w:r>
        <w:rPr>
          <w:rFonts w:ascii="Arial" w:hAnsi="Arial"/>
          <w:b w:val="false"/>
          <w:sz w:val="20"/>
        </w:rPr>
        <w:t>12 months.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Upon the execution of the amendment, which was deemed to be a lease modification, the Company re-evaluated the assumptions made at the original lease commencement date. The Company determined the amendment consists of two separate contracts under ASC 842. One contract is related to the modification of term for the original space, and the other is related to a new right-of-use for the two additional spaces, which are to be accounted for as new leases. The Company remeasured the lease liability and corresponding right-of-use asset for the original space as of the effective date of the amendment to reflect the extended term and recorded in the second quarter of 2021 an additional right-of-use asset and lease liability upon lease commencement of each of the additional space.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Company also leases office and laboratory equipment for which the related expense is immaterial.</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following table contains a summary of the lease costs recognized under ASC 842 and other information pertaining to the Company’s leases for the three months ended March 31, 2022 and 2021 (in thousands):</w:t>
      </w:r>
      <w:r>
        <w:rPr>
          <w:rFonts w:ascii="Times New Roman" w:hAnsi="Times New Roman"/>
          <w:sz w:val="20"/>
        </w:rPr>
        <w:t xml:space="preserve"> </w:t>
      </w:r>
    </w:p>
    <w:p>
      <w:pPr>
        <w:pStyle w:val="TextBody"/>
        <w:spacing w:lineRule="auto" w:line="273" w:before="0" w:after="0"/>
        <w:jc w:val="left"/>
        <w:rPr/>
      </w:pPr>
      <w:r>
        <w:rPr/>
        <w:t> </w:t>
      </w:r>
    </w:p>
    <w:tbl>
      <w:tblPr>
        <w:tblW w:w="6186" w:type="dxa"/>
        <w:jc w:val="left"/>
        <w:tblInd w:w="0" w:type="dxa"/>
        <w:tblCellMar>
          <w:top w:w="28" w:type="dxa"/>
          <w:left w:w="28" w:type="dxa"/>
          <w:bottom w:w="28" w:type="dxa"/>
          <w:right w:w="28" w:type="dxa"/>
        </w:tblCellMar>
      </w:tblPr>
      <w:tblGrid>
        <w:gridCol w:w="3811"/>
        <w:gridCol w:w="146"/>
        <w:gridCol w:w="276"/>
        <w:gridCol w:w="552"/>
        <w:gridCol w:w="191"/>
        <w:gridCol w:w="191"/>
        <w:gridCol w:w="276"/>
        <w:gridCol w:w="552"/>
        <w:gridCol w:w="191"/>
      </w:tblGrid>
      <w:tr>
        <w:trPr/>
        <w:tc>
          <w:tcPr>
            <w:tcW w:w="3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8" w:type="dxa"/>
            <w:gridSpan w:val="6"/>
            <w:tcBorders/>
            <w:shd w:fill="auto" w:val="cle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8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1" w:type="dxa"/>
            <w:tcBorders/>
            <w:shd w:fill="auto" w:val="clear"/>
            <w:vAlign w:val="center"/>
          </w:tcPr>
          <w:p>
            <w:pPr>
              <w:pStyle w:val="TableContents"/>
              <w:spacing w:lineRule="auto" w:line="252" w:before="0" w:after="0"/>
              <w:ind w:left="0" w:right="0" w:hanging="0"/>
              <w:jc w:val="center"/>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1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Lease Cost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8"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828"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8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Amortization of finance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52"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5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8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lease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154</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8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Variable lease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176</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276"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8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Short-term lease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lease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161</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9828" w:type="dxa"/>
        <w:jc w:val="left"/>
        <w:tblInd w:w="0" w:type="dxa"/>
        <w:tblCellMar>
          <w:top w:w="28" w:type="dxa"/>
          <w:left w:w="28" w:type="dxa"/>
          <w:bottom w:w="28" w:type="dxa"/>
          <w:right w:w="28" w:type="dxa"/>
        </w:tblCellMar>
      </w:tblPr>
      <w:tblGrid>
        <w:gridCol w:w="7681"/>
        <w:gridCol w:w="146"/>
        <w:gridCol w:w="211"/>
        <w:gridCol w:w="481"/>
        <w:gridCol w:w="286"/>
        <w:gridCol w:w="211"/>
        <w:gridCol w:w="481"/>
        <w:gridCol w:w="331"/>
      </w:tblGrid>
      <w:tr>
        <w:trPr/>
        <w:tc>
          <w:tcPr>
            <w:tcW w:w="7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76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paid for amounts included in the measurement of lease liability—finance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76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paid for amounts included in the measurement of lease liability—operating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153</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76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remaining lease term—finance leases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0.17</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76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remaining lease term—operating leases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1.33</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76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discount rate—finance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7.94</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76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discount rate—operating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3.51</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3.51</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Arial" w:hAnsi="Arial"/>
          <w:b w:val="false"/>
          <w:sz w:val="20"/>
        </w:rPr>
        <w:t>The following table reconciles the future minimum commitments to the Company’s operating lease liabilities at March 31, 2022 (in thousands):</w:t>
      </w:r>
      <w:r>
        <w:rPr>
          <w:rFonts w:ascii="Times New Roman" w:hAnsi="Times New Roman"/>
          <w:sz w:val="20"/>
        </w:rPr>
        <w:t xml:space="preserve"> </w:t>
      </w:r>
    </w:p>
    <w:p>
      <w:pPr>
        <w:pStyle w:val="TextBody"/>
        <w:spacing w:lineRule="auto" w:line="273" w:before="0" w:after="0"/>
        <w:jc w:val="left"/>
        <w:rPr/>
      </w:pPr>
      <w:r>
        <w:rPr/>
        <w:t> </w:t>
      </w:r>
    </w:p>
    <w:tbl>
      <w:tblPr>
        <w:tblW w:w="7828" w:type="dxa"/>
        <w:jc w:val="left"/>
        <w:tblInd w:w="0" w:type="dxa"/>
        <w:tblCellMar>
          <w:top w:w="28" w:type="dxa"/>
          <w:left w:w="28" w:type="dxa"/>
          <w:bottom w:w="28" w:type="dxa"/>
          <w:right w:w="28" w:type="dxa"/>
        </w:tblCellMar>
      </w:tblPr>
      <w:tblGrid>
        <w:gridCol w:w="4381"/>
        <w:gridCol w:w="146"/>
        <w:gridCol w:w="1029"/>
        <w:gridCol w:w="2061"/>
        <w:gridCol w:w="211"/>
      </w:tblGrid>
      <w:tr>
        <w:trPr/>
        <w:tc>
          <w:tcPr>
            <w:tcW w:w="4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09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 xml:space="preserve">Operating lease payments as of </w:t>
              <w:br/>
              <w:t>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473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left"/>
              <w:rPr/>
            </w:pPr>
            <w:r>
              <w:rPr/>
              <w:t> </w:t>
            </w:r>
          </w:p>
        </w:tc>
        <w:tc>
          <w:tcPr>
            <w:tcW w:w="20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left"/>
              <w:rPr/>
            </w:pPr>
            <w:r>
              <w:rPr/>
              <w:t> </w:t>
            </w:r>
          </w:p>
        </w:tc>
        <w:tc>
          <w:tcPr>
            <w:tcW w:w="20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Less: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operating lease liabilities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Less: current portion of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0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3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Lease liabilities, net of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206</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240" w:after="0"/>
        <w:jc w:val="both"/>
        <w:rPr>
          <w:rFonts w:ascii="Times New Roman" w:hAnsi="Times New Roman"/>
          <w:sz w:val="20"/>
        </w:rPr>
      </w:pPr>
      <w:r>
        <w:rPr>
          <w:rFonts w:ascii="Arial" w:hAnsi="Arial"/>
          <w:b/>
          <w:i/>
          <w:sz w:val="20"/>
        </w:rPr>
        <w:t>Laser Purchasing Commitment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On April 5, 2019, the Company entered into a purchase agreement for equipment with future commitments payable in three</w:t>
      </w:r>
      <w:r>
        <w:rPr>
          <w:rFonts w:ascii="Times New Roman" w:hAnsi="Times New Roman"/>
          <w:sz w:val="20"/>
        </w:rPr>
        <w:t xml:space="preserve"> </w:t>
      </w:r>
      <w:r>
        <w:rPr>
          <w:rFonts w:ascii="Arial" w:hAnsi="Arial"/>
          <w:b w:val="false"/>
          <w:sz w:val="20"/>
        </w:rPr>
        <w:t>installments of €0.2</w:t>
      </w:r>
      <w:r>
        <w:rPr>
          <w:rFonts w:ascii="Times New Roman" w:hAnsi="Times New Roman"/>
          <w:sz w:val="20"/>
        </w:rPr>
        <w:t xml:space="preserve"> </w:t>
      </w:r>
      <w:r>
        <w:rPr>
          <w:rFonts w:ascii="Arial" w:hAnsi="Arial"/>
          <w:b w:val="false"/>
          <w:sz w:val="20"/>
        </w:rPr>
        <w:t>million each. The first two installments of €0.2</w:t>
      </w:r>
      <w:r>
        <w:rPr>
          <w:rFonts w:ascii="Times New Roman" w:hAnsi="Times New Roman"/>
          <w:sz w:val="20"/>
        </w:rPr>
        <w:t xml:space="preserve"> </w:t>
      </w:r>
      <w:r>
        <w:rPr>
          <w:rFonts w:ascii="Arial" w:hAnsi="Arial"/>
          <w:b w:val="false"/>
          <w:sz w:val="20"/>
        </w:rPr>
        <w:t>million were paid by the Company in April 2019 and August 2019. Upon receipt of the laser systems, the Company will assess whether the laser systems have an alternative future use and, if so, will capitalize the lasers as a component of fixed assets.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License Agreements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Company has entered into the following key agreements that relate to the core technology under development: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i/>
          <w:sz w:val="20"/>
        </w:rPr>
        <w:t>LI-COR Exclusive License and Supply Agreement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January 2014, the Company entered into an Exclusive License and Supply Agreement, or the LI-COR Exclusive License agreement with LI-COR, Inc. (LI-COR) for the license of IRDye 700DC and related licensed patents for the treatment and diagnosis of ocular cancers in humans as amended in January 2016, July 2017, April 2018 and April 2019. The LI-COR Exclusive License Agreement required a one-time upfront license issue fee of $0.1</w:t>
      </w:r>
      <w:r>
        <w:rPr>
          <w:rFonts w:ascii="Times New Roman" w:hAnsi="Times New Roman"/>
          <w:sz w:val="20"/>
        </w:rPr>
        <w:t xml:space="preserve"> </w:t>
      </w:r>
      <w:r>
        <w:rPr>
          <w:rFonts w:ascii="Arial" w:hAnsi="Arial"/>
          <w:b w:val="false"/>
          <w:sz w:val="20"/>
        </w:rPr>
        <w:t>million and aggregate milestone payments of up to $0.2</w:t>
      </w:r>
      <w:r>
        <w:rPr>
          <w:rFonts w:ascii="Times New Roman" w:hAnsi="Times New Roman"/>
          <w:sz w:val="20"/>
        </w:rPr>
        <w:t xml:space="preserve"> </w:t>
      </w:r>
      <w:r>
        <w:rPr>
          <w:rFonts w:ascii="Arial" w:hAnsi="Arial"/>
          <w:b w:val="false"/>
          <w:sz w:val="20"/>
        </w:rPr>
        <w:t>million upon certain regulatory and development milestones. The Company is also required to pay LI-COR low-single digit royalties on net sales. The term of the LI-COR Exclusive Agreement expires on a country-by-country basis, until the longer of (i) ten years</w:t>
      </w:r>
      <w:r>
        <w:rPr>
          <w:rFonts w:ascii="Times New Roman" w:hAnsi="Times New Roman"/>
          <w:sz w:val="20"/>
        </w:rPr>
        <w:t xml:space="preserve"> </w:t>
      </w:r>
      <w:r>
        <w:rPr>
          <w:rFonts w:ascii="Arial" w:hAnsi="Arial"/>
          <w:b w:val="false"/>
          <w:sz w:val="20"/>
        </w:rPr>
        <w:t>from the first commercial sale of a licensed product in such country and (ii) the last to expire valid claim in such country.</w:t>
      </w:r>
    </w:p>
    <w:p>
      <w:pPr>
        <w:pStyle w:val="TextBody"/>
        <w:spacing w:lineRule="auto" w:line="273" w:before="80" w:after="0"/>
        <w:jc w:val="both"/>
        <w:rPr>
          <w:rFonts w:ascii="Times New Roman" w:hAnsi="Times New Roman"/>
          <w:sz w:val="20"/>
        </w:rPr>
      </w:pPr>
      <w:r>
        <w:rPr>
          <w:rFonts w:ascii="Arial" w:hAnsi="Arial"/>
          <w:b w:val="false"/>
          <w:sz w:val="20"/>
        </w:rPr>
        <w:t>The Company recognized no</w:t>
      </w:r>
      <w:r>
        <w:rPr>
          <w:rFonts w:ascii="Times New Roman" w:hAnsi="Times New Roman"/>
          <w:sz w:val="20"/>
        </w:rPr>
        <w:t xml:space="preserve"> </w:t>
      </w:r>
      <w:r>
        <w:rPr>
          <w:rFonts w:ascii="Arial" w:hAnsi="Arial"/>
          <w:b w:val="false"/>
          <w:sz w:val="20"/>
        </w:rPr>
        <w:t>expenses related to this agreement and related amendments for the three months ended March 31, 2022, and 2021, respectively.</w:t>
      </w:r>
    </w:p>
    <w:p>
      <w:pPr>
        <w:pStyle w:val="TextBody"/>
        <w:spacing w:lineRule="auto" w:line="273" w:before="240" w:after="0"/>
        <w:jc w:val="both"/>
        <w:rPr>
          <w:rFonts w:ascii="Times New Roman" w:hAnsi="Times New Roman"/>
          <w:sz w:val="20"/>
        </w:rPr>
      </w:pPr>
      <w:r>
        <w:rPr>
          <w:rFonts w:ascii="Arial" w:hAnsi="Arial"/>
          <w:b w:val="false"/>
          <w:i/>
          <w:sz w:val="20"/>
        </w:rPr>
        <w:t>LI-COR Non-Exclusive License and Supply Agreement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w:t>
      </w:r>
      <w:r>
        <w:rPr>
          <w:rFonts w:ascii="Times New Roman" w:hAnsi="Times New Roman"/>
          <w:sz w:val="20"/>
        </w:rPr>
        <w:t xml:space="preserve"> </w:t>
      </w:r>
      <w:r>
        <w:rPr>
          <w:rFonts w:ascii="Arial" w:hAnsi="Arial"/>
          <w:b w:val="false"/>
          <w:sz w:val="20"/>
        </w:rPr>
        <w:t>million on the effective date. The Company must also pay LI-COR a non-refundable, non-creditable fee of $0.03</w:t>
      </w:r>
      <w:r>
        <w:rPr>
          <w:rFonts w:ascii="Times New Roman" w:hAnsi="Times New Roman"/>
          <w:sz w:val="20"/>
        </w:rPr>
        <w:t xml:space="preserve"> </w:t>
      </w:r>
      <w:r>
        <w:rPr>
          <w:rFonts w:ascii="Arial" w:hAnsi="Arial"/>
          <w:b w:val="false"/>
          <w:sz w:val="20"/>
        </w:rPr>
        <w:t>million per each licensed product upon pre-IND designation, as defined of such licensed product, aggregate milestone payments of up to $0.3</w:t>
      </w:r>
      <w:r>
        <w:rPr>
          <w:rFonts w:ascii="Times New Roman" w:hAnsi="Times New Roman"/>
          <w:sz w:val="20"/>
        </w:rPr>
        <w:t xml:space="preserve"> </w:t>
      </w:r>
      <w:r>
        <w:rPr>
          <w:rFonts w:ascii="Arial" w:hAnsi="Arial"/>
          <w:b w:val="false"/>
          <w:sz w:val="20"/>
        </w:rPr>
        <w:t>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w:t>
      </w:r>
      <w:r>
        <w:rPr>
          <w:rFonts w:ascii="Times New Roman" w:hAnsi="Times New Roman"/>
          <w:sz w:val="20"/>
        </w:rPr>
        <w:t xml:space="preserve"> </w:t>
      </w:r>
      <w:r>
        <w:rPr>
          <w:rFonts w:ascii="Arial" w:hAnsi="Arial"/>
          <w:b w:val="false"/>
          <w:sz w:val="20"/>
        </w:rPr>
        <w:t>million in aggregate.</w:t>
      </w:r>
    </w:p>
    <w:p>
      <w:pPr>
        <w:pStyle w:val="TextBody"/>
        <w:spacing w:lineRule="auto" w:line="273" w:before="240" w:after="0"/>
        <w:jc w:val="center"/>
        <w:rPr>
          <w:rFonts w:ascii="Arial" w:hAnsi="Arial"/>
          <w:b w:val="false"/>
          <w:sz w:val="20"/>
        </w:rPr>
      </w:pPr>
      <w:r>
        <w:rPr>
          <w:rFonts w:ascii="Arial" w:hAnsi="Arial"/>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Arial" w:hAnsi="Arial"/>
          <w:b w:val="false"/>
          <w:i/>
          <w:sz w:val="20"/>
        </w:rPr>
        <w:t>Life Technologies Corporation</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December 2014, the Company entered into a non-exclusive, perpetual license agreement with Life Technologies Corporation (“Life Technologies”), which allows for five</w:t>
      </w:r>
      <w:r>
        <w:rPr>
          <w:rFonts w:ascii="Times New Roman" w:hAnsi="Times New Roman"/>
          <w:sz w:val="20"/>
        </w:rPr>
        <w:t xml:space="preserve"> </w:t>
      </w:r>
      <w:r>
        <w:rPr>
          <w:rFonts w:ascii="Arial" w:hAnsi="Arial"/>
          <w:b w:val="false"/>
          <w:sz w:val="20"/>
        </w:rPr>
        <w:t>licensed products. Under this agreement the Company is required to pay an initial license fee of $0.1</w:t>
      </w:r>
      <w:r>
        <w:rPr>
          <w:rFonts w:ascii="Times New Roman" w:hAnsi="Times New Roman"/>
          <w:sz w:val="20"/>
        </w:rPr>
        <w:t xml:space="preserve"> </w:t>
      </w:r>
      <w:r>
        <w:rPr>
          <w:rFonts w:ascii="Arial" w:hAnsi="Arial"/>
          <w:b w:val="false"/>
          <w:sz w:val="20"/>
        </w:rPr>
        <w:t>each product. An annual development fee of $0.1</w:t>
      </w:r>
      <w:r>
        <w:rPr>
          <w:rFonts w:ascii="Times New Roman" w:hAnsi="Times New Roman"/>
          <w:sz w:val="20"/>
        </w:rPr>
        <w:t xml:space="preserve"> </w:t>
      </w:r>
      <w:r>
        <w:rPr>
          <w:rFonts w:ascii="Arial" w:hAnsi="Arial"/>
          <w:b w:val="false"/>
          <w:sz w:val="20"/>
        </w:rPr>
        <w:t>million is due within a year from payment of the initial license fee and due annually or earlier of (i) payment of a commercialization fee or (ii) all development work is terminated. The commercialization fee is a one-time, non-refundable, non-creditable fee of $0.3</w:t>
      </w:r>
      <w:r>
        <w:rPr>
          <w:rFonts w:ascii="Times New Roman" w:hAnsi="Times New Roman"/>
          <w:sz w:val="20"/>
        </w:rPr>
        <w:t xml:space="preserve"> </w:t>
      </w:r>
      <w:r>
        <w:rPr>
          <w:rFonts w:ascii="Arial" w:hAnsi="Arial"/>
          <w:b w:val="false"/>
          <w:sz w:val="20"/>
        </w:rPr>
        <w:t>million due upon receipt of approval of a licensed product. In the event of a change of control, there will be a change of control fee of $0.2</w:t>
      </w:r>
      <w:r>
        <w:rPr>
          <w:rFonts w:ascii="Times New Roman" w:hAnsi="Times New Roman"/>
          <w:sz w:val="20"/>
        </w:rPr>
        <w:t xml:space="preserve"> </w:t>
      </w:r>
      <w:r>
        <w:rPr>
          <w:rFonts w:ascii="Arial" w:hAnsi="Arial"/>
          <w:b w:val="false"/>
          <w:sz w:val="20"/>
        </w:rPr>
        <w:t>million.</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January 2022, the Company entered into the First Amendment to the non-exclusive, perpetual license agreement with Life Technologies for use of the license in an additional indication. The cost of this amendment was a one-time fee of $0.05</w:t>
      </w:r>
      <w:r>
        <w:rPr>
          <w:rFonts w:ascii="Times New Roman" w:hAnsi="Times New Roman"/>
          <w:sz w:val="20"/>
        </w:rPr>
        <w:t xml:space="preserve"> </w:t>
      </w:r>
      <w:r>
        <w:rPr>
          <w:rFonts w:ascii="Arial" w:hAnsi="Arial"/>
          <w:b w:val="false"/>
          <w:sz w:val="20"/>
        </w:rPr>
        <w:t>million.</w:t>
      </w:r>
    </w:p>
    <w:p>
      <w:pPr>
        <w:pStyle w:val="TextBody"/>
        <w:spacing w:lineRule="auto" w:line="273" w:before="80" w:after="0"/>
        <w:jc w:val="both"/>
        <w:rPr>
          <w:rFonts w:ascii="Times New Roman" w:hAnsi="Times New Roman"/>
          <w:sz w:val="20"/>
        </w:rPr>
      </w:pPr>
      <w:r>
        <w:rPr>
          <w:rFonts w:ascii="Arial" w:hAnsi="Arial"/>
          <w:b w:val="false"/>
          <w:sz w:val="20"/>
        </w:rPr>
        <w:t>During the three months ended March 31, 2022, and 2021, the Company recognized $0.05</w:t>
      </w:r>
      <w:r>
        <w:rPr>
          <w:rFonts w:ascii="Times New Roman" w:hAnsi="Times New Roman"/>
          <w:sz w:val="20"/>
        </w:rPr>
        <w:t xml:space="preserve"> </w:t>
      </w:r>
      <w:r>
        <w:rPr>
          <w:rFonts w:ascii="Arial" w:hAnsi="Arial"/>
          <w:b w:val="false"/>
          <w:sz w:val="20"/>
        </w:rPr>
        <w:t>million and $0.02</w:t>
      </w:r>
      <w:r>
        <w:rPr>
          <w:rFonts w:ascii="Times New Roman" w:hAnsi="Times New Roman"/>
          <w:sz w:val="20"/>
        </w:rPr>
        <w:t xml:space="preserve"> </w:t>
      </w:r>
      <w:r>
        <w:rPr>
          <w:rFonts w:ascii="Arial" w:hAnsi="Arial"/>
          <w:b w:val="false"/>
          <w:sz w:val="20"/>
        </w:rPr>
        <w:t>million of expenses related to this agreement.</w:t>
      </w:r>
    </w:p>
    <w:p>
      <w:pPr>
        <w:pStyle w:val="TextBody"/>
        <w:spacing w:lineRule="auto" w:line="273" w:before="240" w:after="0"/>
        <w:jc w:val="both"/>
        <w:rPr>
          <w:rFonts w:ascii="Times New Roman" w:hAnsi="Times New Roman"/>
          <w:sz w:val="20"/>
        </w:rPr>
      </w:pPr>
      <w:r>
        <w:rPr>
          <w:rFonts w:ascii="Arial" w:hAnsi="Arial"/>
          <w:b w:val="false"/>
          <w:i/>
          <w:sz w:val="20"/>
        </w:rPr>
        <w:t>National Institute of Health (NIH)-Biologic Materials License Agreement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December 2010, the Company entered into a Biologic Materials License Agreement with NIH for a non-exclusive right to use materials described in Schiller et al., Virology 2004 Apr.10, 321(2):205-16. This agreement required a one-time non-refundable license issuance fee of $0.02</w:t>
      </w:r>
      <w:r>
        <w:rPr>
          <w:rFonts w:ascii="Times New Roman" w:hAnsi="Times New Roman"/>
          <w:sz w:val="20"/>
        </w:rPr>
        <w:t xml:space="preserve"> </w:t>
      </w:r>
      <w:r>
        <w:rPr>
          <w:rFonts w:ascii="Arial" w:hAnsi="Arial"/>
          <w:b w:val="false"/>
          <w:sz w:val="20"/>
        </w:rPr>
        <w:t>million. No</w:t>
      </w:r>
      <w:r>
        <w:rPr>
          <w:rFonts w:ascii="Times New Roman" w:hAnsi="Times New Roman"/>
          <w:sz w:val="20"/>
        </w:rPr>
        <w:t xml:space="preserve"> </w:t>
      </w:r>
      <w:r>
        <w:rPr>
          <w:rFonts w:ascii="Arial" w:hAnsi="Arial"/>
          <w:b w:val="false"/>
          <w:sz w:val="20"/>
        </w:rPr>
        <w:t>future milestone payments or royalties are due under this agreement.</w:t>
      </w:r>
    </w:p>
    <w:p>
      <w:pPr>
        <w:pStyle w:val="TextBody"/>
        <w:spacing w:lineRule="auto" w:line="273" w:before="240" w:after="0"/>
        <w:jc w:val="both"/>
        <w:rPr>
          <w:rFonts w:ascii="Times New Roman" w:hAnsi="Times New Roman"/>
          <w:sz w:val="20"/>
        </w:rPr>
      </w:pPr>
      <w:r>
        <w:rPr>
          <w:rFonts w:ascii="Arial" w:hAnsi="Arial"/>
          <w:b w:val="false"/>
          <w:i/>
          <w:sz w:val="20"/>
        </w:rPr>
        <w:t>National Institute of Health (NIH)-Collaboration Research and Development Agreement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July 2011, the Company entered into a Collaboration Research and Development Agreement (CRADA), with Dr. John Schiller at the NIH, for a period of two years</w:t>
      </w:r>
      <w:r>
        <w:rPr>
          <w:rFonts w:ascii="Times New Roman" w:hAnsi="Times New Roman"/>
          <w:sz w:val="20"/>
        </w:rPr>
        <w:t xml:space="preserve"> </w:t>
      </w:r>
      <w:r>
        <w:rPr>
          <w:rFonts w:ascii="Arial" w:hAnsi="Arial"/>
          <w:b w:val="false"/>
          <w:sz w:val="20"/>
        </w:rPr>
        <w:t>with the rights to an exclusive license to all technology generated within the collaboration. Under this agreement, the Company is required to make annual payments of $0.03</w:t>
      </w:r>
      <w:r>
        <w:rPr>
          <w:rFonts w:ascii="Times New Roman" w:hAnsi="Times New Roman"/>
          <w:sz w:val="20"/>
        </w:rPr>
        <w:t xml:space="preserve"> </w:t>
      </w:r>
      <w:r>
        <w:rPr>
          <w:rFonts w:ascii="Arial" w:hAnsi="Arial"/>
          <w:b w:val="false"/>
          <w:sz w:val="20"/>
        </w:rPr>
        <w:t>million to fund the research activities, the first payment of which was paid within 30 days of the effective date. Subsequent payments are due within 30 days of the anniversary of the effective date. This agreement was first amended in 2012, 2013, 2014, 2015, 2016, 2018 and most recently in September of 2020. During 2011-2022, the Company paid an aggregate of $0.4</w:t>
      </w:r>
      <w:r>
        <w:rPr>
          <w:rFonts w:ascii="Times New Roman" w:hAnsi="Times New Roman"/>
          <w:sz w:val="20"/>
        </w:rPr>
        <w:t xml:space="preserve"> </w:t>
      </w:r>
      <w:r>
        <w:rPr>
          <w:rFonts w:ascii="Arial" w:hAnsi="Arial"/>
          <w:b w:val="false"/>
          <w:sz w:val="20"/>
        </w:rPr>
        <w:t>million in research collaboration fees, $nil</w:t>
      </w:r>
      <w:r>
        <w:rPr>
          <w:rFonts w:ascii="Times New Roman" w:hAnsi="Times New Roman"/>
          <w:sz w:val="20"/>
        </w:rPr>
        <w:t xml:space="preserve"> </w:t>
      </w:r>
      <w:r>
        <w:rPr>
          <w:rFonts w:ascii="Arial" w:hAnsi="Arial"/>
          <w:b w:val="false"/>
          <w:sz w:val="20"/>
        </w:rPr>
        <w:t>and $0.03</w:t>
      </w:r>
      <w:r>
        <w:rPr>
          <w:rFonts w:ascii="Times New Roman" w:hAnsi="Times New Roman"/>
          <w:sz w:val="20"/>
        </w:rPr>
        <w:t xml:space="preserve"> </w:t>
      </w:r>
      <w:r>
        <w:rPr>
          <w:rFonts w:ascii="Arial" w:hAnsi="Arial"/>
          <w:b w:val="false"/>
          <w:sz w:val="20"/>
        </w:rPr>
        <w:t>million of which was paid in 2022 and 2021, respectively.</w:t>
      </w:r>
    </w:p>
    <w:p>
      <w:pPr>
        <w:pStyle w:val="TextBody"/>
        <w:spacing w:lineRule="auto" w:line="273" w:before="240" w:after="0"/>
        <w:jc w:val="both"/>
        <w:rPr>
          <w:rFonts w:ascii="Times New Roman" w:hAnsi="Times New Roman"/>
          <w:sz w:val="20"/>
        </w:rPr>
      </w:pPr>
      <w:r>
        <w:rPr>
          <w:rFonts w:ascii="Arial" w:hAnsi="Arial"/>
          <w:b w:val="false"/>
          <w:sz w:val="20"/>
        </w:rPr>
        <w:t>A seventh amendment was made in October 2020, requiring payment of $0.04</w:t>
      </w:r>
      <w:r>
        <w:rPr>
          <w:rFonts w:ascii="Times New Roman" w:hAnsi="Times New Roman"/>
          <w:sz w:val="20"/>
        </w:rPr>
        <w:t xml:space="preserve"> </w:t>
      </w:r>
      <w:r>
        <w:rPr>
          <w:rFonts w:ascii="Arial" w:hAnsi="Arial"/>
          <w:b w:val="false"/>
          <w:sz w:val="20"/>
        </w:rPr>
        <w:t>million within 30 days of October 1, 2020, and another $0.03</w:t>
      </w:r>
      <w:r>
        <w:rPr>
          <w:rFonts w:ascii="Times New Roman" w:hAnsi="Times New Roman"/>
          <w:sz w:val="20"/>
        </w:rPr>
        <w:t xml:space="preserve"> </w:t>
      </w:r>
      <w:r>
        <w:rPr>
          <w:rFonts w:ascii="Arial" w:hAnsi="Arial"/>
          <w:b w:val="false"/>
          <w:sz w:val="20"/>
        </w:rPr>
        <w:t>million within 30 days of the 10th anniversary of the CRADA, which was paid in July 2021. This seventh amendment extended the term of the CRADA to September 30, 2022.</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Company recognized no</w:t>
      </w:r>
      <w:r>
        <w:rPr>
          <w:rFonts w:ascii="Times New Roman" w:hAnsi="Times New Roman"/>
          <w:sz w:val="20"/>
        </w:rPr>
        <w:t xml:space="preserve"> </w:t>
      </w:r>
      <w:r>
        <w:rPr>
          <w:rFonts w:ascii="Arial" w:hAnsi="Arial"/>
          <w:b w:val="false"/>
          <w:sz w:val="20"/>
        </w:rPr>
        <w:t>expenses related to this agreement and related amendments for the three months ended March 31, 2022, and 2021, respectively</w:t>
      </w:r>
    </w:p>
    <w:p>
      <w:pPr>
        <w:pStyle w:val="TextBody"/>
        <w:spacing w:lineRule="auto" w:line="273" w:before="240" w:after="0"/>
        <w:jc w:val="both"/>
        <w:rPr>
          <w:rFonts w:ascii="Times New Roman" w:hAnsi="Times New Roman"/>
          <w:sz w:val="20"/>
        </w:rPr>
      </w:pPr>
      <w:r>
        <w:rPr>
          <w:rFonts w:ascii="Arial" w:hAnsi="Arial"/>
          <w:b w:val="false"/>
          <w:i/>
          <w:sz w:val="20"/>
        </w:rPr>
        <w:t>National Institute of Health (NIH)-Exclusive Patent License Agreement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September 2013, the Company entered into an exclusive patent license agreement (the “NIH Exclusive License Agreement”) with the NIH, that required the Company to pay a license issue royalty of $0.1</w:t>
      </w:r>
      <w:r>
        <w:rPr>
          <w:rFonts w:ascii="Times New Roman" w:hAnsi="Times New Roman"/>
          <w:sz w:val="20"/>
        </w:rPr>
        <w:t xml:space="preserve"> </w:t>
      </w:r>
      <w:r>
        <w:rPr>
          <w:rFonts w:ascii="Arial" w:hAnsi="Arial"/>
          <w:b w:val="false"/>
          <w:sz w:val="20"/>
        </w:rPr>
        <w:t>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w:t>
      </w:r>
      <w:r>
        <w:rPr>
          <w:rFonts w:ascii="Times New Roman" w:hAnsi="Times New Roman"/>
          <w:sz w:val="20"/>
        </w:rPr>
        <w:t xml:space="preserve"> </w:t>
      </w:r>
      <w:r>
        <w:rPr>
          <w:rFonts w:ascii="Arial" w:hAnsi="Arial"/>
          <w:b w:val="false"/>
          <w:sz w:val="20"/>
        </w:rPr>
        <w:t>million in aggregate and sales milestone payments up to $0.6</w:t>
      </w:r>
      <w:r>
        <w:rPr>
          <w:rFonts w:ascii="Times New Roman" w:hAnsi="Times New Roman"/>
          <w:sz w:val="20"/>
        </w:rPr>
        <w:t xml:space="preserve"> </w:t>
      </w:r>
      <w:r>
        <w:rPr>
          <w:rFonts w:ascii="Arial" w:hAnsi="Arial"/>
          <w:b w:val="false"/>
          <w:sz w:val="20"/>
        </w:rPr>
        <w:t>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As of March 31, 2022, the Company has paid NIH approximately $0.4</w:t>
      </w:r>
      <w:r>
        <w:rPr>
          <w:rFonts w:ascii="Times New Roman" w:hAnsi="Times New Roman"/>
          <w:sz w:val="20"/>
        </w:rPr>
        <w:t xml:space="preserve"> </w:t>
      </w:r>
      <w:r>
        <w:rPr>
          <w:rFonts w:ascii="Arial" w:hAnsi="Arial"/>
          <w:b w:val="false"/>
          <w:sz w:val="20"/>
        </w:rPr>
        <w:t>million in aggregate milestones under the NIH license agreement. The Company recognized no</w:t>
      </w:r>
      <w:r>
        <w:rPr>
          <w:rFonts w:ascii="Times New Roman" w:hAnsi="Times New Roman"/>
          <w:sz w:val="20"/>
        </w:rPr>
        <w:t xml:space="preserve"> </w:t>
      </w:r>
      <w:r>
        <w:rPr>
          <w:rFonts w:ascii="Arial" w:hAnsi="Arial"/>
          <w:b w:val="false"/>
          <w:sz w:val="20"/>
        </w:rPr>
        <w:t>expenses for patent licensing fees for the three months ended March 31, 2022, and 2021, respectively.</w:t>
      </w:r>
    </w:p>
    <w:p>
      <w:pPr>
        <w:pStyle w:val="TextBody"/>
        <w:spacing w:lineRule="auto" w:line="273" w:before="240" w:after="0"/>
        <w:jc w:val="both"/>
        <w:rPr>
          <w:rFonts w:ascii="Times New Roman" w:hAnsi="Times New Roman"/>
          <w:sz w:val="20"/>
        </w:rPr>
      </w:pPr>
      <w:r>
        <w:rPr>
          <w:rFonts w:ascii="Arial" w:hAnsi="Arial"/>
          <w:b w:val="false"/>
          <w:sz w:val="20"/>
        </w:rPr>
        <w:t>In 2015, 2018 and 2019, the Company amended its exclusive patent license to include updates on the status of the commercial development and update/expand the list of licensed patents and patent applications. Each of those amendments required a $0.03</w:t>
      </w:r>
      <w:r>
        <w:rPr>
          <w:rFonts w:ascii="Times New Roman" w:hAnsi="Times New Roman"/>
          <w:sz w:val="20"/>
        </w:rPr>
        <w:t xml:space="preserve"> </w:t>
      </w:r>
      <w:r>
        <w:rPr>
          <w:rFonts w:ascii="Arial" w:hAnsi="Arial"/>
          <w:b w:val="false"/>
          <w:sz w:val="20"/>
        </w:rPr>
        <w:t>million payment that the Company paid.</w:t>
      </w:r>
    </w:p>
    <w:p>
      <w:pPr>
        <w:pStyle w:val="TextBody"/>
        <w:spacing w:lineRule="auto" w:line="273" w:before="240" w:after="0"/>
        <w:jc w:val="center"/>
        <w:rPr>
          <w:rFonts w:ascii="Arial" w:hAnsi="Arial"/>
          <w:b w:val="false"/>
          <w:sz w:val="20"/>
        </w:rPr>
      </w:pPr>
      <w:r>
        <w:rPr>
          <w:rFonts w:ascii="Arial" w:hAnsi="Arial"/>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Arial" w:hAnsi="Arial"/>
          <w:b w:val="false"/>
          <w:i/>
          <w:sz w:val="20"/>
        </w:rPr>
      </w:pPr>
      <w:r>
        <w:rPr>
          <w:rFonts w:ascii="Arial" w:hAnsi="Arial"/>
          <w:b w:val="false"/>
          <w:i/>
          <w:sz w:val="20"/>
        </w:rPr>
        <w:t>Inserm-Transfert License Agreement</w:t>
      </w:r>
    </w:p>
    <w:p>
      <w:pPr>
        <w:pStyle w:val="TextBody"/>
        <w:spacing w:lineRule="auto" w:line="273" w:before="80" w:after="0"/>
        <w:jc w:val="both"/>
        <w:rPr>
          <w:rFonts w:ascii="Times New Roman" w:hAnsi="Times New Roman"/>
          <w:sz w:val="20"/>
        </w:rPr>
      </w:pPr>
      <w:r>
        <w:rPr>
          <w:rFonts w:ascii="Arial" w:hAnsi="Arial"/>
          <w:b w:val="false"/>
          <w:sz w:val="20"/>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w:t>
      </w:r>
      <w:r>
        <w:rPr>
          <w:rFonts w:ascii="Times New Roman" w:hAnsi="Times New Roman"/>
          <w:sz w:val="20"/>
        </w:rPr>
        <w:t xml:space="preserve"> </w:t>
      </w:r>
      <w:r>
        <w:rPr>
          <w:rFonts w:ascii="Arial" w:hAnsi="Arial"/>
          <w:b w:val="false"/>
          <w:sz w:val="20"/>
        </w:rPr>
        <w:t>from the date of the first commercial sales by the Company, whichever is later. The IND filing milestone of €0.01</w:t>
      </w:r>
      <w:r>
        <w:rPr>
          <w:rFonts w:ascii="Times New Roman" w:hAnsi="Times New Roman"/>
          <w:sz w:val="20"/>
        </w:rPr>
        <w:t xml:space="preserve"> </w:t>
      </w:r>
      <w:r>
        <w:rPr>
          <w:rFonts w:ascii="Arial" w:hAnsi="Arial"/>
          <w:b w:val="false"/>
          <w:sz w:val="20"/>
        </w:rPr>
        <w:t>million was accrued in 2016 and paid in 2017 by the Company. The milestones for the successful Phase I, II and III clinical trials are based on receiving a final report and achieving the primary endpoints defined in that trial, and those milestones have not been achieved as of March 31, 2022.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three months ended March 31, 2022, and 2021.</w:t>
      </w:r>
    </w:p>
    <w:p>
      <w:pPr>
        <w:pStyle w:val="TextBody"/>
        <w:spacing w:lineRule="auto" w:line="273" w:before="240" w:after="0"/>
        <w:jc w:val="left"/>
        <w:rPr>
          <w:rFonts w:ascii="Times New Roman" w:hAnsi="Times New Roman"/>
          <w:sz w:val="20"/>
        </w:rPr>
      </w:pPr>
      <w:r>
        <w:rPr>
          <w:rFonts w:ascii="Arial" w:hAnsi="Arial"/>
          <w:b w:val="false"/>
          <w:i/>
          <w:sz w:val="20"/>
        </w:rPr>
        <w:t>Clearside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July 2019, the Company entered into an exclusive license agreement with Clearside Biomedical, Inc. (“Clearside”), for the license of Clearside’s Suprachoroidal Microneedle Technology for use in the treatment of indeterminate lesions and choroidal tumors. Upon execution of the License Agreement, the Company paid Clearside an upfront payment of $0.1</w:t>
      </w:r>
      <w:r>
        <w:rPr>
          <w:rFonts w:ascii="Times New Roman" w:hAnsi="Times New Roman"/>
          <w:sz w:val="20"/>
        </w:rPr>
        <w:t xml:space="preserve"> </w:t>
      </w:r>
      <w:r>
        <w:rPr>
          <w:rFonts w:ascii="Arial" w:hAnsi="Arial"/>
          <w:b w:val="false"/>
          <w:sz w:val="20"/>
        </w:rPr>
        <w:t>million which was expensed as incurred. Under the Clearside License Agreement, the Company is required to pay milestones up to $21.0</w:t>
      </w:r>
      <w:r>
        <w:rPr>
          <w:rFonts w:ascii="Times New Roman" w:hAnsi="Times New Roman"/>
          <w:sz w:val="20"/>
        </w:rPr>
        <w:t xml:space="preserve"> </w:t>
      </w:r>
      <w:r>
        <w:rPr>
          <w:rFonts w:ascii="Arial" w:hAnsi="Arial"/>
          <w:b w:val="false"/>
          <w:sz w:val="20"/>
        </w:rPr>
        <w:t>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pStyle w:val="TextBody"/>
        <w:spacing w:lineRule="auto" w:line="273" w:before="240" w:after="0"/>
        <w:jc w:val="both"/>
        <w:rPr>
          <w:rFonts w:ascii="Times New Roman" w:hAnsi="Times New Roman"/>
          <w:sz w:val="20"/>
        </w:rPr>
      </w:pPr>
      <w:r>
        <w:rPr>
          <w:rFonts w:ascii="Arial" w:hAnsi="Arial"/>
          <w:b w:val="false"/>
          <w:sz w:val="20"/>
        </w:rPr>
        <w:t>The Clearside License agreement expires on a country-by-country basis upon the later of the last to expire patent or ten years</w:t>
      </w:r>
      <w:r>
        <w:rPr>
          <w:rFonts w:ascii="Times New Roman" w:hAnsi="Times New Roman"/>
          <w:sz w:val="20"/>
        </w:rPr>
        <w:t xml:space="preserve"> </w:t>
      </w:r>
      <w:r>
        <w:rPr>
          <w:rFonts w:ascii="Arial" w:hAnsi="Arial"/>
          <w:b w:val="false"/>
          <w:sz w:val="20"/>
        </w:rPr>
        <w:t>from the date of the first commercial sale of a product.</w:t>
      </w:r>
    </w:p>
    <w:p>
      <w:pPr>
        <w:pStyle w:val="TextBody"/>
        <w:spacing w:lineRule="auto" w:line="273" w:before="240" w:after="0"/>
        <w:jc w:val="both"/>
        <w:rPr>
          <w:rFonts w:ascii="Times New Roman" w:hAnsi="Times New Roman"/>
          <w:sz w:val="20"/>
        </w:rPr>
      </w:pPr>
      <w:r>
        <w:rPr>
          <w:rFonts w:ascii="Arial" w:hAnsi="Arial"/>
          <w:b w:val="false"/>
          <w:sz w:val="20"/>
        </w:rPr>
        <w:t>The Company recognized no</w:t>
      </w:r>
      <w:r>
        <w:rPr>
          <w:rFonts w:ascii="Times New Roman" w:hAnsi="Times New Roman"/>
          <w:sz w:val="20"/>
        </w:rPr>
        <w:t xml:space="preserve"> </w:t>
      </w:r>
      <w:r>
        <w:rPr>
          <w:rFonts w:ascii="Arial" w:hAnsi="Arial"/>
          <w:b w:val="false"/>
          <w:sz w:val="20"/>
        </w:rPr>
        <w:t>expenses related to this agreement and related amendments for the three months ended March 31, 2022, and 2021, respectively.</w:t>
      </w:r>
      <w:r>
        <w:rPr>
          <w:rFonts w:ascii="Times New Roman" w:hAnsi="Times New Roman"/>
          <w:sz w:val="20"/>
        </w:rPr>
        <w:t xml:space="preserve"> </w:t>
      </w:r>
    </w:p>
    <w:p>
      <w:pPr>
        <w:pStyle w:val="TextBody"/>
        <w:spacing w:lineRule="auto" w:line="273" w:before="240" w:after="0"/>
        <w:jc w:val="left"/>
        <w:rPr>
          <w:rFonts w:ascii="Arial" w:hAnsi="Arial"/>
          <w:b/>
          <w:sz w:val="20"/>
        </w:rPr>
      </w:pPr>
      <w:r>
        <w:rPr>
          <w:rFonts w:ascii="Arial" w:hAnsi="Arial"/>
          <w:b/>
          <w:sz w:val="20"/>
        </w:rPr>
        <w:t>13. Net Loss Per Share</w:t>
      </w:r>
    </w:p>
    <w:p>
      <w:pPr>
        <w:pStyle w:val="TextBody"/>
        <w:spacing w:lineRule="auto" w:line="273" w:before="80" w:after="0"/>
        <w:jc w:val="both"/>
        <w:rPr>
          <w:rFonts w:ascii="Times New Roman" w:hAnsi="Times New Roman"/>
          <w:sz w:val="20"/>
        </w:rPr>
      </w:pPr>
      <w:r>
        <w:rPr>
          <w:rFonts w:ascii="Arial" w:hAnsi="Arial"/>
          <w:b w:val="false"/>
          <w:sz w:val="20"/>
        </w:rPr>
        <w:t>Basic net loss per share is calculated by dividing the net loss attributable to common stockholders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Company has calculated basic and diluted net loss per share for the three months ended March 31, 2022 and 2021 as follows (in thousands, except share and per share data):</w:t>
      </w:r>
      <w:r>
        <w:rPr>
          <w:rFonts w:ascii="Times New Roman" w:hAnsi="Times New Roman"/>
          <w:sz w:val="20"/>
        </w:rPr>
        <w:t xml:space="preserve"> </w:t>
      </w:r>
    </w:p>
    <w:p>
      <w:pPr>
        <w:pStyle w:val="TextBody"/>
        <w:spacing w:lineRule="auto" w:line="273" w:before="0" w:after="0"/>
        <w:jc w:val="left"/>
        <w:rPr/>
      </w:pPr>
      <w:r>
        <w:rPr/>
        <w:t> </w:t>
      </w:r>
    </w:p>
    <w:tbl>
      <w:tblPr>
        <w:tblW w:w="9554" w:type="dxa"/>
        <w:jc w:val="left"/>
        <w:tblInd w:w="0" w:type="dxa"/>
        <w:tblCellMar>
          <w:top w:w="28" w:type="dxa"/>
          <w:left w:w="28" w:type="dxa"/>
          <w:bottom w:w="28" w:type="dxa"/>
          <w:right w:w="28" w:type="dxa"/>
        </w:tblCellMar>
      </w:tblPr>
      <w:tblGrid>
        <w:gridCol w:w="6601"/>
        <w:gridCol w:w="146"/>
        <w:gridCol w:w="211"/>
        <w:gridCol w:w="1066"/>
        <w:gridCol w:w="166"/>
        <w:gridCol w:w="146"/>
        <w:gridCol w:w="211"/>
        <w:gridCol w:w="796"/>
        <w:gridCol w:w="211"/>
      </w:tblGrid>
      <w:tr>
        <w:trPr/>
        <w:tc>
          <w:tcPr>
            <w:tcW w:w="6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Numerator: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(12,835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Less: Accruals of dividends of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attributable to common stockholders—basic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(8,258</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Denominator: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007"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common stock outstanding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29,213,632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400,450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per share attributable to common stockholders—basic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(20.62</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Arial" w:hAnsi="Arial"/>
          <w:b w:val="false"/>
          <w:sz w:val="20"/>
        </w:rPr>
        <w:t>The following potentially dilutive securities were excluded from the computation of the diluted net loss per share for the periods presented because their effect would have been antidilutive:</w:t>
      </w:r>
      <w:r>
        <w:rPr>
          <w:rFonts w:ascii="Times New Roman" w:hAnsi="Times New Roman"/>
          <w:sz w:val="20"/>
        </w:rPr>
        <w:t xml:space="preserve"> </w:t>
      </w:r>
    </w:p>
    <w:p>
      <w:pPr>
        <w:pStyle w:val="TextBody"/>
        <w:spacing w:lineRule="auto" w:line="273" w:before="0" w:after="0"/>
        <w:jc w:val="left"/>
        <w:rPr/>
      </w:pPr>
      <w:r>
        <w:rPr/>
        <w:t> </w:t>
      </w:r>
    </w:p>
    <w:tbl>
      <w:tblPr>
        <w:tblW w:w="7524" w:type="dxa"/>
        <w:jc w:val="left"/>
        <w:tblInd w:w="0" w:type="dxa"/>
        <w:tblCellMar>
          <w:top w:w="28" w:type="dxa"/>
          <w:left w:w="28" w:type="dxa"/>
          <w:bottom w:w="28" w:type="dxa"/>
          <w:right w:w="28" w:type="dxa"/>
        </w:tblCellMar>
      </w:tblPr>
      <w:tblGrid>
        <w:gridCol w:w="4576"/>
        <w:gridCol w:w="146"/>
        <w:gridCol w:w="146"/>
        <w:gridCol w:w="961"/>
        <w:gridCol w:w="146"/>
        <w:gridCol w:w="146"/>
        <w:gridCol w:w="146"/>
        <w:gridCol w:w="1066"/>
        <w:gridCol w:w="191"/>
      </w:tblGrid>
      <w:tr>
        <w:trPr/>
        <w:tc>
          <w:tcPr>
            <w:tcW w:w="4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5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Convertible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22,550,561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Stock options to purchase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4,282,862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1,415,116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Restricted stock units that vest into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227,854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Warrants to purchase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12,686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Warrants to purchase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12,686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5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potential dilutive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4,523,402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23,978,363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Arial" w:hAnsi="Arial"/>
          <w:b/>
          <w:sz w:val="20"/>
        </w:rPr>
      </w:pPr>
      <w:r>
        <w:rPr>
          <w:rFonts w:ascii="Arial" w:hAnsi="Arial"/>
          <w:b/>
          <w:sz w:val="20"/>
        </w:rPr>
        <w:t>14. Income Taxes</w:t>
      </w:r>
    </w:p>
    <w:p>
      <w:pPr>
        <w:pStyle w:val="TextBody"/>
        <w:spacing w:lineRule="auto" w:line="273" w:before="80" w:after="0"/>
        <w:jc w:val="both"/>
        <w:rPr>
          <w:rFonts w:ascii="Times New Roman" w:hAnsi="Times New Roman"/>
          <w:sz w:val="20"/>
        </w:rPr>
      </w:pPr>
      <w:r>
        <w:rPr>
          <w:rFonts w:ascii="Arial" w:hAnsi="Arial"/>
          <w:b w:val="false"/>
          <w:sz w:val="20"/>
        </w:rPr>
        <w:t>The Company estimates an annual effective tax rate of 0% for the year ending December 31, 2022 as the Company incurred losses for the three months ended March 31, 2022, and is forecasting additional losses through the remainder of fiscal year ending December 31, 2022, resulting in an estimated net loss for both financial statement and tax purposes for the year ending December 31, 2022. Therefore, no federal or state income taxes are expected and none have been recorded at this time. Income taxes have been accounted for using the liability method.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As of March 31, 2022, the Company had no</w:t>
      </w:r>
      <w:r>
        <w:rPr>
          <w:rFonts w:ascii="Times New Roman" w:hAnsi="Times New Roman"/>
          <w:sz w:val="20"/>
        </w:rPr>
        <w:t xml:space="preserve"> </w:t>
      </w:r>
      <w:r>
        <w:rPr>
          <w:rFonts w:ascii="Arial" w:hAnsi="Arial"/>
          <w:b w:val="false"/>
          <w:sz w:val="20"/>
        </w:rPr>
        <w:t>unrecognized income tax benefits that would reduce the Company’s effective tax rate if recognized.</w:t>
      </w:r>
      <w:r>
        <w:rPr>
          <w:rFonts w:ascii="Times New Roman" w:hAnsi="Times New Roman"/>
          <w:sz w:val="20"/>
        </w:rPr>
        <w:t xml:space="preserve"> </w:t>
      </w:r>
    </w:p>
    <w:p>
      <w:pPr>
        <w:pStyle w:val="TextBody"/>
        <w:spacing w:lineRule="auto" w:line="273" w:before="240" w:after="0"/>
        <w:jc w:val="left"/>
        <w:rPr>
          <w:rFonts w:ascii="Arial" w:hAnsi="Arial"/>
          <w:b/>
          <w:sz w:val="20"/>
        </w:rPr>
      </w:pPr>
      <w:r>
        <w:rPr>
          <w:rFonts w:ascii="Arial" w:hAnsi="Arial"/>
          <w:b/>
          <w:sz w:val="20"/>
        </w:rPr>
        <w:t>15. Subsequent Events</w:t>
      </w:r>
    </w:p>
    <w:p>
      <w:pPr>
        <w:pStyle w:val="TextBody"/>
        <w:spacing w:lineRule="auto" w:line="273" w:before="80" w:after="0"/>
        <w:jc w:val="both"/>
        <w:rPr>
          <w:rFonts w:ascii="Arial" w:hAnsi="Arial"/>
          <w:b w:val="false"/>
          <w:sz w:val="20"/>
        </w:rPr>
      </w:pPr>
      <w:r>
        <w:rPr>
          <w:rFonts w:ascii="Arial" w:hAnsi="Arial"/>
          <w:b w:val="false"/>
          <w:sz w:val="20"/>
        </w:rPr>
        <w:t>Subsequent events have been evaluated through the date of filing of the unaudited condensed consolidated financial statements. The Company has not identified any subsequent events that require disclosure.</w:t>
      </w:r>
    </w:p>
    <w:p>
      <w:pPr>
        <w:pStyle w:val="TextBody"/>
        <w:spacing w:lineRule="auto" w:line="273" w:before="240" w:after="0"/>
        <w:jc w:val="center"/>
        <w:rPr>
          <w:rFonts w:ascii="Arial" w:hAnsi="Arial"/>
          <w:b w:val="false"/>
          <w:sz w:val="20"/>
        </w:rPr>
      </w:pPr>
      <w:r>
        <w:rPr>
          <w:rFonts w:ascii="Arial" w:hAnsi="Arial"/>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Arial" w:hAnsi="Arial"/>
          <w:b/>
          <w:sz w:val="20"/>
        </w:rPr>
      </w:pPr>
      <w:bookmarkStart w:id="11" w:name="item_2_mda"/>
      <w:bookmarkEnd w:id="11"/>
      <w:r>
        <w:rPr>
          <w:rFonts w:ascii="Arial" w:hAnsi="Arial"/>
          <w:b/>
          <w:sz w:val="20"/>
        </w:rPr>
        <w:t>Item 2. Management’s Discussion and Analysis of Financial Condition and Results of Operations.</w:t>
      </w:r>
    </w:p>
    <w:p>
      <w:pPr>
        <w:pStyle w:val="TextBody"/>
        <w:spacing w:lineRule="auto" w:line="273" w:before="0" w:after="0"/>
        <w:jc w:val="left"/>
        <w:rPr/>
      </w:pPr>
      <w:r>
        <w:rPr/>
        <w:t> </w:t>
      </w:r>
    </w:p>
    <w:p>
      <w:pPr>
        <w:pStyle w:val="TextBody"/>
        <w:spacing w:lineRule="auto" w:line="273" w:before="0" w:after="0"/>
        <w:jc w:val="both"/>
        <w:rPr>
          <w:rFonts w:ascii="Arial" w:hAnsi="Arial"/>
          <w:b w:val="false"/>
          <w:i/>
          <w:sz w:val="20"/>
        </w:rPr>
      </w:pPr>
      <w:r>
        <w:rPr>
          <w:rFonts w:ascii="Arial" w:hAnsi="Arial"/>
          <w:b w:val="false"/>
          <w:i/>
          <w:sz w:val="20"/>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pStyle w:val="TextBody"/>
        <w:spacing w:lineRule="auto" w:line="273" w:before="240" w:after="0"/>
        <w:jc w:val="left"/>
        <w:rPr>
          <w:rFonts w:ascii="Times New Roman" w:hAnsi="Times New Roman"/>
          <w:sz w:val="20"/>
        </w:rPr>
      </w:pPr>
      <w:r>
        <w:rPr>
          <w:rFonts w:ascii="Arial" w:hAnsi="Arial"/>
          <w:b/>
          <w:sz w:val="20"/>
        </w:rPr>
        <w:t>Overview</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are a clinical-stage biotechnology company leveraging our novel targeted oncology platform to develop a potential new standard of care across multiple cancer indications, with an initial focus on ocular and urologic oncology. Our proprietary platform enables the targeting of a broad range of solid tumors using Virus-Like Particles, or VLPs, that can be conjugated with drugs or loaded with nucleic acids to create Virus-Like Drug Conjugates, or VDCs. Our VDCs are largely agnostic to tumor type and can recognize a surface marker, known as heparan sulfate proteoglycans, or HSPGs, that are specifically modified and broadly expressed on many tumors. AU-011, our first VDC candidate, is being developed for the first line treatment of primary choroidal melanoma, a rare disease with no drugs approved. We have completed a Phase 1b/2 trial using intravitreal administration that has demonstrated a statistically significant growth rate reduction in patients with prior active growth and high levels of tumor control with visual acuity preservation in a majority of patients, as assessed using clinical endpoints in alignment with the feedback from U.S. Food and Drug Administration, or the FDA. These data supported advancement into a Phase 2 dose escalation trial, where we are currently evaluating suprachoroidal, or SC, administration of AU-011. We plan to present six to twelve-month safety and efficacy data from this trial in 2022 and, make a decision on the route of administration to, initiate a pivotal trial in the second half of 2022. We are also developing AU-011 for additional ocular oncology indications and plan to file an IND in the United States in the second half of 2022 for choroidal metastases. Leveraging our VDCs’ broad tumor targeting capabilities, we also plan to initiate a Phase 1a trial in non-muscle invasive bladder cancer, or NMIBC, our first non-ophthalmic solid tumor indication, in the second half of 2022 and present data from this trial in 2023.</w:t>
      </w:r>
      <w:r>
        <w:rPr>
          <w:rFonts w:ascii="Times New Roman" w:hAnsi="Times New Roman"/>
          <w:sz w:val="20"/>
        </w:rPr>
        <w:t xml:space="preserve"> </w:t>
      </w:r>
    </w:p>
    <w:p>
      <w:pPr>
        <w:pStyle w:val="TextBody"/>
        <w:spacing w:lineRule="auto" w:line="273" w:before="240" w:after="0"/>
        <w:jc w:val="both"/>
        <w:rPr>
          <w:rFonts w:ascii="Arial" w:hAnsi="Arial"/>
          <w:b w:val="false"/>
          <w:sz w:val="20"/>
        </w:rPr>
      </w:pPr>
      <w:r>
        <w:rPr>
          <w:rFonts w:ascii="Arial" w:hAnsi="Arial"/>
          <w:b w:val="false"/>
          <w:sz w:val="20"/>
        </w:rPr>
        <w:t>We were incorporated as a Delaware corporation in 2009 and our headquarters are located in Cambridge,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March 31, 2022, we have raised an aggregate of approximately $218.6 million of gross proceeds primarily from private placements of our equity and convertible preferred stock as well as through the issuance of our common stock. In November 2021, we issued and sold 6,210,000 shares of our common stock, including the full exercise of the underwriters’ option to purchase additional shares at a price to the public of $14.00 per share for aggregate gross proceeds of $86.9 million in our IPO. We received approximately $78.3 million in net proceeds after deducting underwriting discounts, commissions and offering expenses.</w:t>
      </w:r>
    </w:p>
    <w:p>
      <w:pPr>
        <w:pStyle w:val="TextBody"/>
        <w:spacing w:lineRule="auto" w:line="273" w:before="240" w:after="0"/>
        <w:jc w:val="both"/>
        <w:rPr>
          <w:rFonts w:ascii="Times New Roman" w:hAnsi="Times New Roman"/>
          <w:sz w:val="20"/>
        </w:rPr>
      </w:pPr>
      <w:r>
        <w:rPr>
          <w:rFonts w:ascii="Arial" w:hAnsi="Arial"/>
          <w:b w:val="false"/>
          <w:sz w:val="20"/>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$12.8 million and $5.9 million for the three months ended March 31, 2022 and 2021, respectively. As of March 31, 2022, we had an accumulated deficit of $165.0 million. In addition, our losses from operations may fluctuate significantly from quarter-to-quarter and year-to-year, depending on the timing of our clinical trials and our expenditures on other research and development activities.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conduct our current and future clinical trials of AU-011;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progress the preclinical and clinical development of new indications;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establish our manufacturing capability, including developing our contract development and manufacturing relationships;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seek to identify and develop additional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seek regulatory approval of our current and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expand our operational, financial, and management systems and increase personnel, including personnel to support our preclinical and clinical development, manufacturing and commercialization efforts;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maintain, expand and protect our intellectual property portfolio;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incur additional legal, accounting, or other expenses in operating our business, including the additional costs associated with operating as a public company. </w:t>
      </w:r>
    </w:p>
    <w:p>
      <w:pPr>
        <w:pStyle w:val="TextBody"/>
        <w:spacing w:lineRule="auto" w:line="273" w:before="240" w:after="0"/>
        <w:jc w:val="both"/>
        <w:rPr>
          <w:rFonts w:ascii="Times New Roman" w:hAnsi="Times New Roman"/>
          <w:sz w:val="20"/>
        </w:rPr>
      </w:pPr>
      <w:r>
        <w:rPr>
          <w:rFonts w:ascii="Arial" w:hAnsi="Arial"/>
          <w:b w:val="false"/>
          <w:sz w:val="20"/>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As of March 31, 2022, we had cash and cash equivalents and marketable securities of $133.3 million. We believe that our existing cash and cash equivalents and marketable securities will enable us to fund our operating expenses and capital expenditure requirements into 2024. We have based this estimate on assumptions that may prove to be wrong, and we could exhaust our available capital resources sooner than we expect. See “—Liquidity and Capital Resources” below.</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Impact of the COVID-19 Pandemic</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ongoing COVID-19 pandemic continues to present substantial public health and economic challenges around the world, and to date has led to the implementation of various responses, including government-imposed quarantines, stay-at-home orders, travel restrictions, mandated business closures and other public health safety measures.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have introduced enhanced safety measures for scientists to be present in our labs and increased the use of third party service providers for the conduct of certain experiments and studies for research programs. To date, we’ve only encountered minor delays in our manufacturing process due to a supply chain constraint with one of our vendors.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Beyond the impact on our pipeline,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results of operations and financial condition. Although to date, our business has not been materially impacted by COVID-19, it is possible that our clinical development timelines could be negatively affected by COVID-19, which could materially and adversely affect our business, financial condition and results of operations. See Item 1A “Risk Factors” of this Quarterly Report on Form 10-Q for a discussion of the potential adverse impact of the COVID-19 pandemic on our business, financial condition and results of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Components of Our Results of Operations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Revenue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Operating Expenses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i/>
          <w:sz w:val="20"/>
        </w:rPr>
        <w:t>Research and Development Expenses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Research and development expenses consist primarily of costs incurred for our research activities, including our discovery efforts and the development of our AU-011 program, and include:</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employee-related expenses, including salaries, related-benefits and stock-based compensation expense for employees engaged in research and development functions;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fees paid to consultants for services directly related to our product development and regulatory efforts;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expenses associated with conducting preclinical studies performed by ourselves, outside vendors or academic collaborators;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expenses incurred under agreements with contract research organizations, or CROs, as well as consultants that conduct and provide supplies for our preclinical studies and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 of manufacturing AU-011, including the potential cost of CMOs that manufacture product for use in our preclinical studies and clinical trials and perform analytical testing, scale-up and other services in connection with our development activities;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costs associated with preclinical activities and development activities;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costs associated with our intellectual property portfolio;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costs related to compliance with regulatory requirements;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allocated expenses for utilities and other facility-related costs. </w:t>
      </w:r>
    </w:p>
    <w:p>
      <w:pPr>
        <w:pStyle w:val="TextBody"/>
        <w:spacing w:lineRule="auto" w:line="273" w:before="240" w:after="0"/>
        <w:jc w:val="both"/>
        <w:rPr>
          <w:rFonts w:ascii="Times New Roman" w:hAnsi="Times New Roman"/>
          <w:sz w:val="20"/>
        </w:rPr>
      </w:pPr>
      <w:r>
        <w:rPr>
          <w:rFonts w:ascii="Arial" w:hAnsi="Arial"/>
          <w:b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AU-011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AU-011 program.</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Research and development activities are central to our business. We expect that our research and development expenses will increase for the foreseeable future as we continue clinical development for AU-011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i/>
          <w:sz w:val="20"/>
        </w:rPr>
        <w:t>General and Administrative Expenses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being a public company, including costs of accounting, audit, legal, regulatory and tax compliance services; director and officer insurance costs; and investor and public relations costs.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i/>
          <w:sz w:val="20"/>
        </w:rPr>
        <w:t>Other Income (Expense)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other income (expense) consists of changes in the fair value of our warrant liability, accretion and interest income on marketable securities, loss on disposal of fixed assets, and interest income on our invested cash balances.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i/>
          <w:sz w:val="20"/>
        </w:rPr>
        <w:t>Income Taxes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Since our inception, we have not recorded any U.S. federal or state income tax benefits for the net losses we have incurred in any year or for our earned research and development tax credits, due to the uncertainty of realizing a benefit from those items. As of December 31, 2021, we had federal gross operating loss carryforwards of approximately $138.7 million which may be available to offset future taxable income, of which $44.2 million begin to expire in 2029 and go through 2037 and $94.5 million do not expire. The state gross operating loss carryforwards of $113.6 million, which may be available to offset future taxable income and which would begin to expire in 2030. As of December 31, 2021, we had federal and state research and experimentation credit carryforwards of $4.7 million and $1.4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Results of Operations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Comparison of the Three Months Ended March 31, 2022 and 2021</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The following table summarizes our results of operations for the three months ended March 31, 2022 and 2021:</w:t>
      </w:r>
    </w:p>
    <w:p>
      <w:pPr>
        <w:pStyle w:val="TextBody"/>
        <w:spacing w:lineRule="auto" w:line="273" w:before="0" w:after="0"/>
        <w:jc w:val="both"/>
        <w:rPr/>
      </w:pPr>
      <w:r>
        <w:rPr/>
        <w:t> </w:t>
      </w:r>
    </w:p>
    <w:tbl>
      <w:tblPr>
        <w:tblW w:w="9613" w:type="dxa"/>
        <w:jc w:val="left"/>
        <w:tblInd w:w="0" w:type="dxa"/>
        <w:tblCellMar>
          <w:top w:w="28" w:type="dxa"/>
          <w:left w:w="28" w:type="dxa"/>
          <w:bottom w:w="28" w:type="dxa"/>
          <w:right w:w="28" w:type="dxa"/>
        </w:tblCellMar>
      </w:tblPr>
      <w:tblGrid>
        <w:gridCol w:w="5416"/>
        <w:gridCol w:w="146"/>
        <w:gridCol w:w="211"/>
        <w:gridCol w:w="751"/>
        <w:gridCol w:w="166"/>
        <w:gridCol w:w="146"/>
        <w:gridCol w:w="211"/>
        <w:gridCol w:w="646"/>
        <w:gridCol w:w="166"/>
        <w:gridCol w:w="146"/>
        <w:gridCol w:w="211"/>
        <w:gridCol w:w="646"/>
        <w:gridCol w:w="751"/>
      </w:tblGrid>
      <w:tr>
        <w:trPr/>
        <w:tc>
          <w:tcPr>
            <w:tcW w:w="5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54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3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54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Change</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4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31" w:type="dxa"/>
            <w:gridSpan w:val="6"/>
            <w:tcBorders/>
            <w:shd w:fill="auto" w:val="clear"/>
            <w:vAlign w:val="center"/>
          </w:tcPr>
          <w:p>
            <w:pPr>
              <w:pStyle w:val="TableContents"/>
              <w:spacing w:lineRule="auto" w:line="252" w:before="0" w:after="0"/>
              <w:ind w:left="0" w:right="0" w:hanging="0"/>
              <w:jc w:val="center"/>
              <w:rPr>
                <w:rFonts w:ascii="Arial" w:hAnsi="Arial"/>
                <w:b/>
                <w:sz w:val="20"/>
              </w:rPr>
            </w:pPr>
            <w:r>
              <w:rPr>
                <w:rFonts w:ascii="Arial" w:hAnsi="Arial"/>
                <w:b/>
                <w:sz w:val="20"/>
              </w:rPr>
              <w:t>(in thousands)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center"/>
              <w:rPr/>
            </w:pPr>
            <w:r>
              <w:rPr/>
              <w:t> </w:t>
            </w:r>
          </w:p>
        </w:tc>
        <w:tc>
          <w:tcPr>
            <w:tcW w:w="751" w:type="dxa"/>
            <w:tcBorders/>
            <w:shd w:fill="auto" w:val="clear"/>
            <w:vAlign w:val="center"/>
          </w:tcPr>
          <w:p>
            <w:pPr>
              <w:pStyle w:val="TableContents"/>
              <w:spacing w:lineRule="auto" w:line="252" w:before="0" w:after="0"/>
              <w:ind w:left="0" w:right="0" w:hanging="0"/>
              <w:jc w:val="center"/>
              <w:rPr/>
            </w:pPr>
            <w:r>
              <w:rPr/>
              <w:t> </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751" w:type="dxa"/>
            <w:tcBorders/>
            <w:shd w:fill="auto" w:val="clear"/>
            <w:vAlign w:val="center"/>
          </w:tcPr>
          <w:p>
            <w:pPr>
              <w:pStyle w:val="TableContents"/>
              <w:spacing w:lineRule="auto" w:line="252" w:before="0" w:after="0"/>
              <w:ind w:left="0" w:right="0" w:firstLine="280"/>
              <w:jc w:val="right"/>
              <w:rPr/>
            </w:pPr>
            <w:r>
              <w:rPr/>
              <w:t> </w:t>
            </w:r>
          </w:p>
        </w:tc>
      </w:tr>
      <w:tr>
        <w:trPr/>
        <w:tc>
          <w:tcPr>
            <w:tcW w:w="54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4,091</w:t>
            </w:r>
          </w:p>
        </w:tc>
        <w:tc>
          <w:tcPr>
            <w:tcW w:w="751" w:type="dxa"/>
            <w:tcBorders/>
            <w:shd w:fill="auto" w:val="clear"/>
            <w:vAlign w:val="center"/>
          </w:tcPr>
          <w:p>
            <w:pPr>
              <w:pStyle w:val="TableContents"/>
              <w:spacing w:lineRule="auto" w:line="252" w:before="0" w:after="0"/>
              <w:ind w:left="0" w:right="0" w:firstLine="280"/>
              <w:jc w:val="left"/>
              <w:rPr/>
            </w:pPr>
            <w:r>
              <w:rPr/>
              <w:t> </w:t>
            </w:r>
          </w:p>
        </w:tc>
      </w:tr>
      <w:tr>
        <w:trPr/>
        <w:tc>
          <w:tcPr>
            <w:tcW w:w="54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1,742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2,793</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5416"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6,884</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(6,884</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751" w:type="dxa"/>
            <w:tcBorders/>
            <w:shd w:fill="auto" w:val="clear"/>
            <w:vAlign w:val="center"/>
          </w:tcPr>
          <w:p>
            <w:pPr>
              <w:pStyle w:val="TableContents"/>
              <w:spacing w:lineRule="auto" w:line="252" w:before="0" w:after="0"/>
              <w:ind w:left="0" w:right="0" w:firstLine="280"/>
              <w:jc w:val="right"/>
              <w:rPr/>
            </w:pPr>
            <w:r>
              <w:rPr/>
              <w:t> </w:t>
            </w:r>
          </w:p>
        </w:tc>
      </w:tr>
      <w:tr>
        <w:trPr/>
        <w:tc>
          <w:tcPr>
            <w:tcW w:w="54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 in fair value of 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w:t>
            </w:r>
          </w:p>
        </w:tc>
        <w:tc>
          <w:tcPr>
            <w:tcW w:w="75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54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Interest income (expense), including amortization of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w:t>
            </w:r>
          </w:p>
        </w:tc>
        <w:tc>
          <w:tcPr>
            <w:tcW w:w="751" w:type="dxa"/>
            <w:tcBorders/>
            <w:shd w:fill="auto" w:val="clear"/>
            <w:vAlign w:val="center"/>
          </w:tcPr>
          <w:p>
            <w:pPr>
              <w:pStyle w:val="TableContents"/>
              <w:spacing w:lineRule="auto" w:line="252" w:before="0" w:after="0"/>
              <w:ind w:left="0" w:right="0" w:firstLine="280"/>
              <w:jc w:val="left"/>
              <w:rPr/>
            </w:pPr>
            <w:r>
              <w:rPr/>
              <w:t> </w:t>
            </w:r>
          </w:p>
        </w:tc>
      </w:tr>
      <w:tr>
        <w:trPr/>
        <w:tc>
          <w:tcPr>
            <w:tcW w:w="54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Loss from disposal of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and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(12,835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(5,927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(6,908</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Arial" w:hAnsi="Arial"/>
          <w:b w:val="false"/>
          <w:i/>
          <w:sz w:val="20"/>
        </w:rPr>
        <w:t>Research and Development Expenses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following table summarizes our research and development expenses for the three months ended March 31, 2022 and 2021:</w:t>
      </w:r>
      <w:r>
        <w:rPr>
          <w:rFonts w:ascii="Times New Roman" w:hAnsi="Times New Roman"/>
          <w:sz w:val="20"/>
        </w:rPr>
        <w:t xml:space="preserve"> </w:t>
      </w:r>
    </w:p>
    <w:p>
      <w:pPr>
        <w:pStyle w:val="TextBody"/>
        <w:spacing w:lineRule="auto" w:line="273" w:before="0" w:after="0"/>
        <w:jc w:val="left"/>
        <w:rPr/>
      </w:pPr>
      <w:r>
        <w:rPr/>
        <w:t> </w:t>
      </w:r>
    </w:p>
    <w:tbl>
      <w:tblPr>
        <w:tblW w:w="7849" w:type="dxa"/>
        <w:jc w:val="left"/>
        <w:tblInd w:w="0" w:type="dxa"/>
        <w:tblCellMar>
          <w:top w:w="28" w:type="dxa"/>
          <w:left w:w="28" w:type="dxa"/>
          <w:bottom w:w="28" w:type="dxa"/>
          <w:right w:w="28" w:type="dxa"/>
        </w:tblCellMar>
      </w:tblPr>
      <w:tblGrid>
        <w:gridCol w:w="3811"/>
        <w:gridCol w:w="146"/>
        <w:gridCol w:w="228"/>
        <w:gridCol w:w="634"/>
        <w:gridCol w:w="157"/>
        <w:gridCol w:w="157"/>
        <w:gridCol w:w="228"/>
        <w:gridCol w:w="634"/>
        <w:gridCol w:w="146"/>
        <w:gridCol w:w="146"/>
        <w:gridCol w:w="214"/>
        <w:gridCol w:w="597"/>
        <w:gridCol w:w="751"/>
      </w:tblGrid>
      <w:tr>
        <w:trPr/>
        <w:tc>
          <w:tcPr>
            <w:tcW w:w="3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38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38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Change</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38" w:type="dxa"/>
            <w:gridSpan w:val="6"/>
            <w:tcBorders/>
            <w:shd w:fill="auto" w:val="clear"/>
            <w:vAlign w:val="center"/>
          </w:tcPr>
          <w:p>
            <w:pPr>
              <w:pStyle w:val="TableContents"/>
              <w:spacing w:lineRule="auto" w:line="252" w:before="0" w:after="0"/>
              <w:ind w:left="0" w:right="0" w:hanging="0"/>
              <w:jc w:val="center"/>
              <w:rPr>
                <w:rFonts w:ascii="Arial" w:hAnsi="Arial"/>
                <w:b/>
                <w:sz w:val="20"/>
              </w:rPr>
            </w:pPr>
            <w:r>
              <w:rPr>
                <w:rFonts w:ascii="Arial" w:hAnsi="Arial"/>
                <w:b/>
                <w:sz w:val="20"/>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shd w:fill="auto" w:val="clear"/>
            <w:vAlign w:val="center"/>
          </w:tcPr>
          <w:p>
            <w:pPr>
              <w:pStyle w:val="TableContents"/>
              <w:spacing w:lineRule="auto" w:line="252" w:before="0" w:after="0"/>
              <w:ind w:left="0" w:right="0" w:hanging="0"/>
              <w:jc w:val="center"/>
              <w:rPr/>
            </w:pPr>
            <w:r>
              <w:rPr/>
              <w:t> </w:t>
            </w:r>
          </w:p>
        </w:tc>
        <w:tc>
          <w:tcPr>
            <w:tcW w:w="751" w:type="dxa"/>
            <w:tcBorders/>
            <w:shd w:fill="auto" w:val="clear"/>
            <w:vAlign w:val="center"/>
          </w:tcPr>
          <w:p>
            <w:pPr>
              <w:pStyle w:val="TableContents"/>
              <w:spacing w:lineRule="auto" w:line="252" w:before="0" w:after="0"/>
              <w:ind w:left="0" w:right="0" w:firstLine="280"/>
              <w:jc w:val="center"/>
              <w:rPr/>
            </w:pPr>
            <w:r>
              <w:rPr/>
              <w:t> </w:t>
            </w:r>
          </w:p>
        </w:tc>
      </w:tr>
      <w:tr>
        <w:trPr/>
        <w:tc>
          <w:tcPr>
            <w:tcW w:w="381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Preclinical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3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311</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3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235</w:t>
            </w:r>
          </w:p>
        </w:tc>
        <w:tc>
          <w:tcPr>
            <w:tcW w:w="751" w:type="dxa"/>
            <w:tcBorders/>
            <w:shd w:fill="auto" w:val="clear"/>
            <w:vAlign w:val="center"/>
          </w:tcPr>
          <w:p>
            <w:pPr>
              <w:pStyle w:val="TableContents"/>
              <w:spacing w:lineRule="auto" w:line="252" w:before="0" w:after="0"/>
              <w:ind w:left="0" w:right="0" w:firstLine="280"/>
              <w:jc w:val="left"/>
              <w:rPr/>
            </w:pPr>
            <w:r>
              <w:rPr/>
              <w:t> </w:t>
            </w:r>
          </w:p>
        </w:tc>
      </w:tr>
      <w:tr>
        <w:trPr/>
        <w:tc>
          <w:tcPr>
            <w:tcW w:w="381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Clinical trials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63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1,190</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63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5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440</w:t>
            </w:r>
          </w:p>
        </w:tc>
        <w:tc>
          <w:tcPr>
            <w:tcW w:w="751" w:type="dxa"/>
            <w:tcBorders/>
            <w:shd w:fill="auto" w:val="clear"/>
            <w:vAlign w:val="center"/>
          </w:tcPr>
          <w:p>
            <w:pPr>
              <w:pStyle w:val="TableContents"/>
              <w:spacing w:lineRule="auto" w:line="252" w:before="0" w:after="0"/>
              <w:ind w:left="0" w:right="0" w:firstLine="280"/>
              <w:jc w:val="left"/>
              <w:rPr/>
            </w:pPr>
            <w:r>
              <w:rPr/>
              <w:t> </w:t>
            </w:r>
          </w:p>
        </w:tc>
      </w:tr>
      <w:tr>
        <w:trPr/>
        <w:tc>
          <w:tcPr>
            <w:tcW w:w="381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Manufacturing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63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1,788</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63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5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462</w:t>
            </w:r>
          </w:p>
        </w:tc>
        <w:tc>
          <w:tcPr>
            <w:tcW w:w="751" w:type="dxa"/>
            <w:tcBorders/>
            <w:shd w:fill="auto" w:val="clear"/>
            <w:vAlign w:val="center"/>
          </w:tcPr>
          <w:p>
            <w:pPr>
              <w:pStyle w:val="TableContents"/>
              <w:spacing w:lineRule="auto" w:line="252" w:before="0" w:after="0"/>
              <w:ind w:left="0" w:right="0" w:firstLine="280"/>
              <w:jc w:val="left"/>
              <w:rPr/>
            </w:pPr>
            <w:r>
              <w:rPr/>
              <w:t> </w:t>
            </w:r>
          </w:p>
        </w:tc>
      </w:tr>
      <w:tr>
        <w:trPr/>
        <w:tc>
          <w:tcPr>
            <w:tcW w:w="381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Personnel/overhead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4,987</w:t>
            </w:r>
          </w:p>
        </w:tc>
        <w:tc>
          <w:tcPr>
            <w:tcW w:w="1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2,033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2,954</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3811"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Total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8,276</w:t>
            </w:r>
          </w:p>
        </w:tc>
        <w:tc>
          <w:tcPr>
            <w:tcW w:w="1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4,185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4,091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40" w:after="0"/>
        <w:jc w:val="both"/>
        <w:rPr>
          <w:rFonts w:ascii="Times New Roman" w:hAnsi="Times New Roman"/>
          <w:sz w:val="20"/>
        </w:rPr>
      </w:pPr>
      <w:r>
        <w:rPr>
          <w:rFonts w:ascii="Arial" w:hAnsi="Arial"/>
          <w:b w:val="false"/>
          <w:sz w:val="20"/>
        </w:rPr>
        <w:t>Research and development expenses increased to $8.3 million for the three months ended March 31, 2022 from $4.2 million for the three months ended March 31, 2021, primarily due to ongoing manufacturing and development costs for AU-011 and higher personnel expenses from growing headcount.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i/>
          <w:sz w:val="20"/>
        </w:rPr>
        <w:t>General and Administrative Expenses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General and administrative expenses increased to $4.5 million for the three months ended March 31, 2022 from $1.7 million for the three months ended March 31, 2021, primarily driven by personnel expenses, as well as increases in general corporate expenses related to operating as a public company.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Liquidity and Capital Resources</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To date we have funded our operations primarily through the sale of convertible preferred stock, and common stock. Through March 31, 2022, we have raised an aggregate of approximately $218.6 million of gross proceeds primarily from private placements of our equity and convertible preferred stock and warrants, as well as through the issuance of our common stock. In November 2021, we issued and sold a total of 6,210,000 shares in our IPO of our common stock, including the full exercise of the underwriters’ option to purchase additional shares, at a price to the public of $14.00 per share for aggregate gross proceeds of $86.9 million. We received approximately $78.3 million in net proceeds after deducting underwriting discounts, commissions and offering expenses.</w:t>
      </w:r>
    </w:p>
    <w:p>
      <w:pPr>
        <w:pStyle w:val="TextBody"/>
        <w:spacing w:lineRule="auto" w:line="273" w:before="240" w:after="0"/>
        <w:jc w:val="both"/>
        <w:rPr>
          <w:rFonts w:ascii="Times New Roman" w:hAnsi="Times New Roman"/>
          <w:sz w:val="20"/>
        </w:rPr>
      </w:pPr>
      <w:r>
        <w:rPr>
          <w:rFonts w:ascii="Arial" w:hAnsi="Arial"/>
          <w:b/>
          <w:i/>
          <w:sz w:val="20"/>
        </w:rPr>
        <w:t>Cash Flows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following table summarizes our cash flows for each of the periods presented:</w:t>
      </w:r>
      <w:r>
        <w:rPr>
          <w:rFonts w:ascii="Times New Roman" w:hAnsi="Times New Roman"/>
          <w:sz w:val="20"/>
        </w:rPr>
        <w:t xml:space="preserve"> </w:t>
      </w:r>
    </w:p>
    <w:p>
      <w:pPr>
        <w:pStyle w:val="TextBody"/>
        <w:spacing w:lineRule="auto" w:line="273" w:before="0" w:after="0"/>
        <w:jc w:val="left"/>
        <w:rPr/>
      </w:pPr>
      <w:r>
        <w:rPr/>
        <w:t> </w:t>
      </w:r>
    </w:p>
    <w:tbl>
      <w:tblPr>
        <w:tblW w:w="8789" w:type="dxa"/>
        <w:jc w:val="left"/>
        <w:tblInd w:w="0" w:type="dxa"/>
        <w:tblCellMar>
          <w:top w:w="28" w:type="dxa"/>
          <w:left w:w="28" w:type="dxa"/>
          <w:bottom w:w="28" w:type="dxa"/>
          <w:right w:w="28" w:type="dxa"/>
        </w:tblCellMar>
      </w:tblPr>
      <w:tblGrid>
        <w:gridCol w:w="6256"/>
        <w:gridCol w:w="146"/>
        <w:gridCol w:w="211"/>
        <w:gridCol w:w="751"/>
        <w:gridCol w:w="166"/>
        <w:gridCol w:w="146"/>
        <w:gridCol w:w="211"/>
        <w:gridCol w:w="691"/>
        <w:gridCol w:w="211"/>
      </w:tblGrid>
      <w:tr>
        <w:trPr/>
        <w:tc>
          <w:tcPr>
            <w:tcW w:w="6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2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6" w:type="dxa"/>
            <w:gridSpan w:val="6"/>
            <w:tcBorders/>
            <w:shd w:fill="auto" w:val="clear"/>
            <w:vAlign w:val="center"/>
          </w:tcPr>
          <w:p>
            <w:pPr>
              <w:pStyle w:val="TableContents"/>
              <w:spacing w:lineRule="auto" w:line="252" w:before="0" w:after="0"/>
              <w:ind w:left="0" w:right="0" w:hanging="0"/>
              <w:jc w:val="center"/>
              <w:rPr>
                <w:rFonts w:ascii="Arial" w:hAnsi="Arial"/>
                <w:b/>
                <w:sz w:val="20"/>
              </w:rPr>
            </w:pPr>
            <w:r>
              <w:rPr>
                <w:rFonts w:ascii="Arial" w:hAnsi="Arial"/>
                <w:b/>
                <w:sz w:val="20"/>
              </w:rPr>
              <w:t>(in thousands)</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(15,200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(5,137</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(25,498</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87,489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(decrease)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(40,681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82,281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Arial" w:hAnsi="Arial"/>
          <w:b w:val="false"/>
          <w:i/>
          <w:sz w:val="20"/>
        </w:rPr>
        <w:t>Operating Activities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During the three months ended March 31, 2022, net cash used in operating activities was $15.2 million, primarily due to our net loss of $12.8 million and decrease in accrued expenses and other liabilities related to less employee accrued compensation and clinical trial accruals, partially offset by the non-cash charge related to stock compensation expense.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During the three months ended March 31, 2021, net cash used in operating activities was $5.1 million, primarily due to our net loss of $6.0 million and a decrease in accrued expenses and other liabilities related to less clinical trial accruals partially offset by an increase in accounts payable due to growth in our business, the advancement of our product candidates, and the timing of vendor invoicing and payments.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i/>
          <w:sz w:val="20"/>
        </w:rPr>
        <w:t>Investing Activities</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Net cash used in investing activities during the three months ended March 31, 2022 was $25.5 million due to purchases of property and equipment and marketable securities.</w:t>
      </w:r>
    </w:p>
    <w:p>
      <w:pPr>
        <w:pStyle w:val="TextBody"/>
        <w:spacing w:lineRule="auto" w:line="273" w:before="240" w:after="0"/>
        <w:jc w:val="both"/>
        <w:rPr>
          <w:rFonts w:ascii="Arial" w:hAnsi="Arial"/>
          <w:b w:val="false"/>
          <w:sz w:val="20"/>
        </w:rPr>
      </w:pPr>
      <w:r>
        <w:rPr>
          <w:rFonts w:ascii="Arial" w:hAnsi="Arial"/>
          <w:b w:val="false"/>
          <w:sz w:val="20"/>
        </w:rPr>
        <w:t>Net cash used in investing activities during the three months ended March 31, 2021 was $0.1 million due to purchases of property and equipment.</w:t>
      </w:r>
    </w:p>
    <w:p>
      <w:pPr>
        <w:pStyle w:val="TextBody"/>
        <w:spacing w:lineRule="auto" w:line="273" w:before="240" w:after="0"/>
        <w:jc w:val="both"/>
        <w:rPr>
          <w:rFonts w:ascii="Times New Roman" w:hAnsi="Times New Roman"/>
          <w:sz w:val="20"/>
        </w:rPr>
      </w:pPr>
      <w:r>
        <w:rPr>
          <w:rFonts w:ascii="Arial" w:hAnsi="Arial"/>
          <w:b w:val="false"/>
          <w:i/>
          <w:sz w:val="20"/>
        </w:rPr>
        <w:t>Financing Activities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During the three months ended March 31, 2022, net cash provided by financing activities was $0.01 million from proceeds from stock options exercises.</w:t>
      </w:r>
      <w:r>
        <w:rPr>
          <w:rFonts w:ascii="Times New Roman" w:hAnsi="Times New Roman"/>
          <w:sz w:val="20"/>
        </w:rPr>
        <w:t xml:space="preserve"> </w:t>
      </w:r>
    </w:p>
    <w:p>
      <w:pPr>
        <w:pStyle w:val="TextBody"/>
        <w:spacing w:lineRule="auto" w:line="273" w:before="240" w:after="0"/>
        <w:jc w:val="both"/>
        <w:rPr>
          <w:rFonts w:ascii="Arial" w:hAnsi="Arial"/>
          <w:b w:val="false"/>
          <w:sz w:val="20"/>
        </w:rPr>
      </w:pPr>
      <w:r>
        <w:rPr>
          <w:rFonts w:ascii="Arial" w:hAnsi="Arial"/>
          <w:b w:val="false"/>
          <w:sz w:val="20"/>
        </w:rPr>
        <w:t>During the three months ended March 31, 2021, net cash provided by financing activities was $87.5 million from the net proceeds from the sale of the second tranche of the Series D-2 preferred stock, net proceeds from the sale of Series E preferred stock, and proceeds from stock option exercises.</w:t>
      </w:r>
    </w:p>
    <w:p>
      <w:pPr>
        <w:pStyle w:val="TextBody"/>
        <w:spacing w:lineRule="auto" w:line="273" w:before="240" w:after="0"/>
        <w:jc w:val="both"/>
        <w:rPr>
          <w:rFonts w:ascii="Times New Roman" w:hAnsi="Times New Roman"/>
          <w:sz w:val="20"/>
        </w:rPr>
      </w:pPr>
      <w:r>
        <w:rPr>
          <w:rFonts w:ascii="Arial" w:hAnsi="Arial"/>
          <w:b/>
          <w:i/>
          <w:sz w:val="20"/>
        </w:rPr>
        <w:t>Funding Requirements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plan of operation is to continue implementing our business strategy, continue research and development of AU-011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scope, timing, progress, costs, and results of discovery, preclinical development, and clinical trials for our current and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number of clinical trials required for regulatory approval of our current and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costs, timing, and outcome of regulatory review of any of our current and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 of manufacturing clinical and commercial supplies of our current and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costs and timing of future commercialization activities, including manufacturing, marketing, sales, and distribution, for any of our product candidates for which we receive marketing approval;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revenue, if any, received from commercial sales of our product candidates for which we receive marketing approval;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expenses to attract, hire and retain, skilled personnel;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costs of operating as a public company;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ability to establish a commercially viable pricing structure and obtain approval for coverage and adequate reimbursement from third-party and government payers;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addressing any potential interruptions or delays resulting from factors related to the COVID-19 pandemic;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effect of competing technological and market developments;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the extent to which we acquire or invest in businesses, products, and technologies. </w:t>
      </w:r>
    </w:p>
    <w:p>
      <w:pPr>
        <w:pStyle w:val="TextBody"/>
        <w:spacing w:lineRule="auto" w:line="273" w:before="240" w:after="0"/>
        <w:jc w:val="both"/>
        <w:rPr>
          <w:rFonts w:ascii="Times New Roman" w:hAnsi="Times New Roman"/>
          <w:sz w:val="20"/>
        </w:rPr>
      </w:pPr>
      <w:r>
        <w:rPr>
          <w:rFonts w:ascii="Arial" w:hAnsi="Arial"/>
          <w:b w:val="false"/>
          <w:sz w:val="20"/>
        </w:rPr>
        <w:t>A change in the outcome of any of these variables with respect to the development of a product candidate could mean a significant change in the costs and timing associated with the development of that product candidate. As of March 31, 2022, we had cash and cash equivalents and marketable securities of $133.3 million. Based on our research and development plans, we believe that our existing cash and cash equivalents, will be sufficient to fund our operations into 2024. We have based this estimate on assumptions that may prove to be wrong, and we could exhaust our available capital resources sooner than we expect.</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Times New Roman" w:hAnsi="Times New Roman"/>
          <w:sz w:val="20"/>
        </w:rPr>
        <w:t xml:space="preserve"> </w:t>
      </w:r>
    </w:p>
    <w:p>
      <w:pPr>
        <w:pStyle w:val="TextBody"/>
        <w:spacing w:lineRule="auto" w:line="273" w:before="240" w:after="0"/>
        <w:jc w:val="both"/>
        <w:rPr>
          <w:rFonts w:ascii="Arial" w:hAnsi="Arial"/>
          <w:b/>
          <w:sz w:val="20"/>
        </w:rPr>
      </w:pPr>
      <w:r>
        <w:rPr>
          <w:rFonts w:ascii="Arial" w:hAnsi="Arial"/>
          <w:b/>
          <w:sz w:val="20"/>
        </w:rPr>
        <w:t>Material Cash Requirements</w:t>
      </w:r>
    </w:p>
    <w:p>
      <w:pPr>
        <w:pStyle w:val="TextBody"/>
        <w:spacing w:lineRule="auto" w:line="273" w:before="80" w:after="0"/>
        <w:jc w:val="both"/>
        <w:rPr>
          <w:rFonts w:ascii="Arial" w:hAnsi="Arial"/>
          <w:b w:val="false"/>
          <w:sz w:val="20"/>
        </w:rPr>
      </w:pPr>
      <w:r>
        <w:rPr>
          <w:rFonts w:ascii="Arial" w:hAnsi="Arial"/>
          <w:b w:val="false"/>
          <w:sz w:val="20"/>
        </w:rPr>
        <w:t>The following table summarizes our contractual obligations and commitments as of March 31, 2022.</w:t>
      </w:r>
    </w:p>
    <w:p>
      <w:pPr>
        <w:pStyle w:val="TextBody"/>
        <w:spacing w:lineRule="auto" w:line="273" w:before="0" w:after="0"/>
        <w:jc w:val="left"/>
        <w:rPr/>
      </w:pPr>
      <w:r>
        <w:rPr/>
        <w:t> </w:t>
      </w:r>
    </w:p>
    <w:tbl>
      <w:tblPr>
        <w:tblW w:w="8967" w:type="dxa"/>
        <w:jc w:val="left"/>
        <w:tblInd w:w="0" w:type="dxa"/>
        <w:tblCellMar>
          <w:top w:w="28" w:type="dxa"/>
          <w:left w:w="28" w:type="dxa"/>
          <w:bottom w:w="28" w:type="dxa"/>
          <w:right w:w="28" w:type="dxa"/>
        </w:tblCellMar>
      </w:tblPr>
      <w:tblGrid>
        <w:gridCol w:w="2956"/>
        <w:gridCol w:w="146"/>
        <w:gridCol w:w="211"/>
        <w:gridCol w:w="147"/>
        <w:gridCol w:w="424"/>
        <w:gridCol w:w="146"/>
        <w:gridCol w:w="146"/>
        <w:gridCol w:w="211"/>
        <w:gridCol w:w="259"/>
        <w:gridCol w:w="746"/>
        <w:gridCol w:w="146"/>
        <w:gridCol w:w="146"/>
        <w:gridCol w:w="211"/>
        <w:gridCol w:w="162"/>
        <w:gridCol w:w="469"/>
        <w:gridCol w:w="146"/>
        <w:gridCol w:w="146"/>
        <w:gridCol w:w="239"/>
        <w:gridCol w:w="392"/>
        <w:gridCol w:w="146"/>
        <w:gridCol w:w="146"/>
        <w:gridCol w:w="392"/>
        <w:gridCol w:w="643"/>
        <w:gridCol w:w="1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389" w:type="dxa"/>
            <w:gridSpan w:val="1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Payments Due by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Less 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1 to 3</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3 to 5</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More than</w:t>
              <w:br/>
              <w:t>5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63" w:type="dxa"/>
            <w:gridSpan w:val="20"/>
            <w:tcBorders/>
            <w:shd w:fill="auto" w:val="clear"/>
            <w:vAlign w:val="center"/>
          </w:tcPr>
          <w:p>
            <w:pPr>
              <w:pStyle w:val="TableContents"/>
              <w:spacing w:lineRule="auto" w:line="252" w:before="0" w:after="0"/>
              <w:ind w:left="0" w:right="0" w:hanging="0"/>
              <w:jc w:val="center"/>
              <w:rPr>
                <w:rFonts w:ascii="Arial" w:hAnsi="Arial"/>
                <w:b/>
                <w:sz w:val="20"/>
              </w:rPr>
            </w:pPr>
            <w:r>
              <w:rPr>
                <w:rFonts w:ascii="Arial" w:hAnsi="Arial"/>
                <w:b/>
                <w:sz w:val="20"/>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lease commitments(1)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2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634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1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3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1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2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634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16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3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6" w:space="1" w:color="000000"/>
        </w:pBdr>
        <w:spacing w:lineRule="atLeast" w:line="141" w:before="0" w:after="60"/>
        <w:jc w:val="left"/>
        <w:rPr/>
      </w:pPr>
      <w:r>
        <w:rPr/>
        <w:t> </w:t>
      </w:r>
    </w:p>
    <w:p>
      <w:pPr>
        <w:pStyle w:val="TextBody"/>
        <w:spacing w:lineRule="auto" w:line="273" w:before="120" w:after="0"/>
        <w:jc w:val="both"/>
        <w:rPr>
          <w:rFonts w:ascii="Arial" w:hAnsi="Arial"/>
          <w:b w:val="false"/>
          <w:sz w:val="20"/>
        </w:rPr>
      </w:pPr>
      <w:r>
        <w:rPr>
          <w:rFonts w:ascii="Arial" w:hAnsi="Arial"/>
          <w:b w:val="false"/>
          <w:sz w:val="20"/>
        </w:rPr>
        <w:t>(1)</w:t>
      </w:r>
    </w:p>
    <w:p>
      <w:pPr>
        <w:pStyle w:val="TextBody"/>
        <w:spacing w:lineRule="auto" w:line="273" w:before="120" w:after="283"/>
        <w:jc w:val="both"/>
        <w:rPr>
          <w:rFonts w:ascii="Arial" w:hAnsi="Arial"/>
          <w:b w:val="false"/>
          <w:sz w:val="20"/>
        </w:rPr>
      </w:pPr>
      <w:r>
        <w:rPr>
          <w:rFonts w:ascii="Arial" w:hAnsi="Arial"/>
          <w:b w:val="false"/>
          <w:sz w:val="20"/>
        </w:rPr>
        <w:t xml:space="preserve">Amounts in the table above reflect payments due for our lease of office space in Cambridge, Massachusetts, that expires in July 2023.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Arial" w:hAnsi="Arial"/>
          <w:b w:val="false"/>
          <w:sz w:val="20"/>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r>
        <w:rPr>
          <w:rFonts w:ascii="Times New Roman" w:hAnsi="Times New Roman"/>
          <w:sz w:val="20"/>
        </w:rPr>
        <w:t xml:space="preserve"> </w:t>
      </w:r>
    </w:p>
    <w:p>
      <w:pPr>
        <w:pStyle w:val="TextBody"/>
        <w:spacing w:lineRule="auto" w:line="273" w:before="240" w:after="0"/>
        <w:jc w:val="both"/>
        <w:rPr>
          <w:rFonts w:ascii="Arial" w:hAnsi="Arial"/>
          <w:b w:val="false"/>
          <w:sz w:val="20"/>
        </w:rPr>
      </w:pPr>
      <w:r>
        <w:rPr>
          <w:rFonts w:ascii="Arial" w:hAnsi="Arial"/>
          <w:b w:val="false"/>
          <w:sz w:val="20"/>
        </w:rPr>
        <w:t>There were no material changes to our contractual obligations and commitments during the three months ended March 31, 2022, from those described under “Management’s Discussion and Analysis of Financial Condition and Results of Operations” included in the Annual Report on the Form 10-K.</w:t>
      </w:r>
    </w:p>
    <w:p>
      <w:pPr>
        <w:pStyle w:val="TextBody"/>
        <w:spacing w:lineRule="auto" w:line="273" w:before="240" w:after="0"/>
        <w:jc w:val="both"/>
        <w:rPr>
          <w:rFonts w:ascii="Times New Roman" w:hAnsi="Times New Roman"/>
          <w:sz w:val="20"/>
        </w:rPr>
      </w:pPr>
      <w:r>
        <w:rPr>
          <w:rFonts w:ascii="Arial" w:hAnsi="Arial"/>
          <w:b/>
          <w:sz w:val="20"/>
        </w:rPr>
        <w:t>Critical Accounting Policies and Significant Judgments and Estimates</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Our management’s discussion and analysis of financial condition and results of operations is based on our consolidated financial statements, which have been prepared in accordance with U.S. generally accepted accounting principles, or U.S.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2022, there were no material changes to our critical accounting policies from those described in the section titled “Management’s Discussion and Analysis of Financial Condition and Operations” included in our Annual Report on Form 10-K for the year ended December 31, 2021, as filed with the SEC.</w:t>
      </w:r>
    </w:p>
    <w:p>
      <w:pPr>
        <w:pStyle w:val="TextBody"/>
        <w:spacing w:lineRule="auto" w:line="273" w:before="240" w:after="0"/>
        <w:jc w:val="center"/>
        <w:rPr>
          <w:rFonts w:ascii="Arial" w:hAnsi="Arial"/>
          <w:b w:val="false"/>
          <w:sz w:val="20"/>
        </w:rPr>
      </w:pPr>
      <w:r>
        <w:rPr>
          <w:rFonts w:ascii="Arial" w:hAnsi="Arial"/>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sz w:val="20"/>
        </w:rPr>
        <w:t>Recent Accounting Pronouncements</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We assessed the recent accounting pronouncements for the three months ended March 31, 2022 and determined no pronouncements have material impact to the condensed consolidated financial statements.</w:t>
      </w:r>
    </w:p>
    <w:p>
      <w:pPr>
        <w:pStyle w:val="TextBody"/>
        <w:spacing w:lineRule="auto" w:line="273" w:before="240" w:after="0"/>
        <w:jc w:val="both"/>
        <w:rPr>
          <w:rFonts w:ascii="Times New Roman" w:hAnsi="Times New Roman"/>
          <w:sz w:val="20"/>
        </w:rPr>
      </w:pPr>
      <w:r>
        <w:rPr>
          <w:rFonts w:ascii="Arial" w:hAnsi="Arial"/>
          <w:b/>
          <w:sz w:val="20"/>
        </w:rPr>
        <w:t>Emerging Growth Company Status</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pStyle w:val="TextBody"/>
        <w:spacing w:lineRule="auto" w:line="273" w:before="80" w:after="0"/>
        <w:jc w:val="both"/>
        <w:rPr>
          <w:rFonts w:ascii="Arial" w:hAnsi="Arial"/>
          <w:b w:val="false"/>
          <w:sz w:val="20"/>
        </w:rPr>
      </w:pPr>
      <w:r>
        <w:rPr>
          <w:rFonts w:ascii="Arial" w:hAnsi="Arial"/>
          <w:b w:val="false"/>
          <w:sz w:val="20"/>
        </w:rPr>
        <w:t>We will remain an “emerging growth company” until the earliest of: the last day of the fiscal year in which we have more than $1.07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pStyle w:val="TextBody"/>
        <w:spacing w:lineRule="auto" w:line="273" w:before="80" w:after="0"/>
        <w:jc w:val="both"/>
        <w:rPr>
          <w:rFonts w:ascii="Times New Roman" w:hAnsi="Times New Roman"/>
          <w:sz w:val="20"/>
        </w:rPr>
      </w:pPr>
      <w:r>
        <w:rPr>
          <w:rFonts w:ascii="Arial" w:hAnsi="Arial"/>
          <w:b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If we are a smaller reporting company at the time we cease to be an EGC, we may continue to rely on exemptions from certain disclosure requirements that are available to smaller reporting companies.</w:t>
      </w:r>
    </w:p>
    <w:p>
      <w:pPr>
        <w:pStyle w:val="TextBody"/>
        <w:spacing w:lineRule="auto" w:line="273" w:before="240" w:after="0"/>
        <w:jc w:val="both"/>
        <w:rPr>
          <w:rFonts w:ascii="Arial" w:hAnsi="Arial"/>
          <w:b/>
          <w:sz w:val="20"/>
        </w:rPr>
      </w:pPr>
      <w:bookmarkStart w:id="12" w:name="item_3_quantitative_and_qualitative"/>
      <w:bookmarkEnd w:id="12"/>
      <w:r>
        <w:rPr>
          <w:rFonts w:ascii="Arial" w:hAnsi="Arial"/>
          <w:b/>
          <w:sz w:val="20"/>
        </w:rPr>
        <w:t>Item 3. Quantitative and Qualitative Disclosures About Market Risk.</w:t>
      </w:r>
    </w:p>
    <w:p>
      <w:pPr>
        <w:pStyle w:val="TextBody"/>
        <w:spacing w:lineRule="auto" w:line="273" w:before="80" w:after="0"/>
        <w:jc w:val="both"/>
        <w:rPr>
          <w:rFonts w:ascii="Times New Roman" w:hAnsi="Times New Roman"/>
          <w:sz w:val="20"/>
        </w:rPr>
      </w:pPr>
      <w:r>
        <w:rPr>
          <w:rFonts w:ascii="Arial" w:hAnsi="Arial"/>
          <w:b w:val="false"/>
          <w:sz w:val="20"/>
        </w:rPr>
        <w:t>We are a smaller reporting company as defined by Rule 12b-2 of the Securities Exchange Act of 1934 and are not required to provide the information under this item.</w:t>
      </w:r>
      <w:r>
        <w:rPr>
          <w:rFonts w:ascii="Times New Roman" w:hAnsi="Times New Roman"/>
          <w:sz w:val="20"/>
        </w:rPr>
        <w:t xml:space="preserve"> </w:t>
      </w:r>
    </w:p>
    <w:p>
      <w:pPr>
        <w:pStyle w:val="TextBody"/>
        <w:spacing w:lineRule="auto" w:line="273" w:before="240" w:after="0"/>
        <w:jc w:val="both"/>
        <w:rPr>
          <w:rFonts w:ascii="Arial" w:hAnsi="Arial"/>
          <w:b/>
          <w:sz w:val="20"/>
        </w:rPr>
      </w:pPr>
      <w:bookmarkStart w:id="13" w:name="item_4_controls_and_procedures"/>
      <w:bookmarkEnd w:id="13"/>
      <w:r>
        <w:rPr>
          <w:rFonts w:ascii="Arial" w:hAnsi="Arial"/>
          <w:b/>
          <w:sz w:val="20"/>
        </w:rPr>
        <w:t>Item 4. Controls and Procedures.</w:t>
      </w:r>
    </w:p>
    <w:p>
      <w:pPr>
        <w:pStyle w:val="TextBody"/>
        <w:spacing w:lineRule="auto" w:line="273" w:before="80" w:after="0"/>
        <w:jc w:val="both"/>
        <w:rPr>
          <w:rFonts w:ascii="Arial" w:hAnsi="Arial"/>
          <w:b w:val="false"/>
          <w:i/>
          <w:sz w:val="20"/>
        </w:rPr>
      </w:pPr>
      <w:r>
        <w:rPr>
          <w:rFonts w:ascii="Arial" w:hAnsi="Arial"/>
          <w:b w:val="false"/>
          <w:i/>
          <w:sz w:val="20"/>
        </w:rPr>
        <w:t>Disclosure Controls and Procedures</w:t>
      </w:r>
    </w:p>
    <w:p>
      <w:pPr>
        <w:pStyle w:val="TextBody"/>
        <w:spacing w:lineRule="auto" w:line="273" w:before="80" w:after="0"/>
        <w:jc w:val="both"/>
        <w:rPr>
          <w:rFonts w:ascii="Arial" w:hAnsi="Arial"/>
          <w:b w:val="false"/>
          <w:sz w:val="20"/>
        </w:rPr>
      </w:pPr>
      <w:r>
        <w:rPr>
          <w:rFonts w:ascii="Arial" w:hAnsi="Arial"/>
          <w:b w:val="false"/>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spacing w:lineRule="auto" w:line="273" w:before="240" w:after="0"/>
        <w:jc w:val="both"/>
        <w:rPr>
          <w:rFonts w:ascii="Arial" w:hAnsi="Arial"/>
          <w:b w:val="false"/>
          <w:sz w:val="20"/>
        </w:rPr>
      </w:pPr>
      <w:r>
        <w:rPr>
          <w:rFonts w:ascii="Arial" w:hAnsi="Arial"/>
          <w:b w:val="false"/>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March 31, 2022,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pStyle w:val="TextBody"/>
        <w:spacing w:lineRule="auto" w:line="273" w:before="0" w:after="0"/>
        <w:jc w:val="both"/>
        <w:rPr/>
      </w:pPr>
      <w:r>
        <w:rPr/>
        <w:t> </w:t>
      </w:r>
    </w:p>
    <w:p>
      <w:pPr>
        <w:pStyle w:val="TextBody"/>
        <w:spacing w:lineRule="auto" w:line="273" w:before="40" w:after="0"/>
        <w:jc w:val="both"/>
        <w:rPr>
          <w:rFonts w:ascii="Arial" w:hAnsi="Arial"/>
          <w:b w:val="false"/>
          <w:i/>
          <w:sz w:val="20"/>
        </w:rPr>
      </w:pPr>
      <w:r>
        <w:rPr>
          <w:rFonts w:ascii="Arial" w:hAnsi="Arial"/>
          <w:b w:val="false"/>
          <w:i/>
          <w:sz w:val="20"/>
        </w:rPr>
        <w:t>Changes in Internal Control over Financial Reporting</w:t>
      </w:r>
    </w:p>
    <w:p>
      <w:pPr>
        <w:pStyle w:val="TextBody"/>
        <w:spacing w:lineRule="auto" w:line="273" w:before="80" w:after="0"/>
        <w:jc w:val="both"/>
        <w:rPr>
          <w:rFonts w:ascii="Arial" w:hAnsi="Arial"/>
          <w:b w:val="false"/>
          <w:sz w:val="20"/>
        </w:rPr>
      </w:pPr>
      <w:r>
        <w:rPr>
          <w:rFonts w:ascii="Arial" w:hAnsi="Arial"/>
          <w:b w:val="false"/>
          <w:sz w:val="20"/>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spacing w:lineRule="auto" w:line="273" w:before="240" w:after="0"/>
        <w:jc w:val="center"/>
        <w:rPr>
          <w:rFonts w:ascii="Arial" w:hAnsi="Arial"/>
          <w:b w:val="false"/>
          <w:sz w:val="20"/>
        </w:rPr>
      </w:pPr>
      <w:r>
        <w:rPr>
          <w:rFonts w:ascii="Arial" w:hAnsi="Arial"/>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bookmarkStart w:id="14" w:name="part_ii_other_information"/>
      <w:bookmarkEnd w:id="14"/>
      <w:r>
        <w:rPr>
          <w:rFonts w:ascii="Arial" w:hAnsi="Arial"/>
          <w:b/>
          <w:sz w:val="20"/>
        </w:rPr>
        <w:t>PART II—OTHER INFORMATION</w:t>
      </w:r>
    </w:p>
    <w:p>
      <w:pPr>
        <w:pStyle w:val="TextBody"/>
        <w:spacing w:lineRule="auto" w:line="273" w:before="240" w:after="0"/>
        <w:jc w:val="both"/>
        <w:rPr>
          <w:rFonts w:ascii="Arial" w:hAnsi="Arial"/>
          <w:b/>
          <w:sz w:val="20"/>
        </w:rPr>
      </w:pPr>
      <w:bookmarkStart w:id="15" w:name="item_1_legal_proceedings"/>
      <w:bookmarkEnd w:id="15"/>
      <w:r>
        <w:rPr>
          <w:rFonts w:ascii="Arial" w:hAnsi="Arial"/>
          <w:b/>
          <w:sz w:val="20"/>
        </w:rPr>
        <w:t>Item 1. Legal Proceedings.</w:t>
      </w:r>
    </w:p>
    <w:p>
      <w:pPr>
        <w:pStyle w:val="TextBody"/>
        <w:spacing w:lineRule="auto" w:line="273" w:before="80" w:after="0"/>
        <w:jc w:val="both"/>
        <w:rPr>
          <w:rFonts w:ascii="Arial" w:hAnsi="Arial"/>
          <w:b w:val="false"/>
          <w:sz w:val="20"/>
        </w:rPr>
      </w:pPr>
      <w:r>
        <w:rPr>
          <w:rFonts w:ascii="Arial" w:hAnsi="Arial"/>
          <w:b w:val="false"/>
          <w:sz w:val="20"/>
        </w:rPr>
        <w:t>From time to time, we may become subject to various legal proceedings and claims that arise in the ordinary course of our business activities. Although the results of litigation and claims cannot be predicted with certainty, as of March 31, 2022,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spacing w:lineRule="auto" w:line="273" w:before="240" w:after="0"/>
        <w:jc w:val="left"/>
        <w:rPr>
          <w:rFonts w:ascii="Arial" w:hAnsi="Arial"/>
          <w:b/>
          <w:sz w:val="20"/>
        </w:rPr>
      </w:pPr>
      <w:bookmarkStart w:id="16" w:name="item_1a_risk_factors"/>
      <w:bookmarkEnd w:id="16"/>
      <w:r>
        <w:rPr>
          <w:rFonts w:ascii="Arial" w:hAnsi="Arial"/>
          <w:b/>
          <w:sz w:val="20"/>
        </w:rPr>
        <w:t>Item 1A. Risk Factors.</w:t>
      </w:r>
    </w:p>
    <w:p>
      <w:pPr>
        <w:pStyle w:val="TextBody"/>
        <w:spacing w:lineRule="auto" w:line="273" w:before="80" w:after="0"/>
        <w:jc w:val="both"/>
        <w:rPr>
          <w:rFonts w:ascii="Times New Roman" w:hAnsi="Times New Roman"/>
          <w:sz w:val="20"/>
        </w:rPr>
      </w:pPr>
      <w:r>
        <w:rPr>
          <w:rFonts w:ascii="Arial" w:hAnsi="Arial"/>
          <w:b w:val="false"/>
          <w:i/>
          <w:sz w:val="20"/>
        </w:rPr>
        <w:t>Investing in our common stock involves a high degree of risk. You should carefully read and consider all of the risks described below, as well as the other information in this Quarterly Report on Form 10-Q, including our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Risks Related to Our Financial Position, and Additional Capital Needs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We have incurred significant net losses since our inception and anticipate that we will continue to incur losses for the foreseeable future.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$12.8 million and $5.9 million for the three months ended March 31, 2022 and 2021, respectively. As of March 31, 2022, we had an accumulated deficit of $165.0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AU-011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initiating and completing research regarding, and preclinical and clinical development of, AU-011 in primary choroidal melanoma and, additional oncology indications, other research programs from our VDC technology platform and any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obtaining marketing approval for AU-011 and any future product candidates for which we complete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transferring our manufacturing process to a commercial contract development and manufacturing organization for AU-011 and any future product candidates, including establishing and maintaining commercially viable supply and manufacturing relationships with third parties;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launching and commercializing AU-011 and any future product candidates for which we obtain marketing approvals, either directly or with a collaborator or distributor;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obtaining market acceptance of AU-011 and any future product candidates as viable treatment options;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addressing any competing technological and market developments;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identifying, assessing, acquiring and developing new product candidates from our VDC technology platform; </w:t>
      </w:r>
    </w:p>
    <w:p>
      <w:pPr>
        <w:pStyle w:val="TextBody"/>
        <w:spacing w:lineRule="auto" w:line="273" w:before="240" w:after="0"/>
        <w:jc w:val="center"/>
        <w:rPr>
          <w:rFonts w:ascii="Arial" w:hAnsi="Arial"/>
          <w:b w:val="false"/>
          <w:sz w:val="20"/>
        </w:rPr>
      </w:pPr>
      <w:r>
        <w:rPr>
          <w:rFonts w:ascii="Arial" w:hAnsi="Arial"/>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negotiating favorable terms in any collaboration, licensing, or other arrangements into which we may enter;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obtaining, maintaining, protecting, and expanding our portfolio of intellectual property rights, including patents, trade secrets, and know-how;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attracting, hiring, and retaining qualified personnel. </w:t>
      </w:r>
    </w:p>
    <w:p>
      <w:pPr>
        <w:pStyle w:val="TextBody"/>
        <w:spacing w:lineRule="auto" w:line="273" w:before="240" w:after="0"/>
        <w:jc w:val="both"/>
        <w:rPr>
          <w:rFonts w:ascii="Times New Roman" w:hAnsi="Times New Roman"/>
          <w:sz w:val="20"/>
        </w:rPr>
      </w:pPr>
      <w:r>
        <w:rPr>
          <w:rFonts w:ascii="Arial" w:hAnsi="Arial"/>
          <w:b w:val="false"/>
          <w:sz w:val="20"/>
        </w:rPr>
        <w:t>Even if AU-011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If we are successful in obtaining regulatory approvals to market AU-011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AU-011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AU-011. Identifying and developing pharmaceutical products, including conducting preclinical studies and clinical trials, is a very time-consuming, expensive and uncertain process that takes years to complete. Even if one or more of AU-011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AU-011 or any future product candidates that we develop. We also expect to incur additional costs associated with operating as a public company. Accordingly, we will need to obtain substantial additional funding in order to continue our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Based on our current operating plan, we believe that our existing cash and cash equivalents, will be sufficient to fund our operating expenses and capital expenditures into 2024. Advancing the development of AU-011 and other research programs will require a significant amount of capital. Our existing cash and cash equivalents will not be sufficient to fund AU-011 through regulatory approval, and we anticipate needing to raise additional capital to complete the development of and commercialize AU-011.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in general or more recently due to the COVID-19 pandemic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AU-011 if and when approved and develop our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Raising additional capital may cause dilution to our existing stockholders, restrict our operations or require us to relinquish proprietary rights to our technologies or product candidates.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Our ability to generate revenue and achieve profitability depends significantly on our ability to achieve our objectives relating to the discovery, development and commercialization of our product candidates.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pPr>
      <w:r>
        <w:rPr>
          <w:rFonts w:ascii="Arial" w:hAnsi="Arial"/>
          <w:b w:val="false"/>
          <w:sz w:val="20"/>
        </w:rPr>
        <w:t>successful and timely completion of preclinical and clinical development of AU-011 in indeterminate lesions and</w:t>
      </w:r>
      <w:r>
        <w:rPr/>
        <w:t xml:space="preserve"> </w:t>
      </w:r>
      <w:r>
        <w:rPr>
          <w:rFonts w:ascii="Arial" w:hAnsi="Arial"/>
          <w:b w:val="false"/>
          <w:sz w:val="20"/>
        </w:rPr>
        <w:t xml:space="preserve">primary choroidal melanoma and additional oncology indications, other research programs from our VDC technology platform, and any other future programs;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establishing and maintaining relationships with contract research organizations, or CROs, and clinical sites for the clinical development of AU-011, other research programs from our VDC technology platform, and any other future programs;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timely receipt of marketing approvals from applicable regulatory authorities for any product candidates for which we successfully complete clinical development; </w:t>
      </w:r>
    </w:p>
    <w:p>
      <w:pPr>
        <w:pStyle w:val="TextBody"/>
        <w:spacing w:lineRule="auto" w:line="273" w:before="240" w:after="0"/>
        <w:jc w:val="center"/>
        <w:rPr>
          <w:rFonts w:ascii="Arial" w:hAnsi="Arial"/>
          <w:b w:val="false"/>
          <w:sz w:val="20"/>
        </w:rPr>
      </w:pPr>
      <w:r>
        <w:rPr>
          <w:rFonts w:ascii="Arial" w:hAnsi="Arial"/>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transferring our manufacturing process to a commercial CDMO, including obtaining finished products that are appropriately packaged for sale;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successful commercial launch following any marketing approval, including the development of a commercial infrastructure, whether in-house or with one or more collaborators;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continued acceptable safety profile following any marketing approval of our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commercial acceptance of our product candidates by patients, the medical community and third-party payors;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satisfying any required post-marketing approval commitments to applicable regulatory authorities;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identifying, assessing and developing new product candidates from our VDC technology platform;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obtaining, maintaining and expanding patent protection, trade secret protection and regulatory exclusivity, both in the United States and internationally;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defending against third-party interference or infringement claims, if any;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entering into, on favorable terms, any collaboration, licensing or other arrangements that may be necessary or desirable to develop, manufacture or commercialize our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obtaining coverage and adequate reimbursement by third-party payors for our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addressing any competing therapies and technological and market developments;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attracting, hiring and retaining qualified personnel. </w:t>
      </w:r>
    </w:p>
    <w:p>
      <w:pPr>
        <w:pStyle w:val="TextBody"/>
        <w:spacing w:lineRule="auto" w:line="273" w:before="240" w:after="0"/>
        <w:jc w:val="both"/>
        <w:rPr>
          <w:rFonts w:ascii="Times New Roman" w:hAnsi="Times New Roman"/>
          <w:sz w:val="20"/>
        </w:rPr>
      </w:pPr>
      <w:r>
        <w:rPr>
          <w:rFonts w:ascii="Arial" w:hAnsi="Arial"/>
          <w:b w:val="false"/>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Risks Related to the Discovery and Development of our Product Candidates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We are heavily dependent on the success of AU-011, our only product candidate to date.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currently have no products that are approved for commercial sale and may never be able to develop marketable products. We expect that a substantial portion of our efforts and expenditures over the next several years will be devoted to development of AU-011 in multiple oncology indications, which is currently our only product candidate. Accordingly, our business currently depends heavily on the successful development, regulatory approval, and commercialization of AU-011. We can provide no assurance that AU-011 will receive regulatory approval or be successfully commercialized even if we receive regulatory approval. If we were required to discontinue development of AU-011 or if AU-011 does not receive regulatory approval or fails to achieve significant market acceptance, we would be delayed by many years in our ability to achieve profitability, if ever.</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research, testing, manufacturing, safety, efficacy, recordkeeping, labeling, approval, licensure, sale, marketing, advertising, promotion and distribution of AU-011 is, and will remain, subject to comprehensive regulation by the FDA and foreign regulatory authorities. Failure to obtain regulatory approval for AU-011 in the United States, Europe and other major markets around the world will prevent us from commercializing and marketing AU-011 in such jurisdictions.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Even if we were to successfully obtain approval from the FDA and foreign regulatory authorities for AU-011, any approval might contain significant limitations related to use, including limitations on the stage or type of cancer AU-011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AU-011. Furthermore, even if we obtain regulatory approval for AU-011,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AU-011, we may not be able to generate sufficient revenue to continue our business.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If we are not able to obtain, or if there are delays in obtaining, required regulatory approvals for AU-011, we will not be able to commercialize, or will be delayed in commercializing, our product candidates, and our ability to generate revenue will be materially impaired.</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Investigational New Drug application, or IND, Premarket Approval, or PMA,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AU-011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FDA or comparable foreign regulatory authorities may disagree with the design or implementation of our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be unable to demonstrate to the satisfaction of the FDA or comparable foreign regulatory authorities that a product candidate is safe and effective for its proposed indication;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results of clinical trials may not meet the level of statistical significance required by the FDA or comparable foreign regulatory authorities for approval;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be unable to demonstrate that a product candidate’s clinical and other benefits outweigh its safety risks;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FDA or comparable foreign regulatory authorities may disagree with our interpretation of data from preclinical studies or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data collected from clinical trials of our product candidates may not be sufficient to support the submission of an BLA or other submission or to obtain regulatory approval in the United States or elsewhere;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FDA or comparable foreign regulatory authorities may fail to approve our manufacturing processes or facilities or those of third-party manufacturers with which we contract for clinical and commercial supplies;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the approval policies or regulations of the FDA or comparable foreign regulatory authorities may significantly change in a manner rendering our clinical data insufficient for approval. </w:t>
      </w:r>
    </w:p>
    <w:p>
      <w:pPr>
        <w:pStyle w:val="TextBody"/>
        <w:spacing w:lineRule="auto" w:line="273" w:before="240" w:after="0"/>
        <w:jc w:val="both"/>
        <w:rPr>
          <w:rFonts w:ascii="Times New Roman" w:hAnsi="Times New Roman"/>
          <w:sz w:val="20"/>
        </w:rPr>
      </w:pPr>
      <w:r>
        <w:rPr>
          <w:rFonts w:ascii="Arial" w:hAnsi="Arial"/>
          <w:b w:val="false"/>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Our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due to the COVID-19 pandemic, the conduct of Advisory Committee meetings may be disrupted or delayed and the impact that may have on the overall timing of regulatory approvals is uncertain.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have not yet successfully initiated or completed any pivotal clinical trials nor commercialized any pharmaceutical products, which may make it difficult to evaluate our future prospects.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operations to date have been limited to financing and staffing our company, developing our technology and conducting preclinical research and Phase 1 and Phase 2 clinical trials for our product candidates, primarily related to our AU-011 program in indeterminate lesions and primary choroidal melanoma. We have not yet demonstrated an ability to successfully initiate or complete pivotal clinical trials, obtain marketing approvals, manufacture a commercial-scale product or arrange for a third party to do so on our behalf, or conduct sales and marketing activities necessary for successful product commercialization. Furthermore, we may conduct our first pivotal trial based on an adaptive design, which could increase the time spent on or costs associated with this trial. We are in the process of transferring our intended commercial manufacturing process to our intended external contract development and manufacturing organization, or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If we fail to develop additional product candidates, our commercial opportunity could be limited.</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expect to focus our resources on the development of AU-011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AU-011 is a biologic that requires the use of multiple devices, which may result in additional regulatory risks.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AU-011 is a novel biologic for which the intended use requires activation by a laser, which is regulated as a medical device. We plan to file a single BLA for the review and approval of this combination in our initial target indication of indeterminate lesions and small choroidal melanoma, but subsequent indications and delivery systems may require different or additional applications for marketing authorization. In addition, consistent with recent FDA guidance as seen with the approval of Xipere, Clearside Biomedical’s SCS Microinjector® is also expected to be regulated as a medical device and suprachoroidal administration of AU-011 with this device is expected to constitute a combination product. As such, we may also include the SCS Microinjector in our BLA.</w:t>
      </w:r>
      <w:r>
        <w:rPr>
          <w:rFonts w:ascii="Times New Roman" w:hAnsi="Times New Roman"/>
          <w:sz w:val="20"/>
        </w:rPr>
        <w:t xml:space="preserve"> </w:t>
      </w:r>
      <w:r>
        <w:rPr>
          <w:rFonts w:ascii="Arial" w:hAnsi="Arial"/>
          <w:b w:val="false"/>
          <w:sz w:val="20"/>
        </w:rPr>
        <w:t>There may be additional regulatory risks for biologic-device combination products. We may experience delays in obtaining regulatory approval of AU-011 given the increased complexity of the review process when approval of the product and a delivery device is sought under a single marketing application.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AU-011 reaching the market.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Changes in methods of product candidate manufacturing or formulation may result in additional costs or delay.</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For example, we are planning to use Phase 2 drug product to initiate our first pivotal study and transitioning to the intended commercial drug product as soon as it available to conduct the second planned pivotal study.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If we experience delays or difficulties in the enrollment of patients in clinical trials, our receipt of necessary regulatory approvals could be delayed or prevented.</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Furthermore, our ability to enroll patients may be significantly delayed by the evolving COVID-19 pandemic, and we cannot accurately predict the extent and scope of such delays at this point.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Choroidal Melanoma is a rare disease and as such clinical trial recruitment estimates may be inaccurate and such recruitment may take longer than expected.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Patient enrollment may be affected by other factors,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severity of the disease under investigation;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clinicians’ and patients’ awareness of, and perceptions as to the potential advantages and risks of AU-011 in relation to other available therapies, including any new drugs that may be approved for the indications we are investigating;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efforts to obtain and maintain patient consents and facilitate timely enrollment in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ability to monitor patients adequately during and after treatment;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risk that patients enrolled in clinical trials will drop out of the clinical trials before clinical trial completion;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competing studies or trails with similar eligibility criteria; </w:t>
      </w:r>
    </w:p>
    <w:p>
      <w:pPr>
        <w:pStyle w:val="TextBody"/>
        <w:spacing w:lineRule="auto" w:line="273" w:before="240" w:after="0"/>
        <w:jc w:val="center"/>
        <w:rPr>
          <w:rFonts w:ascii="Arial" w:hAnsi="Arial"/>
          <w:b w:val="false"/>
          <w:sz w:val="20"/>
        </w:rPr>
      </w:pPr>
      <w:r>
        <w:rPr>
          <w:rFonts w:ascii="Arial" w:hAnsi="Arial"/>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ability to recruit clinical trial investigators with the appropriate competencies and experience;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reporting of the preliminary results of any of our clinical trials;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factors we may not be able to control, including the impacts of the ongoing COVID-19 pandemic, that may limit patients, principal investigators or staff or clinical site availability. </w:t>
      </w:r>
    </w:p>
    <w:p>
      <w:pPr>
        <w:pStyle w:val="TextBody"/>
        <w:spacing w:lineRule="auto" w:line="273" w:before="240" w:after="0"/>
        <w:jc w:val="both"/>
        <w:rPr>
          <w:rFonts w:ascii="Times New Roman" w:hAnsi="Times New Roman"/>
          <w:sz w:val="20"/>
        </w:rPr>
      </w:pPr>
      <w:r>
        <w:rPr>
          <w:rFonts w:ascii="Arial" w:hAnsi="Arial"/>
          <w:b/>
          <w:i/>
          <w:sz w:val="20"/>
        </w:rPr>
        <w:t>We may in the future conduct clinical trials for current or future product candidates outside the United States, and the FDA and comparable foreign regulatory authorities may not accept data from such trials.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Even if we receive marketing approval for our current or future product candidates in the United States, we may never receive regulatory approval to market our current or future product candidates outside of the United States.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plan to seek regulatory approval of our current or future product candidates outside of the U.S. Obtaining and maintaining regulatory approval of our product candidates in one jurisdiction does not guarantee that we will be able to obtain or maintain regulatory approval in any other jurisdiction.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U.S., products must receive pricing and reimbursement approval before the product can be commercialized. Obtaining this approval can result in substantial delays in bringing products to market in such countries.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The results of preclinical studies and early clinical trials may not be predictive of future results.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outcome of preclinical testing and early clinical trials may not be predictive of the success of later clinical trials. AU-011 and any other product candidates we may develop may fail to show the desired safety and efficacy in clinical development despite positive results in preclinical studies or having successfully advanced through initial clinical trials. For example, AU-011 may not be effective at slowing or arresting tumor growth or may not preserve visual acuity in later stage trials. Even if AU-011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AU-011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As an organization, we have never conducted pivotal clinical trials, and we may be unable to do so for any product candidates we may develop.</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will need to successfully complete pivotal clinical trials in order to obtain the approval of the FDA, the European Medicines Agency (EMA), or other regulatory agencies to market AU-011 or any future product candidate. Carrying out later-stage clinical trials is a complicated process. As an organization, we have not previously conducted any later stage or pivotal clinical trials. In order to do so, we will need to expand our clinical development and regulatory capabilities, and we may be unable to recruit and train qualified personnel or sign a contract with a global clinical research organization to conduct the trials on our behalf. Consequently, we may be unable to successfully and efficiently execute and complete necessary clinical trials in a way that leads to approval of AU-011 or future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Additionally, we may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AU-011 when studied in a controlled environment with a placebo or active control.</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AU-011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Adverse events or other undesirable side effects caused by or associated with treatment by AU-011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AU-011 has been evaluated in clinical trials, unexpected side effects may still arise in our ongoing or any future clinical trials. These side effects have included pigmentary changes around the tumor margin and vision loss.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pivotal clinical trials or, in some cases, after they are made available to subjects on a commercial scale after approval.</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regulatory authorities may withdraw approvals of such product or require additional warnings on the label;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additional clinical trials or post-approval studies;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be subject to regulatory investigations and government enforcement actions;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our reputation may suffer. </w:t>
      </w:r>
    </w:p>
    <w:p>
      <w:pPr>
        <w:pStyle w:val="TextBody"/>
        <w:spacing w:lineRule="auto" w:line="273" w:before="240" w:after="0"/>
        <w:jc w:val="center"/>
        <w:rPr>
          <w:rFonts w:ascii="Arial" w:hAnsi="Arial"/>
          <w:b w:val="false"/>
          <w:sz w:val="20"/>
        </w:rPr>
      </w:pPr>
      <w:r>
        <w:rPr>
          <w:rFonts w:ascii="Arial" w:hAnsi="Arial"/>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Moreover, if AU-011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Arial" w:hAnsi="Arial"/>
          <w:b w:val="false"/>
          <w:sz w:val="20"/>
        </w:rPr>
        <w:t>Any of these events could prevent us from achieving or maintaining market acceptance of the particular product candidate, if approved, and could materially affect our business, financial condition, results of operations, and growth prospects.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may incur additional costs or experience delays in initiating or completing, or ultimately be unable to complete, the development and commercialization of our product candidates.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receive feedback from regulatory authorities that require us to modify the design or implementation of our preclinical studies or clinical trials or to delay or terminate a clinical trial;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regulators or institutional review boards, or IRBs, or ethics committees may delay or may not authorize us or our investigators to commence a clinical trial or conduct a clinical trial at a prospective trial site;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preclinical studies or clinical trials of our product candidates may not produce differentiated or clinically significant results across tumor types or indications;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 of clinical trials of our product candidates may be greater than we anticipate;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clinical trials of our product candidates may be delayed due to complications associated with the evolving COVID-19 pandemic;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supply or quality of our product candidates or other materials necessary to conduct clinical trials of our product candidates may be insufficient or inadequate;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regulators may revise the requirements for approving our product candidates, or such requirements may not be as we anticipate. </w:t>
      </w:r>
    </w:p>
    <w:p>
      <w:pPr>
        <w:pStyle w:val="TextBody"/>
        <w:spacing w:lineRule="auto" w:line="273" w:before="240" w:after="0"/>
        <w:jc w:val="center"/>
        <w:rPr>
          <w:rFonts w:ascii="Arial" w:hAnsi="Arial"/>
          <w:b w:val="false"/>
          <w:sz w:val="20"/>
        </w:rPr>
      </w:pPr>
      <w:r>
        <w:rPr>
          <w:rFonts w:ascii="Arial" w:hAnsi="Arial"/>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Moreover, principal investigators for our trials involving AU-011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restrictions on the marketing or manufacturing of the product, withdrawal of the product from the market, or voluntary or mandatory product recalls;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manufacturing delays and supply disruptions where regulatory inspections identify observations of noncompliance requiring remediation;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revisions to the labeling, including limitation on approved uses or the addition of additional warnings, contraindications or other safety information, including boxed warnings;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imposition of a REMS which may include distribution or use restrictions;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requirements to conduct additional post-market clinical trials to assess the safety of the product; </w:t>
      </w:r>
    </w:p>
    <w:p>
      <w:pPr>
        <w:pStyle w:val="TextBody"/>
        <w:spacing w:lineRule="auto" w:line="273" w:before="240" w:after="0"/>
        <w:jc w:val="center"/>
        <w:rPr>
          <w:rFonts w:ascii="Arial" w:hAnsi="Arial"/>
          <w:b w:val="false"/>
          <w:sz w:val="20"/>
        </w:rPr>
      </w:pPr>
      <w:r>
        <w:rPr>
          <w:rFonts w:ascii="Arial" w:hAnsi="Arial"/>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clinical trial holds;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fines, warning letters or other regulatory enforcement action;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refusal by the FDA to approve pending applications or supplements to approved applications filed by us or suspension or revocation of approvals;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product seizure or detention, or refusal to permit the import or export of products;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injunctions or the imposition of civil or criminal penalties. </w:t>
      </w:r>
    </w:p>
    <w:p>
      <w:pPr>
        <w:pStyle w:val="TextBody"/>
        <w:spacing w:lineRule="auto" w:line="273" w:before="240" w:after="0"/>
        <w:jc w:val="both"/>
        <w:rPr>
          <w:rFonts w:ascii="Times New Roman" w:hAnsi="Times New Roman"/>
          <w:sz w:val="20"/>
        </w:rPr>
      </w:pPr>
      <w:r>
        <w:rPr>
          <w:rFonts w:ascii="Arial" w:hAnsi="Arial"/>
          <w:b w:val="false"/>
          <w:sz w:val="20"/>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sz w:val="20"/>
        </w:rPr>
        <w:t xml:space="preserve"> </w:t>
      </w:r>
    </w:p>
    <w:p>
      <w:pPr>
        <w:pStyle w:val="TextBody"/>
        <w:spacing w:lineRule="auto" w:line="273" w:before="240" w:after="0"/>
        <w:jc w:val="both"/>
        <w:rPr>
          <w:rFonts w:ascii="Arial" w:hAnsi="Arial"/>
          <w:b w:val="false"/>
          <w:sz w:val="20"/>
        </w:rPr>
      </w:pPr>
      <w:r>
        <w:rPr>
          <w:rFonts w:ascii="Arial" w:hAnsi="Arial"/>
          <w:b w:val="false"/>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pStyle w:val="TextBody"/>
        <w:spacing w:lineRule="auto" w:line="273" w:before="240" w:after="0"/>
        <w:jc w:val="both"/>
        <w:rPr>
          <w:rFonts w:ascii="Times New Roman" w:hAnsi="Times New Roman"/>
          <w:sz w:val="20"/>
        </w:rPr>
      </w:pPr>
      <w:r>
        <w:rPr>
          <w:rFonts w:ascii="Arial" w:hAnsi="Arial"/>
          <w:b/>
          <w:i/>
          <w:sz w:val="20"/>
        </w:rPr>
        <w:t>We may be unable to obtain orphan drug designations or to maintain the benefits associated with orphan drug status, including market exclusivity, which may cause our revenue, if any, to be reduced.</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have obtained orphan designation for AU-011 for the treatment of uveal melanoma, and we may seek additional orphan drug designations for some or all of our current or future product candidates in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Arial" w:hAnsi="Arial"/>
          <w:b w:val="false"/>
          <w:sz w:val="20"/>
        </w:rPr>
      </w:pPr>
      <w:r>
        <w:rPr>
          <w:rFonts w:ascii="Arial" w:hAnsi="Arial"/>
          <w:b w:val="false"/>
          <w:sz w:val="20"/>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spacing w:lineRule="auto" w:line="273" w:before="240" w:after="0"/>
        <w:jc w:val="both"/>
        <w:rPr>
          <w:rFonts w:ascii="Times New Roman" w:hAnsi="Times New Roman"/>
          <w:sz w:val="20"/>
        </w:rPr>
      </w:pPr>
      <w:r>
        <w:rPr>
          <w:rFonts w:ascii="Arial" w:hAnsi="Arial"/>
          <w:b/>
          <w:i/>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have obtained fast track designation for AU-011 for the treatment of choroidal melanoma, and we may seek additional fast track designations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sz w:val="20"/>
        </w:rPr>
        <w:t>Risks Related to Our Reliance on Third Parties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currently rely and expect to continue to rely on third parties, such as CROs, clinical data management organizations, medical institutions and clinical investigators, to conduct some aspects of our research, preclinical testing and clinical trials. We plan to use a clinical CRO for at least part of the potentially pivotal trial for AU-011 for the treatment of choroidal melanoma. Any of these third parties may terminate their engagements with us or be unable to fulfill their contractual obligations. If we need to enter into alternative arrangements, our product development activities would be delayed.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currently rely on third-party contract manufacturing organizations, or CMOs, for the production of clinical supply of AU-011 and may continue to rely on CMOs for the production of commercial supply of AU-011,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AU-011.</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We or our third-party suppliers or manufacturers may encounter shortages in the raw materials or active pharmaceutical ingredient, or API, necessary to produce AU-011 and future product candidates we may develop in the quantities needed for our clinical trials or, if AU-011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AU-011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Reliance on third party manufacturers may expose us to different risks than if we were to manufacture clinical or commercial supply of our product candidates ourselves. The facilities used by third-party manufacturers to manufacture AU-011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Finding new CMOs or third-party suppliers involves additional cost and requires our management’s time and focus. In addition, there is typically a transition period when a new CMO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CMO could delay completion of clinical trials, require the conduct of bridging clinical trials or studies, require the repetition of one or more clinical trials, increase clinical trial costs, delay approval of AU-011 and future product candidates and jeopardize our ability to commence product sales and generate revenue.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would significantly impact our ability to develop, obtain regulatory approval for or commercialize our product candidates, if approved.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Even if we are able to establish agreements with third-party manufacturers, reliance on third-party manufacturers entails additional risks,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failure of third-party manufacturers to comply with regulatory requirements and maintain quality assurance;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breach of the manufacturing agreement by the third party;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failure to manufacture our product according to our specifications;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lack of qualified backup suppliers for those components or materials that are currently purchased from a sole or single source supplier;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failure to manufacture our product according to our schedule or at all; </w:t>
      </w:r>
    </w:p>
    <w:p>
      <w:pPr>
        <w:pStyle w:val="TextBody"/>
        <w:spacing w:lineRule="auto" w:line="273" w:before="240" w:after="0"/>
        <w:jc w:val="center"/>
        <w:rPr>
          <w:rFonts w:ascii="Arial" w:hAnsi="Arial"/>
          <w:b w:val="false"/>
          <w:sz w:val="20"/>
        </w:rPr>
      </w:pPr>
      <w:r>
        <w:rPr>
          <w:rFonts w:ascii="Arial" w:hAnsi="Arial"/>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production difficulties caused by unforeseen events that may delay the availability of one or more of the necessary raw materials or delay the manufacture of AU-011 or any future product candidates for use in clinical trials or for commercial supply, including as a result of the COVID-19 pandemic;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supply or service disruptions or increased costs that are beyond our control;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misappropriation of our proprietary information, including our trade secrets and know-how;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termination or nonrenewal of the agreement by the third party at a time that is costly or inconvenient for us. </w:t>
      </w:r>
    </w:p>
    <w:p>
      <w:pPr>
        <w:pStyle w:val="TextBody"/>
        <w:spacing w:lineRule="auto" w:line="273" w:before="240" w:after="0"/>
        <w:jc w:val="both"/>
        <w:rPr>
          <w:rFonts w:ascii="Times New Roman" w:hAnsi="Times New Roman"/>
          <w:sz w:val="20"/>
        </w:rPr>
      </w:pPr>
      <w:r>
        <w:rPr>
          <w:rFonts w:ascii="Arial" w:hAnsi="Arial"/>
          <w:b w:val="false"/>
          <w:sz w:val="20"/>
        </w:rPr>
        <w:t>AU-011 and any other product candidates that we may develop may compete with other product candidates and products for access to manufacturing facilities. Additionally, three vaccines for COVID-19 were granted Emergency Use Authorization by the FDA in late 2020 and early 2021, and one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AU-011 or any other future product candidates or products may adversely affect our future profit margins and our ability to commercialize any products that receive marketing approval on a timely and competitive basis.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Risks Related to Commercialization</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If AU-011 or any future product candidates do not achieve broad market acceptance, the revenue that we generate from their sales may be limited, and we may never become profitable.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have never commercialized a product candidate for any indication. Even if AU-011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AU-011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virus-like drug conjugates, or VDCs, is unsafe, whether related to our or our competitors’ products, our products may not be accepted by the general public or the medical community. In addition, training clinicians to properly use AU-011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Efforts to educate the medical community and third-party payors on the benefits of AU-011 and any future product candidates may require significant resources and may not be successful. If AU-011 or any future product candidates are approved but do not achieve an adequate level of market acceptance, we could be prevented from or significantly delayed in achieving profitability. The degree of market acceptance of any of AU-011 and any future product candidates will depend on a number of factors,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efficacy of AU-011 and our virus-like particle, or VLP, technology, and any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prevalence and severity of adverse events associated with AU-011 and any future product candidates or those products with which they may be co-administered;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the clinical indications for which AU-011 are approved and the approved claims that we may make for the products; </w:t>
      </w:r>
    </w:p>
    <w:p>
      <w:pPr>
        <w:pStyle w:val="TextBody"/>
        <w:spacing w:lineRule="auto" w:line="273" w:before="240" w:after="0"/>
        <w:jc w:val="center"/>
        <w:rPr>
          <w:rFonts w:ascii="Arial" w:hAnsi="Arial"/>
          <w:b w:val="false"/>
          <w:sz w:val="20"/>
        </w:rPr>
      </w:pPr>
      <w:r>
        <w:rPr>
          <w:rFonts w:ascii="Arial" w:hAnsi="Arial"/>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limitations or warnings contained in the product’s FDA-approved labeling or those of comparable foreign regulatory authorities, including potential limitations or warnings for AU-011 and any future product candidates that may be more restrictive than other competitive products;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changes in the standard of care for the targeted indications for AU-011 and any future product candidates, which could reduce the marketing impact of any claims that we could make following FDA approval or approval by comparable foreign regulatory authorities, if obtained;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relative convenience and ease of administration of AU-011 and any future product candidates and any products with which they are co-administered;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cost of treatment compared with the economic and clinical benefit of alternative treatments or therapies;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availability of adequate coverage or reimbursement by third party payors, including government healthcare programs such as Medicare and Medicaid and other healthcare payors;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price concessions required by third-party payors to obtain coverage;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perception of physicians, patients, third-party payors and others in the medical community of the relative safety, efficacy, convenience, effect on quality of life and cost effectiveness of AU-011 compared to those of other available treatments;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willingness of patients to pay out-of-pocket in the absence of adequate coverage and reimbursement;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extent and strength of our marketing and distribution of AU-011 and any future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safety, efficacy, and other potential advantages over, and availability of, alternative treatments already used or that may later be approved;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distribution and use restrictions imposed by the FDA or comparable foreign regulatory authorities with respect to AU-011 and any future product candidates or to which we agree as part of a REMS or voluntary risk management plan;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timing of market introduction of AU-011 and any future product candidates, as well as competitive products;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ability to offer AU-011 and any future product candidates for sale at competitive prices;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willingness of the target patient population to try new therapies and of physicians to prescribe these therapies;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extent and strength of our third-party manufacturer and supplier support;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publicity concerning our AU-011 or competing products and treatments;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actions of companies that market any products with which AU-011 and any future product candidates may be co-administered;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approval of other new products;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adverse publicity about AU-011 and any future product candidates or any products with which they are co-administered, or favorable publicity about competitive products;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potential product liability claims. </w:t>
      </w:r>
    </w:p>
    <w:p>
      <w:pPr>
        <w:pStyle w:val="TextBody"/>
        <w:spacing w:lineRule="auto" w:line="273" w:before="240" w:after="0"/>
        <w:jc w:val="both"/>
        <w:rPr>
          <w:rFonts w:ascii="Times New Roman" w:hAnsi="Times New Roman"/>
          <w:sz w:val="20"/>
        </w:rPr>
      </w:pPr>
      <w:r>
        <w:rPr>
          <w:rFonts w:ascii="Arial" w:hAnsi="Arial"/>
          <w:b/>
          <w:i/>
          <w:sz w:val="20"/>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Furthermore, developing a sales and marketing organization requires significant investment, is time-consuming and could delay the launch of our product candidate. We may not be able to build an effective sales and marketing organization in the United States, the European Union (EU) or other key global markets. If we are unable to build our own distribution and marketing capabilities or to find suitable partners for the commercialization of our product candidate, we may have difficulties generating revenue from them.</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There can be no assurance that we will be able to develop in-house sales and distribution capabilities or establish or maintain relationships with third-party collaborators to commercialize any product in the United States or overseas.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may face competition, which may result in others discovering, developing or commercializing drugs before or more successfully than we do.</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Bacillus Calmette-Guerin,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pStyle w:val="TextBody"/>
        <w:spacing w:lineRule="auto" w:line="273" w:before="240" w:after="0"/>
        <w:jc w:val="both"/>
        <w:rPr>
          <w:rFonts w:ascii="Times New Roman" w:hAnsi="Times New Roman"/>
          <w:sz w:val="20"/>
        </w:rPr>
      </w:pPr>
      <w:r>
        <w:rPr>
          <w:rFonts w:ascii="Arial" w:hAnsi="Arial"/>
          <w:b w:val="false"/>
          <w:sz w:val="20"/>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“Business—Competition.”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Factors payors consider in determining reimbursement are based on whether the product is: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covered benefit under its health plan;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safe, effective and medically necessary;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appropriate for the specific patient;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cost-effective;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neither experimental nor investigational. </w:t>
      </w:r>
    </w:p>
    <w:p>
      <w:pPr>
        <w:pStyle w:val="TextBody"/>
        <w:spacing w:lineRule="auto" w:line="273" w:before="240" w:after="0"/>
        <w:jc w:val="both"/>
        <w:rPr>
          <w:rFonts w:ascii="Arial" w:hAnsi="Arial"/>
          <w:b w:val="false"/>
          <w:sz w:val="20"/>
        </w:rPr>
      </w:pPr>
      <w:r>
        <w:rPr>
          <w:rFonts w:ascii="Arial" w:hAnsi="Arial"/>
          <w:b w:val="false"/>
          <w:sz w:val="20"/>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w:t>
      </w:r>
    </w:p>
    <w:p>
      <w:pPr>
        <w:pStyle w:val="TextBody"/>
        <w:spacing w:lineRule="auto" w:line="273" w:before="240" w:after="0"/>
        <w:jc w:val="both"/>
        <w:rPr>
          <w:rFonts w:ascii="Times New Roman" w:hAnsi="Times New Roman"/>
          <w:sz w:val="20"/>
        </w:rPr>
      </w:pPr>
      <w:r>
        <w:rPr>
          <w:rFonts w:ascii="Arial" w:hAnsi="Arial"/>
          <w:b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also cannot predict the likelihood, nature or extent of government regulation that may arise from future legislation or administrative action, either in the United States, particularly in light of the most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If the market opportunity for AU-011 is smaller than we estimate or if any regulatory approval that we obtain is based on a narrower definition of the patient population, our revenue and ability to achieve profitability will be adversely affected, possibly materially.</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incidence and prevalence for target patient populations of AU-011 and any future product candidates has not been established with precision. AU-011 is a virus-like drug conjugate product candidate being developed for the first line treatment of primary choroidal melanoma. Our projections of both the number of people who have choroidal melanoma, as well as additional ocular oncology and bladder cancer indications, are based on our estimates.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total addressable market opportunity will ultimately depend upon, among other things, the patient criteria included in the final label, the indications for which AU-011 is approved for sale, acceptance by the medical community and patient access, product pricing and reimbursement. The number of patients with choroidal melanoma, choroidal metastases and NMIBC for which AU-011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AU-011 is our only product candidate and therefore our business is dependent on the market opportunity for our product.</w:t>
      </w:r>
      <w:r>
        <w:rPr>
          <w:rFonts w:ascii="Times New Roman" w:hAnsi="Times New Roman"/>
          <w:sz w:val="20"/>
        </w:rPr>
        <w:t xml:space="preserve"> </w:t>
      </w:r>
    </w:p>
    <w:p>
      <w:pPr>
        <w:pStyle w:val="TextBody"/>
        <w:spacing w:lineRule="auto" w:line="273" w:before="240" w:after="0"/>
        <w:jc w:val="both"/>
        <w:rPr>
          <w:rFonts w:ascii="Arial" w:hAnsi="Arial"/>
          <w:b/>
          <w:i/>
          <w:sz w:val="20"/>
        </w:rPr>
      </w:pPr>
      <w:r>
        <w:rPr>
          <w:rFonts w:ascii="Arial" w:hAnsi="Arial"/>
          <w:b/>
          <w:i/>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spacing w:lineRule="auto" w:line="273" w:before="80" w:after="0"/>
        <w:jc w:val="both"/>
        <w:rPr>
          <w:rFonts w:ascii="Arial" w:hAnsi="Arial"/>
          <w:b w:val="false"/>
          <w:sz w:val="20"/>
        </w:rPr>
      </w:pPr>
      <w:r>
        <w:rPr>
          <w:rFonts w:ascii="Arial" w:hAnsi="Arial"/>
          <w:b w:val="false"/>
          <w:sz w:val="20"/>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Such laws include, but are not limited to:</w:t>
      </w:r>
    </w:p>
    <w:p>
      <w:pPr>
        <w:pStyle w:val="TextBody"/>
        <w:spacing w:lineRule="auto" w:line="273" w:before="240" w:after="0"/>
        <w:jc w:val="center"/>
        <w:rPr>
          <w:rFonts w:ascii="Arial" w:hAnsi="Arial"/>
          <w:b w:val="false"/>
          <w:sz w:val="20"/>
        </w:rPr>
      </w:pPr>
      <w:r>
        <w:rPr>
          <w:rFonts w:ascii="Arial" w:hAnsi="Arial"/>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federal civil and criminal false claims laws and Civil Monetary Penalties Law,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United States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government information related to certain payments and other transfers of value to physicians (defined to include doctors, dentists, optometrists, podiatrists and chiropractors), certain other health care professionals beginning in 2022 (physician assistants, nurse practitioners, clinical nurse specialists, certified registered nurse anesthetists &amp; anesthesiologist assistants, and certified nurse-midwives), and teaching hospitals, as well as ownership and investment interests held by the physicians described above and their immediate family members;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Federal government price reporting laws, which require us to calculate and report complex pricing metrics in an accurate and timely manner to government programs;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Federal consumer protection and unfair competition laws, which broadly regulate marketplace activities and activities that potentially harm consumers. </w:t>
      </w:r>
    </w:p>
    <w:p>
      <w:pPr>
        <w:pStyle w:val="TextBody"/>
        <w:spacing w:lineRule="auto" w:line="273" w:before="240" w:after="0"/>
        <w:jc w:val="center"/>
        <w:rPr>
          <w:rFonts w:ascii="Arial" w:hAnsi="Arial"/>
          <w:b w:val="false"/>
          <w:sz w:val="20"/>
        </w:rPr>
      </w:pPr>
      <w:r>
        <w:rPr>
          <w:rFonts w:ascii="Arial" w:hAnsi="Arial"/>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Current and future healthcare legislative reform measures may have a material adverse effect on our business and results of operations.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United States, there have been, and continue to be, a significant number of legislative initiatives to contain healthcare costs. For example, in March 2010, the Patient Protection and Affordable Care Act, as amended by the Health Care and Education and Reconciliation Act, or collectively, the ACA, was passed, which substantially changed the way healthcare is financed by both governmental and private insurers, and significantly impacted the United States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Since its enactment, there have been numerous judicial, administrative, executive, and legislative challenges to certain aspects of the ACA. On June 17, 2021, the U.S. Supreme Court dismissed on procedural grounds the most recent judicial challenge to the ACA brought by several states without specifically ruling on the constitutionality of the ACA. Prior to the Supreme Court’s decision,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other healthcare reform measures of the Biden administrations or other efforts, if any, to challenge repeal or replace the ACA, will impact our business.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On December 28, 2020, the U.S. District Court for the Northern District of California issued a nationwide preliminary injunction against implementation of the interim final rule.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Model interim final rule shall not commence earlier than sixty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30, 2020, HHS published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 For example, based on a recent executive order, the Biden administration expressed its intent to pursue certain policy initiatives to reduce drug prices.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Further, on May 30, 2018, the Right to Try Act, was signed into law. The law, among other things, provides a federal framework for certain patients to access certain investigational new product candidates that have completed a Phase 1 clinical trial and that are undergoing investigation for the FDA approval. Under certain circumstances, eligible patients can seek treatment without enrolling in clinical trials and without obtaining the FDA permission under the FDA expanded access program. There is no obligation for a pharmaceutical manufacturer to make its product candidates available to eligible patients as a result of the Right to Try Act.</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demand for our current or future product candidates, if we obtain regulatory approval;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ability to set a price that we believe is fair for our products;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ability to obtain coverage and reimbursement approval for a product;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ability to generate revenue and achieve or maintain profitability;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level of taxes that we are required to pay;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the availability of capital. </w:t>
      </w:r>
    </w:p>
    <w:p>
      <w:pPr>
        <w:pStyle w:val="TextBody"/>
        <w:spacing w:lineRule="auto" w:line="273" w:before="240" w:after="0"/>
        <w:jc w:val="both"/>
        <w:rPr>
          <w:rFonts w:ascii="Times New Roman" w:hAnsi="Times New Roman"/>
          <w:sz w:val="20"/>
        </w:rPr>
      </w:pPr>
      <w:r>
        <w:rPr>
          <w:rFonts w:ascii="Arial" w:hAnsi="Arial"/>
          <w:b w:val="false"/>
          <w:sz w:val="20"/>
        </w:rPr>
        <w:t>Any reduction in reimbursement from Medicare or other government programs may result in a similar reduction in payments from private payors, which may adversely affect our future profitability. Further, it is possible that additional governmental action is taken in response to the COVID-19 pandemic.</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Risks Related to Our Intellectual Property</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Our ability to compete may decline if we do not adequately protect our proprietary rights, and our proprietary rights do not necessarily address all potential threats to our competitive advantage.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commercial success depends upon obtaining and maintaining proprietary rights to our intellectual property estate, including rights relating to our technology platform using HPV-derived virus-like particles to target tumors and VDCs like AU-011, as well as successfully defending these rights against third-party challenges and successfully enforcing these rights to prevent third-party infringement. We will only be able to protect AU-011 or a future product candidate derived from our platform from unauthorized use by third parties to the extent that valid and enforceable patents cover it. Our ability to maintain patent protection for AU-011 or a future product candidate is uncertain due to a number of factors, including that:</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others may design around our patent claims to produce competitive technologies, products or methods that fall outside of the scope of our patents;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we may not obtain patent protection in all jurisdictions that may eventually provide us a significant business opportunity;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any patents issued to us may be successfully challenged by third parties. </w:t>
      </w:r>
    </w:p>
    <w:p>
      <w:pPr>
        <w:pStyle w:val="TextBody"/>
        <w:spacing w:lineRule="auto" w:line="273" w:before="240" w:after="0"/>
        <w:jc w:val="center"/>
        <w:rPr>
          <w:rFonts w:ascii="Arial" w:hAnsi="Arial"/>
          <w:b w:val="false"/>
          <w:sz w:val="20"/>
        </w:rPr>
      </w:pPr>
      <w:r>
        <w:rPr>
          <w:rFonts w:ascii="Arial" w:hAnsi="Arial"/>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Even with our patents covering AU-011, we may still not be able to make use or sell AU-011 or a future product candidate because of the patent rights of others. Others may have filed patent applications covering compositions, products or methods that are similar or identical to ours, which could materially affect our ability to successfully commercialize AU-011 or a future product candidate.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may need to license intellectual property from third parties, and such licenses may not be available or may not be available on commercially reasonable terms.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A third party may hold intellectual property rights, including patent rights, that are important or necessary to the development of AU-011 or any future product candidates. It may be necessary for us to use the patented or proprietary technology of third parties to commercialize AU-011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r>
        <w:rPr>
          <w:rFonts w:ascii="Times New Roman" w:hAnsi="Times New Roman"/>
          <w:sz w:val="20"/>
        </w:rPr>
        <w:t xml:space="preserve"> </w:t>
      </w:r>
    </w:p>
    <w:p>
      <w:pPr>
        <w:pStyle w:val="TextBody"/>
        <w:spacing w:lineRule="auto" w:line="273" w:before="0" w:after="0"/>
        <w:jc w:val="both"/>
        <w:rPr>
          <w:rFonts w:ascii="Times New Roman" w:hAnsi="Times New Roman"/>
          <w:sz w:val="20"/>
        </w:rPr>
      </w:pPr>
      <w:r>
        <w:rPr>
          <w:rFonts w:ascii="Arial" w:hAnsi="Arial"/>
          <w:b w:val="false"/>
          <w:sz w:val="20"/>
        </w:rPr>
        <w:t>Disputes may also arise between us and our licensors regarding intellectual property subject to a license agreement,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scope of rights granted and related obligations under the license agreement and other interpretation-related issues;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licensor’s right to license or sublicense patent and other rights to us, and whether and the extent to which the right is retained by a third party;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whether and the extent to which our technology infringes on intellectual property of the licensor that is not subject to the licensing agreement;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right to sublicense patent and other rights to third parties under collaborative development relationships;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diligence obligations with respect to the use of the licensed technology in relation to our development and commercialization of AU-011 or any future product candidates, and what activities satisfy those diligence obligations;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the ownership of inventions and know-how resulting from the joint creation or use of intellectual property by our licensors and us. </w:t>
      </w:r>
    </w:p>
    <w:p>
      <w:pPr>
        <w:pStyle w:val="TextBody"/>
        <w:spacing w:lineRule="auto" w:line="273" w:before="240" w:after="0"/>
        <w:jc w:val="both"/>
        <w:rPr>
          <w:rFonts w:ascii="Times New Roman" w:hAnsi="Times New Roman"/>
          <w:sz w:val="20"/>
        </w:rPr>
      </w:pPr>
      <w:r>
        <w:rPr>
          <w:rFonts w:ascii="Arial" w:hAnsi="Arial"/>
          <w:b w:val="false"/>
          <w:sz w:val="20"/>
        </w:rPr>
        <w:t>If disputes over intellectual property that we have licensed prevent or impair our ability to maintain our current licensing arrangements on acceptable terms, we may be unable to successfully develop and commercialize the affected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AU-011 or a future product candidate.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If we fail to comply with our obligations under the license agreements, our licensors may have the right to terminate these agreements, in which event we might not be able to manufacture or market AU-011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If we do not obtain patent term extension in the United States under the Hatch-Waxman Act and in foreign countries under similar legislation with respect to our AU-011 or a future product candidate, thereby potentially extending the term of marketing exclusivity for such product, our business may be harmed.</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AU-011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spacing w:lineRule="auto" w:line="273" w:before="240" w:after="0"/>
        <w:jc w:val="both"/>
        <w:rPr>
          <w:rFonts w:ascii="Times New Roman" w:hAnsi="Times New Roman"/>
          <w:sz w:val="20"/>
        </w:rPr>
      </w:pPr>
      <w:r>
        <w:rPr>
          <w:rFonts w:ascii="Arial" w:hAnsi="Arial"/>
          <w:b/>
          <w:i/>
          <w:sz w:val="20"/>
        </w:rPr>
        <w:t>Patents and patent applications involve highly complex legal and factual questions, which, if determined adversely to us, could negatively impact our patent position.</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hAnsi="Arial"/>
          <w:b w:val="false"/>
          <w:i/>
          <w:sz w:val="20"/>
        </w:rPr>
        <w:t>inter partes</w:t>
      </w:r>
      <w:r>
        <w:rPr>
          <w:rFonts w:ascii="Times New Roman" w:hAnsi="Times New Roman"/>
          <w:sz w:val="20"/>
        </w:rPr>
        <w:t xml:space="preserve"> </w:t>
      </w:r>
      <w:r>
        <w:rPr>
          <w:rFonts w:ascii="Arial" w:hAnsi="Arial"/>
          <w:b w:val="false"/>
          <w:sz w:val="20"/>
        </w:rPr>
        <w:t xml:space="preserve">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hAnsi="Arial"/>
          <w:b w:val="false"/>
          <w:i/>
          <w:sz w:val="20"/>
        </w:rPr>
        <w:t xml:space="preserve">inter partes </w:t>
      </w:r>
      <w:r>
        <w:rPr>
          <w:rFonts w:ascii="Arial" w:hAnsi="Arial"/>
          <w:b w:val="false"/>
          <w:sz w:val="20"/>
        </w:rPr>
        <w:t>review and opposition proceedings may be costly. Accordingly, rights under any issued patents may not provide us with sufficient protection against competitive products or processes.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Furthermore, even if not challenged, our patents and patent applications may not prevent others from designing their products to avoid being covered by our claims. If the breadth or strength of protection provided by the patent applications we hold with respect to AU-011 or a future product candidate is threatened, it could dissuade companies from collaborating with us to develop, and could threaten our or their ability to successfully commercialize, AU-011 or a future product candidate.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 xml:space="preserve">Our commercial success depends upon our ability to develop, manufacture, market and sell AU-011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hAnsi="Arial"/>
          <w:b w:val="false"/>
          <w:i/>
          <w:sz w:val="20"/>
        </w:rPr>
        <w:t>inter partes</w:t>
      </w:r>
      <w:r>
        <w:rPr>
          <w:rFonts w:ascii="Times New Roman" w:hAnsi="Times New Roman"/>
          <w:sz w:val="20"/>
        </w:rPr>
        <w:t xml:space="preserve"> </w:t>
      </w:r>
      <w:r>
        <w:rPr>
          <w:rFonts w:ascii="Arial" w:hAnsi="Arial"/>
          <w:b w:val="false"/>
          <w:sz w:val="20"/>
        </w:rPr>
        <w:t>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 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AU-011 or a future product candidate, or forced to modify AU-011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Further, if a patent infringement suit is brought against us or our third-party service providers, our development, manufacturing or sales activities relating to AU-011 or a future product candidate that is the subject of the suit may be delayed or terminated. In addition, defending such claims may cause us to incur substantial expenses and, if successful, could cause us to pay substantial damages if we are found to be infringing a third 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AU-011 or a future product candidate unless we obtain a license under the applicable patents, or until such patents expire or are finally determined to be invalid or unenforceable.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AU-011 or a future product candidate.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Filing, prosecuting and defending patents on AU-011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pStyle w:val="TextBody"/>
        <w:spacing w:lineRule="auto" w:line="273" w:before="240" w:after="0"/>
        <w:jc w:val="both"/>
        <w:rPr>
          <w:rFonts w:ascii="Times New Roman" w:hAnsi="Times New Roman"/>
          <w:sz w:val="20"/>
        </w:rPr>
      </w:pPr>
      <w:r>
        <w:rPr>
          <w:rFonts w:ascii="Arial" w:hAnsi="Arial"/>
          <w:b w:val="false"/>
          <w:sz w:val="20"/>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If we or our licensors are unable to protect the confidentiality of the proprietary information related to our product or process, our business and competitive position would be harmed.</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 w:hAnsi="Arial"/>
          <w:b w:val="false"/>
          <w:sz w:val="12"/>
        </w:rPr>
        <w:t>®</w:t>
      </w:r>
      <w:r>
        <w:rPr>
          <w:rFonts w:ascii="Arial" w:hAnsi="Arial"/>
          <w:b w:val="false"/>
          <w:sz w:val="20"/>
        </w:rPr>
        <w:t>dye molecules (used in AU-011)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We may be subject to claims that third parties have an ownership interest in our trade secrets. For example, we may have disputes arise from conflicting obligations of our employees, consultants or others who are involved in developing AU-011.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Risks Related to our Business and Industry</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If we lose key management personnel, or if we fail to recruit additional highly skilled personnel, our ability to pursue our business strategy will be impaired, could result in loss of markets or market share and could make us less competitive.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Competition for skilled personnel in our industry is intense and may limit our ability to hire and retain highly qualified personnel on acceptable terms, in a timely manner or at all. 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The COVID-19 pandemic, or a similar pandemic, epidemic, or outbreak of an infectious disease, may materially and adversely affect our business and our financial results and could cause a disruption to the development of our product candidates.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Public health crises such as pandemics or similar outbreaks could adversely impact our business. The COVID-19 pandemic continues to evolve, and has led to the implementation of various responses, including government-imposed quarantines, travel restrictions and other public health safety measures. The extent to which the ongoing COVID-19 pandemic impacts our operations or those of our third party partners, including our preclinical studies or clinical trial operations, will depend on future developments, which are highly uncertain and cannot be predicted with confidence, including the duration of the pandemic, the emergence of new variants that may be more severe or contagious, acceptance of vaccines and the actions of government authorities, health systems, and private companies to contain the spread of COVID-19 or treat its impact, among others. The continued spread of COVID-19 globally could adversely impact our preclinical or clinical trial operations in the United States, including our ability to recruit and retain patients and principal investigators and site staff who, as healthcare providers, may have heightened exposure to COVID-19.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Additionally, timely enrollment in planned clinical trials is dependent upon clinical trial sites which could be adversely affected by global health matters, such as pandemics. Some factors from the ongoing COVID-19 pandemic that will delay or otherwise adversely affect enrollment in the clinical trials of our product candidates, as well as our business generally, include:</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limitations on travel that could interrupt key trial and business activities, such as clinical trial site initiations and monitoring, domestic and international travel by employees, contractors or patients to clinical trial sites, as well as any government-imposed travel restrictions or quarantines or employer-required isolation requirements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potential negative affect on the operations of our third-party manufacturers;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interruption in global shipping affecting the transport of clinical trial materials, such as drug product and conditioning drugs and other supplies used in our clinical trials;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business disruptions caused by potential workplace, laboratory and office closures and an increased reliance on employees working from home, disruptions to or delays in ongoing laboratory experiments;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operations, staffing shortages, travel limitations or mass transit disruptions, any of which could adversely impact our business operations or delay necessary interactions with local regulators, ethics committees and other important agencies and contractors;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changes in local regulations as part of a response to the COVID-19 pandemic, which may require us to change the ways in which our clinical trials are conducted, which may result in unexpected costs, or to discontinue such clinical trials altogether;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interruption or delays in the operations of the FDA or other regulatory authorities, which may impact review and approval timelines. </w:t>
      </w:r>
    </w:p>
    <w:p>
      <w:pPr>
        <w:pStyle w:val="TextBody"/>
        <w:spacing w:lineRule="auto" w:line="273" w:before="240" w:after="0"/>
        <w:jc w:val="center"/>
        <w:rPr>
          <w:rFonts w:ascii="Arial" w:hAnsi="Arial"/>
          <w:b w:val="false"/>
          <w:sz w:val="20"/>
        </w:rPr>
      </w:pPr>
      <w:r>
        <w:rPr>
          <w:rFonts w:ascii="Arial" w:hAnsi="Arial"/>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We have taken temporary precautionary measures intended to help minimize the risk of the virus to our employees, including temporarily requiring certain of our employees to work remotely, suspending all non-essential travel worldwide for our employees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 or the FDA. 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These and other factors arising from COVID-19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Changes in tax laws or in their implementation or interpretation may adversely affect us or our investors.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Our internal information technology systems, or those of our third-party CROs, contractors, consultants or others who process sensitive information on our behalf, may fail or suffer security incidents,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In the ordinary course of our business, we may collect, store and transmit confidential information, including intellectual property, proprietary business information and personal information (including health information). It is critical that we do so in a secure manner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those of our CROs and other third parties on which we rely, are vulnerable to damage from computer viruses, unauthorized access,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security incidents from inadvertent or intentional actions (such as error or theft) by our employees, contractors, consultants, business partners, and/or other third parties, phishing attacks, ransomware, denial-of-service attacks, social engineering schemes and other means that affect service reliability and threaten the confidentiality, integrity and availability of information), which may compromise our system infrastructure as well as lead to unauthorized access, disclosure or acquisition of information. Cyberattacks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security incidents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Significant disruptions of our information technology systems or 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the COVID-19 pandemic has resulted in a significant number of our employees and partners working remotely, which increases the risk of a data breach or issues with data and cybersecurity. To the extent that any disruption or security incident results in a loss of, or damage to, our data or applications, or inappropriate disclosure of confidential or proprietary information, we could incur liability and the further development of our future product candidates could be delayed.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security incidents. Failure to prevent or mitigate cyberattacks could result in unauthorized access to data, including personal data. Most jurisdictions have enacted laws requiring companies to notify individuals, regulatory authorities, and others of security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security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In addition, litigation resulting from security breaches may adversely affect our business. Unauthorized access to our information technology systems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the Health Insurance Portability and Accountability Act, or HIPAA, as amended by the Health Information Technology for Economic and Clinical Health Act, or HITECH. Depending on the facts and circumstances, we could be subject to significant penalties if we violate HIPPA. Additionally, we could be subject to criminal penalties if we knowingly obtain, use, or disclose individually identifiable health information maintained by a HIPAA-covered entity in a manner that is not authorized or permitted by HIPAA.</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The CCPA became effective on January 1, 2020, and gives California residents expanded rights to access and delete their personal data, opt out of certain personal data sharing and receive detailed information about how their personal data is used. The CCPA requires covered businesses to provide new disclosures to California residents.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CPRA, becomes operative. The CPRA will, among other things, give California residents the ability to limit use of certain sensitive information, establish restrictions on the retention of personal data, expand the types of data breaches subject to the CCPA’s private right of action and establish a new California Privacy Protection Agency to implement and enforce the new law. In addition, other states have enacted or proposed data privacy laws. For example, Virginia recently passed its Consumer Data Protection Act and Colorado recently passed the Colorado Privacy Act, both of which differ from the CPRA and go into effect in 2023. These laws demonstrate our vulnerability to the evolving regulatory environment related to personal data. As we expand our operations, these and similar laws may increase our compliance costs and potential liability.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Foreign data protection laws, such as, without limitation, the EU’s GDPR and the EU member state implementing legislation, may also apply to health-related and other personal data that we process, including, without limitation, personal data relating to clinical trial participants. European data protection laws impose strict obligations on the ability to process health-related and other personal data of European data subjects, including in relation to security (which requires the adoption of administrative, physical and technical safeguards designed to protect such information), collection, use and transfer or personal data. European data protection laws may affect our use, collection, analysis, and transfer (including cross-border transfer) of such personal data. These include, without limitation, several requirements relating to transparency related to communications with data subjects regarding the processing of their personal data, obtaining the consent of the individuals to whom the personal data relates, limitations on the retention of personal data, increased requirements pertaining to health data, establishing a legal basis for processing,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transfer of personal data outside of Europe (including from the European Economic Area (EEA), Switzerland and United Kingdom (UK).</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European data protection laws prohibit, without an appropriate legal basis, the transfer of personal data to countries outside of Europe, such as to the United States, which are not considered relevant authorities to provide an adequate level of data protection. A decision by the Court of Justice of the EU, or the “Schrems II” ruling, invalidated the EU-U.S. Privacy Shield Framework, and raised questions about whether the European Commission’s Standard Contractual Clauses, or SCCs, one of the primary alternatives to the Privacy Shield, can lawfully be used for personal data transfers from Europe to the United States or most other countries. Similarly, the Swiss Federal Data Protection and Information Commissioner recently opined that the Swiss-U.S. Privacy Shield is inadequate for transfers of personal data from Switzerland to the United States. The UK, whose data protection laws are similar to those of the EU, has similarly determined that the EU-U.S. Privacy Shield is not a valid mechanism for lawfully transferring personal data from the UK to the U.S.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Additionally, the European Commission recently adopted new SCCs that will repeal the SCCs adopted under the Data Protection Directive. This means we may need to update our contracts that involve the transfer of personal data outside of the EEA to the new SCCs. As supervisory authorities issue further guidance on personal data export mechanisms, including on the new SCCs, and/or start taking enforcement action, our compliance costs could increase, we may be subject to complaints and/or regulatory investigations or fines, and/or if we are otherwise unable to transfer personal data between and among countries and regions in which we conduct clinical trials, this could negatively impact our business.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Further, the UK’s decision to leave the EU, often referred to as Brexit, and ongoing developments in the UK have created uncertainty regarding data protection regulation in the UK. Following December 31, 2020, and the expiry of transitional arrangements between the UK and EU, the data protection obligations of the GDPR continue to apply to UK-related Processing of personal data in substantially unvaried form under the so-called “UK GDPR” (i.e., the GDPR as it continues to form part of UK law by virtue of section 3 of the EU (Withdrawal) Act 2018, as amended). However, going forward, there is increasing risk for divergence in application, interpretation and enforcement of the data protection laws as between the UK and EEA. Furthermore, the relationship between the UK and the EEA in relation to certain aspects of data protection law remains uncertain, including with respect to regulation of data transfers between the EU member states and the UK. On June 28, 2021, the European Commission issued an adequacy decision under the GDPR which allows transfers (other than those carried out for the purposes of the UK immigration control) of personal data from the EEA to the UK to continue without restriction for a period of four years ending June 27, 2025. After that period, the adequacy decision may be renewed, but,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SCCs, to enable transfers of personal data from the EEA to the UK to continue.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or 4% of their worldwide annual turnover (revenue). Additionally, regulators could prohibit our use of personal data subject to the GDPR. The GDPR has increased our responsibility and potential liability in relation to personal data that we process, requiring us to put in place additional mechanisms to comply with the GDPR and other foreign data protection requirements.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Business disruptions could seriously harm our future revenue and financial condition and increase our costs and expenses.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Any future acquisitions, in-licensing or strategic partnerships may increase our capital requirements, dilute our stockholders, divert our management’s attention, cause us to incur debt or assume contingent liabilities and subject us to other risks.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increased operating expenses and cash requirements;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assumption of indebtedness or contingent liabilities;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issuance of our equity securities which would result in dilution to our stockholders;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assimilation of operations, intellectual property, products and product candidates of an acquired company, including difficulties associated with integrating new personnel;</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diversion of our management’s attention from our existing product candidates and initiatives in pursuing such an acquisition or strategic partnership;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spend substantial operational, financial and management resources in integrating new businesses, technologies and products;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retention of key employees, the loss of key personnel, and uncertainties in our ability to maintain key business relationships;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risks and uncertainties associated with the other party to such a transaction, including the prospects of that party and their existing products or product candidates and regulatory approvals;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our inability to generate revenue from acquired intellectual property, technology and/or products sufficient to meet our objectives or even to offset the associated transaction and maintenance costs. </w:t>
      </w:r>
    </w:p>
    <w:p>
      <w:pPr>
        <w:pStyle w:val="TextBody"/>
        <w:spacing w:lineRule="auto" w:line="273" w:before="240" w:after="0"/>
        <w:jc w:val="both"/>
        <w:rPr>
          <w:rFonts w:ascii="Times New Roman" w:hAnsi="Times New Roman"/>
          <w:sz w:val="20"/>
        </w:rPr>
      </w:pPr>
      <w:r>
        <w:rPr>
          <w:rFonts w:ascii="Arial" w:hAnsi="Arial"/>
          <w:b w:val="false"/>
          <w:sz w:val="20"/>
        </w:rPr>
        <w:t>In addition, if we undertake such a transaction, we may incur large one-time expenses and acquire intangible assets that could result in significant future amortization expense.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or the third parties upon whom we depend on may be adversely affected by natural disasters and our business continuity and disaster recovery plans may not adequately protect us from a serious disaster.</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Product liability lawsuits against us could cause us to incur substantial liabilities and could limit commercialization of any current or future product candidates that we may develop.</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decreased demand for any current or future product candidates that we may develop;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injury to our reputation and significant negative media attention;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withdrawal of clinical trial participants;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significant costs to defend the related litigation;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diversion of management’s time and resources;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substantial monetary awards to trial participants or patients;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product recalls, withdrawals or labeling, marketing or promotional restrictions;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loss of revenue;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decline in our stock price;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the inability to commercialize any current or future product candidates that we may develop. </w:t>
      </w:r>
    </w:p>
    <w:p>
      <w:pPr>
        <w:pStyle w:val="TextBody"/>
        <w:spacing w:lineRule="auto" w:line="273" w:before="240" w:after="0"/>
        <w:jc w:val="both"/>
        <w:rPr>
          <w:rFonts w:ascii="Times New Roman" w:hAnsi="Times New Roman"/>
          <w:sz w:val="20"/>
        </w:rPr>
      </w:pPr>
      <w:r>
        <w:rPr>
          <w:rFonts w:ascii="Arial" w:hAnsi="Arial"/>
          <w:b w:val="false"/>
          <w:sz w:val="20"/>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Arial" w:hAnsi="Arial"/>
          <w:b/>
          <w:sz w:val="20"/>
        </w:rPr>
      </w:pPr>
      <w:r>
        <w:rPr>
          <w:rFonts w:ascii="Arial" w:hAnsi="Arial"/>
          <w:b/>
          <w:sz w:val="20"/>
        </w:rPr>
        <w:t>Risks Related to Our Common Stock</w:t>
      </w:r>
    </w:p>
    <w:p>
      <w:pPr>
        <w:pStyle w:val="TextBody"/>
        <w:spacing w:lineRule="auto" w:line="273" w:before="80" w:after="0"/>
        <w:jc w:val="both"/>
        <w:rPr>
          <w:rFonts w:ascii="Times New Roman" w:hAnsi="Times New Roman"/>
          <w:sz w:val="20"/>
        </w:rPr>
      </w:pPr>
      <w:r>
        <w:rPr>
          <w:rFonts w:ascii="Arial" w:hAnsi="Arial"/>
          <w:b/>
          <w:i/>
          <w:sz w:val="20"/>
        </w:rPr>
        <w:t>If securities or industry analysts do not publish research or publish inaccurate or unfavorable research about our business, our stock price and trading volume could decline.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Our principal stockholders and management own a significant percentage of our stock and will be able to exert significant influence over matters subject to stockholder approval.</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Based on the beneficial ownership of our common stock as of March 31, 2022, our executive officers, directors, holders of 5% or more of our capital stock and their respective affiliates beneficially owned approximately 59.8%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Our ability to utilize our net operating loss carryforwards and certain other tax attributes may be limited.</w:t>
      </w:r>
      <w:r>
        <w:rPr>
          <w:rFonts w:ascii="Times New Roman" w:hAnsi="Times New Roman"/>
          <w:sz w:val="20"/>
        </w:rPr>
        <w:t xml:space="preserve"> </w:t>
      </w:r>
    </w:p>
    <w:p>
      <w:pPr>
        <w:pStyle w:val="TextBody"/>
        <w:spacing w:lineRule="auto" w:line="273" w:before="80" w:after="0"/>
        <w:jc w:val="both"/>
        <w:rPr>
          <w:rFonts w:ascii="Arial" w:hAnsi="Arial"/>
          <w:b w:val="false"/>
          <w:sz w:val="20"/>
        </w:rPr>
      </w:pPr>
      <w:r>
        <w:rPr>
          <w:rFonts w:ascii="Arial" w:hAnsi="Arial"/>
          <w:b w:val="false"/>
          <w:sz w:val="20"/>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2021, we had federal gross operating loss carryforwards of approximately $138.7 million, and state gross operating loss carryforwards of $113.6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net operating losses is limited to 80% of our taxable income in such taxable years.</w:t>
      </w:r>
    </w:p>
    <w:p>
      <w:pPr>
        <w:pStyle w:val="TextBody"/>
        <w:spacing w:lineRule="auto" w:line="273" w:before="240" w:after="0"/>
        <w:jc w:val="both"/>
        <w:rPr>
          <w:rFonts w:ascii="Arial" w:hAnsi="Arial"/>
          <w:b/>
          <w:i/>
          <w:sz w:val="20"/>
        </w:rPr>
      </w:pPr>
      <w:r>
        <w:rPr>
          <w:rFonts w:ascii="Arial" w:hAnsi="Arial"/>
          <w:b/>
          <w:i/>
          <w:sz w:val="20"/>
        </w:rPr>
        <w:t>Because we do not anticipate paying any cash dividends on our capital stock in the foreseeable future, capital appreciation, if any, will be your sole source of gain.</w:t>
      </w:r>
    </w:p>
    <w:p>
      <w:pPr>
        <w:pStyle w:val="TextBody"/>
        <w:spacing w:lineRule="auto" w:line="273" w:before="80" w:after="0"/>
        <w:jc w:val="both"/>
        <w:rPr>
          <w:rFonts w:ascii="Times New Roman" w:hAnsi="Times New Roman"/>
          <w:sz w:val="20"/>
        </w:rPr>
      </w:pPr>
      <w:r>
        <w:rPr>
          <w:rFonts w:ascii="Arial" w:hAnsi="Arial"/>
          <w:b w:val="false"/>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entitled “Dividend Policy.”</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We may be subject to securities litigation, which is expensive and could divert management attention.</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expect our operating results to be subject to quarterly fluctuations. Our net loss and other operating results will be affected by numerous factors, including: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variations in the level of expense related to the ongoing development of AU-011 or future development programs;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results of clinical trials, or the addition or termination of clinical trials or funding support by us, or existing or future collaborators or licensing partners;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any intellectual property infringement lawsuit or opposition, interference or cancellation proceeding in which we may become involved;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additions and departures of key personnel;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strategic decisions by us or our competitors, such as acquisitions, divestitures, spin-offs, joint ventures, strategic investments or changes in business strategy;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if any of our product candidates receives regulatory approval, the terms of such approval and market acceptance and demand for such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regulatory developments affecting our product candidates or those of our competitors;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changes in general market and economic conditions. </w:t>
      </w:r>
    </w:p>
    <w:p>
      <w:pPr>
        <w:pStyle w:val="TextBody"/>
        <w:spacing w:lineRule="auto" w:line="273" w:before="240" w:after="0"/>
        <w:jc w:val="both"/>
        <w:rPr>
          <w:rFonts w:ascii="Times New Roman" w:hAnsi="Times New Roman"/>
          <w:sz w:val="20"/>
        </w:rPr>
      </w:pPr>
      <w:r>
        <w:rPr>
          <w:rFonts w:ascii="Arial" w:hAnsi="Arial"/>
          <w:b w:val="false"/>
          <w:sz w:val="20"/>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val="false"/>
          <w:sz w:val="20"/>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Anti-takeover provisions in our amended and restated Certificate of Incorporation and bylaws and under Delaware law could make an acquisition of us, which may be beneficial to our stockholders, more difficult and may prevent attempts by our stockholders to replace or remove our current management and, therefore, decrease the trading price of our common stock.</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fourth amended and restated certificate of incorporation and amended and restated bylaws contain provisions that could delay or prevent a change of control of our company or changes in our Board of Directors (the "Board") that our stockholders might consider favorable. Some of these provisions include:</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Board divided into three classes serving staggered three-year terms, such that not all members of the Board will be elected at one time;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prohibition on stockholder action through written consent, which requires that all stockholder actions be taken at a meeting of our stockholders;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advance notice requirements for stockholder proposals and nominations for election to our Board;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the authority of the Board to issue preferred stock on terms determined by the Board without stockholder approval, which preferred stock may include rights superior to the rights of the holders of common stock. </w:t>
      </w:r>
    </w:p>
    <w:p>
      <w:pPr>
        <w:pStyle w:val="TextBody"/>
        <w:spacing w:lineRule="auto" w:line="273" w:before="240" w:after="0"/>
        <w:jc w:val="both"/>
        <w:rPr>
          <w:rFonts w:ascii="Times New Roman" w:hAnsi="Times New Roman"/>
          <w:sz w:val="20"/>
        </w:rPr>
      </w:pPr>
      <w:r>
        <w:rPr>
          <w:rFonts w:ascii="Arial" w:hAnsi="Arial"/>
          <w:b w:val="false"/>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sz w:val="20"/>
        </w:rPr>
        <w:t>General Risks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66</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Unfavorable global economic or political conditions could adversely affect our business, financial condition or results of operations.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the U.S. and international markets. See “Risks Related to our Business and Industry</w:t>
      </w:r>
      <w:r>
        <w:rPr>
          <w:rFonts w:ascii="Times New Roman" w:hAnsi="Times New Roman"/>
          <w:sz w:val="20"/>
        </w:rPr>
        <w:t>—</w:t>
      </w:r>
      <w:r>
        <w:rPr>
          <w:rFonts w:ascii="Arial" w:hAnsi="Arial"/>
          <w:b w:val="false"/>
          <w:sz w:val="20"/>
        </w:rPr>
        <w:t>The COVID-19 pandemic, or a similar pandemic, epidemic, or outbreak of an infectious disease may materially and adversely affect our business and our financial results and could cause a disruption to the development of our product candidates.” In addition, the current military conflict between Russia and Ukraine could disrupt or</w:t>
      </w:r>
    </w:p>
    <w:p>
      <w:pPr>
        <w:pStyle w:val="TextBody"/>
        <w:spacing w:lineRule="auto" w:line="273" w:before="240" w:after="0"/>
        <w:jc w:val="both"/>
        <w:rPr>
          <w:rFonts w:ascii="Arial" w:hAnsi="Arial"/>
          <w:b w:val="false"/>
          <w:sz w:val="20"/>
        </w:rPr>
      </w:pPr>
      <w:r>
        <w:rPr>
          <w:rFonts w:ascii="Arial" w:hAnsi="Arial"/>
          <w:b w:val="false"/>
          <w:sz w:val="20"/>
        </w:rPr>
        <w:t>otherwise adversely impact our operations and those of third parties upon which we rely. Related</w:t>
      </w:r>
    </w:p>
    <w:p>
      <w:pPr>
        <w:pStyle w:val="TextBody"/>
        <w:spacing w:lineRule="auto" w:line="273" w:before="240" w:after="0"/>
        <w:jc w:val="both"/>
        <w:rPr>
          <w:rFonts w:ascii="Arial" w:hAnsi="Arial"/>
          <w:b w:val="false"/>
          <w:sz w:val="20"/>
        </w:rPr>
      </w:pPr>
      <w:r>
        <w:rPr>
          <w:rFonts w:ascii="Arial" w:hAnsi="Arial"/>
          <w:b w:val="false"/>
          <w:sz w:val="20"/>
        </w:rPr>
        <w:t>sanctions, export controls or other actions that may be initiated by nations including the U.S., the</w:t>
      </w:r>
    </w:p>
    <w:p>
      <w:pPr>
        <w:pStyle w:val="TextBody"/>
        <w:spacing w:lineRule="auto" w:line="273" w:before="240" w:after="0"/>
        <w:jc w:val="both"/>
        <w:rPr>
          <w:rFonts w:ascii="Arial" w:hAnsi="Arial"/>
          <w:b w:val="false"/>
          <w:sz w:val="20"/>
        </w:rPr>
      </w:pPr>
      <w:r>
        <w:rPr>
          <w:rFonts w:ascii="Arial" w:hAnsi="Arial"/>
          <w:b w:val="false"/>
          <w:sz w:val="20"/>
        </w:rPr>
        <w:t>European Union or Russia (e.g., potential cyberattacks, disruption of energy flows, etc.), which could</w:t>
      </w:r>
    </w:p>
    <w:p>
      <w:pPr>
        <w:pStyle w:val="TextBody"/>
        <w:spacing w:lineRule="auto" w:line="273" w:before="240" w:after="0"/>
        <w:jc w:val="both"/>
        <w:rPr>
          <w:rFonts w:ascii="Arial" w:hAnsi="Arial"/>
          <w:b w:val="false"/>
          <w:sz w:val="20"/>
        </w:rPr>
      </w:pPr>
      <w:r>
        <w:rPr>
          <w:rFonts w:ascii="Arial" w:hAnsi="Arial"/>
          <w:b w:val="false"/>
          <w:sz w:val="20"/>
        </w:rPr>
        <w:t>adversely affect our business and/or our supply chain, our CROs, CMOs and other third parties with</w:t>
      </w:r>
    </w:p>
    <w:p>
      <w:pPr>
        <w:pStyle w:val="TextBody"/>
        <w:spacing w:lineRule="auto" w:line="273" w:before="240" w:after="0"/>
        <w:jc w:val="both"/>
        <w:rPr>
          <w:rFonts w:ascii="Times New Roman" w:hAnsi="Times New Roman"/>
          <w:sz w:val="20"/>
        </w:rPr>
      </w:pPr>
      <w:r>
        <w:rPr>
          <w:rFonts w:ascii="Arial" w:hAnsi="Arial"/>
          <w:b w:val="false"/>
          <w:sz w:val="20"/>
        </w:rPr>
        <w:t>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Our employees, independent contractors, consultants, academic collaborators, partners and vendors may engage in misconduct or other improper activities, including noncompliance with regulatory standards and requirements.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67</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will remain an “emerging growth company” until the earlier of (i) the last day of the fiscal year (a) following the fifth anniversary of the closing of our IPO, (b) in which we have total annual gross revenue of at least $1.07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The market price of our stock may be volatile, and you could lose all or part of your investment.</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Annual Report on Form 10-K entitled “Risk Factors” and the following:</w:t>
      </w:r>
      <w:r>
        <w:rPr>
          <w:rFonts w:ascii="Times New Roman" w:hAnsi="Times New Roman"/>
          <w:sz w:val="20"/>
        </w:rPr>
        <w:t xml:space="preserve">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results of preclinical studies and results or enrollment of clinical trials of AU-011 or our future product candidates, or those of our potential future competitors or our existing or future collaborators;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impact of the COVID-19 pandemic on our employees, trials, collaboration partners, suppliers, our results of operations, liquidity and financial condition;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regulatory or legal developments in the United States and other countries, especially changes in laws or regulations applicable to our product candidates; </w:t>
      </w:r>
    </w:p>
    <w:p>
      <w:pPr>
        <w:pStyle w:val="TextBody"/>
        <w:spacing w:lineRule="auto" w:line="273" w:before="240" w:after="0"/>
        <w:jc w:val="center"/>
        <w:rPr>
          <w:rFonts w:ascii="Arial" w:hAnsi="Arial"/>
          <w:b w:val="false"/>
          <w:sz w:val="20"/>
        </w:rPr>
      </w:pPr>
      <w:r>
        <w:rPr>
          <w:rFonts w:ascii="Arial" w:hAnsi="Arial"/>
          <w:b w:val="false"/>
          <w:sz w:val="20"/>
        </w:rPr>
        <w:t>68</w:t>
      </w:r>
    </w:p>
    <w:p>
      <w:pPr>
        <w:pStyle w:val="HorizontalLine"/>
        <w:rPr/>
      </w:pPr>
      <w:r>
        <w:rPr/>
      </w:r>
    </w:p>
    <w:p>
      <w:pPr>
        <w:pStyle w:val="TextBody"/>
        <w:spacing w:lineRule="auto" w:line="273" w:before="0" w:after="0"/>
        <w:jc w:val="left"/>
        <w:rPr/>
      </w:pPr>
      <w:r>
        <w:rPr/>
        <w: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success of future competitive products or technologies;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introductions and announcements of new products by us, our future commercialization partners, or our competitors, and the timing of these introductions or announcements;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actions taken by regulatory agencies with respect to our products, clinical trials, manufacturing process or sales and marketing terms;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actual or anticipated variations in our financial results or those of companies that are perceived to be similar to us;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success of our efforts to acquire or in-license additional technologies, products or product candidates;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developments concerning any future collaborations, including but not limited to those with our sources of manufacturing supply and our commercialization partners;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market conditions in the pharmaceutical and biotechnology sectors;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announcements by us or our competitors of significant acquisitions, strategic collaborations, joint ventures or capital commitments;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developments or disputes concerning patents or other proprietary rights, including patents, litigation matters and our ability to obtain patent protection for AU-011 or our future product candidates and products;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ability or inability to raise additional capital and the terms on which we raise it;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recruitment or departure of key personnel;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changes in the structure of healthcare payment systems;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actual or anticipated changes in earnings estimates or changes in stock market analyst recommendations regarding our common stock, other comparable companies or our industry generally;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our failure or the failure of our competitors to meet analysts’ projections or guidance that we or our competitors may give to the market;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fluctuations in the valuation of companies perceived by investors to be comparable to us;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announcement and expectation of additional financing efforts;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speculation in the press or investment community;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trading volume of our common stock;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sales of our common stock by us or our stockholders;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the concentrated ownership of our common stock;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changes in accounting principles;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terrorist acts, acts of war or periods of widespread civil unrest; </w:t>
      </w:r>
    </w:p>
    <w:p>
      <w:pPr>
        <w:pStyle w:val="TextBody"/>
        <w:spacing w:lineRule="auto" w:line="273" w:before="40" w:after="0"/>
        <w:jc w:val="both"/>
        <w:rPr/>
      </w:pPr>
      <w:r>
        <w:rPr/>
        <w:t>▪</w:t>
      </w:r>
    </w:p>
    <w:p>
      <w:pPr>
        <w:pStyle w:val="TextBody"/>
        <w:spacing w:lineRule="auto" w:line="273" w:before="40" w:after="0"/>
        <w:jc w:val="both"/>
        <w:rPr>
          <w:rFonts w:ascii="Arial" w:hAnsi="Arial"/>
          <w:b w:val="false"/>
          <w:sz w:val="20"/>
        </w:rPr>
      </w:pPr>
      <w:r>
        <w:rPr>
          <w:rFonts w:ascii="Arial" w:hAnsi="Arial"/>
          <w:b w:val="false"/>
          <w:sz w:val="20"/>
        </w:rPr>
        <w:t xml:space="preserve">natural disasters, pandemics and other calamities; and </w:t>
      </w:r>
    </w:p>
    <w:p>
      <w:pPr>
        <w:pStyle w:val="TextBody"/>
        <w:spacing w:lineRule="auto" w:line="273" w:before="40" w:after="0"/>
        <w:jc w:val="both"/>
        <w:rPr/>
      </w:pPr>
      <w:r>
        <w:rPr/>
        <w:t>▪</w:t>
      </w:r>
    </w:p>
    <w:p>
      <w:pPr>
        <w:pStyle w:val="TextBody"/>
        <w:spacing w:lineRule="auto" w:line="273" w:before="40" w:after="283"/>
        <w:jc w:val="both"/>
        <w:rPr>
          <w:rFonts w:ascii="Arial" w:hAnsi="Arial"/>
          <w:b w:val="false"/>
          <w:sz w:val="20"/>
        </w:rPr>
      </w:pPr>
      <w:r>
        <w:rPr>
          <w:rFonts w:ascii="Arial" w:hAnsi="Arial"/>
          <w:b w:val="false"/>
          <w:sz w:val="20"/>
        </w:rPr>
        <w:t xml:space="preserve">general economic, industry and market conditions. </w:t>
      </w:r>
    </w:p>
    <w:p>
      <w:pPr>
        <w:pStyle w:val="TextBody"/>
        <w:spacing w:lineRule="auto" w:line="273" w:before="240" w:after="0"/>
        <w:jc w:val="both"/>
        <w:rPr>
          <w:rFonts w:ascii="Times New Roman" w:hAnsi="Times New Roman"/>
          <w:sz w:val="20"/>
        </w:rPr>
      </w:pPr>
      <w:r>
        <w:rPr>
          <w:rFonts w:ascii="Arial" w:hAnsi="Arial"/>
          <w:b w:val="false"/>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r>
        <w:rPr>
          <w:rFonts w:ascii="Times New Roman" w:hAnsi="Times New Roman"/>
          <w:sz w:val="20"/>
        </w:rPr>
        <w:t xml:space="preserve"> </w:t>
      </w:r>
    </w:p>
    <w:p>
      <w:pPr>
        <w:pStyle w:val="TextBody"/>
        <w:spacing w:lineRule="auto" w:line="273" w:before="240" w:after="0"/>
        <w:jc w:val="center"/>
        <w:rPr>
          <w:rFonts w:ascii="Arial" w:hAnsi="Arial"/>
          <w:b w:val="false"/>
          <w:sz w:val="20"/>
        </w:rPr>
      </w:pPr>
      <w:r>
        <w:rPr>
          <w:rFonts w:ascii="Arial" w:hAnsi="Arial"/>
          <w:b w:val="false"/>
          <w:sz w:val="20"/>
        </w:rPr>
        <w:t>69</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Times New Roman" w:hAnsi="Times New Roman"/>
          <w:sz w:val="20"/>
        </w:rPr>
      </w:pPr>
      <w:r>
        <w:rPr>
          <w:rFonts w:ascii="Arial" w:hAnsi="Arial"/>
          <w:b/>
          <w:i/>
          <w:sz w:val="20"/>
        </w:rPr>
        <w:t>We have incurred and will continue to incur increased costs as a result of operating as a public company, and our management will be required to devote substantial time to new compliance initiatives.</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val="false"/>
          <w:sz w:val="20"/>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r>
        <w:rPr>
          <w:rFonts w:ascii="Times New Roman" w:hAnsi="Times New Roman"/>
          <w:sz w:val="20"/>
        </w:rPr>
        <w:t xml:space="preserve"> </w:t>
      </w:r>
    </w:p>
    <w:p>
      <w:pPr>
        <w:pStyle w:val="TextBody"/>
        <w:spacing w:lineRule="auto" w:line="273" w:before="240" w:after="0"/>
        <w:jc w:val="both"/>
        <w:rPr>
          <w:rFonts w:ascii="Times New Roman" w:hAnsi="Times New Roman"/>
          <w:sz w:val="20"/>
        </w:rPr>
      </w:pPr>
      <w:r>
        <w:rPr>
          <w:rFonts w:ascii="Arial" w:hAnsi="Arial"/>
          <w:b/>
          <w:i/>
          <w:sz w:val="20"/>
        </w:rPr>
        <w:t>Our disclosure controls and procedures may not prevent or detect all errors or acts of fraud.</w:t>
      </w:r>
      <w:r>
        <w:rPr>
          <w:rFonts w:ascii="Times New Roman" w:hAnsi="Times New Roman"/>
          <w:sz w:val="20"/>
        </w:rPr>
        <w:t xml:space="preserve"> </w:t>
      </w:r>
    </w:p>
    <w:p>
      <w:pPr>
        <w:pStyle w:val="TextBody"/>
        <w:spacing w:lineRule="auto" w:line="273" w:before="80" w:after="0"/>
        <w:jc w:val="both"/>
        <w:rPr>
          <w:rFonts w:ascii="Times New Roman" w:hAnsi="Times New Roman"/>
          <w:sz w:val="20"/>
        </w:rPr>
      </w:pPr>
      <w:r>
        <w:rPr>
          <w:rFonts w:ascii="Arial" w:hAnsi="Arial"/>
          <w:b w:val="false"/>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sz w:val="20"/>
        </w:rPr>
        <w:t xml:space="preserve"> </w:t>
      </w:r>
    </w:p>
    <w:p>
      <w:pPr>
        <w:pStyle w:val="TextBody"/>
        <w:spacing w:lineRule="auto" w:line="273" w:before="240" w:after="0"/>
        <w:jc w:val="both"/>
        <w:rPr>
          <w:rFonts w:ascii="Arial" w:hAnsi="Arial"/>
          <w:b w:val="false"/>
          <w:sz w:val="20"/>
        </w:rPr>
      </w:pPr>
      <w:r>
        <w:rPr>
          <w:rFonts w:ascii="Arial" w:hAnsi="Arial"/>
          <w:b w:val="false"/>
          <w:sz w:val="20"/>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lineRule="auto" w:line="273" w:before="240" w:after="0"/>
        <w:jc w:val="center"/>
        <w:rPr>
          <w:rFonts w:ascii="Arial" w:hAnsi="Arial"/>
          <w:b w:val="false"/>
          <w:sz w:val="20"/>
        </w:rPr>
      </w:pPr>
      <w:r>
        <w:rPr>
          <w:rFonts w:ascii="Arial" w:hAnsi="Arial"/>
          <w:b w:val="false"/>
          <w:sz w:val="20"/>
        </w:rPr>
        <w:t>70</w:t>
      </w:r>
    </w:p>
    <w:p>
      <w:pPr>
        <w:pStyle w:val="HorizontalLine"/>
        <w:rPr/>
      </w:pPr>
      <w:r>
        <w:rPr/>
      </w:r>
    </w:p>
    <w:p>
      <w:pPr>
        <w:pStyle w:val="TextBody"/>
        <w:spacing w:lineRule="auto" w:line="273" w:before="0" w:after="0"/>
        <w:jc w:val="left"/>
        <w:rPr/>
      </w:pPr>
      <w:r>
        <w:rPr/>
        <w:t> </w:t>
      </w:r>
    </w:p>
    <w:p>
      <w:pPr>
        <w:pStyle w:val="TextBody"/>
        <w:spacing w:lineRule="auto" w:line="273" w:before="240" w:after="0"/>
        <w:jc w:val="both"/>
        <w:rPr>
          <w:rFonts w:ascii="Arial" w:hAnsi="Arial"/>
          <w:b/>
          <w:i/>
          <w:sz w:val="20"/>
        </w:rPr>
      </w:pPr>
      <w:r>
        <w:rPr>
          <w:rFonts w:ascii="Arial" w:hAnsi="Arial"/>
          <w:b/>
          <w:i/>
          <w:sz w:val="20"/>
        </w:rPr>
        <w:t>Global economic uncertainty and unfavorable global economic conditions caused by political instability, changes in trade agreements and conflicts, such as the conflict between Russia and Ukraine, could adversely affect our business, financial condition, results of operations or prospects.</w:t>
      </w:r>
    </w:p>
    <w:p>
      <w:pPr>
        <w:pStyle w:val="TextBody"/>
        <w:spacing w:lineRule="auto" w:line="273" w:before="80" w:after="0"/>
        <w:jc w:val="both"/>
        <w:rPr>
          <w:rFonts w:ascii="Arial" w:hAnsi="Arial"/>
          <w:b w:val="false"/>
          <w:sz w:val="20"/>
        </w:rPr>
      </w:pPr>
      <w:r>
        <w:rPr>
          <w:rFonts w:ascii="Arial" w:hAnsi="Arial"/>
          <w:b w:val="false"/>
          <w:sz w:val="20"/>
        </w:rPr>
        <w:t>Our business, financial condition, results of operations or prospects could be adversely affected by general conditions in the global economy and in the global financial markets. A severe or prolonged economic downturn, economic uncertainties in various global markets caused by political instability and conflict,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pStyle w:val="TextBody"/>
        <w:spacing w:lineRule="auto" w:line="273" w:before="240" w:after="0"/>
        <w:jc w:val="both"/>
        <w:rPr>
          <w:rFonts w:ascii="Times New Roman" w:hAnsi="Times New Roman"/>
          <w:sz w:val="20"/>
        </w:rPr>
      </w:pPr>
      <w:bookmarkStart w:id="17" w:name="item_2_unregistered_securities"/>
      <w:bookmarkEnd w:id="17"/>
      <w:r>
        <w:rPr>
          <w:rFonts w:ascii="Arial" w:hAnsi="Arial"/>
          <w:b/>
          <w:sz w:val="20"/>
        </w:rPr>
        <w:t>Item 2. Unregistered Sales</w:t>
      </w:r>
      <w:bookmarkStart w:id="18" w:name="item_2_unregistered_sales_of_equity"/>
      <w:bookmarkEnd w:id="18"/>
      <w:r>
        <w:rPr>
          <w:rFonts w:ascii="Times New Roman" w:hAnsi="Times New Roman"/>
          <w:sz w:val="20"/>
        </w:rPr>
        <w:t xml:space="preserve"> </w:t>
      </w:r>
      <w:r>
        <w:rPr>
          <w:rFonts w:ascii="Arial" w:hAnsi="Arial"/>
          <w:b/>
          <w:sz w:val="20"/>
        </w:rPr>
        <w:t>of Equity Securities and Use of Proceeds.</w:t>
      </w:r>
    </w:p>
    <w:p>
      <w:pPr>
        <w:pStyle w:val="TextBody"/>
        <w:spacing w:lineRule="auto" w:line="273" w:before="80" w:after="0"/>
        <w:jc w:val="both"/>
        <w:rPr>
          <w:rFonts w:ascii="Arial" w:hAnsi="Arial"/>
          <w:b/>
          <w:sz w:val="20"/>
        </w:rPr>
      </w:pPr>
      <w:r>
        <w:rPr>
          <w:rFonts w:ascii="Arial" w:hAnsi="Arial"/>
          <w:b/>
          <w:sz w:val="20"/>
        </w:rPr>
        <w:t>(a) Recent Sales of Unregistered Equity Securities</w:t>
      </w:r>
    </w:p>
    <w:p>
      <w:pPr>
        <w:pStyle w:val="TextBody"/>
        <w:spacing w:lineRule="auto" w:line="273" w:before="80" w:after="0"/>
        <w:jc w:val="both"/>
        <w:rPr>
          <w:rFonts w:ascii="Arial" w:hAnsi="Arial"/>
          <w:b w:val="false"/>
          <w:sz w:val="20"/>
        </w:rPr>
      </w:pPr>
      <w:r>
        <w:rPr>
          <w:rFonts w:ascii="Arial" w:hAnsi="Arial"/>
          <w:b w:val="false"/>
          <w:sz w:val="20"/>
        </w:rPr>
        <w:t>None.</w:t>
      </w:r>
    </w:p>
    <w:p>
      <w:pPr>
        <w:pStyle w:val="TextBody"/>
        <w:spacing w:lineRule="auto" w:line="273" w:before="240" w:after="0"/>
        <w:jc w:val="both"/>
        <w:rPr>
          <w:rFonts w:ascii="Arial" w:hAnsi="Arial"/>
          <w:b/>
          <w:sz w:val="20"/>
        </w:rPr>
      </w:pPr>
      <w:r>
        <w:rPr>
          <w:rFonts w:ascii="Arial" w:hAnsi="Arial"/>
          <w:b/>
          <w:sz w:val="20"/>
        </w:rPr>
        <w:t>(b) Use of Proceeds from Initial Public Offering of Common Stock</w:t>
      </w:r>
    </w:p>
    <w:p>
      <w:pPr>
        <w:pStyle w:val="TextBody"/>
        <w:spacing w:lineRule="auto" w:line="273" w:before="80" w:after="0"/>
        <w:jc w:val="both"/>
        <w:rPr>
          <w:rFonts w:ascii="Arial" w:hAnsi="Arial"/>
          <w:b w:val="false"/>
          <w:sz w:val="20"/>
        </w:rPr>
      </w:pPr>
      <w:r>
        <w:rPr>
          <w:rFonts w:ascii="Arial" w:hAnsi="Arial"/>
          <w:b w:val="false"/>
          <w:sz w:val="20"/>
        </w:rPr>
        <w:t>On November 2, 2021, the Company completed its initial public offering, or the IPO, in which it issued and sold 5,400,000 shares of its common stock at a public offering price of $14.00 per share. The Company received net proceeds from the IPO of $67.8 million, after deducting underwriters’ discounts, commissions and estimated offering-related costs. In connection with the IPO, the Company granted the underwriters a 30-day option to purchase an additional 810,000 shares. On November 8, 2021, the underwriters exercised the option in full and the Company issued 810,000 shares of common stock for aggregate net proceeds of $10.5 million after deducting underwriter discounts and commissions of $0.8 million.</w:t>
      </w:r>
    </w:p>
    <w:p>
      <w:pPr>
        <w:pStyle w:val="TextBody"/>
        <w:spacing w:lineRule="auto" w:line="273" w:before="240" w:after="0"/>
        <w:jc w:val="both"/>
        <w:rPr>
          <w:rFonts w:ascii="Arial" w:hAnsi="Arial"/>
          <w:b w:val="false"/>
          <w:sz w:val="20"/>
        </w:rPr>
      </w:pPr>
      <w:r>
        <w:rPr>
          <w:rFonts w:ascii="Arial" w:hAnsi="Arial"/>
          <w:b w:val="false"/>
          <w:sz w:val="20"/>
        </w:rPr>
        <w:t>The offer and sale of all of the shares of our common stock in our IPO were registered under the Securities Act pursuant to a registration statement on Form S-1, as amended (File No. 333- 260156), which was declared effective by the SEC on October 28, 2021. Cowen and Company, LLC, SVB Leerink LLC, Evercore Group L.L.C. and BTIG, LLC acted as underwriters for the IPO.</w:t>
      </w:r>
    </w:p>
    <w:p>
      <w:pPr>
        <w:pStyle w:val="TextBody"/>
        <w:spacing w:lineRule="auto" w:line="273" w:before="240" w:after="0"/>
        <w:jc w:val="both"/>
        <w:rPr>
          <w:rFonts w:ascii="Arial" w:hAnsi="Arial"/>
          <w:b w:val="false"/>
          <w:sz w:val="20"/>
        </w:rPr>
      </w:pPr>
      <w:r>
        <w:rPr>
          <w:rFonts w:ascii="Arial" w:hAnsi="Arial"/>
          <w:b w:val="false"/>
          <w:sz w:val="20"/>
        </w:rPr>
        <w:t>No expenses incurred by the Company in connection with the IPO were paid directly or indirectly to (i) any of its officers or directors or their associates, (ii) any persons owning 10% or more of any class of its equity securities, or (iii) any of its affiliates, other than payments in the ordinary course of business to officers for salaries and to non-employee directors as compensation for board or board committee service.</w:t>
      </w:r>
    </w:p>
    <w:p>
      <w:pPr>
        <w:pStyle w:val="TextBody"/>
        <w:spacing w:lineRule="auto" w:line="273" w:before="240" w:after="0"/>
        <w:jc w:val="both"/>
        <w:rPr>
          <w:rFonts w:ascii="Arial" w:hAnsi="Arial"/>
          <w:b w:val="false"/>
          <w:sz w:val="20"/>
        </w:rPr>
      </w:pPr>
      <w:r>
        <w:rPr>
          <w:rFonts w:ascii="Arial" w:hAnsi="Arial"/>
          <w:b w:val="false"/>
          <w:sz w:val="20"/>
        </w:rPr>
        <w:t>There has been no material change in the planned use of proceeds from the IPO from those disclosed in the Prospectus. We plan to invest the funds received in cash equivalents and other marketable securities in accordance with our investment policy.</w:t>
      </w:r>
    </w:p>
    <w:p>
      <w:pPr>
        <w:pStyle w:val="TextBody"/>
        <w:spacing w:lineRule="auto" w:line="273" w:before="240" w:after="0"/>
        <w:jc w:val="both"/>
        <w:rPr>
          <w:rFonts w:ascii="Arial" w:hAnsi="Arial"/>
          <w:b/>
          <w:sz w:val="20"/>
        </w:rPr>
      </w:pPr>
      <w:r>
        <w:rPr>
          <w:rFonts w:ascii="Arial" w:hAnsi="Arial"/>
          <w:b/>
          <w:sz w:val="20"/>
        </w:rPr>
        <w:t>(c) Issuer Purchases of Equity Securities</w:t>
      </w:r>
    </w:p>
    <w:p>
      <w:pPr>
        <w:pStyle w:val="TextBody"/>
        <w:spacing w:lineRule="auto" w:line="273" w:before="80" w:after="0"/>
        <w:jc w:val="both"/>
        <w:rPr>
          <w:rFonts w:ascii="Arial" w:hAnsi="Arial"/>
          <w:b w:val="false"/>
          <w:sz w:val="20"/>
        </w:rPr>
      </w:pPr>
      <w:r>
        <w:rPr>
          <w:rFonts w:ascii="Arial" w:hAnsi="Arial"/>
          <w:b w:val="false"/>
          <w:sz w:val="20"/>
        </w:rPr>
        <w:t>None.</w:t>
      </w:r>
    </w:p>
    <w:p>
      <w:pPr>
        <w:pStyle w:val="TextBody"/>
        <w:spacing w:lineRule="auto" w:line="273" w:before="240" w:after="0"/>
        <w:jc w:val="both"/>
        <w:rPr>
          <w:rFonts w:ascii="Arial" w:hAnsi="Arial"/>
          <w:b/>
          <w:sz w:val="20"/>
        </w:rPr>
      </w:pPr>
      <w:bookmarkStart w:id="19" w:name="item_3_defaults_upon_senior_securities"/>
      <w:bookmarkEnd w:id="19"/>
      <w:r>
        <w:rPr>
          <w:rFonts w:ascii="Arial" w:hAnsi="Arial"/>
          <w:b/>
          <w:sz w:val="20"/>
        </w:rPr>
        <w:t>Item 3. Defaults Upon Senior Securities.</w:t>
      </w:r>
    </w:p>
    <w:p>
      <w:pPr>
        <w:pStyle w:val="TextBody"/>
        <w:spacing w:lineRule="auto" w:line="273" w:before="80" w:after="0"/>
        <w:jc w:val="both"/>
        <w:rPr>
          <w:rFonts w:ascii="Arial" w:hAnsi="Arial"/>
          <w:b w:val="false"/>
          <w:sz w:val="20"/>
        </w:rPr>
      </w:pPr>
      <w:r>
        <w:rPr>
          <w:rFonts w:ascii="Arial" w:hAnsi="Arial"/>
          <w:b w:val="false"/>
          <w:sz w:val="20"/>
        </w:rPr>
        <w:t>Not applicable.</w:t>
      </w:r>
    </w:p>
    <w:p>
      <w:pPr>
        <w:pStyle w:val="TextBody"/>
        <w:spacing w:lineRule="auto" w:line="273" w:before="240" w:after="0"/>
        <w:jc w:val="both"/>
        <w:rPr>
          <w:rFonts w:ascii="Arial" w:hAnsi="Arial"/>
          <w:b/>
          <w:sz w:val="20"/>
        </w:rPr>
      </w:pPr>
      <w:bookmarkStart w:id="20" w:name="item_4_mine_safety_disclosures"/>
      <w:bookmarkEnd w:id="20"/>
      <w:r>
        <w:rPr>
          <w:rFonts w:ascii="Arial" w:hAnsi="Arial"/>
          <w:b/>
          <w:sz w:val="20"/>
        </w:rPr>
        <w:t>Item 4. Mine Safety Disclosures.</w:t>
      </w:r>
    </w:p>
    <w:p>
      <w:pPr>
        <w:pStyle w:val="TextBody"/>
        <w:spacing w:lineRule="auto" w:line="273" w:before="80" w:after="0"/>
        <w:jc w:val="both"/>
        <w:rPr>
          <w:rFonts w:ascii="Arial" w:hAnsi="Arial"/>
          <w:b w:val="false"/>
          <w:sz w:val="20"/>
        </w:rPr>
      </w:pPr>
      <w:r>
        <w:rPr>
          <w:rFonts w:ascii="Arial" w:hAnsi="Arial"/>
          <w:b w:val="false"/>
          <w:sz w:val="20"/>
        </w:rPr>
        <w:t>Not applicable.</w:t>
      </w:r>
    </w:p>
    <w:p>
      <w:pPr>
        <w:pStyle w:val="TextBody"/>
        <w:spacing w:lineRule="auto" w:line="273" w:before="240" w:after="0"/>
        <w:jc w:val="both"/>
        <w:rPr>
          <w:rFonts w:ascii="Arial" w:hAnsi="Arial"/>
          <w:b/>
          <w:sz w:val="20"/>
        </w:rPr>
      </w:pPr>
      <w:bookmarkStart w:id="21" w:name="item_5_other_information"/>
      <w:bookmarkEnd w:id="21"/>
      <w:r>
        <w:rPr>
          <w:rFonts w:ascii="Arial" w:hAnsi="Arial"/>
          <w:b/>
          <w:sz w:val="20"/>
        </w:rPr>
        <w:t>Item 5. Other Information.</w:t>
      </w:r>
    </w:p>
    <w:p>
      <w:pPr>
        <w:pStyle w:val="TextBody"/>
        <w:spacing w:lineRule="auto" w:line="273" w:before="80" w:after="0"/>
        <w:jc w:val="both"/>
        <w:rPr>
          <w:rFonts w:ascii="Arial" w:hAnsi="Arial"/>
          <w:b w:val="false"/>
          <w:sz w:val="20"/>
        </w:rPr>
      </w:pPr>
      <w:r>
        <w:rPr>
          <w:rFonts w:ascii="Arial" w:hAnsi="Arial"/>
          <w:b w:val="false"/>
          <w:sz w:val="20"/>
        </w:rPr>
        <w:t>None.</w:t>
      </w:r>
    </w:p>
    <w:p>
      <w:pPr>
        <w:pStyle w:val="TextBody"/>
        <w:spacing w:lineRule="auto" w:line="273" w:before="240" w:after="0"/>
        <w:jc w:val="center"/>
        <w:rPr>
          <w:rFonts w:ascii="Arial" w:hAnsi="Arial"/>
          <w:b w:val="false"/>
          <w:sz w:val="20"/>
        </w:rPr>
      </w:pPr>
      <w:r>
        <w:rPr>
          <w:rFonts w:ascii="Arial" w:hAnsi="Arial"/>
          <w:b w:val="false"/>
          <w:sz w:val="20"/>
        </w:rPr>
        <w:t>71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Arial" w:hAnsi="Arial"/>
          <w:b/>
          <w:sz w:val="20"/>
        </w:rPr>
      </w:pPr>
      <w:bookmarkStart w:id="22" w:name="item_6_exhibits"/>
      <w:bookmarkEnd w:id="22"/>
      <w:r>
        <w:rPr>
          <w:rFonts w:ascii="Arial" w:hAnsi="Arial"/>
          <w:b/>
          <w:sz w:val="20"/>
        </w:rPr>
        <w:t>Item 6. Exhibits.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22"/>
        <w:gridCol w:w="146"/>
        <w:gridCol w:w="9237"/>
      </w:tblGrid>
      <w:tr>
        <w:trPr/>
        <w:tc>
          <w:tcPr>
            <w:tcW w:w="8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37" w:type="dxa"/>
            <w:tcBorders/>
            <w:shd w:fill="auto" w:val="clear"/>
            <w:vAlign w:val="center"/>
          </w:tcPr>
          <w:p>
            <w:pPr>
              <w:pStyle w:val="TableContents"/>
              <w:spacing w:before="0" w:after="283"/>
              <w:rPr>
                <w:sz w:val="4"/>
                <w:szCs w:val="4"/>
              </w:rPr>
            </w:pPr>
            <w:r>
              <w:rPr>
                <w:sz w:val="4"/>
                <w:szCs w:val="4"/>
              </w:rPr>
            </w:r>
          </w:p>
        </w:tc>
      </w:tr>
      <w:tr>
        <w:trPr/>
        <w:tc>
          <w:tcPr>
            <w:tcW w:w="822"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Exhibit</w:t>
            </w:r>
          </w:p>
          <w:p>
            <w:pPr>
              <w:pStyle w:val="TableContents"/>
              <w:spacing w:lineRule="auto" w:line="252" w:before="0" w:after="0"/>
              <w:ind w:left="0" w:right="0" w:hanging="0"/>
              <w:jc w:val="center"/>
              <w:rPr>
                <w:rFonts w:ascii="Arial" w:hAnsi="Arial"/>
                <w:b/>
                <w:sz w:val="16"/>
              </w:rPr>
            </w:pPr>
            <w:r>
              <w:rPr>
                <w:rFonts w:ascii="Arial" w:hAnsi="Arial"/>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37"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Description</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2">
              <w:r>
                <w:rPr>
                  <w:rStyle w:val="InternetLink"/>
                  <w:rFonts w:ascii="Arial" w:hAnsi="Arial"/>
                  <w:b w:val="false"/>
                  <w:sz w:val="20"/>
                  <w:u w:val="single"/>
                </w:rPr>
                <w:t>Tenth Amended and Restated Certificate of Incorporation of Registrant, as currently in effect (incorporated by reference to Exhibit 3.1 of the Registrants’ Annual Report on Form 10-K (File No. 001-40971).</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3">
              <w:r>
                <w:rPr>
                  <w:rStyle w:val="InternetLink"/>
                  <w:rFonts w:ascii="Arial" w:hAnsi="Arial"/>
                  <w:b w:val="false"/>
                  <w:sz w:val="20"/>
                  <w:u w:val="single"/>
                </w:rPr>
                <w:t>Amended and Restated Bylaws of Registrant, as currently in effect (incorporated by reference to Exhibit 3.2 of the Registrants’ Annual Report on Form 10-K (File No. 001-40971).</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4.2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4">
              <w:r>
                <w:rPr>
                  <w:rStyle w:val="InternetLink"/>
                  <w:rFonts w:ascii="Arial" w:hAnsi="Arial"/>
                  <w:b w:val="false"/>
                  <w:sz w:val="20"/>
                  <w:u w:val="single"/>
                </w:rPr>
                <w:t>Fifth Amended and Restated Investors’ Rights Agreement (Incorporated by reference to Exhibit 4.2 to the Registrant’s Registration Statement on Form S-1, as amended (File No. 333-260156)).</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ura-ex31_1.htm">
              <w:r>
                <w:rPr>
                  <w:rStyle w:val="InternetLink"/>
                  <w:rFonts w:ascii="Arial" w:hAnsi="Arial"/>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31.2*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ura-ex31_2.htm">
              <w:r>
                <w:rPr>
                  <w:rStyle w:val="InternetLink"/>
                  <w:rFonts w:ascii="Arial" w:hAnsi="Arial"/>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ura-ex32_1.htm">
              <w:r>
                <w:rPr>
                  <w:rStyle w:val="InternetLink"/>
                  <w:rFonts w:ascii="Arial" w:hAnsi="Arial"/>
                  <w:b w:val="false"/>
                  <w:sz w:val="20"/>
                  <w:u w:val="single"/>
                </w:rPr>
                <w:t>Certification of Principal Executive Officer and Principal Financial Officer Pursuant to 18 U.S.C. Section 1350, as Adopted Pursuant to Section 906 of the Sarbanes-Oxley Act of 2002.</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101.INS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Instance Document – the instance document does not appear in the Interactive Data File because XBRL tags are embedded within the Inline XBRL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101.SCH</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Schema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101.CAL</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Calculation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101.DEF</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Definition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101.LAB</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Label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101.PRE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Presentation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Cover Page Interactive Data File (embedded within the Inline XBRL document)</w:t>
            </w:r>
          </w:p>
        </w:tc>
      </w:tr>
    </w:tbl>
    <w:p>
      <w:pPr>
        <w:pStyle w:val="TextBody"/>
        <w:pBdr>
          <w:bottom w:val="single" w:sz="4" w:space="1" w:color="000000"/>
        </w:pBdr>
        <w:spacing w:lineRule="auto" w:line="273" w:before="0" w:after="0"/>
        <w:jc w:val="left"/>
        <w:rPr/>
      </w:pPr>
      <w:r>
        <w:rPr/>
        <w:t> </w:t>
      </w:r>
    </w:p>
    <w:p>
      <w:pPr>
        <w:pStyle w:val="TextBody"/>
        <w:spacing w:lineRule="auto" w:line="273" w:before="60" w:after="0"/>
        <w:jc w:val="both"/>
        <w:rPr>
          <w:rFonts w:ascii="Arial" w:hAnsi="Arial"/>
          <w:b w:val="false"/>
          <w:sz w:val="20"/>
        </w:rPr>
      </w:pPr>
      <w:r>
        <w:rPr>
          <w:rFonts w:ascii="Arial" w:hAnsi="Arial"/>
          <w:b w:val="false"/>
          <w:sz w:val="20"/>
        </w:rPr>
        <w:t>* Filed herewith.</w:t>
      </w:r>
    </w:p>
    <w:p>
      <w:pPr>
        <w:pStyle w:val="TextBody"/>
        <w:spacing w:lineRule="auto" w:line="273" w:before="60" w:after="0"/>
        <w:jc w:val="both"/>
        <w:rPr>
          <w:rFonts w:ascii="Arial" w:hAnsi="Arial"/>
          <w:b w:val="false"/>
          <w:sz w:val="20"/>
        </w:rPr>
      </w:pPr>
      <w:r>
        <w:rPr>
          <w:rFonts w:ascii="Arial" w:hAnsi="Arial"/>
          <w:b w:val="false"/>
          <w:sz w:val="20"/>
        </w:rPr>
        <w:t># 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pStyle w:val="TextBody"/>
        <w:spacing w:lineRule="auto" w:line="273" w:before="240" w:after="0"/>
        <w:jc w:val="center"/>
        <w:rPr>
          <w:rFonts w:ascii="Arial" w:hAnsi="Arial"/>
          <w:b w:val="false"/>
          <w:sz w:val="20"/>
        </w:rPr>
      </w:pPr>
      <w:r>
        <w:rPr>
          <w:rFonts w:ascii="Arial" w:hAnsi="Arial"/>
          <w:b w:val="false"/>
          <w:sz w:val="20"/>
        </w:rPr>
        <w:t>72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bookmarkStart w:id="23" w:name="signatures"/>
      <w:bookmarkEnd w:id="23"/>
      <w:r>
        <w:rPr>
          <w:rFonts w:ascii="Arial" w:hAnsi="Arial"/>
          <w:b/>
          <w:sz w:val="20"/>
        </w:rPr>
        <w:t>SIGNATURES</w:t>
      </w:r>
    </w:p>
    <w:p>
      <w:pPr>
        <w:pStyle w:val="TextBody"/>
        <w:spacing w:lineRule="auto" w:line="273" w:before="240" w:after="0"/>
        <w:jc w:val="both"/>
        <w:rPr>
          <w:rFonts w:ascii="Arial" w:hAnsi="Arial"/>
          <w:b w:val="false"/>
          <w:sz w:val="20"/>
        </w:rPr>
      </w:pPr>
      <w:r>
        <w:rPr>
          <w:rFonts w:ascii="Arial" w:hAnsi="Arial"/>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273" w:before="0" w:after="0"/>
        <w:jc w:val="left"/>
        <w:rPr/>
      </w:pPr>
      <w:r>
        <w:rPr/>
        <w:t> </w:t>
      </w:r>
    </w:p>
    <w:tbl>
      <w:tblPr>
        <w:tblW w:w="5999" w:type="dxa"/>
        <w:jc w:val="left"/>
        <w:tblInd w:w="0" w:type="dxa"/>
        <w:tblCellMar>
          <w:top w:w="28" w:type="dxa"/>
          <w:left w:w="28" w:type="dxa"/>
          <w:bottom w:w="28" w:type="dxa"/>
          <w:right w:w="28" w:type="dxa"/>
        </w:tblCellMar>
      </w:tblPr>
      <w:tblGrid>
        <w:gridCol w:w="1831"/>
        <w:gridCol w:w="146"/>
        <w:gridCol w:w="406"/>
        <w:gridCol w:w="3616"/>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616"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2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Aura Biosciences, Inc.</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By:</w:t>
            </w:r>
          </w:p>
        </w:tc>
        <w:tc>
          <w:tcPr>
            <w:tcW w:w="361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/s/ Elisabet de los Pinos</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Elisabet de los Pinos</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President and Chief Executive Officer</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12,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By:</w:t>
            </w:r>
          </w:p>
        </w:tc>
        <w:tc>
          <w:tcPr>
            <w:tcW w:w="36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/s/ Julie Feder</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Julie Feder</w:t>
            </w:r>
          </w:p>
        </w:tc>
      </w:tr>
      <w:tr>
        <w:trPr/>
        <w:tc>
          <w:tcPr>
            <w:tcW w:w="18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Chief Financial Officer</w:t>
            </w:r>
          </w:p>
        </w:tc>
      </w:tr>
    </w:tbl>
    <w:p>
      <w:pPr>
        <w:pStyle w:val="TextBody"/>
        <w:spacing w:lineRule="auto" w:line="273" w:before="0" w:after="0"/>
        <w:jc w:val="left"/>
        <w:rPr/>
      </w:pPr>
      <w:r>
        <w:rPr/>
        <w:t> </w:t>
      </w:r>
    </w:p>
    <w:p>
      <w:pPr>
        <w:pStyle w:val="TextBody"/>
        <w:spacing w:lineRule="auto" w:line="273" w:before="240" w:after="0"/>
        <w:jc w:val="center"/>
        <w:rPr>
          <w:rFonts w:ascii="Arial" w:hAnsi="Arial"/>
          <w:b w:val="false"/>
          <w:sz w:val="20"/>
        </w:rPr>
      </w:pPr>
      <w:r>
        <w:rPr>
          <w:rFonts w:ascii="Arial" w:hAnsi="Arial"/>
          <w:b w:val="false"/>
          <w:sz w:val="20"/>
        </w:rPr>
        <w:t>73</w:t>
      </w:r>
    </w:p>
    <w:p>
      <w:pPr>
        <w:pStyle w:val="HorizontalLine"/>
        <w:rPr/>
      </w:pPr>
      <w:r>
        <w:rPr/>
      </w:r>
      <w:r>
        <w:br w:type="page"/>
      </w:r>
    </w:p>
    <w:p>
      <w:pPr>
        <w:pStyle w:val="TextBody"/>
        <w:spacing w:lineRule="auto" w:line="273" w:before="0" w:after="0"/>
        <w:jc w:val="left"/>
        <w:rPr/>
      </w:pPr>
      <w:bookmarkStart w:id="24" w:name="aura-ex31_1.htm"/>
      <w:bookmarkStart w:id="25" w:name="ksauraex31_1"/>
      <w:bookmarkEnd w:id="24"/>
      <w:bookmarkEnd w:id="25"/>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31.1</w:t>
      </w:r>
    </w:p>
    <w:p>
      <w:pPr>
        <w:pStyle w:val="TextBody"/>
        <w:spacing w:lineRule="auto" w:line="273" w:before="0" w:after="0"/>
        <w:jc w:val="center"/>
        <w:rPr>
          <w:rFonts w:ascii="Arial" w:hAnsi="Arial"/>
          <w:b/>
          <w:sz w:val="18"/>
        </w:rPr>
      </w:pPr>
      <w:r>
        <w:rPr>
          <w:rFonts w:ascii="Arial" w:hAnsi="Arial"/>
          <w:b/>
          <w:sz w:val="18"/>
        </w:rPr>
        <w:t>CERTIFICATION</w:t>
      </w:r>
    </w:p>
    <w:p>
      <w:pPr>
        <w:pStyle w:val="TextBody"/>
        <w:spacing w:lineRule="auto" w:line="273" w:before="240" w:after="0"/>
        <w:jc w:val="left"/>
        <w:rPr>
          <w:rFonts w:ascii="Arial" w:hAnsi="Arial"/>
          <w:b w:val="false"/>
          <w:sz w:val="18"/>
        </w:rPr>
      </w:pPr>
      <w:r>
        <w:rPr>
          <w:rFonts w:ascii="Arial" w:hAnsi="Arial"/>
          <w:b w:val="false"/>
          <w:sz w:val="18"/>
        </w:rPr>
        <w:t>I, Elisabet de los Pinos, certify that:</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1. I have reviewed this Quarterly Report on Form 10-Q of Aura Biosciences, Inc;</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4. The registrant’s other certifying officer(s) and I are responsible for establishing and maintaining disclosure controls and procedures (as defined in Exchange Act Rules 13a-15(e) and 15d-15(e)) for the registrant and have:</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(b)</w:t>
      </w:r>
      <w:r>
        <w:rPr>
          <w:rFonts w:ascii="Times New Roman" w:hAnsi="Times New Roman"/>
          <w:sz w:val="20"/>
        </w:rPr>
        <w:t xml:space="preserve"> </w:t>
      </w:r>
      <w:r>
        <w:rPr>
          <w:rFonts w:ascii="Arial" w:hAnsi="Arial"/>
          <w:b w:val="false"/>
          <w:sz w:val="18"/>
        </w:rPr>
        <w:t>[Reserved]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(c)</w:t>
      </w:r>
      <w:r>
        <w:rPr>
          <w:rFonts w:ascii="Times New Roman" w:hAnsi="Times New Roman"/>
          <w:sz w:val="20"/>
        </w:rPr>
        <w:t xml:space="preserve"> </w:t>
      </w:r>
      <w:r>
        <w:rPr>
          <w:rFonts w:ascii="Arial" w:hAnsi="Arial"/>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(d)</w:t>
      </w:r>
      <w:r>
        <w:rPr>
          <w:rFonts w:ascii="Times New Roman" w:hAnsi="Times New Roman"/>
          <w:sz w:val="20"/>
        </w:rPr>
        <w:t xml:space="preserve"> </w:t>
      </w:r>
      <w:r>
        <w:rPr>
          <w:rFonts w:ascii="Arial" w:hAnsi="Arial"/>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5.</w:t>
      </w:r>
      <w:r>
        <w:rPr>
          <w:rFonts w:ascii="Times New Roman" w:hAnsi="Times New Roman"/>
          <w:sz w:val="20"/>
        </w:rPr>
        <w:t xml:space="preserve"> </w:t>
      </w:r>
      <w:r>
        <w:rPr>
          <w:rFonts w:ascii="Arial" w:hAnsi="Arial"/>
          <w:b w:val="false"/>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(a)</w:t>
      </w:r>
      <w:r>
        <w:rPr>
          <w:rFonts w:ascii="Times New Roman" w:hAnsi="Times New Roman"/>
          <w:sz w:val="20"/>
        </w:rPr>
        <w:t xml:space="preserve"> </w:t>
      </w:r>
      <w:r>
        <w:rPr>
          <w:rFonts w:ascii="Arial" w:hAnsi="Arial"/>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(b)</w:t>
      </w:r>
      <w:r>
        <w:rPr>
          <w:rFonts w:ascii="Times New Roman" w:hAnsi="Times New Roman"/>
          <w:sz w:val="20"/>
        </w:rPr>
        <w:t xml:space="preserve"> </w:t>
      </w:r>
      <w:r>
        <w:rPr>
          <w:rFonts w:ascii="Arial" w:hAnsi="Arial"/>
          <w:b w:val="false"/>
          <w:sz w:val="18"/>
        </w:rPr>
        <w:t>Any fraud, whether or not material, that involves management or other employees who have a significant role in the registrant’s internal control over financial reporting.</w:t>
      </w:r>
    </w:p>
    <w:p>
      <w:pPr>
        <w:pStyle w:val="TextBody"/>
        <w:spacing w:lineRule="auto" w:line="273" w:before="240" w:after="0"/>
        <w:jc w:val="left"/>
        <w:rPr/>
      </w:pPr>
      <w:r>
        <w:rPr/>
        <w:t> </w:t>
      </w:r>
    </w:p>
    <w:tbl>
      <w:tblPr>
        <w:tblW w:w="5539" w:type="dxa"/>
        <w:jc w:val="left"/>
        <w:tblInd w:w="0" w:type="dxa"/>
        <w:tblCellMar>
          <w:top w:w="28" w:type="dxa"/>
          <w:left w:w="28" w:type="dxa"/>
          <w:bottom w:w="28" w:type="dxa"/>
          <w:right w:w="28" w:type="dxa"/>
        </w:tblCellMar>
      </w:tblPr>
      <w:tblGrid>
        <w:gridCol w:w="556"/>
        <w:gridCol w:w="1246"/>
        <w:gridCol w:w="406"/>
        <w:gridCol w:w="3331"/>
      </w:tblGrid>
      <w:tr>
        <w:trPr/>
        <w:tc>
          <w:tcPr>
            <w:tcW w:w="5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3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Aura Biosciences, Inc.</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12, 2022</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Elisabet de los Pinos</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Elisabet de los Pinos</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President and Chief Executive Officer</w:t>
              <w:br/>
              <w:br/>
            </w:r>
            <w:r>
              <w:rPr>
                <w:rFonts w:ascii="Times New Roman" w:hAnsi="Times New Roman"/>
                <w:sz w:val="20"/>
              </w:rPr>
              <w:t> </w:t>
            </w:r>
          </w:p>
        </w:tc>
      </w:tr>
    </w:tbl>
    <w:p>
      <w:pPr>
        <w:pStyle w:val="TextBody"/>
        <w:spacing w:lineRule="auto" w:line="297" w:before="0" w:after="16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6" w:name="aura-ex31_2.htm"/>
      <w:bookmarkStart w:id="27" w:name="ksauraex31_2"/>
      <w:bookmarkEnd w:id="26"/>
      <w:bookmarkEnd w:id="27"/>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31.2</w:t>
      </w:r>
    </w:p>
    <w:p>
      <w:pPr>
        <w:pStyle w:val="TextBody"/>
        <w:spacing w:lineRule="auto" w:line="273" w:before="0" w:after="0"/>
        <w:jc w:val="center"/>
        <w:rPr>
          <w:rFonts w:ascii="Arial" w:hAnsi="Arial"/>
          <w:b/>
          <w:sz w:val="18"/>
        </w:rPr>
      </w:pPr>
      <w:r>
        <w:rPr>
          <w:rFonts w:ascii="Arial" w:hAnsi="Arial"/>
          <w:b/>
          <w:sz w:val="18"/>
        </w:rPr>
        <w:t>CERTIFICATION</w:t>
      </w:r>
    </w:p>
    <w:p>
      <w:pPr>
        <w:pStyle w:val="TextBody"/>
        <w:spacing w:lineRule="auto" w:line="273" w:before="240" w:after="0"/>
        <w:jc w:val="left"/>
        <w:rPr>
          <w:rFonts w:ascii="Arial" w:hAnsi="Arial"/>
          <w:b w:val="false"/>
          <w:sz w:val="18"/>
        </w:rPr>
      </w:pPr>
      <w:r>
        <w:rPr>
          <w:rFonts w:ascii="Arial" w:hAnsi="Arial"/>
          <w:b w:val="false"/>
          <w:sz w:val="18"/>
        </w:rPr>
        <w:t>I, Julie Feder, certify that:</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1. I have reviewed this Quarterly Report on Form 10-Q of Aura Biosciences, Inc;</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4. The registrant’s other certifying officer(s) and I are responsible for establishing and maintaining disclosure controls and procedures (as defined in Exchange Act Rules 13a-15(e) and 15d-15(e)) for the registrant and have:</w:t>
      </w:r>
    </w:p>
    <w:p>
      <w:pPr>
        <w:pStyle w:val="TextBody"/>
        <w:spacing w:lineRule="auto" w:line="273" w:before="0" w:after="0"/>
        <w:jc w:val="left"/>
        <w:rPr/>
      </w:pPr>
      <w:r>
        <w:rPr/>
        <w:t> </w:t>
      </w:r>
    </w:p>
    <w:p>
      <w:pPr>
        <w:pStyle w:val="TextBody"/>
        <w:spacing w:lineRule="auto" w:line="273" w:before="0" w:after="0"/>
        <w:jc w:val="left"/>
        <w:rPr>
          <w:rFonts w:ascii="Arial" w:hAnsi="Arial"/>
          <w:b w:val="false"/>
          <w:sz w:val="18"/>
        </w:rPr>
      </w:pPr>
      <w:r>
        <w:rPr>
          <w:rFonts w:ascii="Arial" w:hAnsi="Arial"/>
          <w:b w:val="false"/>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(b)</w:t>
      </w:r>
      <w:r>
        <w:rPr>
          <w:rFonts w:ascii="Times New Roman" w:hAnsi="Times New Roman"/>
          <w:sz w:val="20"/>
        </w:rPr>
        <w:t xml:space="preserve"> </w:t>
      </w:r>
      <w:r>
        <w:rPr>
          <w:rFonts w:ascii="Arial" w:hAnsi="Arial"/>
          <w:b w:val="false"/>
          <w:sz w:val="18"/>
        </w:rPr>
        <w:t>[Reserved]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(c)</w:t>
      </w:r>
      <w:r>
        <w:rPr>
          <w:rFonts w:ascii="Times New Roman" w:hAnsi="Times New Roman"/>
          <w:sz w:val="20"/>
        </w:rPr>
        <w:t xml:space="preserve"> </w:t>
      </w:r>
      <w:r>
        <w:rPr>
          <w:rFonts w:ascii="Arial" w:hAnsi="Arial"/>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(d)</w:t>
      </w:r>
      <w:r>
        <w:rPr>
          <w:rFonts w:ascii="Times New Roman" w:hAnsi="Times New Roman"/>
          <w:sz w:val="20"/>
        </w:rPr>
        <w:t xml:space="preserve"> </w:t>
      </w:r>
      <w:r>
        <w:rPr>
          <w:rFonts w:ascii="Arial" w:hAnsi="Arial"/>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5.</w:t>
      </w:r>
      <w:r>
        <w:rPr>
          <w:rFonts w:ascii="Times New Roman" w:hAnsi="Times New Roman"/>
          <w:sz w:val="20"/>
        </w:rPr>
        <w:t xml:space="preserve"> </w:t>
      </w:r>
      <w:r>
        <w:rPr>
          <w:rFonts w:ascii="Arial" w:hAnsi="Arial"/>
          <w:b w:val="false"/>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(a)</w:t>
      </w:r>
      <w:r>
        <w:rPr>
          <w:rFonts w:ascii="Times New Roman" w:hAnsi="Times New Roman"/>
          <w:sz w:val="20"/>
        </w:rPr>
        <w:t xml:space="preserve"> </w:t>
      </w:r>
      <w:r>
        <w:rPr>
          <w:rFonts w:ascii="Arial" w:hAnsi="Arial"/>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8"/>
        </w:rPr>
        <w:t>(b)</w:t>
      </w:r>
      <w:r>
        <w:rPr>
          <w:rFonts w:ascii="Times New Roman" w:hAnsi="Times New Roman"/>
          <w:sz w:val="20"/>
        </w:rPr>
        <w:t xml:space="preserve"> </w:t>
      </w:r>
      <w:r>
        <w:rPr>
          <w:rFonts w:ascii="Arial" w:hAnsi="Arial"/>
          <w:b w:val="false"/>
          <w:sz w:val="18"/>
        </w:rPr>
        <w:t>Any fraud, whether or not material, that involves management or other employees who have a significant role in the registrant’s internal control over financial reporting.</w:t>
      </w:r>
    </w:p>
    <w:p>
      <w:pPr>
        <w:pStyle w:val="TextBody"/>
        <w:spacing w:lineRule="auto" w:line="273" w:before="240" w:after="0"/>
        <w:jc w:val="left"/>
        <w:rPr/>
      </w:pPr>
      <w:r>
        <w:rPr/>
        <w:t> </w:t>
      </w:r>
    </w:p>
    <w:tbl>
      <w:tblPr>
        <w:tblW w:w="4309" w:type="dxa"/>
        <w:jc w:val="left"/>
        <w:tblInd w:w="0" w:type="dxa"/>
        <w:tblCellMar>
          <w:top w:w="28" w:type="dxa"/>
          <w:left w:w="28" w:type="dxa"/>
          <w:bottom w:w="28" w:type="dxa"/>
          <w:right w:w="28" w:type="dxa"/>
        </w:tblCellMar>
      </w:tblPr>
      <w:tblGrid>
        <w:gridCol w:w="556"/>
        <w:gridCol w:w="1246"/>
        <w:gridCol w:w="406"/>
        <w:gridCol w:w="2101"/>
      </w:tblGrid>
      <w:tr>
        <w:trPr/>
        <w:tc>
          <w:tcPr>
            <w:tcW w:w="5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Aura Biosciences, Inc.</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12, 2022</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1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Julie Feder</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Julie Feder</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0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Chief Financial Officer</w:t>
              <w:br/>
              <w:br/>
            </w:r>
            <w:r>
              <w:rPr>
                <w:rFonts w:ascii="Times New Roman" w:hAnsi="Times New Roman"/>
                <w:sz w:val="20"/>
              </w:rPr>
              <w:t> </w:t>
            </w:r>
          </w:p>
        </w:tc>
      </w:tr>
    </w:tbl>
    <w:p>
      <w:pPr>
        <w:pStyle w:val="TextBody"/>
        <w:spacing w:lineRule="auto" w:line="297" w:before="0" w:after="16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8" w:name="aura-ex32_1.htm"/>
      <w:bookmarkStart w:id="29" w:name="ksauraex32_1"/>
      <w:bookmarkEnd w:id="28"/>
      <w:bookmarkEnd w:id="29"/>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32.1</w:t>
      </w:r>
    </w:p>
    <w:p>
      <w:pPr>
        <w:pStyle w:val="TextBody"/>
        <w:spacing w:lineRule="auto" w:line="273" w:before="360" w:after="0"/>
        <w:jc w:val="center"/>
        <w:rPr>
          <w:rFonts w:ascii="Arial" w:hAnsi="Arial"/>
          <w:b/>
          <w:sz w:val="20"/>
        </w:rPr>
      </w:pPr>
      <w:r>
        <w:rPr>
          <w:rFonts w:ascii="Arial" w:hAnsi="Arial"/>
          <w:b/>
          <w:sz w:val="20"/>
        </w:rPr>
        <w:t>CERTIFICATION PURSUANT TO</w:t>
      </w:r>
    </w:p>
    <w:p>
      <w:pPr>
        <w:pStyle w:val="TextBody"/>
        <w:spacing w:lineRule="auto" w:line="273" w:before="0" w:after="0"/>
        <w:jc w:val="center"/>
        <w:rPr>
          <w:rFonts w:ascii="Arial" w:hAnsi="Arial"/>
          <w:b/>
          <w:sz w:val="20"/>
        </w:rPr>
      </w:pPr>
      <w:r>
        <w:rPr>
          <w:rFonts w:ascii="Arial" w:hAnsi="Arial"/>
          <w:b/>
          <w:sz w:val="20"/>
        </w:rPr>
        <w:t>18 U.S.C. SECTION 1350, AS ADOPTED PURSUANT TO</w:t>
      </w:r>
    </w:p>
    <w:p>
      <w:pPr>
        <w:pStyle w:val="TextBody"/>
        <w:spacing w:lineRule="auto" w:line="273" w:before="0" w:after="0"/>
        <w:jc w:val="center"/>
        <w:rPr>
          <w:rFonts w:ascii="Arial" w:hAnsi="Arial"/>
          <w:b/>
          <w:sz w:val="20"/>
        </w:rPr>
      </w:pPr>
      <w:r>
        <w:rPr>
          <w:rFonts w:ascii="Arial" w:hAnsi="Arial"/>
          <w:b/>
          <w:sz w:val="20"/>
        </w:rPr>
        <w:t>SECTION 906 OF THE SARBANES-OXLEY ACT OF 2002</w:t>
      </w:r>
    </w:p>
    <w:p>
      <w:pPr>
        <w:pStyle w:val="TextBody"/>
        <w:spacing w:lineRule="auto" w:line="273" w:before="240" w:after="0"/>
        <w:jc w:val="left"/>
        <w:rPr>
          <w:rFonts w:ascii="Arial" w:hAnsi="Arial"/>
          <w:b w:val="false"/>
          <w:sz w:val="20"/>
        </w:rPr>
      </w:pPr>
      <w:r>
        <w:rPr>
          <w:rFonts w:ascii="Arial" w:hAnsi="Arial"/>
          <w:b w:val="false"/>
          <w:sz w:val="20"/>
        </w:rPr>
        <w:t>In connection with the Quarterly Report on Form 10-Q of Aura Biosciences, Inc. (the “Company”) for the period ended March 31, 2022 as filed with the Securities and Exchange Commission on the date hereof (the “Report”), each of the undersigned certifies, pursuant to 18 U.S.C. §1350, as adopted pursuant to §906 of the Sarbanes-Oxley Act of 2002, that, to the best of her knowledge:</w:t>
      </w:r>
    </w:p>
    <w:p>
      <w:pPr>
        <w:pStyle w:val="TextBody"/>
        <w:spacing w:lineRule="auto" w:line="273" w:before="24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(1)</w:t>
      </w:r>
    </w:p>
    <w:p>
      <w:pPr>
        <w:pStyle w:val="TextBody"/>
        <w:spacing w:lineRule="auto" w:line="273"/>
        <w:jc w:val="left"/>
        <w:rPr>
          <w:rFonts w:ascii="Arial" w:hAnsi="Arial"/>
          <w:b w:val="false"/>
          <w:sz w:val="20"/>
        </w:rPr>
      </w:pPr>
      <w:r>
        <w:rPr>
          <w:rFonts w:ascii="Arial" w:hAnsi="Arial"/>
          <w:b w:val="false"/>
          <w:sz w:val="20"/>
        </w:rPr>
        <w:t>The Report fully complies with the requirements of section 13(a) or 15(d) of the Securities Exchange Act of 1934, as amended; and</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(2)</w:t>
      </w:r>
    </w:p>
    <w:p>
      <w:pPr>
        <w:pStyle w:val="TextBody"/>
        <w:spacing w:lineRule="auto" w:line="273"/>
        <w:jc w:val="left"/>
        <w:rPr>
          <w:rFonts w:ascii="Arial" w:hAnsi="Arial"/>
          <w:b w:val="false"/>
          <w:sz w:val="20"/>
        </w:rPr>
      </w:pPr>
      <w:r>
        <w:rPr>
          <w:rFonts w:ascii="Arial" w:hAnsi="Arial"/>
          <w:b w:val="false"/>
          <w:sz w:val="20"/>
        </w:rPr>
        <w:t>The information contained in the Report fairly presents, in all material respects, the financial condition and results of operations of the Company.</w:t>
      </w:r>
    </w:p>
    <w:p>
      <w:pPr>
        <w:pStyle w:val="TextBody"/>
        <w:spacing w:lineRule="auto" w:line="273" w:before="0" w:after="0"/>
        <w:jc w:val="left"/>
        <w:rPr/>
      </w:pPr>
      <w:r>
        <w:rPr/>
        <w:t> </w:t>
      </w:r>
    </w:p>
    <w:tbl>
      <w:tblPr>
        <w:tblW w:w="5539" w:type="dxa"/>
        <w:jc w:val="left"/>
        <w:tblInd w:w="0" w:type="dxa"/>
        <w:tblCellMar>
          <w:top w:w="28" w:type="dxa"/>
          <w:left w:w="28" w:type="dxa"/>
          <w:bottom w:w="28" w:type="dxa"/>
          <w:right w:w="28" w:type="dxa"/>
        </w:tblCellMar>
      </w:tblPr>
      <w:tblGrid>
        <w:gridCol w:w="556"/>
        <w:gridCol w:w="1246"/>
        <w:gridCol w:w="406"/>
        <w:gridCol w:w="3331"/>
      </w:tblGrid>
      <w:tr>
        <w:trPr/>
        <w:tc>
          <w:tcPr>
            <w:tcW w:w="5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c>
          <w:tcPr>
            <w:tcW w:w="3737"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Aura Biosciences, Inc.</w:t>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3331" w:type="dxa"/>
            <w:tcBorders/>
            <w:shd w:fill="auto" w:val="clear"/>
            <w:vAlign w:val="center"/>
          </w:tcPr>
          <w:p>
            <w:pPr>
              <w:pStyle w:val="TableContents"/>
              <w:spacing w:lineRule="auto" w:line="252" w:before="0" w:after="0"/>
              <w:ind w:left="0" w:right="0" w:hanging="0"/>
              <w:jc w:val="left"/>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w:t>
            </w:r>
          </w:p>
        </w:tc>
        <w:tc>
          <w:tcPr>
            <w:tcW w:w="12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12, 2022</w:t>
            </w:r>
          </w:p>
        </w:tc>
        <w:tc>
          <w:tcPr>
            <w:tcW w:w="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Elisabet de los Pinos</w:t>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333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Elisabet de los Pinos</w:t>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333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President and Chief Executive Officer</w:t>
              <w:br/>
            </w:r>
            <w:r>
              <w:rPr>
                <w:rFonts w:ascii="Times New Roman" w:hAnsi="Times New Roman"/>
                <w:sz w:val="20"/>
              </w:rPr>
              <w:t> </w:t>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3331" w:type="dxa"/>
            <w:tcBorders/>
            <w:shd w:fill="auto" w:val="clear"/>
            <w:vAlign w:val="center"/>
          </w:tcPr>
          <w:p>
            <w:pPr>
              <w:pStyle w:val="TableContents"/>
              <w:spacing w:lineRule="auto" w:line="252" w:before="0" w:after="0"/>
              <w:ind w:left="0" w:right="0" w:hanging="0"/>
              <w:jc w:val="center"/>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w:t>
            </w:r>
          </w:p>
        </w:tc>
        <w:tc>
          <w:tcPr>
            <w:tcW w:w="12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12, 2022</w:t>
            </w:r>
          </w:p>
        </w:tc>
        <w:tc>
          <w:tcPr>
            <w:tcW w:w="40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Julie Feder</w:t>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333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Julie Feder</w:t>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333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Chief Financial Officer</w:t>
              <w:br/>
            </w:r>
            <w:r>
              <w:rPr>
                <w:rFonts w:ascii="Times New Roman" w:hAnsi="Times New Roman"/>
                <w:sz w:val="20"/>
              </w:rPr>
              <w:t> </w:t>
            </w:r>
          </w:p>
        </w:tc>
      </w:tr>
    </w:tbl>
    <w:p>
      <w:pPr>
        <w:pStyle w:val="TextBody"/>
        <w:spacing w:lineRule="auto" w:line="297" w:before="0" w:after="16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1796/000095017022004425/aura-ex3_1.htm" TargetMode="External"/><Relationship Id="rId3" Type="http://schemas.openxmlformats.org/officeDocument/2006/relationships/hyperlink" Target="https://www.sec.gov/Archives/edgar/data/1501796/000095017022004425/aura-ex3_2.htm" TargetMode="External"/><Relationship Id="rId4" Type="http://schemas.openxmlformats.org/officeDocument/2006/relationships/hyperlink" Target="https://www.sec.gov/Archives/edgar/data/1501796/000119312521295543/d209588dex4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52291</Words>
  <CharactersWithSpaces>344182</CharactersWithSpaces>
  <Paragraphs>4990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