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Aura Biosciences,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001-40971</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32-0271970</w:t>
            </w:r>
          </w:p>
        </w:tc>
      </w:tr>
      <w:tr>
        <w:trPr>
          <w:trHeight w:val="149"/>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80" w:type="dxa"/>
            <w:vAlign w:val="bottom"/>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80 Guest Street</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9"/>
              </w:rPr>
              <w:t>Boston, Massachusetts</w:t>
            </w:r>
          </w:p>
        </w:tc>
        <w:tc>
          <w:tcPr>
            <w:tcW w:w="280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02135</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617 500-8864</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248285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880" w:hanging="390"/>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880" w:hanging="390"/>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880" w:hanging="390"/>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880" w:hanging="390"/>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AURA</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587375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11, 2026, Aura Biosciences, Inc. (the “Company”) held its 2026 Annual Meeting of Stockholders (the “Annual Meeting”). The proposals set forth below were submitted to the stockholders at the Annual Meeting, with each such proposal described in the Company’s definitive proxy statement for the Annual Meeting filed with the Securities and Exchange Commission on April 20, 2026.</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shares of the Company’s common stock, par value $0.00001 per share (“Common Stock”), entitled to vote at the Annual Meeting was 64,199,778. The number of shares of Common Stock present or represented by valid proxy at the Annual Meeting was 52,784,744. The number of votes cast for and against and the number of abstentions and broker non-votes with respect to each proposal voted upon at the Annual Meeting are set forth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 Election of Directors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stockholders elected the two (2) director nominees below to the Company’s Board of Directors as Class II directors to serve until the 2029 Annual Meeting of Stockholders of the Company and until their successor has been duly elected and qualified, or until their earlier death, resignation or removal.</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 Nominee</w:t>
            </w:r>
          </w:p>
        </w:tc>
        <w:tc>
          <w:tcPr>
            <w:tcW w:w="300" w:type="dxa"/>
            <w:vAlign w:val="bottom"/>
          </w:tcPr>
          <w:p>
            <w:pPr>
              <w:spacing w:after="0"/>
              <w:rPr>
                <w:sz w:val="13"/>
                <w:szCs w:val="13"/>
                <w:color w:val="auto"/>
              </w:rPr>
            </w:pPr>
          </w:p>
        </w:tc>
        <w:tc>
          <w:tcPr>
            <w:tcW w:w="11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60" w:type="dxa"/>
            <w:vAlign w:val="bottom"/>
          </w:tcPr>
          <w:p>
            <w:pPr>
              <w:spacing w:after="0"/>
              <w:rPr>
                <w:sz w:val="13"/>
                <w:szCs w:val="13"/>
                <w:color w:val="auto"/>
              </w:rPr>
            </w:pPr>
          </w:p>
        </w:tc>
        <w:tc>
          <w:tcPr>
            <w:tcW w:w="300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300" w:type="dxa"/>
            <w:vAlign w:val="bottom"/>
          </w:tcPr>
          <w:p>
            <w:pPr>
              <w:spacing w:after="0"/>
              <w:rPr>
                <w:sz w:val="13"/>
                <w:szCs w:val="13"/>
                <w:color w:val="auto"/>
              </w:rPr>
            </w:pPr>
          </w:p>
        </w:tc>
        <w:tc>
          <w:tcPr>
            <w:tcW w:w="15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266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300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Johnson</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34,542,193</w:t>
            </w:r>
          </w:p>
        </w:tc>
        <w:tc>
          <w:tcPr>
            <w:tcW w:w="3360" w:type="dxa"/>
            <w:vAlign w:val="bottom"/>
            <w:gridSpan w:val="2"/>
            <w:shd w:val="clear" w:color="auto" w:fill="CCEEFF"/>
          </w:tcPr>
          <w:p>
            <w:pPr>
              <w:jc w:val="right"/>
              <w:ind w:right="1008"/>
              <w:spacing w:after="0"/>
              <w:rPr>
                <w:sz w:val="20"/>
                <w:szCs w:val="20"/>
                <w:color w:val="auto"/>
              </w:rPr>
            </w:pPr>
            <w:r>
              <w:rPr>
                <w:rFonts w:ascii="Times New Roman" w:cs="Times New Roman" w:eastAsia="Times New Roman" w:hAnsi="Times New Roman"/>
                <w:sz w:val="18"/>
                <w:szCs w:val="18"/>
                <w:color w:val="auto"/>
              </w:rPr>
              <w:t>6,628,297</w:t>
            </w:r>
          </w:p>
        </w:tc>
        <w:tc>
          <w:tcPr>
            <w:tcW w:w="16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11,614,254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Teresa Marie Bitetti</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40,526,332</w:t>
            </w:r>
          </w:p>
        </w:tc>
        <w:tc>
          <w:tcPr>
            <w:tcW w:w="3360" w:type="dxa"/>
            <w:vAlign w:val="bottom"/>
            <w:gridSpan w:val="2"/>
          </w:tcPr>
          <w:p>
            <w:pPr>
              <w:jc w:val="right"/>
              <w:ind w:right="1068"/>
              <w:spacing w:after="0"/>
              <w:rPr>
                <w:sz w:val="20"/>
                <w:szCs w:val="20"/>
                <w:color w:val="auto"/>
              </w:rPr>
            </w:pPr>
            <w:r>
              <w:rPr>
                <w:rFonts w:ascii="Times New Roman" w:cs="Times New Roman" w:eastAsia="Times New Roman" w:hAnsi="Times New Roman"/>
                <w:sz w:val="18"/>
                <w:szCs w:val="18"/>
                <w:color w:val="auto"/>
              </w:rPr>
              <w:t>644,158</w:t>
            </w:r>
          </w:p>
        </w:tc>
        <w:tc>
          <w:tcPr>
            <w:tcW w:w="16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11,614,254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 Ratification of Appointment of Independent Registered Accounting Firm</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Ernst &amp; Young LLP as the independent registered public accounting firm of the Company for the fiscal year ending December 31, 2026.</w:t>
      </w:r>
    </w:p>
    <w:p>
      <w:pPr>
        <w:spacing w:after="0" w:line="10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00" w:type="dxa"/>
            <w:vAlign w:val="bottom"/>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80" w:type="dxa"/>
            <w:vAlign w:val="bottom"/>
          </w:tcPr>
          <w:p>
            <w:pPr>
              <w:spacing w:after="0"/>
              <w:rPr>
                <w:sz w:val="15"/>
                <w:szCs w:val="15"/>
                <w:color w:val="auto"/>
              </w:rPr>
            </w:pP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10"/>
        </w:trPr>
        <w:tc>
          <w:tcPr>
            <w:tcW w:w="190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52,752,601</w:t>
            </w:r>
          </w:p>
        </w:tc>
        <w:tc>
          <w:tcPr>
            <w:tcW w:w="2720" w:type="dxa"/>
            <w:vAlign w:val="bottom"/>
            <w:gridSpan w:val="2"/>
            <w:shd w:val="clear" w:color="auto" w:fill="CCEEFF"/>
          </w:tcPr>
          <w:p>
            <w:pPr>
              <w:jc w:val="right"/>
              <w:ind w:right="988"/>
              <w:spacing w:after="0"/>
              <w:rPr>
                <w:sz w:val="20"/>
                <w:szCs w:val="20"/>
                <w:color w:val="auto"/>
              </w:rPr>
            </w:pPr>
            <w:r>
              <w:rPr>
                <w:rFonts w:ascii="Times New Roman" w:cs="Times New Roman" w:eastAsia="Times New Roman" w:hAnsi="Times New Roman"/>
                <w:sz w:val="18"/>
                <w:szCs w:val="18"/>
                <w:color w:val="auto"/>
              </w:rPr>
              <w:t>17,348</w:t>
            </w:r>
          </w:p>
        </w:tc>
        <w:tc>
          <w:tcPr>
            <w:tcW w:w="4220" w:type="dxa"/>
            <w:vAlign w:val="bottom"/>
            <w:gridSpan w:val="2"/>
            <w:shd w:val="clear" w:color="auto" w:fill="CCEEFF"/>
          </w:tcPr>
          <w:p>
            <w:pPr>
              <w:jc w:val="right"/>
              <w:ind w:right="1748"/>
              <w:spacing w:after="0"/>
              <w:rPr>
                <w:sz w:val="20"/>
                <w:szCs w:val="20"/>
                <w:color w:val="auto"/>
              </w:rPr>
            </w:pPr>
            <w:r>
              <w:rPr>
                <w:rFonts w:ascii="Times New Roman" w:cs="Times New Roman" w:eastAsia="Times New Roman" w:hAnsi="Times New Roman"/>
                <w:sz w:val="18"/>
                <w:szCs w:val="18"/>
                <w:color w:val="auto"/>
              </w:rPr>
              <w:t>14,795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zero broker non-votes regarding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836295</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5" w:right="10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Aura Biosciences, Inc.</w:t>
      </w:r>
    </w:p>
    <w:p>
      <w:pPr>
        <w:spacing w:after="0" w:line="229" w:lineRule="exact"/>
        <w:rPr>
          <w:sz w:val="20"/>
          <w:szCs w:val="20"/>
          <w:color w:val="auto"/>
        </w:rPr>
      </w:pPr>
    </w:p>
    <w:p>
      <w:pPr>
        <w:spacing w:after="0"/>
        <w:tabs>
          <w:tab w:leader="none" w:pos="580" w:val="left"/>
          <w:tab w:leader="none" w:pos="4860" w:val="left"/>
          <w:tab w:leader="none" w:pos="6840" w:val="left"/>
        </w:tabs>
        <w:rPr>
          <w:sz w:val="20"/>
          <w:szCs w:val="20"/>
          <w:color w:val="auto"/>
        </w:rPr>
      </w:pPr>
      <w:r>
        <w:rPr>
          <w:rFonts w:ascii="Times New Roman" w:cs="Times New Roman" w:eastAsia="Times New Roman" w:hAnsi="Times New Roman"/>
          <w:sz w:val="18"/>
          <w:szCs w:val="18"/>
          <w:color w:val="auto"/>
        </w:rPr>
        <w:t>Date:</w:t>
        <w:tab/>
        <w:t>June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Natalie Holles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17145</wp:posOffset>
            </wp:positionV>
            <wp:extent cx="28371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Natalie Holles</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610235</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5" w:right="109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2026-06-11T15:36:02Z</dcterms:created>
  <dcterms:modified xsi:type="dcterms:W3CDTF">2026-06-11T15:36:02Z</dcterms:modified>
</cp:coreProperties>
</file>